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28B" w:rsidRPr="00325808" w:rsidRDefault="00B0328B" w:rsidP="00325808">
      <w:pPr>
        <w:spacing w:after="0" w:line="240" w:lineRule="auto"/>
        <w:jc w:val="center"/>
        <w:rPr>
          <w:rFonts w:ascii="Times New Roman" w:hAnsi="Times New Roman"/>
          <w:b/>
          <w:caps/>
          <w:spacing w:val="20"/>
          <w:lang w:eastAsia="sk-SK"/>
        </w:rPr>
      </w:pPr>
      <w:r w:rsidRPr="00325808">
        <w:rPr>
          <w:rFonts w:ascii="Times New Roman" w:hAnsi="Times New Roman"/>
          <w:b/>
          <w:caps/>
          <w:spacing w:val="20"/>
          <w:lang w:eastAsia="sk-SK"/>
        </w:rPr>
        <w:t>Tabuľka zhody</w:t>
      </w:r>
    </w:p>
    <w:p w:rsidR="00B0328B" w:rsidRPr="00325808" w:rsidRDefault="00B0328B" w:rsidP="00325808">
      <w:pPr>
        <w:spacing w:after="0" w:line="240" w:lineRule="auto"/>
        <w:jc w:val="center"/>
        <w:rPr>
          <w:rFonts w:ascii="Times New Roman" w:hAnsi="Times New Roman"/>
          <w:b/>
          <w:caps/>
          <w:spacing w:val="20"/>
          <w:lang w:eastAsia="sk-SK"/>
        </w:rPr>
      </w:pPr>
      <w:r w:rsidRPr="00325808">
        <w:rPr>
          <w:rFonts w:ascii="Times New Roman" w:hAnsi="Times New Roman"/>
          <w:b/>
          <w:caps/>
          <w:spacing w:val="20"/>
          <w:lang w:eastAsia="sk-SK"/>
        </w:rPr>
        <w:t>právneho predpisu</w:t>
      </w:r>
    </w:p>
    <w:p w:rsidR="00B0328B" w:rsidRPr="00325808" w:rsidRDefault="00B0328B" w:rsidP="00325808">
      <w:pPr>
        <w:spacing w:after="0" w:line="240" w:lineRule="auto"/>
        <w:jc w:val="center"/>
        <w:rPr>
          <w:rFonts w:ascii="Times New Roman" w:hAnsi="Times New Roman"/>
          <w:b/>
          <w:caps/>
          <w:spacing w:val="20"/>
          <w:lang w:eastAsia="sk-SK"/>
        </w:rPr>
      </w:pPr>
      <w:r w:rsidRPr="00325808">
        <w:rPr>
          <w:rFonts w:ascii="Times New Roman" w:hAnsi="Times New Roman"/>
          <w:b/>
          <w:caps/>
          <w:spacing w:val="20"/>
          <w:lang w:eastAsia="sk-SK"/>
        </w:rPr>
        <w:t>s  právom Európskej únie</w:t>
      </w:r>
    </w:p>
    <w:p w:rsidR="00B0328B" w:rsidRPr="00325808" w:rsidRDefault="00B0328B" w:rsidP="00325808">
      <w:pPr>
        <w:spacing w:after="0" w:line="240" w:lineRule="auto"/>
        <w:jc w:val="center"/>
        <w:rPr>
          <w:rFonts w:ascii="Times New Roman" w:hAnsi="Times New Roman"/>
          <w:b/>
          <w:caps/>
          <w:spacing w:val="20"/>
          <w:lang w:eastAsia="sk-SK"/>
        </w:rPr>
      </w:pPr>
    </w:p>
    <w:tbl>
      <w:tblPr>
        <w:tblStyle w:val="Mriekatabuky"/>
        <w:tblW w:w="14220" w:type="dxa"/>
        <w:tblLayout w:type="fixed"/>
        <w:tblLook w:val="04A0" w:firstRow="1" w:lastRow="0" w:firstColumn="1" w:lastColumn="0" w:noHBand="0" w:noVBand="1"/>
      </w:tblPr>
      <w:tblGrid>
        <w:gridCol w:w="1074"/>
        <w:gridCol w:w="3712"/>
        <w:gridCol w:w="1418"/>
        <w:gridCol w:w="850"/>
        <w:gridCol w:w="1050"/>
        <w:gridCol w:w="3657"/>
        <w:gridCol w:w="830"/>
        <w:gridCol w:w="1629"/>
      </w:tblGrid>
      <w:tr w:rsidR="00B0328B" w:rsidRPr="00325808" w:rsidTr="003F282B">
        <w:tc>
          <w:tcPr>
            <w:tcW w:w="6204" w:type="dxa"/>
            <w:gridSpan w:val="3"/>
          </w:tcPr>
          <w:p w:rsidR="00077776" w:rsidRPr="00325808" w:rsidRDefault="00B0328B" w:rsidP="00325808">
            <w:pPr>
              <w:rPr>
                <w:rFonts w:ascii="Times New Roman" w:hAnsi="Times New Roman" w:cs="Times New Roman"/>
              </w:rPr>
            </w:pPr>
            <w:r w:rsidRPr="00325808">
              <w:rPr>
                <w:rFonts w:ascii="Times New Roman" w:hAnsi="Times New Roman" w:cs="Times New Roman"/>
              </w:rPr>
              <w:t>Smernica Európskeho parlamentu a Rady (EÚ) 2018/410 zo 14. marca 2018, ktorou sa mení smernica 2003/87/ES s cieľom zlepšiť nákladovo efektívne znižovanie emisií a investície do nízkouhlíkových technológií a rozhodnutie (EÚ) 2015/1814</w:t>
            </w:r>
            <w:r w:rsidR="00077776" w:rsidRPr="00325808">
              <w:rPr>
                <w:rFonts w:ascii="Times New Roman" w:hAnsi="Times New Roman" w:cs="Times New Roman"/>
              </w:rPr>
              <w:t xml:space="preserve"> (Ú. v. EÚ L 76, 19.3.2018)</w:t>
            </w:r>
          </w:p>
        </w:tc>
        <w:tc>
          <w:tcPr>
            <w:tcW w:w="8016" w:type="dxa"/>
            <w:gridSpan w:val="5"/>
          </w:tcPr>
          <w:p w:rsidR="004F274A" w:rsidRPr="00325808" w:rsidRDefault="00A32DB0" w:rsidP="00325808">
            <w:pPr>
              <w:rPr>
                <w:rFonts w:ascii="Times New Roman" w:hAnsi="Times New Roman" w:cs="Times New Roman"/>
              </w:rPr>
            </w:pPr>
            <w:r w:rsidRPr="00325808">
              <w:rPr>
                <w:rFonts w:ascii="Times New Roman" w:hAnsi="Times New Roman" w:cs="Times New Roman"/>
              </w:rPr>
              <w:t>Návrh zákona, ktorým sa mení a dopĺňa zákon č. 414/2012 Z. z. o obchodovaní s emisnými kvótami a o zmene a doplnení niektorých zákonov v znení neskorších predpisov (ďalej len „</w:t>
            </w:r>
            <w:r w:rsidR="00077776" w:rsidRPr="00325808">
              <w:rPr>
                <w:rFonts w:ascii="Times New Roman" w:hAnsi="Times New Roman" w:cs="Times New Roman"/>
              </w:rPr>
              <w:t>návrh zákona</w:t>
            </w:r>
            <w:r w:rsidRPr="00325808">
              <w:rPr>
                <w:rFonts w:ascii="Times New Roman" w:hAnsi="Times New Roman" w:cs="Times New Roman"/>
              </w:rPr>
              <w:t>“)</w:t>
            </w:r>
          </w:p>
          <w:p w:rsidR="00DC5C02" w:rsidRPr="00325808" w:rsidRDefault="00DC5C02" w:rsidP="00325808">
            <w:pPr>
              <w:rPr>
                <w:rFonts w:ascii="Times New Roman" w:hAnsi="Times New Roman" w:cs="Times New Roman"/>
              </w:rPr>
            </w:pPr>
            <w:r w:rsidRPr="00325808">
              <w:rPr>
                <w:rFonts w:ascii="Times New Roman" w:hAnsi="Times New Roman" w:cs="Times New Roman"/>
              </w:rPr>
              <w:t>Zákon č. 414/2012 Z. z. o obchodovaní s emisnými kvótami a o zmene a doplnení niektorých zákonov v znení neskorších predpisov (414/2012)</w:t>
            </w:r>
          </w:p>
          <w:p w:rsidR="00EF6929" w:rsidRPr="00325808" w:rsidRDefault="003A3C28" w:rsidP="00325808">
            <w:pPr>
              <w:rPr>
                <w:rFonts w:ascii="Times New Roman" w:hAnsi="Times New Roman" w:cs="Times New Roman"/>
              </w:rPr>
            </w:pPr>
            <w:r w:rsidRPr="00325808">
              <w:rPr>
                <w:rFonts w:ascii="Times New Roman" w:hAnsi="Times New Roman" w:cs="Times New Roman"/>
              </w:rPr>
              <w:t>Zákon č. 575/2001 Z.</w:t>
            </w:r>
            <w:r w:rsidR="00C97A9D" w:rsidRPr="00325808">
              <w:rPr>
                <w:rFonts w:ascii="Times New Roman" w:hAnsi="Times New Roman" w:cs="Times New Roman"/>
              </w:rPr>
              <w:t xml:space="preserve"> </w:t>
            </w:r>
            <w:r w:rsidRPr="00325808">
              <w:rPr>
                <w:rFonts w:ascii="Times New Roman" w:hAnsi="Times New Roman" w:cs="Times New Roman"/>
              </w:rPr>
              <w:t>z.</w:t>
            </w:r>
            <w:r w:rsidR="00C97A9D" w:rsidRPr="00325808">
              <w:rPr>
                <w:rFonts w:ascii="Times New Roman" w:hAnsi="Times New Roman" w:cs="Times New Roman"/>
              </w:rPr>
              <w:t xml:space="preserve"> </w:t>
            </w:r>
            <w:r w:rsidR="00F47DB3" w:rsidRPr="00325808">
              <w:rPr>
                <w:rFonts w:ascii="Times New Roman" w:hAnsi="Times New Roman" w:cs="Times New Roman"/>
              </w:rPr>
              <w:t>o organizácii činnosti vlády a organizácii ústrednej štátnej správy v znení neskorších predpisov</w:t>
            </w:r>
            <w:r w:rsidR="00C97A9D" w:rsidRPr="00325808">
              <w:rPr>
                <w:rFonts w:ascii="Times New Roman" w:hAnsi="Times New Roman" w:cs="Times New Roman"/>
              </w:rPr>
              <w:t xml:space="preserve"> </w:t>
            </w:r>
            <w:r w:rsidR="008443D6" w:rsidRPr="00325808">
              <w:rPr>
                <w:rFonts w:ascii="Times New Roman" w:hAnsi="Times New Roman" w:cs="Times New Roman"/>
              </w:rPr>
              <w:t>(575/2001)</w:t>
            </w:r>
            <w:bookmarkStart w:id="0" w:name="_GoBack"/>
            <w:bookmarkEnd w:id="0"/>
          </w:p>
        </w:tc>
      </w:tr>
      <w:tr w:rsidR="003462A1" w:rsidRPr="00325808" w:rsidTr="003F282B">
        <w:tc>
          <w:tcPr>
            <w:tcW w:w="1074"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1</w:t>
            </w:r>
          </w:p>
        </w:tc>
        <w:tc>
          <w:tcPr>
            <w:tcW w:w="3712"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2</w:t>
            </w:r>
          </w:p>
        </w:tc>
        <w:tc>
          <w:tcPr>
            <w:tcW w:w="1418"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3</w:t>
            </w:r>
          </w:p>
        </w:tc>
        <w:tc>
          <w:tcPr>
            <w:tcW w:w="85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4</w:t>
            </w:r>
          </w:p>
        </w:tc>
        <w:tc>
          <w:tcPr>
            <w:tcW w:w="105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5</w:t>
            </w:r>
          </w:p>
        </w:tc>
        <w:tc>
          <w:tcPr>
            <w:tcW w:w="3657"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6</w:t>
            </w:r>
          </w:p>
        </w:tc>
        <w:tc>
          <w:tcPr>
            <w:tcW w:w="83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7</w:t>
            </w:r>
          </w:p>
        </w:tc>
        <w:tc>
          <w:tcPr>
            <w:tcW w:w="1629"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8</w:t>
            </w:r>
          </w:p>
        </w:tc>
      </w:tr>
      <w:tr w:rsidR="003462A1" w:rsidRPr="00325808" w:rsidTr="003F282B">
        <w:tc>
          <w:tcPr>
            <w:tcW w:w="1074"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Článok</w:t>
            </w:r>
          </w:p>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(Č, O, V, P)</w:t>
            </w:r>
          </w:p>
        </w:tc>
        <w:tc>
          <w:tcPr>
            <w:tcW w:w="3712"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Text</w:t>
            </w:r>
          </w:p>
        </w:tc>
        <w:tc>
          <w:tcPr>
            <w:tcW w:w="1418"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Spôsob transpozície</w:t>
            </w:r>
          </w:p>
        </w:tc>
        <w:tc>
          <w:tcPr>
            <w:tcW w:w="85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Číslo</w:t>
            </w:r>
          </w:p>
        </w:tc>
        <w:tc>
          <w:tcPr>
            <w:tcW w:w="105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Článok</w:t>
            </w:r>
          </w:p>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(Č, §, O, V, P)</w:t>
            </w:r>
          </w:p>
        </w:tc>
        <w:tc>
          <w:tcPr>
            <w:tcW w:w="3657"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Text</w:t>
            </w:r>
          </w:p>
        </w:tc>
        <w:tc>
          <w:tcPr>
            <w:tcW w:w="830"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Zhoda</w:t>
            </w:r>
          </w:p>
        </w:tc>
        <w:tc>
          <w:tcPr>
            <w:tcW w:w="1629" w:type="dxa"/>
          </w:tcPr>
          <w:p w:rsidR="00B0328B" w:rsidRPr="00325808" w:rsidRDefault="00B0328B" w:rsidP="00325808">
            <w:pPr>
              <w:jc w:val="center"/>
              <w:rPr>
                <w:rFonts w:ascii="Times New Roman" w:hAnsi="Times New Roman" w:cs="Times New Roman"/>
              </w:rPr>
            </w:pPr>
            <w:r w:rsidRPr="00325808">
              <w:rPr>
                <w:rFonts w:ascii="Times New Roman" w:hAnsi="Times New Roman" w:cs="Times New Roman"/>
              </w:rPr>
              <w:t>Poznámky</w:t>
            </w:r>
          </w:p>
        </w:tc>
      </w:tr>
      <w:tr w:rsidR="003462A1" w:rsidRPr="00325808" w:rsidTr="003F282B">
        <w:tc>
          <w:tcPr>
            <w:tcW w:w="1074" w:type="dxa"/>
          </w:tcPr>
          <w:p w:rsidR="00B0328B" w:rsidRPr="00325808" w:rsidRDefault="005C178A" w:rsidP="00325808">
            <w:pPr>
              <w:rPr>
                <w:rFonts w:ascii="Times New Roman" w:hAnsi="Times New Roman" w:cs="Times New Roman"/>
              </w:rPr>
            </w:pPr>
            <w:r w:rsidRPr="00325808">
              <w:rPr>
                <w:rFonts w:ascii="Times New Roman" w:hAnsi="Times New Roman" w:cs="Times New Roman"/>
              </w:rPr>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O:1</w:t>
            </w:r>
          </w:p>
        </w:tc>
        <w:tc>
          <w:tcPr>
            <w:tcW w:w="3712" w:type="dxa"/>
          </w:tcPr>
          <w:p w:rsidR="00B0328B" w:rsidRPr="00325808" w:rsidRDefault="00DA0F3D" w:rsidP="00325808">
            <w:pPr>
              <w:rPr>
                <w:rFonts w:ascii="Times New Roman" w:hAnsi="Times New Roman" w:cs="Times New Roman"/>
              </w:rPr>
            </w:pPr>
            <w:r w:rsidRPr="00325808">
              <w:rPr>
                <w:rFonts w:ascii="Times New Roman" w:hAnsi="Times New Roman" w:cs="Times New Roman"/>
              </w:rPr>
              <w:t>V celej smernici sa výrazy „systém Spoločenstva“ a „schéma Spoločenstva“ v príslušnom gramatickom tvare nahrádzajú výrazom „systém EU ETS“ v príslušnom gramatickom tvare.</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 xml:space="preserve">n.a. </w:t>
            </w:r>
          </w:p>
        </w:tc>
        <w:tc>
          <w:tcPr>
            <w:tcW w:w="850" w:type="dxa"/>
          </w:tcPr>
          <w:p w:rsidR="00B0328B" w:rsidRPr="00325808" w:rsidRDefault="00B0328B" w:rsidP="00325808">
            <w:pPr>
              <w:rPr>
                <w:rFonts w:ascii="Times New Roman" w:hAnsi="Times New Roman" w:cs="Times New Roman"/>
              </w:rPr>
            </w:pPr>
          </w:p>
        </w:tc>
        <w:tc>
          <w:tcPr>
            <w:tcW w:w="1050" w:type="dxa"/>
          </w:tcPr>
          <w:p w:rsidR="00B0328B" w:rsidRPr="00325808" w:rsidRDefault="00B0328B" w:rsidP="00325808">
            <w:pPr>
              <w:rPr>
                <w:rFonts w:ascii="Times New Roman" w:hAnsi="Times New Roman" w:cs="Times New Roman"/>
              </w:rPr>
            </w:pPr>
          </w:p>
        </w:tc>
        <w:tc>
          <w:tcPr>
            <w:tcW w:w="3657" w:type="dxa"/>
          </w:tcPr>
          <w:p w:rsidR="00B0328B" w:rsidRPr="00325808" w:rsidRDefault="00B0328B" w:rsidP="00325808">
            <w:pPr>
              <w:rPr>
                <w:rFonts w:ascii="Times New Roman" w:hAnsi="Times New Roman" w:cs="Times New Roman"/>
              </w:rPr>
            </w:pPr>
          </w:p>
        </w:tc>
        <w:tc>
          <w:tcPr>
            <w:tcW w:w="830" w:type="dxa"/>
          </w:tcPr>
          <w:p w:rsidR="00B0328B" w:rsidRPr="00325808" w:rsidRDefault="006E4C50" w:rsidP="00325808">
            <w:pPr>
              <w:rPr>
                <w:rFonts w:ascii="Times New Roman" w:hAnsi="Times New Roman" w:cs="Times New Roman"/>
              </w:rPr>
            </w:pPr>
            <w:r w:rsidRPr="00325808">
              <w:rPr>
                <w:rFonts w:ascii="Times New Roman" w:hAnsi="Times New Roman" w:cs="Times New Roman"/>
              </w:rPr>
              <w:t>n.a.</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B0328B" w:rsidRPr="00325808" w:rsidRDefault="005C178A" w:rsidP="00325808">
            <w:pPr>
              <w:rPr>
                <w:rFonts w:ascii="Times New Roman" w:hAnsi="Times New Roman" w:cs="Times New Roman"/>
              </w:rPr>
            </w:pPr>
            <w:r w:rsidRPr="00325808">
              <w:rPr>
                <w:rFonts w:ascii="Times New Roman" w:hAnsi="Times New Roman" w:cs="Times New Roman"/>
              </w:rPr>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 2</w:t>
            </w:r>
          </w:p>
        </w:tc>
        <w:tc>
          <w:tcPr>
            <w:tcW w:w="3712" w:type="dxa"/>
          </w:tcPr>
          <w:p w:rsidR="00B0328B" w:rsidRPr="00325808" w:rsidRDefault="00DA0F3D" w:rsidP="00325808">
            <w:pPr>
              <w:rPr>
                <w:rFonts w:ascii="Times New Roman" w:hAnsi="Times New Roman" w:cs="Times New Roman"/>
              </w:rPr>
            </w:pPr>
            <w:r w:rsidRPr="00325808">
              <w:rPr>
                <w:rFonts w:ascii="Times New Roman" w:hAnsi="Times New Roman" w:cs="Times New Roman"/>
              </w:rPr>
              <w:t>V celej smernici sa slovo „schéma“ v príslušnom gramatickom tvare nahrádza slovom „systém“ v príslušnom gramatickom tvare.</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N</w:t>
            </w:r>
          </w:p>
        </w:tc>
        <w:tc>
          <w:tcPr>
            <w:tcW w:w="850" w:type="dxa"/>
          </w:tcPr>
          <w:p w:rsidR="00B0328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B0328B" w:rsidRPr="00325808" w:rsidRDefault="00696C36" w:rsidP="00325808">
            <w:pPr>
              <w:rPr>
                <w:rFonts w:ascii="Times New Roman" w:hAnsi="Times New Roman" w:cs="Times New Roman"/>
              </w:rPr>
            </w:pPr>
            <w:r w:rsidRPr="00325808">
              <w:rPr>
                <w:rFonts w:ascii="Times New Roman" w:hAnsi="Times New Roman" w:cs="Times New Roman"/>
              </w:rPr>
              <w:t>Č: 1</w:t>
            </w:r>
          </w:p>
        </w:tc>
        <w:tc>
          <w:tcPr>
            <w:tcW w:w="3657"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Slová „schéma obchodovania“ vo všetkých tvaroch sa v celom texte zákona nahrádzajú slovami „systém obchodovania“ v príslušnom tvare</w:t>
            </w:r>
            <w:r w:rsidR="00C97A9D" w:rsidRPr="00325808">
              <w:rPr>
                <w:rFonts w:ascii="Times New Roman" w:hAnsi="Times New Roman" w:cs="Times New Roman"/>
              </w:rPr>
              <w:t xml:space="preserve"> </w:t>
            </w:r>
            <w:r w:rsidR="00C77916" w:rsidRPr="00325808">
              <w:rPr>
                <w:rFonts w:ascii="Times New Roman" w:hAnsi="Times New Roman" w:cs="Times New Roman"/>
              </w:rPr>
              <w:t>okrem§ 38</w:t>
            </w:r>
            <w:r w:rsidR="00C97A9D" w:rsidRPr="00325808">
              <w:rPr>
                <w:rFonts w:ascii="Times New Roman" w:hAnsi="Times New Roman" w:cs="Times New Roman"/>
              </w:rPr>
              <w:t xml:space="preserve"> </w:t>
            </w:r>
            <w:r w:rsidR="00C77916" w:rsidRPr="00325808">
              <w:rPr>
                <w:rFonts w:ascii="Times New Roman" w:hAnsi="Times New Roman" w:cs="Times New Roman"/>
              </w:rPr>
              <w:t>ods. 1a § 38bods. 1a 2</w:t>
            </w:r>
            <w:r w:rsidRPr="00325808">
              <w:rPr>
                <w:rFonts w:ascii="Times New Roman" w:hAnsi="Times New Roman" w:cs="Times New Roman"/>
              </w:rPr>
              <w:t>.</w:t>
            </w:r>
          </w:p>
        </w:tc>
        <w:tc>
          <w:tcPr>
            <w:tcW w:w="830" w:type="dxa"/>
          </w:tcPr>
          <w:p w:rsidR="00B0328B" w:rsidRPr="00325808" w:rsidRDefault="003462A1" w:rsidP="00325808">
            <w:pPr>
              <w:rPr>
                <w:rFonts w:ascii="Times New Roman" w:hAnsi="Times New Roman" w:cs="Times New Roman"/>
              </w:rPr>
            </w:pPr>
            <w:r w:rsidRPr="00325808">
              <w:rPr>
                <w:rFonts w:ascii="Times New Roman" w:hAnsi="Times New Roman" w:cs="Times New Roman"/>
              </w:rPr>
              <w:t>Ú</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B0328B" w:rsidRPr="00325808" w:rsidRDefault="005C178A" w:rsidP="00325808">
            <w:pPr>
              <w:rPr>
                <w:rFonts w:ascii="Times New Roman" w:hAnsi="Times New Roman" w:cs="Times New Roman"/>
              </w:rPr>
            </w:pPr>
            <w:r w:rsidRPr="00325808">
              <w:rPr>
                <w:rFonts w:ascii="Times New Roman" w:hAnsi="Times New Roman" w:cs="Times New Roman"/>
              </w:rPr>
              <w:t xml:space="preserve">Č: 1 </w:t>
            </w:r>
          </w:p>
          <w:p w:rsidR="005C178A" w:rsidRPr="00325808" w:rsidRDefault="005C178A" w:rsidP="00325808">
            <w:pPr>
              <w:rPr>
                <w:rFonts w:ascii="Times New Roman" w:hAnsi="Times New Roman" w:cs="Times New Roman"/>
              </w:rPr>
            </w:pPr>
            <w:r w:rsidRPr="00325808">
              <w:rPr>
                <w:rFonts w:ascii="Times New Roman" w:hAnsi="Times New Roman" w:cs="Times New Roman"/>
              </w:rPr>
              <w:t>O: 3</w:t>
            </w:r>
          </w:p>
        </w:tc>
        <w:tc>
          <w:tcPr>
            <w:tcW w:w="3712" w:type="dxa"/>
          </w:tcPr>
          <w:p w:rsidR="00B0328B" w:rsidRPr="00325808" w:rsidRDefault="00DA0F3D" w:rsidP="00325808">
            <w:pPr>
              <w:rPr>
                <w:rFonts w:ascii="Times New Roman" w:hAnsi="Times New Roman" w:cs="Times New Roman"/>
              </w:rPr>
            </w:pPr>
            <w:r w:rsidRPr="00325808">
              <w:rPr>
                <w:rFonts w:ascii="Times New Roman" w:hAnsi="Times New Roman" w:cs="Times New Roman"/>
              </w:rPr>
              <w:t>V celej smernici okrem prípadov uvedených v bode 1 tohto článku a v článku 26 smernice sa slovo „Spoločenstvo“ v príslušnom gramatickom tvare nahrádza slovom „Únia“ v príslušnom gramatickom tvare.</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n.a.</w:t>
            </w:r>
          </w:p>
        </w:tc>
        <w:tc>
          <w:tcPr>
            <w:tcW w:w="850" w:type="dxa"/>
          </w:tcPr>
          <w:p w:rsidR="00B0328B" w:rsidRPr="00325808" w:rsidRDefault="00B0328B" w:rsidP="00325808">
            <w:pPr>
              <w:rPr>
                <w:rFonts w:ascii="Times New Roman" w:hAnsi="Times New Roman" w:cs="Times New Roman"/>
              </w:rPr>
            </w:pPr>
          </w:p>
        </w:tc>
        <w:tc>
          <w:tcPr>
            <w:tcW w:w="1050" w:type="dxa"/>
          </w:tcPr>
          <w:p w:rsidR="00B0328B" w:rsidRPr="00325808" w:rsidRDefault="00B0328B" w:rsidP="00325808">
            <w:pPr>
              <w:rPr>
                <w:rFonts w:ascii="Times New Roman" w:hAnsi="Times New Roman" w:cs="Times New Roman"/>
              </w:rPr>
            </w:pPr>
          </w:p>
        </w:tc>
        <w:tc>
          <w:tcPr>
            <w:tcW w:w="3657" w:type="dxa"/>
          </w:tcPr>
          <w:p w:rsidR="00B0328B" w:rsidRPr="00325808" w:rsidRDefault="00B0328B" w:rsidP="00325808">
            <w:pPr>
              <w:rPr>
                <w:rFonts w:ascii="Times New Roman" w:hAnsi="Times New Roman" w:cs="Times New Roman"/>
              </w:rPr>
            </w:pPr>
          </w:p>
        </w:tc>
        <w:tc>
          <w:tcPr>
            <w:tcW w:w="830" w:type="dxa"/>
          </w:tcPr>
          <w:p w:rsidR="00B0328B"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B0328B" w:rsidRPr="00325808" w:rsidRDefault="005C178A" w:rsidP="00325808">
            <w:pPr>
              <w:rPr>
                <w:rFonts w:ascii="Times New Roman" w:hAnsi="Times New Roman" w:cs="Times New Roman"/>
              </w:rPr>
            </w:pPr>
            <w:r w:rsidRPr="00325808">
              <w:rPr>
                <w:rFonts w:ascii="Times New Roman" w:hAnsi="Times New Roman" w:cs="Times New Roman"/>
              </w:rPr>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 4</w:t>
            </w:r>
          </w:p>
        </w:tc>
        <w:tc>
          <w:tcPr>
            <w:tcW w:w="3712" w:type="dxa"/>
          </w:tcPr>
          <w:p w:rsidR="00B0328B" w:rsidRPr="00325808" w:rsidRDefault="00E42ACF" w:rsidP="00325808">
            <w:pPr>
              <w:rPr>
                <w:rFonts w:ascii="Times New Roman" w:hAnsi="Times New Roman" w:cs="Times New Roman"/>
              </w:rPr>
            </w:pPr>
            <w:r w:rsidRPr="00325808">
              <w:rPr>
                <w:rFonts w:ascii="Times New Roman" w:hAnsi="Times New Roman" w:cs="Times New Roman"/>
              </w:rPr>
              <w:t xml:space="preserve">V celej smernici sa slová „regulačným postupom uvedeným v článku 23 ods. </w:t>
            </w:r>
            <w:r w:rsidRPr="00325808">
              <w:rPr>
                <w:rFonts w:ascii="Times New Roman" w:hAnsi="Times New Roman" w:cs="Times New Roman"/>
              </w:rPr>
              <w:lastRenderedPageBreak/>
              <w:t>2“ nahrádzajú slovami „postupom preskúmania uvedeným v článku 22a ods. 2“ v príslušnom gramatickom tvare.</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B0328B" w:rsidRPr="00325808" w:rsidRDefault="00B0328B" w:rsidP="00325808">
            <w:pPr>
              <w:rPr>
                <w:rFonts w:ascii="Times New Roman" w:hAnsi="Times New Roman" w:cs="Times New Roman"/>
              </w:rPr>
            </w:pPr>
          </w:p>
        </w:tc>
        <w:tc>
          <w:tcPr>
            <w:tcW w:w="1050" w:type="dxa"/>
          </w:tcPr>
          <w:p w:rsidR="00B0328B" w:rsidRPr="00325808" w:rsidRDefault="00B0328B" w:rsidP="00325808">
            <w:pPr>
              <w:rPr>
                <w:rFonts w:ascii="Times New Roman" w:hAnsi="Times New Roman" w:cs="Times New Roman"/>
              </w:rPr>
            </w:pPr>
          </w:p>
        </w:tc>
        <w:tc>
          <w:tcPr>
            <w:tcW w:w="3657" w:type="dxa"/>
          </w:tcPr>
          <w:p w:rsidR="00B0328B" w:rsidRPr="00325808" w:rsidRDefault="00B0328B" w:rsidP="00325808">
            <w:pPr>
              <w:rPr>
                <w:rFonts w:ascii="Times New Roman" w:hAnsi="Times New Roman" w:cs="Times New Roman"/>
              </w:rPr>
            </w:pPr>
          </w:p>
        </w:tc>
        <w:tc>
          <w:tcPr>
            <w:tcW w:w="830" w:type="dxa"/>
          </w:tcPr>
          <w:p w:rsidR="00B0328B"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9976A5" w:rsidRPr="00325808" w:rsidRDefault="005C178A" w:rsidP="00325808">
            <w:pPr>
              <w:rPr>
                <w:rFonts w:ascii="Times New Roman" w:hAnsi="Times New Roman" w:cs="Times New Roman"/>
              </w:rPr>
            </w:pPr>
            <w:r w:rsidRPr="00325808">
              <w:rPr>
                <w:rFonts w:ascii="Times New Roman" w:hAnsi="Times New Roman" w:cs="Times New Roman"/>
              </w:rPr>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 5</w:t>
            </w:r>
          </w:p>
        </w:tc>
        <w:tc>
          <w:tcPr>
            <w:tcW w:w="3712" w:type="dxa"/>
          </w:tcPr>
          <w:p w:rsidR="00B0328B" w:rsidRPr="00325808" w:rsidRDefault="00E42ACF" w:rsidP="00325808">
            <w:pPr>
              <w:rPr>
                <w:rFonts w:ascii="Times New Roman" w:hAnsi="Times New Roman" w:cs="Times New Roman"/>
              </w:rPr>
            </w:pPr>
            <w:r w:rsidRPr="00325808">
              <w:rPr>
                <w:rFonts w:ascii="Times New Roman" w:hAnsi="Times New Roman" w:cs="Times New Roman"/>
              </w:rPr>
              <w:t>V článku 3c ods. 2 prvom pododseku a v článku 10 ods. 1a sa slová „článku 13 ods. 1“ nahrádzajú slovami „článku 13“.</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n.a.</w:t>
            </w:r>
          </w:p>
        </w:tc>
        <w:tc>
          <w:tcPr>
            <w:tcW w:w="850" w:type="dxa"/>
          </w:tcPr>
          <w:p w:rsidR="00B0328B" w:rsidRPr="00325808" w:rsidRDefault="00B0328B" w:rsidP="00325808">
            <w:pPr>
              <w:rPr>
                <w:rFonts w:ascii="Times New Roman" w:hAnsi="Times New Roman" w:cs="Times New Roman"/>
              </w:rPr>
            </w:pPr>
          </w:p>
        </w:tc>
        <w:tc>
          <w:tcPr>
            <w:tcW w:w="1050" w:type="dxa"/>
          </w:tcPr>
          <w:p w:rsidR="00B0328B" w:rsidRPr="00325808" w:rsidRDefault="00B0328B" w:rsidP="00325808">
            <w:pPr>
              <w:rPr>
                <w:rFonts w:ascii="Times New Roman" w:hAnsi="Times New Roman" w:cs="Times New Roman"/>
              </w:rPr>
            </w:pPr>
          </w:p>
        </w:tc>
        <w:tc>
          <w:tcPr>
            <w:tcW w:w="3657" w:type="dxa"/>
          </w:tcPr>
          <w:p w:rsidR="00B0328B" w:rsidRPr="00325808" w:rsidRDefault="00B0328B" w:rsidP="00325808">
            <w:pPr>
              <w:rPr>
                <w:rFonts w:ascii="Times New Roman" w:hAnsi="Times New Roman" w:cs="Times New Roman"/>
              </w:rPr>
            </w:pPr>
          </w:p>
        </w:tc>
        <w:tc>
          <w:tcPr>
            <w:tcW w:w="830" w:type="dxa"/>
          </w:tcPr>
          <w:p w:rsidR="00B0328B"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B0328B" w:rsidRPr="00325808" w:rsidRDefault="005C178A" w:rsidP="00325808">
            <w:pPr>
              <w:rPr>
                <w:rFonts w:ascii="Times New Roman" w:hAnsi="Times New Roman" w:cs="Times New Roman"/>
              </w:rPr>
            </w:pPr>
            <w:r w:rsidRPr="00325808">
              <w:rPr>
                <w:rFonts w:ascii="Times New Roman" w:hAnsi="Times New Roman" w:cs="Times New Roman"/>
              </w:rPr>
              <w:t>Č:1</w:t>
            </w:r>
          </w:p>
          <w:p w:rsidR="005C178A" w:rsidRPr="00325808" w:rsidRDefault="005C178A" w:rsidP="00325808">
            <w:pPr>
              <w:rPr>
                <w:rFonts w:ascii="Times New Roman" w:hAnsi="Times New Roman" w:cs="Times New Roman"/>
              </w:rPr>
            </w:pPr>
            <w:r w:rsidRPr="00325808">
              <w:rPr>
                <w:rFonts w:ascii="Times New Roman" w:hAnsi="Times New Roman" w:cs="Times New Roman"/>
              </w:rPr>
              <w:t>O: 6</w:t>
            </w:r>
          </w:p>
        </w:tc>
        <w:tc>
          <w:tcPr>
            <w:tcW w:w="3712" w:type="dxa"/>
          </w:tcPr>
          <w:p w:rsidR="00B0328B" w:rsidRPr="00325808" w:rsidRDefault="00E42ACF" w:rsidP="00325808">
            <w:pPr>
              <w:rPr>
                <w:rFonts w:ascii="Times New Roman" w:hAnsi="Times New Roman" w:cs="Times New Roman"/>
              </w:rPr>
            </w:pPr>
            <w:r w:rsidRPr="00325808">
              <w:rPr>
                <w:rFonts w:ascii="Times New Roman" w:hAnsi="Times New Roman" w:cs="Times New Roman"/>
              </w:rPr>
              <w:t>V článku 3g, v článku 5 prvom odseku písm. d), v článku 6 ods. 2 písm. c), v článku 10a ods. 2 druhom pododseku, v článku 14 ods. 2, 3 a 4, v článku 19 ods. 1 a 4, v článku 24 ods. 3 prvom pododseku a v článku 29a ods. 4 sa slovo „nariadenie“ v príslušnom gramatickom tvare nahrádza slovom „akty“ v príslušnom gramatickom tvare.</w:t>
            </w:r>
          </w:p>
        </w:tc>
        <w:tc>
          <w:tcPr>
            <w:tcW w:w="1418" w:type="dxa"/>
          </w:tcPr>
          <w:p w:rsidR="00B0328B" w:rsidRPr="00325808" w:rsidRDefault="006E3D15" w:rsidP="00325808">
            <w:pPr>
              <w:rPr>
                <w:rFonts w:ascii="Times New Roman" w:hAnsi="Times New Roman" w:cs="Times New Roman"/>
              </w:rPr>
            </w:pPr>
            <w:r w:rsidRPr="00325808">
              <w:rPr>
                <w:rFonts w:ascii="Times New Roman" w:hAnsi="Times New Roman" w:cs="Times New Roman"/>
              </w:rPr>
              <w:t>n.a.</w:t>
            </w:r>
          </w:p>
        </w:tc>
        <w:tc>
          <w:tcPr>
            <w:tcW w:w="850" w:type="dxa"/>
          </w:tcPr>
          <w:p w:rsidR="00B0328B" w:rsidRPr="00325808" w:rsidRDefault="00B0328B" w:rsidP="00325808">
            <w:pPr>
              <w:rPr>
                <w:rFonts w:ascii="Times New Roman" w:hAnsi="Times New Roman" w:cs="Times New Roman"/>
              </w:rPr>
            </w:pPr>
          </w:p>
        </w:tc>
        <w:tc>
          <w:tcPr>
            <w:tcW w:w="1050" w:type="dxa"/>
          </w:tcPr>
          <w:p w:rsidR="00B0328B" w:rsidRPr="00325808" w:rsidRDefault="00B0328B" w:rsidP="00325808">
            <w:pPr>
              <w:rPr>
                <w:rFonts w:ascii="Times New Roman" w:hAnsi="Times New Roman" w:cs="Times New Roman"/>
              </w:rPr>
            </w:pPr>
          </w:p>
        </w:tc>
        <w:tc>
          <w:tcPr>
            <w:tcW w:w="3657" w:type="dxa"/>
          </w:tcPr>
          <w:p w:rsidR="00B0328B" w:rsidRPr="00325808" w:rsidRDefault="00B0328B" w:rsidP="00325808">
            <w:pPr>
              <w:rPr>
                <w:rFonts w:ascii="Times New Roman" w:hAnsi="Times New Roman" w:cs="Times New Roman"/>
              </w:rPr>
            </w:pPr>
          </w:p>
        </w:tc>
        <w:tc>
          <w:tcPr>
            <w:tcW w:w="830" w:type="dxa"/>
          </w:tcPr>
          <w:p w:rsidR="00B0328B"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B0328B" w:rsidRPr="00325808" w:rsidRDefault="00B0328B"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9976A5" w:rsidRPr="00325808" w:rsidRDefault="005C178A" w:rsidP="00325808">
            <w:pPr>
              <w:rPr>
                <w:rFonts w:ascii="Times New Roman" w:hAnsi="Times New Roman" w:cs="Times New Roman"/>
              </w:rPr>
            </w:pPr>
            <w:r w:rsidRPr="00325808">
              <w:rPr>
                <w:rFonts w:ascii="Times New Roman" w:hAnsi="Times New Roman" w:cs="Times New Roman"/>
              </w:rPr>
              <w:t>O: 7</w:t>
            </w:r>
          </w:p>
        </w:tc>
        <w:tc>
          <w:tcPr>
            <w:tcW w:w="3712" w:type="dxa"/>
          </w:tcPr>
          <w:p w:rsidR="00E42ACF" w:rsidRPr="00325808" w:rsidRDefault="00E42ACF" w:rsidP="00325808">
            <w:pPr>
              <w:rPr>
                <w:rFonts w:ascii="Times New Roman" w:hAnsi="Times New Roman" w:cs="Times New Roman"/>
              </w:rPr>
            </w:pPr>
            <w:r w:rsidRPr="00325808">
              <w:rPr>
                <w:rFonts w:ascii="Times New Roman" w:hAnsi="Times New Roman" w:cs="Times New Roman"/>
              </w:rPr>
              <w:t xml:space="preserve">h) ‚nový účastník‘ je akékoľvek zariadenie, ktoré vykonáva jednu alebo viacero činností uvedených v prílohe I, ktoré získalo povolenie na emisie skleníkových plynov po prvýkrát v období, ktoré začína tri mesiace pred lehotou na predloženie zoznamu podľa článku 11 ods. 1 a končí tri mesiace pred lehotou na predloženie nasledujúceho </w:t>
            </w:r>
            <w:r w:rsidR="00372D0C" w:rsidRPr="00325808">
              <w:rPr>
                <w:rFonts w:ascii="Times New Roman" w:hAnsi="Times New Roman" w:cs="Times New Roman"/>
              </w:rPr>
              <w:t>zoznamu podľa uvedeného článku;</w:t>
            </w:r>
          </w:p>
        </w:tc>
        <w:tc>
          <w:tcPr>
            <w:tcW w:w="1418" w:type="dxa"/>
          </w:tcPr>
          <w:p w:rsidR="00E42ACF" w:rsidRPr="00325808" w:rsidRDefault="006E3D15" w:rsidP="00325808">
            <w:pPr>
              <w:rPr>
                <w:rFonts w:ascii="Times New Roman" w:hAnsi="Times New Roman" w:cs="Times New Roman"/>
              </w:rPr>
            </w:pPr>
            <w:r w:rsidRPr="00325808">
              <w:rPr>
                <w:rFonts w:ascii="Times New Roman" w:hAnsi="Times New Roman" w:cs="Times New Roman"/>
              </w:rPr>
              <w:t>N</w:t>
            </w:r>
          </w:p>
        </w:tc>
        <w:tc>
          <w:tcPr>
            <w:tcW w:w="850" w:type="dxa"/>
          </w:tcPr>
          <w:p w:rsidR="00E42ACF"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E42ACF" w:rsidRPr="00325808" w:rsidRDefault="00696C36" w:rsidP="00325808">
            <w:pPr>
              <w:rPr>
                <w:rFonts w:ascii="Times New Roman" w:hAnsi="Times New Roman" w:cs="Times New Roman"/>
              </w:rPr>
            </w:pPr>
            <w:r w:rsidRPr="00325808">
              <w:rPr>
                <w:rFonts w:ascii="Times New Roman" w:hAnsi="Times New Roman" w:cs="Times New Roman"/>
              </w:rPr>
              <w:t>Č: 1</w:t>
            </w:r>
          </w:p>
          <w:p w:rsidR="00696C36" w:rsidRPr="00325808" w:rsidRDefault="00696C36" w:rsidP="00325808">
            <w:pPr>
              <w:rPr>
                <w:rFonts w:ascii="Times New Roman" w:hAnsi="Times New Roman" w:cs="Times New Roman"/>
              </w:rPr>
            </w:pPr>
            <w:r w:rsidRPr="00325808">
              <w:rPr>
                <w:rFonts w:ascii="Times New Roman" w:hAnsi="Times New Roman" w:cs="Times New Roman"/>
              </w:rPr>
              <w:t>§: 2</w:t>
            </w:r>
          </w:p>
          <w:p w:rsidR="00696C36" w:rsidRPr="00325808" w:rsidRDefault="00696C36" w:rsidP="00325808">
            <w:pPr>
              <w:rPr>
                <w:rFonts w:ascii="Times New Roman" w:hAnsi="Times New Roman" w:cs="Times New Roman"/>
              </w:rPr>
            </w:pPr>
            <w:r w:rsidRPr="00325808">
              <w:rPr>
                <w:rFonts w:ascii="Times New Roman" w:hAnsi="Times New Roman" w:cs="Times New Roman"/>
              </w:rPr>
              <w:t xml:space="preserve">P: </w:t>
            </w:r>
            <w:r w:rsidR="00E1296A" w:rsidRPr="00325808">
              <w:rPr>
                <w:rFonts w:ascii="Times New Roman" w:hAnsi="Times New Roman" w:cs="Times New Roman"/>
              </w:rPr>
              <w:t>p</w:t>
            </w:r>
          </w:p>
        </w:tc>
        <w:tc>
          <w:tcPr>
            <w:tcW w:w="3657" w:type="dxa"/>
          </w:tcPr>
          <w:p w:rsidR="00E42ACF" w:rsidRPr="00325808" w:rsidRDefault="00E1296A" w:rsidP="00325808">
            <w:pPr>
              <w:rPr>
                <w:rFonts w:ascii="Times New Roman" w:hAnsi="Times New Roman" w:cs="Times New Roman"/>
              </w:rPr>
            </w:pPr>
            <w:r w:rsidRPr="00325808">
              <w:rPr>
                <w:rFonts w:ascii="Times New Roman" w:hAnsi="Times New Roman" w:cs="Times New Roman"/>
              </w:rPr>
              <w:t>p</w:t>
            </w:r>
            <w:r w:rsidR="009976A5" w:rsidRPr="00325808">
              <w:rPr>
                <w:rFonts w:ascii="Times New Roman" w:hAnsi="Times New Roman" w:cs="Times New Roman"/>
              </w:rPr>
              <w:t>)</w:t>
            </w:r>
            <w:r w:rsidR="00DE3EB5" w:rsidRPr="00325808">
              <w:rPr>
                <w:rFonts w:ascii="Times New Roman" w:hAnsi="Times New Roman" w:cs="Times New Roman"/>
              </w:rPr>
              <w:t xml:space="preserve"> </w:t>
            </w:r>
            <w:r w:rsidR="006E3D15" w:rsidRPr="00325808">
              <w:rPr>
                <w:rFonts w:ascii="Times New Roman" w:hAnsi="Times New Roman" w:cs="Times New Roman"/>
              </w:rPr>
              <w:t xml:space="preserve">novým </w:t>
            </w:r>
            <w:r w:rsidR="008B1D05" w:rsidRPr="00325808">
              <w:rPr>
                <w:rFonts w:ascii="Times New Roman" w:hAnsi="Times New Roman" w:cs="Times New Roman"/>
              </w:rPr>
              <w:t>účastníkom systému obchodo</w:t>
            </w:r>
            <w:r w:rsidR="00E13CE6" w:rsidRPr="00325808">
              <w:rPr>
                <w:rFonts w:ascii="Times New Roman" w:hAnsi="Times New Roman" w:cs="Times New Roman"/>
              </w:rPr>
              <w:t xml:space="preserve">vania prevádzkovateľ </w:t>
            </w:r>
            <w:r w:rsidR="008B1D05" w:rsidRPr="00325808">
              <w:rPr>
                <w:rFonts w:ascii="Times New Roman" w:hAnsi="Times New Roman" w:cs="Times New Roman"/>
              </w:rPr>
              <w:t>prevádzky, ktorá vykonáva jednu alebo viac činností uvedených v prílohe č. 1 tabuľkách A a B a ktorá získala povolenie na vypúšťanie emisií skleníkových plynov po prvýkrát po 30. júni 2019 pre obdobie piatich rokov začínajúce 1. januárom 2021 a po 30. júni 2024 pre obdobie piatich rokov začínajúce 1. januárom 2026</w:t>
            </w:r>
            <w:r w:rsidR="006E3D15" w:rsidRPr="00325808">
              <w:rPr>
                <w:rFonts w:ascii="Times New Roman" w:hAnsi="Times New Roman" w:cs="Times New Roman"/>
              </w:rPr>
              <w:t>,</w:t>
            </w:r>
          </w:p>
        </w:tc>
        <w:tc>
          <w:tcPr>
            <w:tcW w:w="830" w:type="dxa"/>
          </w:tcPr>
          <w:p w:rsidR="00E42ACF" w:rsidRPr="00325808" w:rsidRDefault="00BF1A89" w:rsidP="00325808">
            <w:pPr>
              <w:rPr>
                <w:rFonts w:ascii="Times New Roman" w:hAnsi="Times New Roman" w:cs="Times New Roman"/>
              </w:rPr>
            </w:pPr>
            <w:r w:rsidRPr="00325808">
              <w:rPr>
                <w:rFonts w:ascii="Times New Roman" w:hAnsi="Times New Roman" w:cs="Times New Roman"/>
              </w:rPr>
              <w:t>Ú</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9976A5" w:rsidRPr="00325808" w:rsidRDefault="005C178A" w:rsidP="00325808">
            <w:pPr>
              <w:rPr>
                <w:rFonts w:ascii="Times New Roman" w:hAnsi="Times New Roman" w:cs="Times New Roman"/>
              </w:rPr>
            </w:pPr>
            <w:r w:rsidRPr="00325808">
              <w:rPr>
                <w:rFonts w:ascii="Times New Roman" w:hAnsi="Times New Roman" w:cs="Times New Roman"/>
              </w:rPr>
              <w:t>O: 8</w:t>
            </w:r>
          </w:p>
        </w:tc>
        <w:tc>
          <w:tcPr>
            <w:tcW w:w="3712" w:type="dxa"/>
          </w:tcPr>
          <w:p w:rsidR="00E42ACF" w:rsidRPr="00325808" w:rsidRDefault="004D648F" w:rsidP="00325808">
            <w:pPr>
              <w:rPr>
                <w:rFonts w:ascii="Times New Roman" w:hAnsi="Times New Roman" w:cs="Times New Roman"/>
              </w:rPr>
            </w:pPr>
            <w:r w:rsidRPr="00325808">
              <w:rPr>
                <w:rFonts w:ascii="Times New Roman" w:hAnsi="Times New Roman" w:cs="Times New Roman"/>
              </w:rPr>
              <w:t xml:space="preserve">3. </w:t>
            </w:r>
            <w:r w:rsidR="00E42ACF" w:rsidRPr="00325808">
              <w:rPr>
                <w:rFonts w:ascii="Times New Roman" w:hAnsi="Times New Roman" w:cs="Times New Roman"/>
              </w:rPr>
              <w:t xml:space="preserve">Komisia je splnomocnená prijímať delegované akty v súlade s článkom 23 na doplnenie tejto smernice, pokiaľ ide o podrobné podmienky obchodovania členských štátov formou aukcie s kvótami pre leteckú dopravu v súlade s </w:t>
            </w:r>
            <w:r w:rsidR="00E42ACF" w:rsidRPr="00325808">
              <w:rPr>
                <w:rFonts w:ascii="Times New Roman" w:hAnsi="Times New Roman" w:cs="Times New Roman"/>
              </w:rPr>
              <w:lastRenderedPageBreak/>
              <w:t>odsekmi 1 a 2 tohto článku alebo s článkom 3f ods. 8. Počet kvót, s ktorými majú jednotlivé členské štáty obchodovať formou aukcie počas jednotlivých období, je úmerný ich podielu na celkových započítaných emisiách z leteckej dopravy pre všetky členské štáty za referenčný rok, ktorý sa nahlásil v súlade s článkom 14 ods. 3 a ktorý sa overil v súlade s článkom 15. Pre obdobie uvedené v článku 3c ods. 1 je referenčným rokom rok 2010 a pre každé nasledujúce obdobie uvedené v článku 3c je referenčným rokom kalendárny rok, ktorý sa končí 24 mesiacov pred začatím obdobia, na ktoré sa obchodovanie formou aukcie vzťahuje. Delegovanými aktmi sa zabezpečí dodržiavanie zásad stanovených v článku 10 ods. 4 prvom pododseku.“</w:t>
            </w:r>
          </w:p>
        </w:tc>
        <w:tc>
          <w:tcPr>
            <w:tcW w:w="1418" w:type="dxa"/>
          </w:tcPr>
          <w:p w:rsidR="00E42ACF" w:rsidRPr="00325808" w:rsidRDefault="006E3D15"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E42ACF" w:rsidRPr="00325808" w:rsidRDefault="00E42ACF" w:rsidP="00325808">
            <w:pPr>
              <w:rPr>
                <w:rFonts w:ascii="Times New Roman" w:hAnsi="Times New Roman" w:cs="Times New Roman"/>
              </w:rPr>
            </w:pPr>
          </w:p>
        </w:tc>
        <w:tc>
          <w:tcPr>
            <w:tcW w:w="1050" w:type="dxa"/>
          </w:tcPr>
          <w:p w:rsidR="00E42ACF" w:rsidRPr="00325808" w:rsidRDefault="00E42ACF" w:rsidP="00325808">
            <w:pPr>
              <w:rPr>
                <w:rFonts w:ascii="Times New Roman" w:hAnsi="Times New Roman" w:cs="Times New Roman"/>
              </w:rPr>
            </w:pPr>
          </w:p>
        </w:tc>
        <w:tc>
          <w:tcPr>
            <w:tcW w:w="3657" w:type="dxa"/>
          </w:tcPr>
          <w:p w:rsidR="00E42ACF" w:rsidRPr="00325808" w:rsidRDefault="00E42ACF" w:rsidP="00325808">
            <w:pPr>
              <w:rPr>
                <w:rFonts w:ascii="Times New Roman" w:hAnsi="Times New Roman" w:cs="Times New Roman"/>
              </w:rPr>
            </w:pPr>
          </w:p>
        </w:tc>
        <w:tc>
          <w:tcPr>
            <w:tcW w:w="830" w:type="dxa"/>
          </w:tcPr>
          <w:p w:rsidR="00E42ACF"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9976A5" w:rsidRPr="00325808" w:rsidRDefault="009976A5" w:rsidP="00325808">
            <w:pPr>
              <w:rPr>
                <w:rFonts w:ascii="Times New Roman" w:hAnsi="Times New Roman" w:cs="Times New Roman"/>
              </w:rPr>
            </w:pPr>
            <w:r w:rsidRPr="00325808">
              <w:rPr>
                <w:rFonts w:ascii="Times New Roman" w:hAnsi="Times New Roman" w:cs="Times New Roman"/>
              </w:rPr>
              <w:t>O: 9</w:t>
            </w:r>
          </w:p>
        </w:tc>
        <w:tc>
          <w:tcPr>
            <w:tcW w:w="3712" w:type="dxa"/>
          </w:tcPr>
          <w:p w:rsidR="00E42ACF" w:rsidRPr="00325808" w:rsidRDefault="00E42ACF" w:rsidP="00325808">
            <w:pPr>
              <w:rPr>
                <w:rFonts w:ascii="Times New Roman" w:hAnsi="Times New Roman" w:cs="Times New Roman"/>
              </w:rPr>
            </w:pPr>
            <w:r w:rsidRPr="00325808">
              <w:rPr>
                <w:rFonts w:ascii="Times New Roman" w:hAnsi="Times New Roman" w:cs="Times New Roman"/>
              </w:rPr>
              <w:t>V článku 3f sa vypúšťa odsek 9.</w:t>
            </w:r>
          </w:p>
        </w:tc>
        <w:tc>
          <w:tcPr>
            <w:tcW w:w="1418" w:type="dxa"/>
          </w:tcPr>
          <w:p w:rsidR="00E42ACF" w:rsidRPr="00325808" w:rsidRDefault="003462A1" w:rsidP="00325808">
            <w:pPr>
              <w:rPr>
                <w:rFonts w:ascii="Times New Roman" w:hAnsi="Times New Roman" w:cs="Times New Roman"/>
              </w:rPr>
            </w:pPr>
            <w:r w:rsidRPr="00325808">
              <w:rPr>
                <w:rFonts w:ascii="Times New Roman" w:hAnsi="Times New Roman" w:cs="Times New Roman"/>
              </w:rPr>
              <w:t>n.a.</w:t>
            </w:r>
          </w:p>
        </w:tc>
        <w:tc>
          <w:tcPr>
            <w:tcW w:w="850" w:type="dxa"/>
          </w:tcPr>
          <w:p w:rsidR="00E42ACF" w:rsidRPr="00325808" w:rsidRDefault="00E42ACF" w:rsidP="00325808">
            <w:pPr>
              <w:rPr>
                <w:rFonts w:ascii="Times New Roman" w:hAnsi="Times New Roman" w:cs="Times New Roman"/>
              </w:rPr>
            </w:pPr>
          </w:p>
        </w:tc>
        <w:tc>
          <w:tcPr>
            <w:tcW w:w="1050" w:type="dxa"/>
          </w:tcPr>
          <w:p w:rsidR="00E42ACF" w:rsidRPr="00325808" w:rsidRDefault="00E42ACF" w:rsidP="00325808">
            <w:pPr>
              <w:rPr>
                <w:rFonts w:ascii="Times New Roman" w:hAnsi="Times New Roman" w:cs="Times New Roman"/>
              </w:rPr>
            </w:pPr>
          </w:p>
        </w:tc>
        <w:tc>
          <w:tcPr>
            <w:tcW w:w="3657" w:type="dxa"/>
          </w:tcPr>
          <w:p w:rsidR="00E42ACF" w:rsidRPr="00325808" w:rsidRDefault="00E42ACF" w:rsidP="00325808">
            <w:pPr>
              <w:rPr>
                <w:rFonts w:ascii="Times New Roman" w:hAnsi="Times New Roman" w:cs="Times New Roman"/>
              </w:rPr>
            </w:pPr>
          </w:p>
        </w:tc>
        <w:tc>
          <w:tcPr>
            <w:tcW w:w="830" w:type="dxa"/>
          </w:tcPr>
          <w:p w:rsidR="00E42ACF"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372D0C" w:rsidRPr="00325808" w:rsidRDefault="00372D0C" w:rsidP="00325808">
            <w:pPr>
              <w:rPr>
                <w:rFonts w:ascii="Times New Roman" w:hAnsi="Times New Roman" w:cs="Times New Roman"/>
              </w:rPr>
            </w:pPr>
            <w:r w:rsidRPr="00325808">
              <w:rPr>
                <w:rFonts w:ascii="Times New Roman" w:hAnsi="Times New Roman" w:cs="Times New Roman"/>
              </w:rPr>
              <w:t>O: 1</w:t>
            </w:r>
            <w:r w:rsidR="005C178A" w:rsidRPr="00325808">
              <w:rPr>
                <w:rFonts w:ascii="Times New Roman" w:hAnsi="Times New Roman" w:cs="Times New Roman"/>
              </w:rPr>
              <w:t>0</w:t>
            </w:r>
          </w:p>
        </w:tc>
        <w:tc>
          <w:tcPr>
            <w:tcW w:w="3712" w:type="dxa"/>
          </w:tcPr>
          <w:p w:rsidR="00E42ACF" w:rsidRPr="00325808" w:rsidRDefault="00E42ACF" w:rsidP="00325808">
            <w:pPr>
              <w:rPr>
                <w:rFonts w:ascii="Times New Roman" w:hAnsi="Times New Roman" w:cs="Times New Roman"/>
              </w:rPr>
            </w:pPr>
            <w:r w:rsidRPr="00325808">
              <w:rPr>
                <w:rFonts w:ascii="Times New Roman" w:hAnsi="Times New Roman" w:cs="Times New Roman"/>
              </w:rPr>
              <w:t>V článku 6 ods. 1 sa vypúšťa tretí pododsek.</w:t>
            </w:r>
          </w:p>
        </w:tc>
        <w:tc>
          <w:tcPr>
            <w:tcW w:w="1418" w:type="dxa"/>
          </w:tcPr>
          <w:p w:rsidR="00E42ACF" w:rsidRPr="00325808" w:rsidRDefault="003462A1" w:rsidP="00325808">
            <w:pPr>
              <w:rPr>
                <w:rFonts w:ascii="Times New Roman" w:hAnsi="Times New Roman" w:cs="Times New Roman"/>
              </w:rPr>
            </w:pPr>
            <w:r w:rsidRPr="00325808">
              <w:rPr>
                <w:rFonts w:ascii="Times New Roman" w:hAnsi="Times New Roman" w:cs="Times New Roman"/>
              </w:rPr>
              <w:t>N</w:t>
            </w:r>
          </w:p>
        </w:tc>
        <w:tc>
          <w:tcPr>
            <w:tcW w:w="850" w:type="dxa"/>
          </w:tcPr>
          <w:p w:rsidR="00E42ACF"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E42ACF" w:rsidRPr="00325808" w:rsidRDefault="00E42ACF" w:rsidP="00325808">
            <w:pPr>
              <w:rPr>
                <w:rFonts w:ascii="Times New Roman" w:hAnsi="Times New Roman" w:cs="Times New Roman"/>
              </w:rPr>
            </w:pPr>
          </w:p>
        </w:tc>
        <w:tc>
          <w:tcPr>
            <w:tcW w:w="3657" w:type="dxa"/>
          </w:tcPr>
          <w:p w:rsidR="003462A1" w:rsidRPr="00325808" w:rsidRDefault="003462A1" w:rsidP="00325808">
            <w:pPr>
              <w:rPr>
                <w:rFonts w:ascii="Times New Roman" w:hAnsi="Times New Roman" w:cs="Times New Roman"/>
              </w:rPr>
            </w:pPr>
            <w:r w:rsidRPr="00325808">
              <w:rPr>
                <w:rFonts w:ascii="Times New Roman" w:hAnsi="Times New Roman" w:cs="Times New Roman"/>
              </w:rPr>
              <w:t>V § 6 sa vypúšťa ods. 4.</w:t>
            </w:r>
          </w:p>
          <w:p w:rsidR="00E42ACF" w:rsidRPr="00325808" w:rsidRDefault="00BA23E4" w:rsidP="00325808">
            <w:pPr>
              <w:rPr>
                <w:rFonts w:ascii="Times New Roman" w:hAnsi="Times New Roman" w:cs="Times New Roman"/>
              </w:rPr>
            </w:pPr>
            <w:r w:rsidRPr="00325808">
              <w:rPr>
                <w:rFonts w:ascii="Times New Roman" w:hAnsi="Times New Roman" w:cs="Times New Roman"/>
                <w:color w:val="000000"/>
              </w:rPr>
              <w:t>Doterajší odsek 5 sa označuje ako odsek 4</w:t>
            </w:r>
            <w:r w:rsidR="003462A1" w:rsidRPr="00325808">
              <w:rPr>
                <w:rFonts w:ascii="Times New Roman" w:hAnsi="Times New Roman" w:cs="Times New Roman"/>
              </w:rPr>
              <w:t>.</w:t>
            </w:r>
          </w:p>
        </w:tc>
        <w:tc>
          <w:tcPr>
            <w:tcW w:w="830" w:type="dxa"/>
          </w:tcPr>
          <w:p w:rsidR="00E42ACF" w:rsidRPr="00325808" w:rsidRDefault="00696C36" w:rsidP="00325808">
            <w:pPr>
              <w:rPr>
                <w:rFonts w:ascii="Times New Roman" w:hAnsi="Times New Roman" w:cs="Times New Roman"/>
              </w:rPr>
            </w:pPr>
            <w:r w:rsidRPr="00325808">
              <w:rPr>
                <w:rFonts w:ascii="Times New Roman" w:hAnsi="Times New Roman" w:cs="Times New Roman"/>
              </w:rPr>
              <w:t>Ú</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 11</w:t>
            </w:r>
          </w:p>
        </w:tc>
        <w:tc>
          <w:tcPr>
            <w:tcW w:w="3712" w:type="dxa"/>
          </w:tcPr>
          <w:p w:rsidR="004D648F" w:rsidRPr="00325808" w:rsidRDefault="00E42ACF" w:rsidP="00325808">
            <w:pPr>
              <w:rPr>
                <w:rFonts w:ascii="Times New Roman" w:hAnsi="Times New Roman" w:cs="Times New Roman"/>
              </w:rPr>
            </w:pPr>
            <w:r w:rsidRPr="00325808">
              <w:rPr>
                <w:rFonts w:ascii="Times New Roman" w:hAnsi="Times New Roman" w:cs="Times New Roman"/>
              </w:rPr>
              <w:t xml:space="preserve">Článok 8 </w:t>
            </w:r>
          </w:p>
          <w:p w:rsidR="004D648F" w:rsidRPr="00325808" w:rsidRDefault="004D648F" w:rsidP="00325808">
            <w:pPr>
              <w:rPr>
                <w:rFonts w:ascii="Times New Roman" w:hAnsi="Times New Roman" w:cs="Times New Roman"/>
              </w:rPr>
            </w:pPr>
          </w:p>
          <w:p w:rsidR="009976A5" w:rsidRPr="00325808" w:rsidRDefault="004D648F" w:rsidP="00325808">
            <w:pPr>
              <w:rPr>
                <w:rFonts w:ascii="Times New Roman" w:hAnsi="Times New Roman" w:cs="Times New Roman"/>
              </w:rPr>
            </w:pPr>
            <w:r w:rsidRPr="00325808">
              <w:rPr>
                <w:rFonts w:ascii="Times New Roman" w:hAnsi="Times New Roman" w:cs="Times New Roman"/>
              </w:rPr>
              <w:t xml:space="preserve">Nadväznosť na smernicu </w:t>
            </w:r>
            <w:r w:rsidR="00E42ACF" w:rsidRPr="00325808">
              <w:rPr>
                <w:rFonts w:ascii="Times New Roman" w:hAnsi="Times New Roman" w:cs="Times New Roman"/>
              </w:rPr>
              <w:t xml:space="preserve">2010/75/EÚ </w:t>
            </w:r>
          </w:p>
          <w:p w:rsidR="00372D0C" w:rsidRPr="00325808" w:rsidRDefault="00372D0C" w:rsidP="00325808">
            <w:pPr>
              <w:rPr>
                <w:rFonts w:ascii="Times New Roman" w:hAnsi="Times New Roman" w:cs="Times New Roman"/>
              </w:rPr>
            </w:pPr>
          </w:p>
          <w:p w:rsidR="009976A5" w:rsidRPr="00325808" w:rsidRDefault="00E42ACF" w:rsidP="00325808">
            <w:pPr>
              <w:rPr>
                <w:rFonts w:ascii="Times New Roman" w:hAnsi="Times New Roman" w:cs="Times New Roman"/>
              </w:rPr>
            </w:pPr>
            <w:r w:rsidRPr="00325808">
              <w:rPr>
                <w:rFonts w:ascii="Times New Roman" w:hAnsi="Times New Roman" w:cs="Times New Roman"/>
              </w:rPr>
              <w:t xml:space="preserve">Členské štáty prijmú potrebné opatrenia, aby sa zabezpečilo, že tam, kde zariadenia vykonávajú činnosti uvedené v prílohe I k smernici Európskeho parlamentu a Rady </w:t>
            </w:r>
            <w:r w:rsidRPr="00325808">
              <w:rPr>
                <w:rFonts w:ascii="Times New Roman" w:hAnsi="Times New Roman" w:cs="Times New Roman"/>
              </w:rPr>
              <w:lastRenderedPageBreak/>
              <w:t xml:space="preserve">2010/75/EÚ (*), podmienky a postup na vydanie povolenia na emisie skleníkových plynov boli skoordinované s tými, ktoré na vydanie povolenia stanovuje uvedená smernica. Požiadavky stanovené v článkoch 5, 6 a 7 tejto smernice možno zahrnúť do postupov stanovených smernicou 2010/75/EÚ. </w:t>
            </w:r>
          </w:p>
          <w:p w:rsidR="00372D0C" w:rsidRPr="00325808" w:rsidRDefault="00372D0C" w:rsidP="00325808">
            <w:pPr>
              <w:rPr>
                <w:rFonts w:ascii="Times New Roman" w:hAnsi="Times New Roman" w:cs="Times New Roman"/>
              </w:rPr>
            </w:pPr>
          </w:p>
          <w:p w:rsidR="00E42ACF" w:rsidRPr="00325808" w:rsidRDefault="00E42ACF" w:rsidP="00325808">
            <w:pPr>
              <w:rPr>
                <w:rFonts w:ascii="Times New Roman" w:hAnsi="Times New Roman" w:cs="Times New Roman"/>
              </w:rPr>
            </w:pPr>
            <w:r w:rsidRPr="00325808">
              <w:rPr>
                <w:rFonts w:ascii="Times New Roman" w:hAnsi="Times New Roman" w:cs="Times New Roman"/>
              </w:rPr>
              <w:t>(*)Smernica Európskeho parlamentu a Rady 2010/75/EÚ z 24. novembra 2010 o priemyselných emisiách (integrovaná prevencia a kontrola znečisťovania životného prostredia) (Ú. v</w:t>
            </w:r>
            <w:r w:rsidR="009976A5" w:rsidRPr="00325808">
              <w:rPr>
                <w:rFonts w:ascii="Times New Roman" w:hAnsi="Times New Roman" w:cs="Times New Roman"/>
              </w:rPr>
              <w:t>. EÚ L 334, 17.12.2010, s. 17).</w:t>
            </w:r>
          </w:p>
        </w:tc>
        <w:tc>
          <w:tcPr>
            <w:tcW w:w="1418" w:type="dxa"/>
          </w:tcPr>
          <w:p w:rsidR="00E42ACF" w:rsidRPr="00325808" w:rsidRDefault="003A6E64" w:rsidP="00325808">
            <w:pPr>
              <w:rPr>
                <w:rFonts w:ascii="Times New Roman" w:hAnsi="Times New Roman" w:cs="Times New Roman"/>
              </w:rPr>
            </w:pPr>
            <w:r w:rsidRPr="00325808">
              <w:rPr>
                <w:rFonts w:ascii="Times New Roman" w:hAnsi="Times New Roman" w:cs="Times New Roman"/>
              </w:rPr>
              <w:lastRenderedPageBreak/>
              <w:t>N</w:t>
            </w:r>
          </w:p>
        </w:tc>
        <w:tc>
          <w:tcPr>
            <w:tcW w:w="850" w:type="dxa"/>
          </w:tcPr>
          <w:p w:rsidR="00EF6929" w:rsidRPr="00325808" w:rsidRDefault="00EF6929" w:rsidP="00325808">
            <w:pPr>
              <w:rPr>
                <w:rFonts w:ascii="Times New Roman" w:hAnsi="Times New Roman" w:cs="Times New Roman"/>
              </w:rPr>
            </w:pPr>
            <w:r w:rsidRPr="00325808">
              <w:rPr>
                <w:rFonts w:ascii="Times New Roman" w:hAnsi="Times New Roman" w:cs="Times New Roman"/>
              </w:rPr>
              <w:t>414/</w:t>
            </w:r>
          </w:p>
          <w:p w:rsidR="00E42ACF" w:rsidRPr="00325808" w:rsidRDefault="00EF6929" w:rsidP="00325808">
            <w:pPr>
              <w:rPr>
                <w:rFonts w:ascii="Times New Roman" w:hAnsi="Times New Roman" w:cs="Times New Roman"/>
              </w:rPr>
            </w:pPr>
            <w:r w:rsidRPr="00325808">
              <w:rPr>
                <w:rFonts w:ascii="Times New Roman" w:hAnsi="Times New Roman" w:cs="Times New Roman"/>
              </w:rPr>
              <w:t>2012</w:t>
            </w:r>
          </w:p>
        </w:tc>
        <w:tc>
          <w:tcPr>
            <w:tcW w:w="1050" w:type="dxa"/>
          </w:tcPr>
          <w:p w:rsidR="00FA02D6" w:rsidRPr="00325808" w:rsidRDefault="00FA02D6" w:rsidP="00325808">
            <w:pPr>
              <w:rPr>
                <w:rFonts w:ascii="Times New Roman" w:hAnsi="Times New Roman" w:cs="Times New Roman"/>
              </w:rPr>
            </w:pPr>
            <w:r w:rsidRPr="00325808">
              <w:rPr>
                <w:rFonts w:ascii="Times New Roman" w:hAnsi="Times New Roman" w:cs="Times New Roman"/>
              </w:rPr>
              <w:t>Č: 1</w:t>
            </w:r>
          </w:p>
          <w:p w:rsidR="00FA02D6" w:rsidRPr="00325808" w:rsidRDefault="00EF6929" w:rsidP="00325808">
            <w:pPr>
              <w:rPr>
                <w:rFonts w:ascii="Times New Roman" w:hAnsi="Times New Roman" w:cs="Times New Roman"/>
              </w:rPr>
            </w:pPr>
            <w:r w:rsidRPr="00325808">
              <w:rPr>
                <w:rFonts w:ascii="Times New Roman" w:hAnsi="Times New Roman" w:cs="Times New Roman"/>
              </w:rPr>
              <w:t>§</w:t>
            </w:r>
            <w:r w:rsidR="00FA02D6" w:rsidRPr="00325808">
              <w:rPr>
                <w:rFonts w:ascii="Times New Roman" w:hAnsi="Times New Roman" w:cs="Times New Roman"/>
              </w:rPr>
              <w:t>: 5</w:t>
            </w:r>
          </w:p>
          <w:p w:rsidR="00E42ACF" w:rsidRPr="00325808" w:rsidRDefault="00FA02D6" w:rsidP="00325808">
            <w:pPr>
              <w:rPr>
                <w:rFonts w:ascii="Times New Roman" w:hAnsi="Times New Roman" w:cs="Times New Roman"/>
              </w:rPr>
            </w:pPr>
            <w:r w:rsidRPr="00325808">
              <w:rPr>
                <w:rFonts w:ascii="Times New Roman" w:hAnsi="Times New Roman" w:cs="Times New Roman"/>
              </w:rPr>
              <w:t xml:space="preserve">O: </w:t>
            </w:r>
            <w:r w:rsidR="00EF6929" w:rsidRPr="00325808">
              <w:rPr>
                <w:rFonts w:ascii="Times New Roman" w:hAnsi="Times New Roman" w:cs="Times New Roman"/>
              </w:rPr>
              <w:t>6</w:t>
            </w:r>
          </w:p>
        </w:tc>
        <w:tc>
          <w:tcPr>
            <w:tcW w:w="3657" w:type="dxa"/>
          </w:tcPr>
          <w:p w:rsidR="00E42ACF" w:rsidRPr="00325808" w:rsidRDefault="00EF6929" w:rsidP="00325808">
            <w:pPr>
              <w:rPr>
                <w:rFonts w:ascii="Times New Roman" w:hAnsi="Times New Roman" w:cs="Times New Roman"/>
              </w:rPr>
            </w:pPr>
            <w:r w:rsidRPr="00325808">
              <w:rPr>
                <w:rFonts w:ascii="Times New Roman" w:hAnsi="Times New Roman" w:cs="Times New Roman"/>
              </w:rPr>
              <w:t>Povolenie na vypúšťanie emisií skleníkových plynov, na ktorú bolo vydané integrované povolenie,</w:t>
            </w:r>
            <w:r w:rsidR="00C97A9D" w:rsidRPr="00325808">
              <w:rPr>
                <w:rFonts w:ascii="Times New Roman" w:hAnsi="Times New Roman" w:cs="Times New Roman"/>
              </w:rPr>
              <w:t xml:space="preserve"> </w:t>
            </w:r>
            <w:r w:rsidRPr="00325808">
              <w:rPr>
                <w:rFonts w:ascii="Times New Roman" w:hAnsi="Times New Roman" w:cs="Times New Roman"/>
              </w:rPr>
              <w:t xml:space="preserve">musí zohľadňovať podmienky a postupy určené v integrovanom povolení. Pri zmene, ktorá je dôvodom aj na zmenu povolenia na vypúšťanie skleníkových plynov alebo pri vydaní nového integrovaného povolenia sa zmení aj </w:t>
            </w:r>
            <w:r w:rsidRPr="00325808">
              <w:rPr>
                <w:rFonts w:ascii="Times New Roman" w:hAnsi="Times New Roman" w:cs="Times New Roman"/>
              </w:rPr>
              <w:lastRenderedPageBreak/>
              <w:t>povolenie na vypúšťanie emisií skleníkových plynov tak, aby toto v celom rozsahu zohľadňovalo podmienky a postupy určené v integrovanom povolení.</w:t>
            </w:r>
          </w:p>
        </w:tc>
        <w:tc>
          <w:tcPr>
            <w:tcW w:w="830" w:type="dxa"/>
          </w:tcPr>
          <w:p w:rsidR="00E42ACF" w:rsidRPr="00325808" w:rsidRDefault="00155825" w:rsidP="00325808">
            <w:pPr>
              <w:rPr>
                <w:rFonts w:ascii="Times New Roman" w:hAnsi="Times New Roman" w:cs="Times New Roman"/>
              </w:rPr>
            </w:pPr>
            <w:r w:rsidRPr="00325808">
              <w:rPr>
                <w:rFonts w:ascii="Times New Roman" w:hAnsi="Times New Roman" w:cs="Times New Roman"/>
              </w:rPr>
              <w:lastRenderedPageBreak/>
              <w:t>Ú</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7C6F46" w:rsidRPr="00325808" w:rsidRDefault="005C178A" w:rsidP="00325808">
            <w:pPr>
              <w:rPr>
                <w:rFonts w:ascii="Times New Roman" w:hAnsi="Times New Roman" w:cs="Times New Roman"/>
              </w:rPr>
            </w:pPr>
            <w:r w:rsidRPr="00325808">
              <w:rPr>
                <w:rFonts w:ascii="Times New Roman" w:hAnsi="Times New Roman" w:cs="Times New Roman"/>
              </w:rPr>
              <w:t>O: 12</w:t>
            </w:r>
          </w:p>
        </w:tc>
        <w:tc>
          <w:tcPr>
            <w:tcW w:w="3712" w:type="dxa"/>
          </w:tcPr>
          <w:p w:rsidR="00E42ACF" w:rsidRPr="00325808" w:rsidRDefault="00E42ACF" w:rsidP="00325808">
            <w:pPr>
              <w:rPr>
                <w:rFonts w:ascii="Times New Roman" w:hAnsi="Times New Roman" w:cs="Times New Roman"/>
              </w:rPr>
            </w:pPr>
            <w:r w:rsidRPr="00325808">
              <w:rPr>
                <w:rFonts w:ascii="Times New Roman" w:hAnsi="Times New Roman" w:cs="Times New Roman"/>
              </w:rPr>
              <w:t>Počnúc rokom 2021 predsta</w:t>
            </w:r>
            <w:r w:rsidR="00372D0C" w:rsidRPr="00325808">
              <w:rPr>
                <w:rFonts w:ascii="Times New Roman" w:hAnsi="Times New Roman" w:cs="Times New Roman"/>
              </w:rPr>
              <w:t>vuje lineárny koeficient 2,2 %.</w:t>
            </w:r>
          </w:p>
        </w:tc>
        <w:tc>
          <w:tcPr>
            <w:tcW w:w="1418" w:type="dxa"/>
          </w:tcPr>
          <w:p w:rsidR="00E42ACF" w:rsidRPr="00325808" w:rsidRDefault="003462A1" w:rsidP="00325808">
            <w:pPr>
              <w:rPr>
                <w:rFonts w:ascii="Times New Roman" w:hAnsi="Times New Roman" w:cs="Times New Roman"/>
              </w:rPr>
            </w:pPr>
            <w:r w:rsidRPr="00325808">
              <w:rPr>
                <w:rFonts w:ascii="Times New Roman" w:hAnsi="Times New Roman" w:cs="Times New Roman"/>
              </w:rPr>
              <w:t>n.a.</w:t>
            </w:r>
          </w:p>
        </w:tc>
        <w:tc>
          <w:tcPr>
            <w:tcW w:w="850" w:type="dxa"/>
          </w:tcPr>
          <w:p w:rsidR="00E42ACF" w:rsidRPr="00325808" w:rsidRDefault="00E42ACF" w:rsidP="00325808">
            <w:pPr>
              <w:rPr>
                <w:rFonts w:ascii="Times New Roman" w:hAnsi="Times New Roman" w:cs="Times New Roman"/>
              </w:rPr>
            </w:pPr>
          </w:p>
        </w:tc>
        <w:tc>
          <w:tcPr>
            <w:tcW w:w="1050" w:type="dxa"/>
          </w:tcPr>
          <w:p w:rsidR="00E42ACF" w:rsidRPr="00325808" w:rsidRDefault="00E42ACF" w:rsidP="00325808">
            <w:pPr>
              <w:rPr>
                <w:rFonts w:ascii="Times New Roman" w:hAnsi="Times New Roman" w:cs="Times New Roman"/>
              </w:rPr>
            </w:pPr>
          </w:p>
        </w:tc>
        <w:tc>
          <w:tcPr>
            <w:tcW w:w="3657" w:type="dxa"/>
          </w:tcPr>
          <w:p w:rsidR="00E42ACF" w:rsidRPr="00325808" w:rsidRDefault="00E42ACF" w:rsidP="00325808">
            <w:pPr>
              <w:rPr>
                <w:rFonts w:ascii="Times New Roman" w:hAnsi="Times New Roman" w:cs="Times New Roman"/>
              </w:rPr>
            </w:pPr>
          </w:p>
        </w:tc>
        <w:tc>
          <w:tcPr>
            <w:tcW w:w="830" w:type="dxa"/>
          </w:tcPr>
          <w:p w:rsidR="00E42ACF"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E42ACF" w:rsidRPr="00325808" w:rsidRDefault="00E42ACF" w:rsidP="00325808">
            <w:pPr>
              <w:rPr>
                <w:rFonts w:ascii="Times New Roman" w:hAnsi="Times New Roman" w:cs="Times New Roman"/>
              </w:rPr>
            </w:pPr>
          </w:p>
        </w:tc>
      </w:tr>
      <w:tr w:rsidR="003462A1" w:rsidRPr="00325808" w:rsidTr="003F282B">
        <w:tc>
          <w:tcPr>
            <w:tcW w:w="1074" w:type="dxa"/>
          </w:tcPr>
          <w:p w:rsidR="00E42ACF" w:rsidRPr="00325808" w:rsidRDefault="005C178A" w:rsidP="00325808">
            <w:pPr>
              <w:rPr>
                <w:rFonts w:ascii="Times New Roman" w:hAnsi="Times New Roman" w:cs="Times New Roman"/>
              </w:rPr>
            </w:pPr>
            <w:r w:rsidRPr="00325808">
              <w:rPr>
                <w:rFonts w:ascii="Times New Roman" w:hAnsi="Times New Roman" w:cs="Times New Roman"/>
              </w:rPr>
              <w:t>Č: 1</w:t>
            </w:r>
          </w:p>
          <w:p w:rsidR="007C6F46" w:rsidRPr="00325808" w:rsidRDefault="007C6F46" w:rsidP="00325808">
            <w:pPr>
              <w:rPr>
                <w:rFonts w:ascii="Times New Roman" w:hAnsi="Times New Roman" w:cs="Times New Roman"/>
              </w:rPr>
            </w:pPr>
            <w:r w:rsidRPr="00325808">
              <w:rPr>
                <w:rFonts w:ascii="Times New Roman" w:hAnsi="Times New Roman" w:cs="Times New Roman"/>
              </w:rPr>
              <w:t>O: 1</w:t>
            </w:r>
            <w:r w:rsidR="005C178A" w:rsidRPr="00325808">
              <w:rPr>
                <w:rFonts w:ascii="Times New Roman" w:hAnsi="Times New Roman" w:cs="Times New Roman"/>
              </w:rPr>
              <w:t>3</w:t>
            </w:r>
          </w:p>
          <w:p w:rsidR="005C178A" w:rsidRPr="00325808" w:rsidRDefault="005C178A" w:rsidP="00325808">
            <w:pPr>
              <w:rPr>
                <w:rFonts w:ascii="Times New Roman" w:hAnsi="Times New Roman" w:cs="Times New Roman"/>
              </w:rPr>
            </w:pPr>
            <w:r w:rsidRPr="00325808">
              <w:rPr>
                <w:rFonts w:ascii="Times New Roman" w:hAnsi="Times New Roman" w:cs="Times New Roman"/>
              </w:rPr>
              <w:t>P: a)</w:t>
            </w:r>
          </w:p>
        </w:tc>
        <w:tc>
          <w:tcPr>
            <w:tcW w:w="3712" w:type="dxa"/>
          </w:tcPr>
          <w:p w:rsidR="007C6F46" w:rsidRPr="00325808" w:rsidRDefault="004D648F" w:rsidP="00325808">
            <w:pPr>
              <w:rPr>
                <w:rFonts w:ascii="Times New Roman" w:hAnsi="Times New Roman" w:cs="Times New Roman"/>
              </w:rPr>
            </w:pPr>
            <w:r w:rsidRPr="00325808">
              <w:rPr>
                <w:rFonts w:ascii="Times New Roman" w:hAnsi="Times New Roman" w:cs="Times New Roman"/>
              </w:rPr>
              <w:t xml:space="preserve">1. </w:t>
            </w:r>
            <w:r w:rsidR="00E42ACF" w:rsidRPr="00325808">
              <w:rPr>
                <w:rFonts w:ascii="Times New Roman" w:hAnsi="Times New Roman" w:cs="Times New Roman"/>
              </w:rPr>
              <w:t xml:space="preserve">Od roku 2019 členské štáty obchodujú formou aukcie so všetkými kvótami, ktoré nie sú pridelené bezodplatne v súlade s článkami 10a a 10c tejto smernice a ktoré nie sú umiestnené do trhovej stabilizačnej rezervy zriadenej rozhodnutím Európskeho parlamentu a Rady (EÚ) 2015/1814 (*) (ďalej len „trhová stabilizačná rezerva“) alebo zrušené v súlade s článkom 12 ods. 4 tejto smernice. </w:t>
            </w:r>
          </w:p>
          <w:p w:rsidR="007C6F46" w:rsidRPr="00325808" w:rsidRDefault="007C6F46" w:rsidP="00325808">
            <w:pPr>
              <w:rPr>
                <w:rFonts w:ascii="Times New Roman" w:hAnsi="Times New Roman" w:cs="Times New Roman"/>
              </w:rPr>
            </w:pPr>
          </w:p>
          <w:p w:rsidR="007C6F46" w:rsidRPr="00325808" w:rsidRDefault="00E42ACF" w:rsidP="00325808">
            <w:pPr>
              <w:rPr>
                <w:rFonts w:ascii="Times New Roman" w:hAnsi="Times New Roman" w:cs="Times New Roman"/>
              </w:rPr>
            </w:pPr>
            <w:r w:rsidRPr="00325808">
              <w:rPr>
                <w:rFonts w:ascii="Times New Roman" w:hAnsi="Times New Roman" w:cs="Times New Roman"/>
              </w:rPr>
              <w:t xml:space="preserve">Od roku 2021 je podiel kvót určených na obchodovanie formou akcie 57 % bez toho, aby bolo dotknuté prípadné zníženie podľa článku 10a ods. 5a. </w:t>
            </w:r>
          </w:p>
          <w:p w:rsidR="007C6F46" w:rsidRPr="00325808" w:rsidRDefault="007C6F46" w:rsidP="00325808">
            <w:pPr>
              <w:rPr>
                <w:rFonts w:ascii="Times New Roman" w:hAnsi="Times New Roman" w:cs="Times New Roman"/>
              </w:rPr>
            </w:pPr>
          </w:p>
          <w:p w:rsidR="007C6F46" w:rsidRPr="00325808" w:rsidRDefault="00E42ACF" w:rsidP="00325808">
            <w:pPr>
              <w:rPr>
                <w:rFonts w:ascii="Times New Roman" w:hAnsi="Times New Roman" w:cs="Times New Roman"/>
              </w:rPr>
            </w:pPr>
            <w:r w:rsidRPr="00325808">
              <w:rPr>
                <w:rFonts w:ascii="Times New Roman" w:hAnsi="Times New Roman" w:cs="Times New Roman"/>
              </w:rPr>
              <w:t xml:space="preserve">2 % celkového množstva kvót v období rokov 2021 až 2030 sa obchodujú formou aukcie s cieľom vytvoriť fond na zlepšenie energetickej efektívnosti a modernizáciu energetických systémov určitých členských štátov, ako sa stanovuje v článku 10d (ďalej len „modernizačný fond“). </w:t>
            </w:r>
          </w:p>
          <w:p w:rsidR="007C6F46" w:rsidRPr="00325808" w:rsidRDefault="007C6F46" w:rsidP="00325808">
            <w:pPr>
              <w:rPr>
                <w:rFonts w:ascii="Times New Roman" w:hAnsi="Times New Roman" w:cs="Times New Roman"/>
              </w:rPr>
            </w:pPr>
          </w:p>
          <w:p w:rsidR="007C6F46" w:rsidRPr="00325808" w:rsidRDefault="00E42ACF" w:rsidP="00325808">
            <w:pPr>
              <w:rPr>
                <w:rFonts w:ascii="Times New Roman" w:hAnsi="Times New Roman" w:cs="Times New Roman"/>
              </w:rPr>
            </w:pPr>
            <w:r w:rsidRPr="00325808">
              <w:rPr>
                <w:rFonts w:ascii="Times New Roman" w:hAnsi="Times New Roman" w:cs="Times New Roman"/>
              </w:rPr>
              <w:t xml:space="preserve">Zvyšné celkové množstvo kvót, s ktorými majú členské štáty obchodovať formou aukcie, sa rozdelí podľa odseku 2. </w:t>
            </w:r>
          </w:p>
          <w:p w:rsidR="007C6F46" w:rsidRPr="00325808" w:rsidRDefault="007C6F46" w:rsidP="00325808">
            <w:pPr>
              <w:rPr>
                <w:rFonts w:ascii="Times New Roman" w:hAnsi="Times New Roman" w:cs="Times New Roman"/>
              </w:rPr>
            </w:pPr>
          </w:p>
          <w:p w:rsidR="00E42ACF" w:rsidRPr="00325808" w:rsidRDefault="00E42ACF" w:rsidP="00325808">
            <w:pPr>
              <w:rPr>
                <w:rFonts w:ascii="Times New Roman" w:hAnsi="Times New Roman" w:cs="Times New Roman"/>
              </w:rPr>
            </w:pPr>
            <w:r w:rsidRPr="00325808">
              <w:rPr>
                <w:rFonts w:ascii="Times New Roman" w:hAnsi="Times New Roman" w:cs="Times New Roman"/>
              </w:rPr>
              <w:t>(*)Rozhodnutie Európskeho parlamentu a Rady (EÚ) 2015/1814 zo 6. októbra 2015 o zriadení a prevádzke trhovej stabilizačnej rezervy systému obchodovania s emisnými kvótami skleníkových plynov v Únii a o zmene smernice 2003/87/ES (Ú. v</w:t>
            </w:r>
            <w:r w:rsidR="00372D0C" w:rsidRPr="00325808">
              <w:rPr>
                <w:rFonts w:ascii="Times New Roman" w:hAnsi="Times New Roman" w:cs="Times New Roman"/>
              </w:rPr>
              <w:t>. EÚ L 264, 9.10.2015, s. 1).</w:t>
            </w:r>
          </w:p>
        </w:tc>
        <w:tc>
          <w:tcPr>
            <w:tcW w:w="1418" w:type="dxa"/>
          </w:tcPr>
          <w:p w:rsidR="00E42ACF" w:rsidRPr="00325808" w:rsidRDefault="003462A1"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E42ACF" w:rsidRPr="00325808" w:rsidRDefault="00E42ACF" w:rsidP="00325808">
            <w:pPr>
              <w:rPr>
                <w:rFonts w:ascii="Times New Roman" w:hAnsi="Times New Roman" w:cs="Times New Roman"/>
              </w:rPr>
            </w:pPr>
          </w:p>
        </w:tc>
        <w:tc>
          <w:tcPr>
            <w:tcW w:w="1050" w:type="dxa"/>
          </w:tcPr>
          <w:p w:rsidR="00E42ACF" w:rsidRPr="00325808" w:rsidRDefault="00E42ACF" w:rsidP="00325808">
            <w:pPr>
              <w:rPr>
                <w:rFonts w:ascii="Times New Roman" w:hAnsi="Times New Roman" w:cs="Times New Roman"/>
              </w:rPr>
            </w:pPr>
          </w:p>
        </w:tc>
        <w:tc>
          <w:tcPr>
            <w:tcW w:w="3657" w:type="dxa"/>
          </w:tcPr>
          <w:p w:rsidR="00E42ACF" w:rsidRPr="00325808" w:rsidRDefault="00E42ACF" w:rsidP="00325808">
            <w:pPr>
              <w:rPr>
                <w:rFonts w:ascii="Times New Roman" w:hAnsi="Times New Roman" w:cs="Times New Roman"/>
              </w:rPr>
            </w:pPr>
          </w:p>
        </w:tc>
        <w:tc>
          <w:tcPr>
            <w:tcW w:w="830" w:type="dxa"/>
          </w:tcPr>
          <w:p w:rsidR="00E42ACF"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E42ACF" w:rsidRPr="00325808" w:rsidRDefault="00D63F37" w:rsidP="00325808">
            <w:pPr>
              <w:rPr>
                <w:rFonts w:ascii="Times New Roman" w:hAnsi="Times New Roman" w:cs="Times New Roman"/>
              </w:rPr>
            </w:pPr>
            <w:r w:rsidRPr="00325808">
              <w:rPr>
                <w:rFonts w:ascii="Times New Roman" w:hAnsi="Times New Roman" w:cs="Times New Roman"/>
              </w:rPr>
              <w:t xml:space="preserve">Obchodovanie s kvótami formou aukcie bližšie upravuje Nariadenie Komisie (EÚ) č 1031/2010 z 12. novembra 2010 o harmonograme, správe a iných aspektoch obchodovania s emisnými kvótami skleníkových plynov formou </w:t>
            </w:r>
            <w:r w:rsidRPr="00325808">
              <w:rPr>
                <w:rFonts w:ascii="Times New Roman" w:hAnsi="Times New Roman" w:cs="Times New Roman"/>
              </w:rPr>
              <w:lastRenderedPageBreak/>
              <w:t>aukcie podľa smernice Európskeho parlamentu a Rady 2003/87/ES o vytvorení systému obchodovania s emisnými kvótami skleníkových plynov v Spoločenstve.</w:t>
            </w:r>
          </w:p>
        </w:tc>
      </w:tr>
      <w:tr w:rsidR="00372D0C" w:rsidRPr="00325808" w:rsidTr="003F282B">
        <w:tc>
          <w:tcPr>
            <w:tcW w:w="1074" w:type="dxa"/>
          </w:tcPr>
          <w:p w:rsidR="00372D0C" w:rsidRPr="00325808" w:rsidRDefault="005C178A" w:rsidP="00325808">
            <w:pPr>
              <w:rPr>
                <w:rFonts w:ascii="Times New Roman" w:hAnsi="Times New Roman" w:cs="Times New Roman"/>
              </w:rPr>
            </w:pPr>
            <w:r w:rsidRPr="00325808">
              <w:rPr>
                <w:rFonts w:ascii="Times New Roman" w:hAnsi="Times New Roman" w:cs="Times New Roman"/>
              </w:rPr>
              <w:t>Č: 1</w:t>
            </w:r>
          </w:p>
          <w:p w:rsidR="00372D0C" w:rsidRPr="00325808" w:rsidRDefault="005C178A" w:rsidP="00325808">
            <w:pPr>
              <w:rPr>
                <w:rFonts w:ascii="Times New Roman" w:hAnsi="Times New Roman" w:cs="Times New Roman"/>
              </w:rPr>
            </w:pPr>
            <w:r w:rsidRPr="00325808">
              <w:rPr>
                <w:rFonts w:ascii="Times New Roman" w:hAnsi="Times New Roman" w:cs="Times New Roman"/>
              </w:rPr>
              <w:t>O: 13</w:t>
            </w:r>
          </w:p>
          <w:p w:rsidR="00372D0C" w:rsidRPr="00325808" w:rsidRDefault="005C178A" w:rsidP="00325808">
            <w:pPr>
              <w:rPr>
                <w:rFonts w:ascii="Times New Roman" w:hAnsi="Times New Roman" w:cs="Times New Roman"/>
              </w:rPr>
            </w:pPr>
            <w:r w:rsidRPr="00325808">
              <w:rPr>
                <w:rFonts w:ascii="Times New Roman" w:hAnsi="Times New Roman" w:cs="Times New Roman"/>
              </w:rPr>
              <w:t>P: b) i)</w:t>
            </w:r>
          </w:p>
        </w:tc>
        <w:tc>
          <w:tcPr>
            <w:tcW w:w="3712"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v písmene a) sa údaj „88 %“ nahrádza údajom „90 %“</w:t>
            </w:r>
          </w:p>
        </w:tc>
        <w:tc>
          <w:tcPr>
            <w:tcW w:w="1418"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372D0C" w:rsidRPr="00325808" w:rsidRDefault="00372D0C" w:rsidP="00325808">
            <w:pPr>
              <w:rPr>
                <w:rFonts w:ascii="Times New Roman" w:hAnsi="Times New Roman" w:cs="Times New Roman"/>
              </w:rPr>
            </w:pPr>
          </w:p>
        </w:tc>
        <w:tc>
          <w:tcPr>
            <w:tcW w:w="1050" w:type="dxa"/>
          </w:tcPr>
          <w:p w:rsidR="00372D0C" w:rsidRPr="00325808" w:rsidRDefault="00372D0C" w:rsidP="00325808">
            <w:pPr>
              <w:rPr>
                <w:rFonts w:ascii="Times New Roman" w:hAnsi="Times New Roman" w:cs="Times New Roman"/>
              </w:rPr>
            </w:pPr>
          </w:p>
        </w:tc>
        <w:tc>
          <w:tcPr>
            <w:tcW w:w="3657" w:type="dxa"/>
          </w:tcPr>
          <w:p w:rsidR="00372D0C" w:rsidRPr="00325808" w:rsidRDefault="00372D0C" w:rsidP="00325808">
            <w:pPr>
              <w:rPr>
                <w:rFonts w:ascii="Times New Roman" w:hAnsi="Times New Roman" w:cs="Times New Roman"/>
              </w:rPr>
            </w:pPr>
          </w:p>
        </w:tc>
        <w:tc>
          <w:tcPr>
            <w:tcW w:w="830" w:type="dxa"/>
          </w:tcPr>
          <w:p w:rsidR="00372D0C"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72D0C" w:rsidRPr="00325808" w:rsidRDefault="00372D0C" w:rsidP="00325808">
            <w:pPr>
              <w:rPr>
                <w:rFonts w:ascii="Times New Roman" w:hAnsi="Times New Roman" w:cs="Times New Roman"/>
              </w:rPr>
            </w:pPr>
          </w:p>
        </w:tc>
      </w:tr>
      <w:tr w:rsidR="00372D0C" w:rsidRPr="00325808" w:rsidTr="003F282B">
        <w:tc>
          <w:tcPr>
            <w:tcW w:w="1074" w:type="dxa"/>
          </w:tcPr>
          <w:p w:rsidR="00372D0C" w:rsidRPr="00325808" w:rsidRDefault="005C178A" w:rsidP="00325808">
            <w:pPr>
              <w:rPr>
                <w:rFonts w:ascii="Times New Roman" w:hAnsi="Times New Roman" w:cs="Times New Roman"/>
              </w:rPr>
            </w:pPr>
            <w:r w:rsidRPr="00325808">
              <w:rPr>
                <w:rFonts w:ascii="Times New Roman" w:hAnsi="Times New Roman" w:cs="Times New Roman"/>
              </w:rPr>
              <w:t>Č: 1</w:t>
            </w:r>
          </w:p>
          <w:p w:rsidR="00372D0C" w:rsidRPr="00325808" w:rsidRDefault="005C178A" w:rsidP="00325808">
            <w:pPr>
              <w:rPr>
                <w:rFonts w:ascii="Times New Roman" w:hAnsi="Times New Roman" w:cs="Times New Roman"/>
              </w:rPr>
            </w:pPr>
            <w:r w:rsidRPr="00325808">
              <w:rPr>
                <w:rFonts w:ascii="Times New Roman" w:hAnsi="Times New Roman" w:cs="Times New Roman"/>
              </w:rPr>
              <w:t>O: 13</w:t>
            </w:r>
          </w:p>
          <w:p w:rsidR="00372D0C" w:rsidRPr="00325808" w:rsidRDefault="00372D0C" w:rsidP="00325808">
            <w:pPr>
              <w:rPr>
                <w:rFonts w:ascii="Times New Roman" w:hAnsi="Times New Roman" w:cs="Times New Roman"/>
              </w:rPr>
            </w:pPr>
            <w:r w:rsidRPr="00325808">
              <w:rPr>
                <w:rFonts w:ascii="Times New Roman" w:hAnsi="Times New Roman" w:cs="Times New Roman"/>
              </w:rPr>
              <w:t>P: b</w:t>
            </w:r>
            <w:r w:rsidR="005C178A" w:rsidRPr="00325808">
              <w:rPr>
                <w:rFonts w:ascii="Times New Roman" w:hAnsi="Times New Roman" w:cs="Times New Roman"/>
              </w:rPr>
              <w:t>) ii)</w:t>
            </w:r>
          </w:p>
        </w:tc>
        <w:tc>
          <w:tcPr>
            <w:tcW w:w="3712"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b) 10 % celkového množstva kvót, s ktorými sa má obchodovať formou aukcie, rozdelených medzi určité členské štáty na účely solidarity, rastu a vzájomných prepojení v Únii, čím sa zvýši množstvo kvót, s ktorými tieto členské štáty obchodujú formou aukcie podľa písmena a), o percentuálne podiely uvedené v prílohe IIa.</w:t>
            </w:r>
          </w:p>
        </w:tc>
        <w:tc>
          <w:tcPr>
            <w:tcW w:w="1418"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372D0C" w:rsidRPr="00325808" w:rsidRDefault="00372D0C" w:rsidP="00325808">
            <w:pPr>
              <w:rPr>
                <w:rFonts w:ascii="Times New Roman" w:hAnsi="Times New Roman" w:cs="Times New Roman"/>
              </w:rPr>
            </w:pPr>
          </w:p>
        </w:tc>
        <w:tc>
          <w:tcPr>
            <w:tcW w:w="1050" w:type="dxa"/>
          </w:tcPr>
          <w:p w:rsidR="00372D0C" w:rsidRPr="00325808" w:rsidRDefault="00372D0C" w:rsidP="00325808">
            <w:pPr>
              <w:rPr>
                <w:rFonts w:ascii="Times New Roman" w:hAnsi="Times New Roman" w:cs="Times New Roman"/>
              </w:rPr>
            </w:pPr>
          </w:p>
        </w:tc>
        <w:tc>
          <w:tcPr>
            <w:tcW w:w="3657" w:type="dxa"/>
          </w:tcPr>
          <w:p w:rsidR="00372D0C" w:rsidRPr="00325808" w:rsidRDefault="00372D0C" w:rsidP="00325808">
            <w:pPr>
              <w:rPr>
                <w:rFonts w:ascii="Times New Roman" w:hAnsi="Times New Roman" w:cs="Times New Roman"/>
              </w:rPr>
            </w:pPr>
          </w:p>
        </w:tc>
        <w:tc>
          <w:tcPr>
            <w:tcW w:w="830" w:type="dxa"/>
          </w:tcPr>
          <w:p w:rsidR="00372D0C"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72D0C" w:rsidRPr="00325808" w:rsidRDefault="00372D0C" w:rsidP="00325808">
            <w:pPr>
              <w:rPr>
                <w:rFonts w:ascii="Times New Roman" w:hAnsi="Times New Roman" w:cs="Times New Roman"/>
              </w:rPr>
            </w:pPr>
          </w:p>
        </w:tc>
      </w:tr>
      <w:tr w:rsidR="00372D0C" w:rsidRPr="00325808" w:rsidTr="003F282B">
        <w:tc>
          <w:tcPr>
            <w:tcW w:w="1074" w:type="dxa"/>
          </w:tcPr>
          <w:p w:rsidR="00372D0C" w:rsidRPr="00325808" w:rsidRDefault="005C178A" w:rsidP="00325808">
            <w:pPr>
              <w:rPr>
                <w:rFonts w:ascii="Times New Roman" w:hAnsi="Times New Roman" w:cs="Times New Roman"/>
              </w:rPr>
            </w:pPr>
            <w:r w:rsidRPr="00325808">
              <w:rPr>
                <w:rFonts w:ascii="Times New Roman" w:hAnsi="Times New Roman" w:cs="Times New Roman"/>
              </w:rPr>
              <w:lastRenderedPageBreak/>
              <w:t>Č: 1</w:t>
            </w:r>
          </w:p>
          <w:p w:rsidR="00372D0C" w:rsidRPr="00325808" w:rsidRDefault="005C178A" w:rsidP="00325808">
            <w:pPr>
              <w:rPr>
                <w:rFonts w:ascii="Times New Roman" w:hAnsi="Times New Roman" w:cs="Times New Roman"/>
              </w:rPr>
            </w:pPr>
            <w:r w:rsidRPr="00325808">
              <w:rPr>
                <w:rFonts w:ascii="Times New Roman" w:hAnsi="Times New Roman" w:cs="Times New Roman"/>
              </w:rPr>
              <w:t>O: 13</w:t>
            </w:r>
          </w:p>
          <w:p w:rsidR="00372D0C" w:rsidRPr="00325808" w:rsidRDefault="005C178A" w:rsidP="00325808">
            <w:pPr>
              <w:rPr>
                <w:rFonts w:ascii="Times New Roman" w:hAnsi="Times New Roman" w:cs="Times New Roman"/>
              </w:rPr>
            </w:pPr>
            <w:r w:rsidRPr="00325808">
              <w:rPr>
                <w:rFonts w:ascii="Times New Roman" w:hAnsi="Times New Roman" w:cs="Times New Roman"/>
              </w:rPr>
              <w:t>P: b) iii)</w:t>
            </w:r>
          </w:p>
        </w:tc>
        <w:tc>
          <w:tcPr>
            <w:tcW w:w="3712"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písmeno c) sa vypúšťa</w:t>
            </w:r>
          </w:p>
          <w:p w:rsidR="00372D0C" w:rsidRPr="00325808" w:rsidRDefault="00372D0C" w:rsidP="00325808">
            <w:pPr>
              <w:rPr>
                <w:rFonts w:ascii="Times New Roman" w:hAnsi="Times New Roman" w:cs="Times New Roman"/>
              </w:rPr>
            </w:pPr>
          </w:p>
        </w:tc>
        <w:tc>
          <w:tcPr>
            <w:tcW w:w="1418"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372D0C" w:rsidRPr="00325808" w:rsidRDefault="00372D0C" w:rsidP="00325808">
            <w:pPr>
              <w:rPr>
                <w:rFonts w:ascii="Times New Roman" w:hAnsi="Times New Roman" w:cs="Times New Roman"/>
              </w:rPr>
            </w:pPr>
          </w:p>
        </w:tc>
        <w:tc>
          <w:tcPr>
            <w:tcW w:w="1050" w:type="dxa"/>
          </w:tcPr>
          <w:p w:rsidR="00372D0C" w:rsidRPr="00325808" w:rsidRDefault="00372D0C" w:rsidP="00325808">
            <w:pPr>
              <w:rPr>
                <w:rFonts w:ascii="Times New Roman" w:hAnsi="Times New Roman" w:cs="Times New Roman"/>
              </w:rPr>
            </w:pPr>
          </w:p>
        </w:tc>
        <w:tc>
          <w:tcPr>
            <w:tcW w:w="3657" w:type="dxa"/>
          </w:tcPr>
          <w:p w:rsidR="00372D0C" w:rsidRPr="00325808" w:rsidRDefault="00372D0C" w:rsidP="00325808">
            <w:pPr>
              <w:rPr>
                <w:rFonts w:ascii="Times New Roman" w:hAnsi="Times New Roman" w:cs="Times New Roman"/>
              </w:rPr>
            </w:pPr>
          </w:p>
        </w:tc>
        <w:tc>
          <w:tcPr>
            <w:tcW w:w="830" w:type="dxa"/>
          </w:tcPr>
          <w:p w:rsidR="00372D0C"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72D0C" w:rsidRPr="00325808" w:rsidRDefault="00372D0C" w:rsidP="00325808">
            <w:pPr>
              <w:rPr>
                <w:rFonts w:ascii="Times New Roman" w:hAnsi="Times New Roman" w:cs="Times New Roman"/>
              </w:rPr>
            </w:pPr>
          </w:p>
        </w:tc>
      </w:tr>
      <w:tr w:rsidR="00372D0C" w:rsidRPr="00325808" w:rsidTr="003F282B">
        <w:tc>
          <w:tcPr>
            <w:tcW w:w="1074" w:type="dxa"/>
          </w:tcPr>
          <w:p w:rsidR="00372D0C" w:rsidRPr="00325808" w:rsidRDefault="005C178A" w:rsidP="00325808">
            <w:pPr>
              <w:rPr>
                <w:rFonts w:ascii="Times New Roman" w:hAnsi="Times New Roman" w:cs="Times New Roman"/>
              </w:rPr>
            </w:pPr>
            <w:r w:rsidRPr="00325808">
              <w:rPr>
                <w:rFonts w:ascii="Times New Roman" w:hAnsi="Times New Roman" w:cs="Times New Roman"/>
              </w:rPr>
              <w:t>Č: 1</w:t>
            </w:r>
          </w:p>
          <w:p w:rsidR="00372D0C" w:rsidRPr="00325808" w:rsidRDefault="005C178A" w:rsidP="00325808">
            <w:pPr>
              <w:rPr>
                <w:rFonts w:ascii="Times New Roman" w:hAnsi="Times New Roman" w:cs="Times New Roman"/>
              </w:rPr>
            </w:pPr>
            <w:r w:rsidRPr="00325808">
              <w:rPr>
                <w:rFonts w:ascii="Times New Roman" w:hAnsi="Times New Roman" w:cs="Times New Roman"/>
              </w:rPr>
              <w:t>O: 13</w:t>
            </w:r>
          </w:p>
          <w:p w:rsidR="005C178A" w:rsidRPr="00325808" w:rsidRDefault="005C178A" w:rsidP="00325808">
            <w:pPr>
              <w:rPr>
                <w:rFonts w:ascii="Times New Roman" w:hAnsi="Times New Roman" w:cs="Times New Roman"/>
              </w:rPr>
            </w:pPr>
            <w:r w:rsidRPr="00325808">
              <w:rPr>
                <w:rFonts w:ascii="Times New Roman" w:hAnsi="Times New Roman" w:cs="Times New Roman"/>
              </w:rPr>
              <w:t>P: b) iv)</w:t>
            </w:r>
          </w:p>
          <w:p w:rsidR="00372D0C" w:rsidRPr="00325808" w:rsidRDefault="00372D0C" w:rsidP="00325808">
            <w:pPr>
              <w:rPr>
                <w:rFonts w:ascii="Times New Roman" w:hAnsi="Times New Roman" w:cs="Times New Roman"/>
              </w:rPr>
            </w:pPr>
          </w:p>
        </w:tc>
        <w:tc>
          <w:tcPr>
            <w:tcW w:w="3712"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tretí pododsek sa nahrádza takto: „V prípade potreby sa percentuálny podiel uvedený v písmene b) primerane upraví, aby rozdelenie predstavovalo 10 %.“</w:t>
            </w:r>
          </w:p>
        </w:tc>
        <w:tc>
          <w:tcPr>
            <w:tcW w:w="1418"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372D0C" w:rsidRPr="00325808" w:rsidRDefault="00372D0C" w:rsidP="00325808">
            <w:pPr>
              <w:rPr>
                <w:rFonts w:ascii="Times New Roman" w:hAnsi="Times New Roman" w:cs="Times New Roman"/>
              </w:rPr>
            </w:pPr>
          </w:p>
        </w:tc>
        <w:tc>
          <w:tcPr>
            <w:tcW w:w="1050" w:type="dxa"/>
          </w:tcPr>
          <w:p w:rsidR="00372D0C" w:rsidRPr="00325808" w:rsidRDefault="00372D0C" w:rsidP="00325808">
            <w:pPr>
              <w:rPr>
                <w:rFonts w:ascii="Times New Roman" w:hAnsi="Times New Roman" w:cs="Times New Roman"/>
              </w:rPr>
            </w:pPr>
          </w:p>
        </w:tc>
        <w:tc>
          <w:tcPr>
            <w:tcW w:w="3657" w:type="dxa"/>
          </w:tcPr>
          <w:p w:rsidR="00372D0C" w:rsidRPr="00325808" w:rsidRDefault="00372D0C" w:rsidP="00325808">
            <w:pPr>
              <w:rPr>
                <w:rFonts w:ascii="Times New Roman" w:hAnsi="Times New Roman" w:cs="Times New Roman"/>
              </w:rPr>
            </w:pPr>
          </w:p>
        </w:tc>
        <w:tc>
          <w:tcPr>
            <w:tcW w:w="830" w:type="dxa"/>
          </w:tcPr>
          <w:p w:rsidR="00372D0C"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72D0C" w:rsidRPr="00325808" w:rsidRDefault="00372D0C" w:rsidP="00325808">
            <w:pPr>
              <w:rPr>
                <w:rFonts w:ascii="Times New Roman" w:hAnsi="Times New Roman" w:cs="Times New Roman"/>
              </w:rPr>
            </w:pPr>
          </w:p>
        </w:tc>
      </w:tr>
      <w:tr w:rsidR="007C6F46" w:rsidRPr="00325808" w:rsidTr="003F282B">
        <w:tc>
          <w:tcPr>
            <w:tcW w:w="1074" w:type="dxa"/>
          </w:tcPr>
          <w:p w:rsidR="007C6F46" w:rsidRPr="00325808" w:rsidRDefault="005C178A" w:rsidP="00325808">
            <w:pPr>
              <w:rPr>
                <w:rFonts w:ascii="Times New Roman" w:hAnsi="Times New Roman" w:cs="Times New Roman"/>
              </w:rPr>
            </w:pPr>
            <w:r w:rsidRPr="00325808">
              <w:rPr>
                <w:rFonts w:ascii="Times New Roman" w:hAnsi="Times New Roman" w:cs="Times New Roman"/>
              </w:rPr>
              <w:t>Č: 1</w:t>
            </w:r>
          </w:p>
          <w:p w:rsidR="007C6F46" w:rsidRPr="00325808" w:rsidRDefault="007C6F46" w:rsidP="00325808">
            <w:pPr>
              <w:rPr>
                <w:rFonts w:ascii="Times New Roman" w:hAnsi="Times New Roman" w:cs="Times New Roman"/>
              </w:rPr>
            </w:pPr>
            <w:r w:rsidRPr="00325808">
              <w:rPr>
                <w:rFonts w:ascii="Times New Roman" w:hAnsi="Times New Roman" w:cs="Times New Roman"/>
              </w:rPr>
              <w:t xml:space="preserve">O: </w:t>
            </w:r>
            <w:r w:rsidR="005C178A" w:rsidRPr="00325808">
              <w:rPr>
                <w:rFonts w:ascii="Times New Roman" w:hAnsi="Times New Roman" w:cs="Times New Roman"/>
              </w:rPr>
              <w:t>1</w:t>
            </w:r>
            <w:r w:rsidRPr="00325808">
              <w:rPr>
                <w:rFonts w:ascii="Times New Roman" w:hAnsi="Times New Roman" w:cs="Times New Roman"/>
              </w:rPr>
              <w:t>3</w:t>
            </w:r>
          </w:p>
          <w:p w:rsidR="00372D0C" w:rsidRPr="00325808" w:rsidRDefault="005C178A" w:rsidP="00325808">
            <w:pPr>
              <w:rPr>
                <w:rFonts w:ascii="Times New Roman" w:hAnsi="Times New Roman" w:cs="Times New Roman"/>
              </w:rPr>
            </w:pPr>
            <w:r w:rsidRPr="00325808">
              <w:rPr>
                <w:rFonts w:ascii="Times New Roman" w:hAnsi="Times New Roman" w:cs="Times New Roman"/>
              </w:rPr>
              <w:t>P: c) i)</w:t>
            </w:r>
          </w:p>
        </w:tc>
        <w:tc>
          <w:tcPr>
            <w:tcW w:w="3712" w:type="dxa"/>
          </w:tcPr>
          <w:p w:rsidR="007C6F46" w:rsidRPr="00325808" w:rsidRDefault="00372D0C" w:rsidP="00325808">
            <w:pPr>
              <w:rPr>
                <w:rFonts w:ascii="Times New Roman" w:hAnsi="Times New Roman" w:cs="Times New Roman"/>
              </w:rPr>
            </w:pPr>
            <w:r w:rsidRPr="00325808">
              <w:rPr>
                <w:rFonts w:ascii="Times New Roman" w:hAnsi="Times New Roman" w:cs="Times New Roman"/>
              </w:rPr>
              <w:t>b) vývoj obnoviteľných energií s cieľom splniť záväzok Únie v oblasti obnoviteľných energií, ako aj vývoj ďalších technológií, ktoré prispievajú k prechodu na bezpečné a udržateľné nízkouhlíkové hospodárstvo, a pomoc pri plnení záväzku Únie zvýšiť energetickú efektívnosť podľa úrovní stanovených v príslušných legislatívnych aktoch;</w:t>
            </w:r>
          </w:p>
        </w:tc>
        <w:tc>
          <w:tcPr>
            <w:tcW w:w="1418" w:type="dxa"/>
          </w:tcPr>
          <w:p w:rsidR="007C6F46"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7C6F46" w:rsidRPr="00325808" w:rsidRDefault="007C6F46" w:rsidP="00325808">
            <w:pPr>
              <w:rPr>
                <w:rFonts w:ascii="Times New Roman" w:hAnsi="Times New Roman" w:cs="Times New Roman"/>
              </w:rPr>
            </w:pPr>
          </w:p>
        </w:tc>
        <w:tc>
          <w:tcPr>
            <w:tcW w:w="1050" w:type="dxa"/>
          </w:tcPr>
          <w:p w:rsidR="007C6F46" w:rsidRPr="00325808" w:rsidRDefault="007C6F46" w:rsidP="00325808">
            <w:pPr>
              <w:rPr>
                <w:rFonts w:ascii="Times New Roman" w:hAnsi="Times New Roman" w:cs="Times New Roman"/>
              </w:rPr>
            </w:pPr>
          </w:p>
        </w:tc>
        <w:tc>
          <w:tcPr>
            <w:tcW w:w="3657" w:type="dxa"/>
          </w:tcPr>
          <w:p w:rsidR="007C6F46" w:rsidRPr="00325808" w:rsidRDefault="007C6F46" w:rsidP="00325808">
            <w:pPr>
              <w:rPr>
                <w:rFonts w:ascii="Times New Roman" w:hAnsi="Times New Roman" w:cs="Times New Roman"/>
              </w:rPr>
            </w:pPr>
          </w:p>
        </w:tc>
        <w:tc>
          <w:tcPr>
            <w:tcW w:w="830" w:type="dxa"/>
          </w:tcPr>
          <w:p w:rsidR="007C6F46"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7C6F46" w:rsidRPr="00325808" w:rsidRDefault="007C6F46" w:rsidP="00325808">
            <w:pPr>
              <w:rPr>
                <w:rFonts w:ascii="Times New Roman" w:hAnsi="Times New Roman" w:cs="Times New Roman"/>
              </w:rPr>
            </w:pPr>
          </w:p>
        </w:tc>
      </w:tr>
      <w:tr w:rsidR="00372D0C" w:rsidRPr="00325808" w:rsidTr="003F282B">
        <w:tc>
          <w:tcPr>
            <w:tcW w:w="1074" w:type="dxa"/>
          </w:tcPr>
          <w:p w:rsidR="00372D0C" w:rsidRPr="00325808" w:rsidRDefault="005C178A" w:rsidP="00325808">
            <w:pPr>
              <w:rPr>
                <w:rFonts w:ascii="Times New Roman" w:hAnsi="Times New Roman" w:cs="Times New Roman"/>
              </w:rPr>
            </w:pPr>
            <w:r w:rsidRPr="00325808">
              <w:rPr>
                <w:rFonts w:ascii="Times New Roman" w:hAnsi="Times New Roman" w:cs="Times New Roman"/>
              </w:rPr>
              <w:t>Č: 1</w:t>
            </w:r>
          </w:p>
          <w:p w:rsidR="00372D0C" w:rsidRPr="00325808" w:rsidRDefault="00372D0C" w:rsidP="00325808">
            <w:pPr>
              <w:rPr>
                <w:rFonts w:ascii="Times New Roman" w:hAnsi="Times New Roman" w:cs="Times New Roman"/>
              </w:rPr>
            </w:pPr>
            <w:r w:rsidRPr="00325808">
              <w:rPr>
                <w:rFonts w:ascii="Times New Roman" w:hAnsi="Times New Roman" w:cs="Times New Roman"/>
              </w:rPr>
              <w:t xml:space="preserve">O: </w:t>
            </w:r>
            <w:r w:rsidR="005C178A" w:rsidRPr="00325808">
              <w:rPr>
                <w:rFonts w:ascii="Times New Roman" w:hAnsi="Times New Roman" w:cs="Times New Roman"/>
              </w:rPr>
              <w:t>1</w:t>
            </w:r>
            <w:r w:rsidRPr="00325808">
              <w:rPr>
                <w:rFonts w:ascii="Times New Roman" w:hAnsi="Times New Roman" w:cs="Times New Roman"/>
              </w:rPr>
              <w:t>3</w:t>
            </w:r>
          </w:p>
          <w:p w:rsidR="00372D0C" w:rsidRPr="00325808" w:rsidRDefault="005C178A" w:rsidP="00325808">
            <w:pPr>
              <w:rPr>
                <w:rFonts w:ascii="Times New Roman" w:hAnsi="Times New Roman" w:cs="Times New Roman"/>
              </w:rPr>
            </w:pPr>
            <w:r w:rsidRPr="00325808">
              <w:rPr>
                <w:rFonts w:ascii="Times New Roman" w:hAnsi="Times New Roman" w:cs="Times New Roman"/>
              </w:rPr>
              <w:t>P: c) ii)</w:t>
            </w:r>
          </w:p>
        </w:tc>
        <w:tc>
          <w:tcPr>
            <w:tcW w:w="3712"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h) opatrenia, ktorých cieľom je zlepšiť energetickú efektívnosť, zlepšiť systémy diaľkového vykurovania a izoláciu alebo poskytovať finančnú podporu na riešenie sociálnych aspektov v domácnostiach s nižším a stredným príjmom;</w:t>
            </w:r>
          </w:p>
        </w:tc>
        <w:tc>
          <w:tcPr>
            <w:tcW w:w="1418" w:type="dxa"/>
          </w:tcPr>
          <w:p w:rsidR="00372D0C" w:rsidRPr="00325808" w:rsidRDefault="00372D0C" w:rsidP="00325808">
            <w:pPr>
              <w:rPr>
                <w:rFonts w:ascii="Times New Roman" w:hAnsi="Times New Roman" w:cs="Times New Roman"/>
              </w:rPr>
            </w:pPr>
            <w:r w:rsidRPr="00325808">
              <w:rPr>
                <w:rFonts w:ascii="Times New Roman" w:hAnsi="Times New Roman" w:cs="Times New Roman"/>
              </w:rPr>
              <w:t>n.a.</w:t>
            </w:r>
          </w:p>
        </w:tc>
        <w:tc>
          <w:tcPr>
            <w:tcW w:w="850" w:type="dxa"/>
          </w:tcPr>
          <w:p w:rsidR="00372D0C" w:rsidRPr="00325808" w:rsidRDefault="00372D0C" w:rsidP="00325808">
            <w:pPr>
              <w:rPr>
                <w:rFonts w:ascii="Times New Roman" w:hAnsi="Times New Roman" w:cs="Times New Roman"/>
              </w:rPr>
            </w:pPr>
          </w:p>
        </w:tc>
        <w:tc>
          <w:tcPr>
            <w:tcW w:w="1050" w:type="dxa"/>
          </w:tcPr>
          <w:p w:rsidR="00372D0C" w:rsidRPr="00325808" w:rsidRDefault="00372D0C" w:rsidP="00325808">
            <w:pPr>
              <w:rPr>
                <w:rFonts w:ascii="Times New Roman" w:hAnsi="Times New Roman" w:cs="Times New Roman"/>
              </w:rPr>
            </w:pPr>
          </w:p>
        </w:tc>
        <w:tc>
          <w:tcPr>
            <w:tcW w:w="3657" w:type="dxa"/>
          </w:tcPr>
          <w:p w:rsidR="00372D0C" w:rsidRPr="00325808" w:rsidRDefault="00372D0C" w:rsidP="00325808">
            <w:pPr>
              <w:rPr>
                <w:rFonts w:ascii="Times New Roman" w:hAnsi="Times New Roman" w:cs="Times New Roman"/>
              </w:rPr>
            </w:pPr>
          </w:p>
        </w:tc>
        <w:tc>
          <w:tcPr>
            <w:tcW w:w="830" w:type="dxa"/>
          </w:tcPr>
          <w:p w:rsidR="00372D0C"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72D0C" w:rsidRPr="00325808" w:rsidRDefault="00372D0C" w:rsidP="00325808">
            <w:pPr>
              <w:rPr>
                <w:rFonts w:ascii="Times New Roman" w:hAnsi="Times New Roman" w:cs="Times New Roman"/>
              </w:rPr>
            </w:pPr>
          </w:p>
        </w:tc>
      </w:tr>
      <w:tr w:rsidR="005C178A" w:rsidRPr="00325808" w:rsidTr="003F282B">
        <w:trPr>
          <w:trHeight w:val="3864"/>
        </w:trPr>
        <w:tc>
          <w:tcPr>
            <w:tcW w:w="1074" w:type="dxa"/>
          </w:tcPr>
          <w:p w:rsidR="005C178A" w:rsidRPr="00325808" w:rsidRDefault="005C178A" w:rsidP="00325808">
            <w:pPr>
              <w:rPr>
                <w:rFonts w:ascii="Times New Roman" w:hAnsi="Times New Roman" w:cs="Times New Roman"/>
              </w:rPr>
            </w:pPr>
            <w:r w:rsidRPr="00325808">
              <w:rPr>
                <w:rFonts w:ascii="Times New Roman" w:hAnsi="Times New Roman" w:cs="Times New Roman"/>
              </w:rPr>
              <w:lastRenderedPageBreak/>
              <w:t>Č: 1</w:t>
            </w:r>
          </w:p>
          <w:p w:rsidR="005C178A" w:rsidRPr="00325808" w:rsidRDefault="005C178A" w:rsidP="00325808">
            <w:pPr>
              <w:rPr>
                <w:rFonts w:ascii="Times New Roman" w:hAnsi="Times New Roman" w:cs="Times New Roman"/>
              </w:rPr>
            </w:pPr>
            <w:r w:rsidRPr="00325808">
              <w:rPr>
                <w:rFonts w:ascii="Times New Roman" w:hAnsi="Times New Roman" w:cs="Times New Roman"/>
              </w:rPr>
              <w:t>O: 13</w:t>
            </w:r>
          </w:p>
          <w:p w:rsidR="005C178A" w:rsidRPr="00325808" w:rsidRDefault="005C178A" w:rsidP="00325808">
            <w:pPr>
              <w:rPr>
                <w:rFonts w:ascii="Times New Roman" w:hAnsi="Times New Roman" w:cs="Times New Roman"/>
              </w:rPr>
            </w:pPr>
            <w:r w:rsidRPr="00325808">
              <w:rPr>
                <w:rFonts w:ascii="Times New Roman" w:hAnsi="Times New Roman" w:cs="Times New Roman"/>
              </w:rPr>
              <w:t>P: c) iii)</w:t>
            </w:r>
          </w:p>
          <w:p w:rsidR="005C178A" w:rsidRPr="00325808" w:rsidRDefault="005C178A" w:rsidP="00325808">
            <w:pPr>
              <w:rPr>
                <w:rFonts w:ascii="Times New Roman" w:hAnsi="Times New Roman" w:cs="Times New Roman"/>
              </w:rPr>
            </w:pPr>
          </w:p>
        </w:tc>
        <w:tc>
          <w:tcPr>
            <w:tcW w:w="3712" w:type="dxa"/>
          </w:tcPr>
          <w:p w:rsidR="005C178A" w:rsidRPr="00325808" w:rsidRDefault="005C178A" w:rsidP="00325808">
            <w:pPr>
              <w:rPr>
                <w:rFonts w:ascii="Times New Roman" w:hAnsi="Times New Roman" w:cs="Times New Roman"/>
              </w:rPr>
            </w:pPr>
            <w:r w:rsidRPr="00325808">
              <w:rPr>
                <w:rFonts w:ascii="Times New Roman" w:hAnsi="Times New Roman" w:cs="Times New Roman"/>
              </w:rPr>
              <w:t>j) financovanie opatrení v oblasti klímy v zraniteľných tretích krajinách vrátane opatrení na prispôsobenie sa vplyvom zmeny klímy;</w:t>
            </w:r>
          </w:p>
          <w:p w:rsidR="004D648F" w:rsidRPr="00325808" w:rsidRDefault="004D648F" w:rsidP="00325808">
            <w:pPr>
              <w:rPr>
                <w:rFonts w:ascii="Times New Roman" w:hAnsi="Times New Roman" w:cs="Times New Roman"/>
              </w:rPr>
            </w:pPr>
          </w:p>
          <w:p w:rsidR="005C178A" w:rsidRPr="00325808" w:rsidRDefault="005C178A" w:rsidP="00325808">
            <w:pPr>
              <w:rPr>
                <w:rFonts w:ascii="Times New Roman" w:hAnsi="Times New Roman" w:cs="Times New Roman"/>
              </w:rPr>
            </w:pPr>
            <w:r w:rsidRPr="00325808">
              <w:rPr>
                <w:rFonts w:ascii="Times New Roman" w:hAnsi="Times New Roman" w:cs="Times New Roman"/>
              </w:rPr>
              <w:t>k) podpora budovania zručností a prerozdelenia pracovnej sily s cieľom prispieť k spravodlivému prechodu na nízkouhlíkovéhospodárstvo, najmä v regiónoch, ktorých sa najviac dotkne zmena pracovných miest, a to v intenzívnej koordinácii so sociálnymi partnermi.</w:t>
            </w:r>
          </w:p>
        </w:tc>
        <w:tc>
          <w:tcPr>
            <w:tcW w:w="1418" w:type="dxa"/>
          </w:tcPr>
          <w:p w:rsidR="005C178A" w:rsidRPr="00325808" w:rsidRDefault="005C178A" w:rsidP="00325808">
            <w:pPr>
              <w:rPr>
                <w:rFonts w:ascii="Times New Roman" w:hAnsi="Times New Roman" w:cs="Times New Roman"/>
              </w:rPr>
            </w:pPr>
            <w:r w:rsidRPr="00325808">
              <w:rPr>
                <w:rFonts w:ascii="Times New Roman" w:hAnsi="Times New Roman" w:cs="Times New Roman"/>
              </w:rPr>
              <w:t>n.a.</w:t>
            </w:r>
          </w:p>
        </w:tc>
        <w:tc>
          <w:tcPr>
            <w:tcW w:w="850" w:type="dxa"/>
          </w:tcPr>
          <w:p w:rsidR="005C178A" w:rsidRPr="00325808" w:rsidRDefault="005C178A" w:rsidP="00325808">
            <w:pPr>
              <w:rPr>
                <w:rFonts w:ascii="Times New Roman" w:hAnsi="Times New Roman" w:cs="Times New Roman"/>
              </w:rPr>
            </w:pPr>
          </w:p>
        </w:tc>
        <w:tc>
          <w:tcPr>
            <w:tcW w:w="1050" w:type="dxa"/>
          </w:tcPr>
          <w:p w:rsidR="005C178A" w:rsidRPr="00325808" w:rsidRDefault="005C178A" w:rsidP="00325808">
            <w:pPr>
              <w:rPr>
                <w:rFonts w:ascii="Times New Roman" w:hAnsi="Times New Roman" w:cs="Times New Roman"/>
              </w:rPr>
            </w:pPr>
          </w:p>
        </w:tc>
        <w:tc>
          <w:tcPr>
            <w:tcW w:w="3657" w:type="dxa"/>
          </w:tcPr>
          <w:p w:rsidR="005C178A" w:rsidRPr="00325808" w:rsidRDefault="005C178A" w:rsidP="00325808">
            <w:pPr>
              <w:rPr>
                <w:rFonts w:ascii="Times New Roman" w:hAnsi="Times New Roman" w:cs="Times New Roman"/>
              </w:rPr>
            </w:pPr>
          </w:p>
        </w:tc>
        <w:tc>
          <w:tcPr>
            <w:tcW w:w="830" w:type="dxa"/>
          </w:tcPr>
          <w:p w:rsidR="005C178A" w:rsidRPr="00325808" w:rsidRDefault="005C178A" w:rsidP="00325808">
            <w:pPr>
              <w:rPr>
                <w:rFonts w:ascii="Times New Roman" w:hAnsi="Times New Roman" w:cs="Times New Roman"/>
              </w:rPr>
            </w:pPr>
            <w:r w:rsidRPr="00325808">
              <w:rPr>
                <w:rFonts w:ascii="Times New Roman" w:hAnsi="Times New Roman" w:cs="Times New Roman"/>
              </w:rPr>
              <w:t>n.a.</w:t>
            </w:r>
          </w:p>
        </w:tc>
        <w:tc>
          <w:tcPr>
            <w:tcW w:w="1629" w:type="dxa"/>
          </w:tcPr>
          <w:p w:rsidR="005C178A" w:rsidRPr="00325808" w:rsidRDefault="005C178A" w:rsidP="00325808">
            <w:pPr>
              <w:rPr>
                <w:rFonts w:ascii="Times New Roman" w:hAnsi="Times New Roman" w:cs="Times New Roman"/>
              </w:rPr>
            </w:pPr>
          </w:p>
        </w:tc>
      </w:tr>
      <w:tr w:rsidR="007C6F46" w:rsidRPr="00325808" w:rsidTr="003F282B">
        <w:tc>
          <w:tcPr>
            <w:tcW w:w="1074" w:type="dxa"/>
          </w:tcPr>
          <w:p w:rsidR="007C6F46" w:rsidRPr="00325808" w:rsidRDefault="005C178A" w:rsidP="00325808">
            <w:pPr>
              <w:rPr>
                <w:rFonts w:ascii="Times New Roman" w:hAnsi="Times New Roman" w:cs="Times New Roman"/>
              </w:rPr>
            </w:pPr>
            <w:r w:rsidRPr="00325808">
              <w:rPr>
                <w:rFonts w:ascii="Times New Roman" w:hAnsi="Times New Roman" w:cs="Times New Roman"/>
              </w:rPr>
              <w:t>Č: 1</w:t>
            </w:r>
          </w:p>
          <w:p w:rsidR="007C6F46" w:rsidRPr="00325808" w:rsidRDefault="005C178A" w:rsidP="00325808">
            <w:pPr>
              <w:rPr>
                <w:rFonts w:ascii="Times New Roman" w:hAnsi="Times New Roman" w:cs="Times New Roman"/>
              </w:rPr>
            </w:pPr>
            <w:r w:rsidRPr="00325808">
              <w:rPr>
                <w:rFonts w:ascii="Times New Roman" w:hAnsi="Times New Roman" w:cs="Times New Roman"/>
              </w:rPr>
              <w:t>O: 13</w:t>
            </w:r>
          </w:p>
          <w:p w:rsidR="005C178A" w:rsidRPr="00325808" w:rsidRDefault="005C178A" w:rsidP="00325808">
            <w:pPr>
              <w:rPr>
                <w:rFonts w:ascii="Times New Roman" w:hAnsi="Times New Roman" w:cs="Times New Roman"/>
              </w:rPr>
            </w:pPr>
            <w:r w:rsidRPr="00325808">
              <w:rPr>
                <w:rFonts w:ascii="Times New Roman" w:hAnsi="Times New Roman" w:cs="Times New Roman"/>
              </w:rPr>
              <w:t>P: d)</w:t>
            </w:r>
          </w:p>
        </w:tc>
        <w:tc>
          <w:tcPr>
            <w:tcW w:w="3712" w:type="dxa"/>
          </w:tcPr>
          <w:p w:rsidR="007C6F46" w:rsidRPr="00325808" w:rsidRDefault="004D648F" w:rsidP="00325808">
            <w:pPr>
              <w:rPr>
                <w:rFonts w:ascii="Times New Roman" w:hAnsi="Times New Roman" w:cs="Times New Roman"/>
              </w:rPr>
            </w:pPr>
            <w:r w:rsidRPr="00325808">
              <w:rPr>
                <w:rFonts w:ascii="Times New Roman" w:hAnsi="Times New Roman" w:cs="Times New Roman"/>
              </w:rPr>
              <w:t xml:space="preserve">4. </w:t>
            </w:r>
            <w:r w:rsidR="007C6F46" w:rsidRPr="00325808">
              <w:rPr>
                <w:rFonts w:ascii="Times New Roman" w:hAnsi="Times New Roman" w:cs="Times New Roman"/>
              </w:rPr>
              <w:t>Komisia je splnomocnená prijímať delegované akty v súlade s článkom 23 na doplnenie tejt</w:t>
            </w:r>
            <w:r w:rsidRPr="00325808">
              <w:rPr>
                <w:rFonts w:ascii="Times New Roman" w:hAnsi="Times New Roman" w:cs="Times New Roman"/>
              </w:rPr>
              <w:t xml:space="preserve">o smernice, pokiaľ ide o </w:t>
            </w:r>
            <w:r w:rsidR="007C6F46" w:rsidRPr="00325808">
              <w:rPr>
                <w:rFonts w:ascii="Times New Roman" w:hAnsi="Times New Roman" w:cs="Times New Roman"/>
              </w:rPr>
              <w:t xml:space="preserve">harmonogram, správu a iné aspekty obchodovania formou aukcie, s cieľom zabezpečiť, aby sa uskutočňovalo otvoreným, transparentným, harmonizovaným a nediskriminačným spôsobom. Na tento účel musí byť postup predvídateľný, najmä v súvislosti s harmonogramom a postupnosťou aukcií a odhadovanými množstvami kvót, ktoré sa sprístupnia. </w:t>
            </w:r>
          </w:p>
          <w:p w:rsidR="007C6F46" w:rsidRPr="00325808" w:rsidRDefault="007C6F46" w:rsidP="00325808">
            <w:pPr>
              <w:rPr>
                <w:rFonts w:ascii="Times New Roman" w:hAnsi="Times New Roman" w:cs="Times New Roman"/>
              </w:rPr>
            </w:pPr>
          </w:p>
          <w:p w:rsidR="007C6F46" w:rsidRPr="00325808" w:rsidRDefault="007C6F46" w:rsidP="00325808">
            <w:pPr>
              <w:rPr>
                <w:rFonts w:ascii="Times New Roman" w:hAnsi="Times New Roman" w:cs="Times New Roman"/>
              </w:rPr>
            </w:pPr>
            <w:r w:rsidRPr="00325808">
              <w:rPr>
                <w:rFonts w:ascii="Times New Roman" w:hAnsi="Times New Roman" w:cs="Times New Roman"/>
              </w:rPr>
              <w:t xml:space="preserve">Uvedenými delegovanými aktmi sa zabezpečí, aby boli aukcie navrhnuté tak, aby: </w:t>
            </w:r>
          </w:p>
          <w:p w:rsidR="007C6F46" w:rsidRPr="00325808" w:rsidRDefault="007C6F46" w:rsidP="00325808">
            <w:pPr>
              <w:rPr>
                <w:rFonts w:ascii="Times New Roman" w:hAnsi="Times New Roman" w:cs="Times New Roman"/>
              </w:rPr>
            </w:pPr>
            <w:r w:rsidRPr="00325808">
              <w:rPr>
                <w:rFonts w:ascii="Times New Roman" w:hAnsi="Times New Roman" w:cs="Times New Roman"/>
              </w:rPr>
              <w:t xml:space="preserve">a) prevádzkovatelia, a najmä malé a stredné podniky, na ktoré sa vzťahuje systém EU ETS, mali úplný, </w:t>
            </w:r>
            <w:r w:rsidRPr="00325808">
              <w:rPr>
                <w:rFonts w:ascii="Times New Roman" w:hAnsi="Times New Roman" w:cs="Times New Roman"/>
              </w:rPr>
              <w:lastRenderedPageBreak/>
              <w:t xml:space="preserve">spravodlivý a rovný prístup; b) všetci účastníci mali prístup k rovnakým informáciám v rovnakom čase a aby účastníci neohrozovali priebeh aukcií; </w:t>
            </w:r>
          </w:p>
          <w:p w:rsidR="007C6F46" w:rsidRPr="00325808" w:rsidRDefault="007C6F46" w:rsidP="00325808">
            <w:pPr>
              <w:rPr>
                <w:rFonts w:ascii="Times New Roman" w:hAnsi="Times New Roman" w:cs="Times New Roman"/>
              </w:rPr>
            </w:pPr>
            <w:r w:rsidRPr="00325808">
              <w:rPr>
                <w:rFonts w:ascii="Times New Roman" w:hAnsi="Times New Roman" w:cs="Times New Roman"/>
              </w:rPr>
              <w:t xml:space="preserve">c)organizácia aukcií a účasť na nich boli nákladovo efektívne a aby sa predchádzalo zbytočným administratívnym nákladom, a </w:t>
            </w:r>
          </w:p>
          <w:p w:rsidR="007C6F46" w:rsidRPr="00325808" w:rsidRDefault="007C6F46" w:rsidP="00325808">
            <w:pPr>
              <w:rPr>
                <w:rFonts w:ascii="Times New Roman" w:hAnsi="Times New Roman" w:cs="Times New Roman"/>
              </w:rPr>
            </w:pPr>
            <w:r w:rsidRPr="00325808">
              <w:rPr>
                <w:rFonts w:ascii="Times New Roman" w:hAnsi="Times New Roman" w:cs="Times New Roman"/>
              </w:rPr>
              <w:t>d) bol zabezpečený prístup ku kvótam pre malé zdroje emisií.</w:t>
            </w:r>
          </w:p>
        </w:tc>
        <w:tc>
          <w:tcPr>
            <w:tcW w:w="1418" w:type="dxa"/>
          </w:tcPr>
          <w:p w:rsidR="007C6F46" w:rsidRPr="00325808" w:rsidRDefault="007C6F46"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7C6F46" w:rsidRPr="00325808" w:rsidRDefault="007C6F46" w:rsidP="00325808">
            <w:pPr>
              <w:rPr>
                <w:rFonts w:ascii="Times New Roman" w:hAnsi="Times New Roman" w:cs="Times New Roman"/>
              </w:rPr>
            </w:pPr>
          </w:p>
        </w:tc>
        <w:tc>
          <w:tcPr>
            <w:tcW w:w="1050" w:type="dxa"/>
          </w:tcPr>
          <w:p w:rsidR="007C6F46" w:rsidRPr="00325808" w:rsidRDefault="007C6F46" w:rsidP="00325808">
            <w:pPr>
              <w:rPr>
                <w:rFonts w:ascii="Times New Roman" w:hAnsi="Times New Roman" w:cs="Times New Roman"/>
              </w:rPr>
            </w:pPr>
          </w:p>
        </w:tc>
        <w:tc>
          <w:tcPr>
            <w:tcW w:w="3657" w:type="dxa"/>
          </w:tcPr>
          <w:p w:rsidR="007C6F46" w:rsidRPr="00325808" w:rsidRDefault="007C6F46" w:rsidP="00325808">
            <w:pPr>
              <w:rPr>
                <w:rFonts w:ascii="Times New Roman" w:hAnsi="Times New Roman" w:cs="Times New Roman"/>
              </w:rPr>
            </w:pPr>
          </w:p>
        </w:tc>
        <w:tc>
          <w:tcPr>
            <w:tcW w:w="830" w:type="dxa"/>
          </w:tcPr>
          <w:p w:rsidR="007C6F46"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7C6F46" w:rsidRPr="00325808" w:rsidRDefault="007C6F46" w:rsidP="00325808">
            <w:pPr>
              <w:rPr>
                <w:rFonts w:ascii="Times New Roman" w:hAnsi="Times New Roman" w:cs="Times New Roman"/>
              </w:rPr>
            </w:pPr>
          </w:p>
        </w:tc>
      </w:tr>
      <w:tr w:rsidR="007C6F46" w:rsidRPr="00325808" w:rsidTr="003F282B">
        <w:tc>
          <w:tcPr>
            <w:tcW w:w="1074" w:type="dxa"/>
          </w:tcPr>
          <w:p w:rsidR="007C6F46" w:rsidRPr="00325808" w:rsidRDefault="005C178A" w:rsidP="00325808">
            <w:pPr>
              <w:rPr>
                <w:rFonts w:ascii="Times New Roman" w:hAnsi="Times New Roman" w:cs="Times New Roman"/>
              </w:rPr>
            </w:pPr>
            <w:r w:rsidRPr="00325808">
              <w:rPr>
                <w:rFonts w:ascii="Times New Roman" w:hAnsi="Times New Roman" w:cs="Times New Roman"/>
              </w:rPr>
              <w:t>Č: 1</w:t>
            </w:r>
          </w:p>
          <w:p w:rsidR="007C6F46" w:rsidRPr="00325808" w:rsidRDefault="005C178A" w:rsidP="00325808">
            <w:pPr>
              <w:rPr>
                <w:rFonts w:ascii="Times New Roman" w:hAnsi="Times New Roman" w:cs="Times New Roman"/>
              </w:rPr>
            </w:pPr>
            <w:r w:rsidRPr="00325808">
              <w:rPr>
                <w:rFonts w:ascii="Times New Roman" w:hAnsi="Times New Roman" w:cs="Times New Roman"/>
              </w:rPr>
              <w:t>O: 13</w:t>
            </w:r>
          </w:p>
          <w:p w:rsidR="007C6F46" w:rsidRPr="00325808" w:rsidRDefault="005C178A" w:rsidP="00325808">
            <w:pPr>
              <w:rPr>
                <w:rFonts w:ascii="Times New Roman" w:hAnsi="Times New Roman" w:cs="Times New Roman"/>
              </w:rPr>
            </w:pPr>
            <w:r w:rsidRPr="00325808">
              <w:rPr>
                <w:rFonts w:ascii="Times New Roman" w:hAnsi="Times New Roman" w:cs="Times New Roman"/>
              </w:rPr>
              <w:t>P: e)</w:t>
            </w:r>
          </w:p>
        </w:tc>
        <w:tc>
          <w:tcPr>
            <w:tcW w:w="3712" w:type="dxa"/>
          </w:tcPr>
          <w:p w:rsidR="007C6F46" w:rsidRPr="00325808" w:rsidRDefault="007C6F46" w:rsidP="00325808">
            <w:pPr>
              <w:rPr>
                <w:rFonts w:ascii="Times New Roman" w:hAnsi="Times New Roman" w:cs="Times New Roman"/>
              </w:rPr>
            </w:pPr>
            <w:r w:rsidRPr="00325808">
              <w:rPr>
                <w:rFonts w:ascii="Times New Roman" w:hAnsi="Times New Roman" w:cs="Times New Roman"/>
              </w:rPr>
              <w:t>Každoročne predkladá Európskemu parlamentu a Rade správu o fungovaní trhu s uhlíkom a iných relevantných politík v oblasti klímy a energetiky, ktorá obsahuje aj informácie o priebehu aukcií, likvidite a obchodovaných objemoch a súhrn informácií poskytnutých členskými štátmi o finančných opatreniach uvedených v článku 10a ods. 6.</w:t>
            </w:r>
          </w:p>
        </w:tc>
        <w:tc>
          <w:tcPr>
            <w:tcW w:w="1418" w:type="dxa"/>
          </w:tcPr>
          <w:p w:rsidR="007C6F46" w:rsidRPr="00325808" w:rsidRDefault="007C6F46" w:rsidP="00325808">
            <w:pPr>
              <w:rPr>
                <w:rFonts w:ascii="Times New Roman" w:hAnsi="Times New Roman" w:cs="Times New Roman"/>
              </w:rPr>
            </w:pPr>
            <w:r w:rsidRPr="00325808">
              <w:rPr>
                <w:rFonts w:ascii="Times New Roman" w:hAnsi="Times New Roman" w:cs="Times New Roman"/>
              </w:rPr>
              <w:t>n.a.</w:t>
            </w:r>
          </w:p>
        </w:tc>
        <w:tc>
          <w:tcPr>
            <w:tcW w:w="850" w:type="dxa"/>
          </w:tcPr>
          <w:p w:rsidR="007C6F46" w:rsidRPr="00325808" w:rsidRDefault="007C6F46" w:rsidP="00325808">
            <w:pPr>
              <w:rPr>
                <w:rFonts w:ascii="Times New Roman" w:hAnsi="Times New Roman" w:cs="Times New Roman"/>
              </w:rPr>
            </w:pPr>
          </w:p>
        </w:tc>
        <w:tc>
          <w:tcPr>
            <w:tcW w:w="1050" w:type="dxa"/>
          </w:tcPr>
          <w:p w:rsidR="007C6F46" w:rsidRPr="00325808" w:rsidRDefault="007C6F46" w:rsidP="00325808">
            <w:pPr>
              <w:rPr>
                <w:rFonts w:ascii="Times New Roman" w:hAnsi="Times New Roman" w:cs="Times New Roman"/>
              </w:rPr>
            </w:pPr>
          </w:p>
        </w:tc>
        <w:tc>
          <w:tcPr>
            <w:tcW w:w="3657" w:type="dxa"/>
          </w:tcPr>
          <w:p w:rsidR="007C6F46" w:rsidRPr="00325808" w:rsidRDefault="007C6F46" w:rsidP="00325808">
            <w:pPr>
              <w:rPr>
                <w:rFonts w:ascii="Times New Roman" w:hAnsi="Times New Roman" w:cs="Times New Roman"/>
              </w:rPr>
            </w:pPr>
          </w:p>
        </w:tc>
        <w:tc>
          <w:tcPr>
            <w:tcW w:w="830" w:type="dxa"/>
          </w:tcPr>
          <w:p w:rsidR="007C6F46"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7C6F46" w:rsidRPr="00325808" w:rsidRDefault="007C6F46" w:rsidP="00325808">
            <w:pPr>
              <w:rPr>
                <w:rFonts w:ascii="Times New Roman" w:hAnsi="Times New Roman" w:cs="Times New Roman"/>
              </w:rPr>
            </w:pPr>
          </w:p>
        </w:tc>
      </w:tr>
      <w:tr w:rsidR="00091F89" w:rsidRPr="00325808" w:rsidTr="003F282B">
        <w:tc>
          <w:tcPr>
            <w:tcW w:w="1074" w:type="dxa"/>
          </w:tcPr>
          <w:p w:rsidR="00091F89" w:rsidRPr="00325808" w:rsidRDefault="004D648F" w:rsidP="00325808">
            <w:pPr>
              <w:rPr>
                <w:rFonts w:ascii="Times New Roman" w:hAnsi="Times New Roman" w:cs="Times New Roman"/>
              </w:rPr>
            </w:pPr>
            <w:r w:rsidRPr="00325808">
              <w:rPr>
                <w:rFonts w:ascii="Times New Roman" w:hAnsi="Times New Roman" w:cs="Times New Roman"/>
              </w:rPr>
              <w:t>Č: 1</w:t>
            </w:r>
          </w:p>
          <w:p w:rsidR="00091F89" w:rsidRPr="00325808" w:rsidRDefault="00091F89" w:rsidP="00325808">
            <w:pPr>
              <w:rPr>
                <w:rFonts w:ascii="Times New Roman" w:hAnsi="Times New Roman" w:cs="Times New Roman"/>
              </w:rPr>
            </w:pPr>
            <w:r w:rsidRPr="00325808">
              <w:rPr>
                <w:rFonts w:ascii="Times New Roman" w:hAnsi="Times New Roman" w:cs="Times New Roman"/>
              </w:rPr>
              <w:t>O: 1</w:t>
            </w:r>
            <w:r w:rsidR="004D648F" w:rsidRPr="00325808">
              <w:rPr>
                <w:rFonts w:ascii="Times New Roman" w:hAnsi="Times New Roman" w:cs="Times New Roman"/>
              </w:rPr>
              <w:t>4</w:t>
            </w:r>
          </w:p>
          <w:p w:rsidR="004D648F" w:rsidRPr="00325808" w:rsidRDefault="004D648F" w:rsidP="00325808">
            <w:pPr>
              <w:rPr>
                <w:rFonts w:ascii="Times New Roman" w:hAnsi="Times New Roman" w:cs="Times New Roman"/>
              </w:rPr>
            </w:pPr>
            <w:r w:rsidRPr="00325808">
              <w:rPr>
                <w:rFonts w:ascii="Times New Roman" w:hAnsi="Times New Roman" w:cs="Times New Roman"/>
              </w:rPr>
              <w:t>P: a)</w:t>
            </w:r>
          </w:p>
        </w:tc>
        <w:tc>
          <w:tcPr>
            <w:tcW w:w="3712" w:type="dxa"/>
          </w:tcPr>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v odseku 1 sa prvý a druhý pododsek  nahrádzajú takto: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„1.  Komisia je splnomocnená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prijímať delegované akty v súlade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s článkom 23 na doplnenie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tejto smernice, pokiaľ ide  o  plne  harmonizované  pravidlá  platné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v  celej  Únii  týkajúce sa prideľovania  kvót  uvedených </w:t>
            </w:r>
          </w:p>
          <w:p w:rsidR="00091F89" w:rsidRPr="00325808" w:rsidRDefault="00091F89" w:rsidP="00325808">
            <w:pPr>
              <w:rPr>
                <w:rFonts w:ascii="Times New Roman" w:hAnsi="Times New Roman" w:cs="Times New Roman"/>
              </w:rPr>
            </w:pPr>
            <w:r w:rsidRPr="00325808">
              <w:rPr>
                <w:rFonts w:ascii="Times New Roman" w:hAnsi="Times New Roman" w:cs="Times New Roman"/>
              </w:rPr>
              <w:t>v odsekoch 4, 5, 7 a 19 tohto článku.“</w:t>
            </w:r>
          </w:p>
        </w:tc>
        <w:tc>
          <w:tcPr>
            <w:tcW w:w="1418" w:type="dxa"/>
          </w:tcPr>
          <w:p w:rsidR="00091F89" w:rsidRPr="00325808" w:rsidRDefault="00091F89" w:rsidP="00325808">
            <w:pPr>
              <w:rPr>
                <w:rFonts w:ascii="Times New Roman" w:hAnsi="Times New Roman" w:cs="Times New Roman"/>
              </w:rPr>
            </w:pPr>
            <w:r w:rsidRPr="00325808">
              <w:rPr>
                <w:rFonts w:ascii="Times New Roman" w:hAnsi="Times New Roman" w:cs="Times New Roman"/>
              </w:rPr>
              <w:t>n.a.</w:t>
            </w:r>
          </w:p>
        </w:tc>
        <w:tc>
          <w:tcPr>
            <w:tcW w:w="850" w:type="dxa"/>
          </w:tcPr>
          <w:p w:rsidR="00091F89" w:rsidRPr="00325808" w:rsidRDefault="00091F89" w:rsidP="00325808">
            <w:pPr>
              <w:rPr>
                <w:rFonts w:ascii="Times New Roman" w:hAnsi="Times New Roman" w:cs="Times New Roman"/>
              </w:rPr>
            </w:pPr>
          </w:p>
        </w:tc>
        <w:tc>
          <w:tcPr>
            <w:tcW w:w="1050" w:type="dxa"/>
          </w:tcPr>
          <w:p w:rsidR="00091F89" w:rsidRPr="00325808" w:rsidRDefault="00091F89" w:rsidP="00325808">
            <w:pPr>
              <w:rPr>
                <w:rFonts w:ascii="Times New Roman" w:hAnsi="Times New Roman" w:cs="Times New Roman"/>
              </w:rPr>
            </w:pPr>
          </w:p>
        </w:tc>
        <w:tc>
          <w:tcPr>
            <w:tcW w:w="3657" w:type="dxa"/>
          </w:tcPr>
          <w:p w:rsidR="00091F89" w:rsidRPr="00325808" w:rsidRDefault="00091F89" w:rsidP="00325808">
            <w:pPr>
              <w:rPr>
                <w:rFonts w:ascii="Times New Roman" w:hAnsi="Times New Roman" w:cs="Times New Roman"/>
              </w:rPr>
            </w:pPr>
          </w:p>
        </w:tc>
        <w:tc>
          <w:tcPr>
            <w:tcW w:w="830" w:type="dxa"/>
          </w:tcPr>
          <w:p w:rsidR="00091F89"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091F89" w:rsidRPr="00325808" w:rsidRDefault="00091F89" w:rsidP="00325808">
            <w:pPr>
              <w:rPr>
                <w:rFonts w:ascii="Times New Roman" w:hAnsi="Times New Roman" w:cs="Times New Roman"/>
              </w:rPr>
            </w:pPr>
          </w:p>
        </w:tc>
      </w:tr>
      <w:tr w:rsidR="00091F89" w:rsidRPr="00325808" w:rsidTr="003F282B">
        <w:tc>
          <w:tcPr>
            <w:tcW w:w="1074" w:type="dxa"/>
          </w:tcPr>
          <w:p w:rsidR="00091F89" w:rsidRPr="00325808" w:rsidRDefault="004D648F" w:rsidP="00325808">
            <w:pPr>
              <w:rPr>
                <w:rFonts w:ascii="Times New Roman" w:hAnsi="Times New Roman" w:cs="Times New Roman"/>
              </w:rPr>
            </w:pPr>
            <w:r w:rsidRPr="00325808">
              <w:rPr>
                <w:rFonts w:ascii="Times New Roman" w:hAnsi="Times New Roman" w:cs="Times New Roman"/>
              </w:rPr>
              <w:t>Č: 1</w:t>
            </w:r>
          </w:p>
          <w:p w:rsidR="00091F89" w:rsidRPr="00325808" w:rsidRDefault="004D648F" w:rsidP="00325808">
            <w:pPr>
              <w:rPr>
                <w:rFonts w:ascii="Times New Roman" w:hAnsi="Times New Roman" w:cs="Times New Roman"/>
              </w:rPr>
            </w:pPr>
            <w:r w:rsidRPr="00325808">
              <w:rPr>
                <w:rFonts w:ascii="Times New Roman" w:hAnsi="Times New Roman" w:cs="Times New Roman"/>
              </w:rPr>
              <w:t>O: 14</w:t>
            </w:r>
          </w:p>
          <w:p w:rsidR="004D648F" w:rsidRPr="00325808" w:rsidRDefault="004D648F" w:rsidP="00325808">
            <w:pPr>
              <w:rPr>
                <w:rFonts w:ascii="Times New Roman" w:hAnsi="Times New Roman" w:cs="Times New Roman"/>
              </w:rPr>
            </w:pPr>
            <w:r w:rsidRPr="00325808">
              <w:rPr>
                <w:rFonts w:ascii="Times New Roman" w:hAnsi="Times New Roman" w:cs="Times New Roman"/>
              </w:rPr>
              <w:t>P: b)</w:t>
            </w:r>
          </w:p>
        </w:tc>
        <w:tc>
          <w:tcPr>
            <w:tcW w:w="3712" w:type="dxa"/>
          </w:tcPr>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v odseku 2 sa dopĺňajú tieto pododseky: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„Komisia prijme vykonávacie akty  na  účel  stanovenia  revidovaných  referenčných úrovní  pri bezodplatnom </w:t>
            </w:r>
            <w:r w:rsidRPr="00325808">
              <w:rPr>
                <w:rFonts w:ascii="Times New Roman" w:hAnsi="Times New Roman" w:cs="Times New Roman"/>
              </w:rPr>
              <w:lastRenderedPageBreak/>
              <w:t xml:space="preserve">prideľovaní  kvót.  Uvedené akty  musia byť  v  súlade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s  delegovanými aktmi prijatými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podľa odseku 1  tohto článku a musia spĺňať tieto podmienky: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a)  Na  obdobie od  roku  2021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do  roku  2025 sa  referenčné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úrovne stanovujú  na  základe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informácií </w:t>
            </w:r>
            <w:r w:rsidR="00666540" w:rsidRPr="00325808">
              <w:rPr>
                <w:rFonts w:ascii="Times New Roman" w:hAnsi="Times New Roman" w:cs="Times New Roman"/>
              </w:rPr>
              <w:t xml:space="preserve">predložených </w:t>
            </w:r>
            <w:r w:rsidRPr="00325808">
              <w:rPr>
                <w:rFonts w:ascii="Times New Roman" w:hAnsi="Times New Roman" w:cs="Times New Roman"/>
              </w:rPr>
              <w:t>podľa článku 11  za  roky  2016  a  2017. Na  základe porovnania  týchto  referenčnýc</w:t>
            </w:r>
            <w:r w:rsidR="00666540" w:rsidRPr="00325808">
              <w:rPr>
                <w:rFonts w:ascii="Times New Roman" w:hAnsi="Times New Roman" w:cs="Times New Roman"/>
              </w:rPr>
              <w:t xml:space="preserve">h  úrovní s </w:t>
            </w:r>
            <w:r w:rsidRPr="00325808">
              <w:rPr>
                <w:rFonts w:ascii="Times New Roman" w:hAnsi="Times New Roman" w:cs="Times New Roman"/>
              </w:rPr>
              <w:t xml:space="preserve">referenčnými úrovňami  uvedenými v  rozhodnutí </w:t>
            </w:r>
            <w:r w:rsidR="00666540" w:rsidRPr="00325808">
              <w:rPr>
                <w:rFonts w:ascii="Times New Roman" w:hAnsi="Times New Roman" w:cs="Times New Roman"/>
              </w:rPr>
              <w:t xml:space="preserve">Komisie </w:t>
            </w:r>
            <w:r w:rsidRPr="00325808">
              <w:rPr>
                <w:rFonts w:ascii="Times New Roman" w:hAnsi="Times New Roman" w:cs="Times New Roman"/>
              </w:rPr>
              <w:t xml:space="preserve">2011/278/EÚ </w:t>
            </w:r>
            <w:r w:rsidR="00666540" w:rsidRPr="00325808">
              <w:rPr>
                <w:rFonts w:ascii="Times New Roman" w:hAnsi="Times New Roman" w:cs="Times New Roman"/>
              </w:rPr>
              <w:t xml:space="preserve">(*),  ktoré  sa  prijalo 27.  apríla 2011, určí Komisia pre každú referenčnú úroveň ročnú mieru zníženia, ktorú uplatní na referenčné úrovne platné v  období </w:t>
            </w:r>
            <w:r w:rsidRPr="00325808">
              <w:rPr>
                <w:rFonts w:ascii="Times New Roman" w:hAnsi="Times New Roman" w:cs="Times New Roman"/>
              </w:rPr>
              <w:t>ro</w:t>
            </w:r>
            <w:r w:rsidR="00666540" w:rsidRPr="00325808">
              <w:rPr>
                <w:rFonts w:ascii="Times New Roman" w:hAnsi="Times New Roman" w:cs="Times New Roman"/>
              </w:rPr>
              <w:t xml:space="preserve">kov  2013  až  2020  za  každý </w:t>
            </w:r>
            <w:r w:rsidRPr="00325808">
              <w:rPr>
                <w:rFonts w:ascii="Times New Roman" w:hAnsi="Times New Roman" w:cs="Times New Roman"/>
              </w:rPr>
              <w:t>rok  od  roku  2008  do  rok</w:t>
            </w:r>
            <w:r w:rsidR="00666540" w:rsidRPr="00325808">
              <w:rPr>
                <w:rFonts w:ascii="Times New Roman" w:hAnsi="Times New Roman" w:cs="Times New Roman"/>
              </w:rPr>
              <w:t xml:space="preserve">u  2023  na  účely  stanovenia referenčných úrovní na obdobie </w:t>
            </w:r>
            <w:r w:rsidRPr="00325808">
              <w:rPr>
                <w:rFonts w:ascii="Times New Roman" w:hAnsi="Times New Roman" w:cs="Times New Roman"/>
              </w:rPr>
              <w:t xml:space="preserve">rokov 2021 až 2025. </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b)  Ak  ročná  miera  zníženia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presahuje </w:t>
            </w:r>
            <w:r w:rsidR="00091F89" w:rsidRPr="00325808">
              <w:rPr>
                <w:rFonts w:ascii="Times New Roman" w:hAnsi="Times New Roman" w:cs="Times New Roman"/>
              </w:rPr>
              <w:t xml:space="preserve">1,6  %  alebo  je  nižšia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ako  0,2  %,  referenčnými úrovňami  na  obdobie </w:t>
            </w:r>
            <w:r w:rsidR="00091F89" w:rsidRPr="00325808">
              <w:rPr>
                <w:rFonts w:ascii="Times New Roman" w:hAnsi="Times New Roman" w:cs="Times New Roman"/>
              </w:rPr>
              <w:t>ro</w:t>
            </w:r>
            <w:r w:rsidRPr="00325808">
              <w:rPr>
                <w:rFonts w:ascii="Times New Roman" w:hAnsi="Times New Roman" w:cs="Times New Roman"/>
              </w:rPr>
              <w:t xml:space="preserve">kov 2021 až 2025 sú referenčné úrovne uplatniteľné v období </w:t>
            </w:r>
            <w:r w:rsidR="00091F89" w:rsidRPr="00325808">
              <w:rPr>
                <w:rFonts w:ascii="Times New Roman" w:hAnsi="Times New Roman" w:cs="Times New Roman"/>
              </w:rPr>
              <w:t xml:space="preserve">rokov 2013 </w:t>
            </w:r>
            <w:r w:rsidRPr="00325808">
              <w:rPr>
                <w:rFonts w:ascii="Times New Roman" w:hAnsi="Times New Roman" w:cs="Times New Roman"/>
              </w:rPr>
              <w:t xml:space="preserve">až 2020, ktoré sa znížia podľa jednej </w:t>
            </w:r>
            <w:r w:rsidR="00091F89" w:rsidRPr="00325808">
              <w:rPr>
                <w:rFonts w:ascii="Times New Roman" w:hAnsi="Times New Roman" w:cs="Times New Roman"/>
              </w:rPr>
              <w:t>z dvoch uvedenýc</w:t>
            </w:r>
            <w:r w:rsidRPr="00325808">
              <w:rPr>
                <w:rFonts w:ascii="Times New Roman" w:hAnsi="Times New Roman" w:cs="Times New Roman"/>
              </w:rPr>
              <w:t>h percentuálny</w:t>
            </w:r>
            <w:r w:rsidR="00091F89" w:rsidRPr="00325808">
              <w:rPr>
                <w:rFonts w:ascii="Times New Roman" w:hAnsi="Times New Roman" w:cs="Times New Roman"/>
              </w:rPr>
              <w:t>ch mier, a to po</w:t>
            </w:r>
            <w:r w:rsidRPr="00325808">
              <w:rPr>
                <w:rFonts w:ascii="Times New Roman" w:hAnsi="Times New Roman" w:cs="Times New Roman"/>
              </w:rPr>
              <w:t xml:space="preserve">dľa toho, ktorá je relevantná, </w:t>
            </w:r>
            <w:r w:rsidR="00091F89" w:rsidRPr="00325808">
              <w:rPr>
                <w:rFonts w:ascii="Times New Roman" w:hAnsi="Times New Roman" w:cs="Times New Roman"/>
              </w:rPr>
              <w:t xml:space="preserve">za každý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rok od roku </w:t>
            </w:r>
            <w:r w:rsidR="00091F89" w:rsidRPr="00325808">
              <w:rPr>
                <w:rFonts w:ascii="Times New Roman" w:hAnsi="Times New Roman" w:cs="Times New Roman"/>
              </w:rPr>
              <w:t xml:space="preserve">2008 do roku 2023.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c)   Na  obdobie </w:t>
            </w:r>
            <w:r w:rsidR="00091F89" w:rsidRPr="00325808">
              <w:rPr>
                <w:rFonts w:ascii="Times New Roman" w:hAnsi="Times New Roman" w:cs="Times New Roman"/>
              </w:rPr>
              <w:t xml:space="preserve">rokov  2026  až  2030  sa  referenčné úrovne  </w:t>
            </w:r>
            <w:r w:rsidRPr="00325808">
              <w:rPr>
                <w:rFonts w:ascii="Times New Roman" w:hAnsi="Times New Roman" w:cs="Times New Roman"/>
              </w:rPr>
              <w:t xml:space="preserve">stanovia rovnakým </w:t>
            </w:r>
            <w:r w:rsidR="00091F89" w:rsidRPr="00325808">
              <w:rPr>
                <w:rFonts w:ascii="Times New Roman" w:hAnsi="Times New Roman" w:cs="Times New Roman"/>
              </w:rPr>
              <w:t xml:space="preserve">spôsobom, </w:t>
            </w:r>
          </w:p>
          <w:p w:rsidR="00091F89" w:rsidRPr="00325808" w:rsidRDefault="00666540" w:rsidP="00325808">
            <w:pPr>
              <w:rPr>
                <w:rFonts w:ascii="Times New Roman" w:hAnsi="Times New Roman" w:cs="Times New Roman"/>
              </w:rPr>
            </w:pPr>
            <w:r w:rsidRPr="00325808">
              <w:rPr>
                <w:rFonts w:ascii="Times New Roman" w:hAnsi="Times New Roman" w:cs="Times New Roman"/>
              </w:rPr>
              <w:lastRenderedPageBreak/>
              <w:t xml:space="preserve">ako  je  uvedené v písmenách a) a b), na základe informácií predložených podľa článku </w:t>
            </w:r>
            <w:r w:rsidR="00091F89" w:rsidRPr="00325808">
              <w:rPr>
                <w:rFonts w:ascii="Times New Roman" w:hAnsi="Times New Roman" w:cs="Times New Roman"/>
              </w:rPr>
              <w:t xml:space="preserve">11 za roky 2021 a 2022 a na základe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uplatnenia ročnej </w:t>
            </w:r>
            <w:r w:rsidR="00091F89" w:rsidRPr="00325808">
              <w:rPr>
                <w:rFonts w:ascii="Times New Roman" w:hAnsi="Times New Roman" w:cs="Times New Roman"/>
              </w:rPr>
              <w:t xml:space="preserve">miery zníženia </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za každý rok v období rokov 2008 až 2028. </w:t>
            </w:r>
          </w:p>
          <w:p w:rsidR="00666540" w:rsidRPr="00325808" w:rsidRDefault="00666540" w:rsidP="00325808">
            <w:pPr>
              <w:rPr>
                <w:rFonts w:ascii="Times New Roman" w:hAnsi="Times New Roman" w:cs="Times New Roman"/>
              </w:rPr>
            </w:pP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Pokiaľ  ide  o  referenčné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úrovne  aromatických </w:t>
            </w:r>
            <w:r w:rsidR="00091F89" w:rsidRPr="00325808">
              <w:rPr>
                <w:rFonts w:ascii="Times New Roman" w:hAnsi="Times New Roman" w:cs="Times New Roman"/>
              </w:rPr>
              <w:t>uh</w:t>
            </w:r>
            <w:r w:rsidRPr="00325808">
              <w:rPr>
                <w:rFonts w:ascii="Times New Roman" w:hAnsi="Times New Roman" w:cs="Times New Roman"/>
              </w:rPr>
              <w:t>ľovodíkov,  vodíka  a  syntetic</w:t>
            </w:r>
            <w:r w:rsidR="00091F89" w:rsidRPr="00325808">
              <w:rPr>
                <w:rFonts w:ascii="Times New Roman" w:hAnsi="Times New Roman" w:cs="Times New Roman"/>
              </w:rPr>
              <w:t xml:space="preserve">kého  plynu, </w:t>
            </w:r>
          </w:p>
          <w:p w:rsidR="00091F89" w:rsidRPr="00325808" w:rsidRDefault="00091F89" w:rsidP="00325808">
            <w:pPr>
              <w:rPr>
                <w:rFonts w:ascii="Times New Roman" w:hAnsi="Times New Roman" w:cs="Times New Roman"/>
              </w:rPr>
            </w:pPr>
            <w:r w:rsidRPr="00325808">
              <w:rPr>
                <w:rFonts w:ascii="Times New Roman" w:hAnsi="Times New Roman" w:cs="Times New Roman"/>
              </w:rPr>
              <w:t>u</w:t>
            </w:r>
            <w:r w:rsidR="00666540" w:rsidRPr="00325808">
              <w:rPr>
                <w:rFonts w:ascii="Times New Roman" w:hAnsi="Times New Roman" w:cs="Times New Roman"/>
              </w:rPr>
              <w:t xml:space="preserve">vedené referenčné úrovne  sa  na  základe výnimky upravia  o  rovnaké  percento </w:t>
            </w:r>
            <w:r w:rsidRPr="00325808">
              <w:rPr>
                <w:rFonts w:ascii="Times New Roman" w:hAnsi="Times New Roman" w:cs="Times New Roman"/>
              </w:rPr>
              <w:t xml:space="preserve">ako  referenčné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úrovne </w:t>
            </w:r>
            <w:r w:rsidR="00091F89" w:rsidRPr="00325808">
              <w:rPr>
                <w:rFonts w:ascii="Times New Roman" w:hAnsi="Times New Roman" w:cs="Times New Roman"/>
              </w:rPr>
              <w:t xml:space="preserve">rafinérií,  aby  sa  zachovali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rovnaké podmienky </w:t>
            </w:r>
            <w:r w:rsidR="00091F89" w:rsidRPr="00325808">
              <w:rPr>
                <w:rFonts w:ascii="Times New Roman" w:hAnsi="Times New Roman" w:cs="Times New Roman"/>
              </w:rPr>
              <w:t xml:space="preserve">pre výrobcov </w:t>
            </w:r>
          </w:p>
          <w:p w:rsidR="00091F89" w:rsidRPr="00325808" w:rsidRDefault="00666540" w:rsidP="00325808">
            <w:pPr>
              <w:rPr>
                <w:rFonts w:ascii="Times New Roman" w:hAnsi="Times New Roman" w:cs="Times New Roman"/>
              </w:rPr>
            </w:pPr>
            <w:r w:rsidRPr="00325808">
              <w:rPr>
                <w:rFonts w:ascii="Times New Roman" w:hAnsi="Times New Roman" w:cs="Times New Roman"/>
              </w:rPr>
              <w:t>týchto produkto</w:t>
            </w:r>
            <w:r w:rsidR="00091F89" w:rsidRPr="00325808">
              <w:rPr>
                <w:rFonts w:ascii="Times New Roman" w:hAnsi="Times New Roman" w:cs="Times New Roman"/>
              </w:rPr>
              <w:t xml:space="preserve">v. </w:t>
            </w:r>
          </w:p>
          <w:p w:rsidR="00666540" w:rsidRPr="00325808" w:rsidRDefault="00666540" w:rsidP="00325808">
            <w:pPr>
              <w:rPr>
                <w:rFonts w:ascii="Times New Roman" w:hAnsi="Times New Roman" w:cs="Times New Roman"/>
              </w:rPr>
            </w:pPr>
          </w:p>
          <w:p w:rsidR="00091F89" w:rsidRPr="00325808" w:rsidRDefault="00666540" w:rsidP="00325808">
            <w:pPr>
              <w:rPr>
                <w:rFonts w:ascii="Times New Roman" w:hAnsi="Times New Roman" w:cs="Times New Roman"/>
              </w:rPr>
            </w:pPr>
            <w:r w:rsidRPr="00325808">
              <w:rPr>
                <w:rFonts w:ascii="Times New Roman" w:hAnsi="Times New Roman" w:cs="Times New Roman"/>
              </w:rPr>
              <w:t>Vykonávaci</w:t>
            </w:r>
            <w:r w:rsidR="00091F89" w:rsidRPr="00325808">
              <w:rPr>
                <w:rFonts w:ascii="Times New Roman" w:hAnsi="Times New Roman" w:cs="Times New Roman"/>
              </w:rPr>
              <w:t xml:space="preserve">e  akty  uvedené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v  treťom pododseku sa  prijmú  v  súlade s  postupom </w:t>
            </w:r>
            <w:r w:rsidR="00091F89" w:rsidRPr="00325808">
              <w:rPr>
                <w:rFonts w:ascii="Times New Roman" w:hAnsi="Times New Roman" w:cs="Times New Roman"/>
              </w:rPr>
              <w:t xml:space="preserve">preskúmania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uvedeným v článku </w:t>
            </w:r>
            <w:r w:rsidR="00091F89" w:rsidRPr="00325808">
              <w:rPr>
                <w:rFonts w:ascii="Times New Roman" w:hAnsi="Times New Roman" w:cs="Times New Roman"/>
              </w:rPr>
              <w:t xml:space="preserve">22a ods. 2. </w:t>
            </w:r>
          </w:p>
          <w:p w:rsidR="00666540" w:rsidRPr="00325808" w:rsidRDefault="00666540" w:rsidP="00325808">
            <w:pPr>
              <w:rPr>
                <w:rFonts w:ascii="Times New Roman" w:hAnsi="Times New Roman" w:cs="Times New Roman"/>
              </w:rPr>
            </w:pPr>
          </w:p>
          <w:p w:rsidR="00091F89" w:rsidRPr="00325808" w:rsidRDefault="00666540" w:rsidP="00325808">
            <w:pPr>
              <w:rPr>
                <w:rFonts w:ascii="Times New Roman" w:hAnsi="Times New Roman" w:cs="Times New Roman"/>
              </w:rPr>
            </w:pPr>
            <w:r w:rsidRPr="00325808">
              <w:rPr>
                <w:rFonts w:ascii="Times New Roman" w:hAnsi="Times New Roman" w:cs="Times New Roman"/>
              </w:rPr>
              <w:t>S cieľom podpor</w:t>
            </w:r>
            <w:r w:rsidR="00091F89" w:rsidRPr="00325808">
              <w:rPr>
                <w:rFonts w:ascii="Times New Roman" w:hAnsi="Times New Roman" w:cs="Times New Roman"/>
              </w:rPr>
              <w:t xml:space="preserve">iť účinné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získavanie energie z odpadových plynov sa referenčná úroveň pre horúci kov, ktorá </w:t>
            </w:r>
            <w:r w:rsidR="00091F89" w:rsidRPr="00325808">
              <w:rPr>
                <w:rFonts w:ascii="Times New Roman" w:hAnsi="Times New Roman" w:cs="Times New Roman"/>
              </w:rPr>
              <w:t xml:space="preserve">sa  týka  prevažne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odpadových plynov,  počas  obdobia uvedeného </w:t>
            </w:r>
            <w:r w:rsidR="00091F89" w:rsidRPr="00325808">
              <w:rPr>
                <w:rFonts w:ascii="Times New Roman" w:hAnsi="Times New Roman" w:cs="Times New Roman"/>
              </w:rPr>
              <w:t xml:space="preserve">v  písmene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b)  tretieho </w:t>
            </w:r>
            <w:r w:rsidR="00091F89" w:rsidRPr="00325808">
              <w:rPr>
                <w:rFonts w:ascii="Times New Roman" w:hAnsi="Times New Roman" w:cs="Times New Roman"/>
              </w:rPr>
              <w:t>pododseku</w:t>
            </w:r>
          </w:p>
          <w:p w:rsidR="00091F89" w:rsidRPr="00325808" w:rsidRDefault="00091F89" w:rsidP="00325808">
            <w:pPr>
              <w:rPr>
                <w:rFonts w:ascii="Times New Roman" w:hAnsi="Times New Roman" w:cs="Times New Roman"/>
              </w:rPr>
            </w:pPr>
            <w:r w:rsidRPr="00325808">
              <w:rPr>
                <w:rFonts w:ascii="Times New Roman" w:hAnsi="Times New Roman" w:cs="Times New Roman"/>
              </w:rPr>
              <w:t xml:space="preserve">aktualizuje s ročnou sadzbou </w:t>
            </w:r>
            <w:r w:rsidR="00666540" w:rsidRPr="00325808">
              <w:rPr>
                <w:rFonts w:ascii="Times New Roman" w:hAnsi="Times New Roman" w:cs="Times New Roman"/>
              </w:rPr>
              <w:t xml:space="preserve">zníženia </w:t>
            </w:r>
            <w:r w:rsidRPr="00325808">
              <w:rPr>
                <w:rFonts w:ascii="Times New Roman" w:hAnsi="Times New Roman" w:cs="Times New Roman"/>
              </w:rPr>
              <w:t xml:space="preserve">vo výške 0,2 %.  </w:t>
            </w:r>
          </w:p>
          <w:p w:rsidR="00666540" w:rsidRPr="00325808" w:rsidRDefault="00666540" w:rsidP="00325808">
            <w:pPr>
              <w:rPr>
                <w:rFonts w:ascii="Times New Roman" w:hAnsi="Times New Roman" w:cs="Times New Roman"/>
              </w:rPr>
            </w:pP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 Rozhodnutie Komisie 2011/278/EÚ z  27.  apríla </w:t>
            </w:r>
            <w:r w:rsidR="00091F89" w:rsidRPr="00325808">
              <w:rPr>
                <w:rFonts w:ascii="Times New Roman" w:hAnsi="Times New Roman" w:cs="Times New Roman"/>
              </w:rPr>
              <w:t xml:space="preserve">2011, </w:t>
            </w:r>
          </w:p>
          <w:p w:rsidR="00091F89" w:rsidRPr="00325808" w:rsidRDefault="00666540" w:rsidP="00325808">
            <w:pPr>
              <w:rPr>
                <w:rFonts w:ascii="Times New Roman" w:hAnsi="Times New Roman" w:cs="Times New Roman"/>
              </w:rPr>
            </w:pPr>
            <w:r w:rsidRPr="00325808">
              <w:rPr>
                <w:rFonts w:ascii="Times New Roman" w:hAnsi="Times New Roman" w:cs="Times New Roman"/>
              </w:rPr>
              <w:lastRenderedPageBreak/>
              <w:t xml:space="preserve">ktorým </w:t>
            </w:r>
            <w:r w:rsidR="00091F89" w:rsidRPr="00325808">
              <w:rPr>
                <w:rFonts w:ascii="Times New Roman" w:hAnsi="Times New Roman" w:cs="Times New Roman"/>
              </w:rPr>
              <w:t xml:space="preserve">sa  ustanovujú  prechodné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pravidlá harmonizácie bezodplatného </w:t>
            </w:r>
            <w:r w:rsidR="00091F89" w:rsidRPr="00325808">
              <w:rPr>
                <w:rFonts w:ascii="Times New Roman" w:hAnsi="Times New Roman" w:cs="Times New Roman"/>
              </w:rPr>
              <w:t xml:space="preserve">prideľovania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emisných  kvót  podľa </w:t>
            </w:r>
            <w:r w:rsidR="00091F89" w:rsidRPr="00325808">
              <w:rPr>
                <w:rFonts w:ascii="Times New Roman" w:hAnsi="Times New Roman" w:cs="Times New Roman"/>
              </w:rPr>
              <w:t xml:space="preserve">článku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10a  smernice  Európskeho parlamentu </w:t>
            </w:r>
            <w:r w:rsidR="00091F89" w:rsidRPr="00325808">
              <w:rPr>
                <w:rFonts w:ascii="Times New Roman" w:hAnsi="Times New Roman" w:cs="Times New Roman"/>
              </w:rPr>
              <w:t xml:space="preserve">a Rady 2003/87/ES, </w:t>
            </w:r>
          </w:p>
          <w:p w:rsidR="00091F89" w:rsidRPr="00325808" w:rsidRDefault="00666540" w:rsidP="00325808">
            <w:pPr>
              <w:rPr>
                <w:rFonts w:ascii="Times New Roman" w:hAnsi="Times New Roman" w:cs="Times New Roman"/>
              </w:rPr>
            </w:pPr>
            <w:r w:rsidRPr="00325808">
              <w:rPr>
                <w:rFonts w:ascii="Times New Roman" w:hAnsi="Times New Roman" w:cs="Times New Roman"/>
              </w:rPr>
              <w:t xml:space="preserve">platné </w:t>
            </w:r>
            <w:r w:rsidR="00091F89" w:rsidRPr="00325808">
              <w:rPr>
                <w:rFonts w:ascii="Times New Roman" w:hAnsi="Times New Roman" w:cs="Times New Roman"/>
              </w:rPr>
              <w:t xml:space="preserve">v celej Únii (Ú. v. EÚ L 130, 17.5.2011, </w:t>
            </w:r>
            <w:r w:rsidRPr="00325808">
              <w:rPr>
                <w:rFonts w:ascii="Times New Roman" w:hAnsi="Times New Roman" w:cs="Times New Roman"/>
              </w:rPr>
              <w:t>s. 1).</w:t>
            </w:r>
          </w:p>
        </w:tc>
        <w:tc>
          <w:tcPr>
            <w:tcW w:w="1418" w:type="dxa"/>
          </w:tcPr>
          <w:p w:rsidR="00091F89" w:rsidRPr="00325808" w:rsidRDefault="00091F89"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091F89" w:rsidRPr="00325808" w:rsidRDefault="00091F89" w:rsidP="00325808">
            <w:pPr>
              <w:rPr>
                <w:rFonts w:ascii="Times New Roman" w:hAnsi="Times New Roman" w:cs="Times New Roman"/>
              </w:rPr>
            </w:pPr>
          </w:p>
        </w:tc>
        <w:tc>
          <w:tcPr>
            <w:tcW w:w="1050" w:type="dxa"/>
          </w:tcPr>
          <w:p w:rsidR="00091F89" w:rsidRPr="00325808" w:rsidRDefault="00091F89" w:rsidP="00325808">
            <w:pPr>
              <w:rPr>
                <w:rFonts w:ascii="Times New Roman" w:hAnsi="Times New Roman" w:cs="Times New Roman"/>
              </w:rPr>
            </w:pPr>
          </w:p>
        </w:tc>
        <w:tc>
          <w:tcPr>
            <w:tcW w:w="3657" w:type="dxa"/>
          </w:tcPr>
          <w:p w:rsidR="00091F89" w:rsidRPr="00325808" w:rsidRDefault="00091F89" w:rsidP="00325808">
            <w:pPr>
              <w:rPr>
                <w:rFonts w:ascii="Times New Roman" w:hAnsi="Times New Roman" w:cs="Times New Roman"/>
              </w:rPr>
            </w:pPr>
          </w:p>
        </w:tc>
        <w:tc>
          <w:tcPr>
            <w:tcW w:w="830" w:type="dxa"/>
          </w:tcPr>
          <w:p w:rsidR="00091F89"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091F89" w:rsidRPr="00325808" w:rsidRDefault="00091F89" w:rsidP="00325808">
            <w:pPr>
              <w:rPr>
                <w:rFonts w:ascii="Times New Roman" w:hAnsi="Times New Roman" w:cs="Times New Roman"/>
              </w:rPr>
            </w:pPr>
          </w:p>
        </w:tc>
      </w:tr>
      <w:tr w:rsidR="00091F89" w:rsidRPr="00325808" w:rsidTr="003F282B">
        <w:tc>
          <w:tcPr>
            <w:tcW w:w="1074" w:type="dxa"/>
          </w:tcPr>
          <w:p w:rsidR="00091F89" w:rsidRPr="00325808" w:rsidRDefault="004D648F" w:rsidP="00325808">
            <w:pPr>
              <w:rPr>
                <w:rFonts w:ascii="Times New Roman" w:hAnsi="Times New Roman" w:cs="Times New Roman"/>
              </w:rPr>
            </w:pPr>
            <w:r w:rsidRPr="00325808">
              <w:rPr>
                <w:rFonts w:ascii="Times New Roman" w:hAnsi="Times New Roman" w:cs="Times New Roman"/>
              </w:rPr>
              <w:lastRenderedPageBreak/>
              <w:t>Č: 1</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O: </w:t>
            </w:r>
            <w:r w:rsidR="004D648F" w:rsidRPr="00325808">
              <w:rPr>
                <w:rFonts w:ascii="Times New Roman" w:hAnsi="Times New Roman" w:cs="Times New Roman"/>
              </w:rPr>
              <w:t>1</w:t>
            </w:r>
            <w:r w:rsidRPr="00325808">
              <w:rPr>
                <w:rFonts w:ascii="Times New Roman" w:hAnsi="Times New Roman" w:cs="Times New Roman"/>
              </w:rPr>
              <w:t>4</w:t>
            </w:r>
          </w:p>
          <w:p w:rsidR="004D648F" w:rsidRPr="00325808" w:rsidRDefault="004D648F" w:rsidP="00325808">
            <w:pPr>
              <w:rPr>
                <w:rFonts w:ascii="Times New Roman" w:hAnsi="Times New Roman" w:cs="Times New Roman"/>
              </w:rPr>
            </w:pPr>
            <w:r w:rsidRPr="00325808">
              <w:rPr>
                <w:rFonts w:ascii="Times New Roman" w:hAnsi="Times New Roman" w:cs="Times New Roman"/>
              </w:rPr>
              <w:t>P: c)</w:t>
            </w:r>
          </w:p>
        </w:tc>
        <w:tc>
          <w:tcPr>
            <w:tcW w:w="3712" w:type="dxa"/>
          </w:tcPr>
          <w:p w:rsidR="00666540" w:rsidRPr="00325808" w:rsidRDefault="004D648F"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t xml:space="preserve">4. </w:t>
            </w:r>
            <w:r w:rsidR="00666540" w:rsidRPr="00325808">
              <w:rPr>
                <w:rFonts w:ascii="Times New Roman" w:eastAsia="Times New Roman" w:hAnsi="Times New Roman" w:cs="Times New Roman"/>
                <w:lang w:eastAsia="sk-SK"/>
              </w:rPr>
              <w:t xml:space="preserve">V súvislosti s výrobou tepla alebo chladením sa bezodplatné kvóty prideľujú na diaľkové vykurovanie a vysokoúčinnú </w:t>
            </w:r>
            <w:r w:rsidRPr="00325808">
              <w:rPr>
                <w:rFonts w:ascii="Times New Roman" w:eastAsia="Times New Roman" w:hAnsi="Times New Roman" w:cs="Times New Roman"/>
                <w:lang w:eastAsia="sk-SK"/>
              </w:rPr>
              <w:t>kogeneráciu</w:t>
            </w:r>
            <w:r w:rsidR="00666540" w:rsidRPr="00325808">
              <w:rPr>
                <w:rFonts w:ascii="Times New Roman" w:eastAsia="Times New Roman" w:hAnsi="Times New Roman" w:cs="Times New Roman"/>
                <w:lang w:eastAsia="sk-SK"/>
              </w:rPr>
              <w:t>v zmysle vymedzenia v smernici Európskeho parlamentu a Rady 2012/27/EÚ (*) s cieľom uspokojiť hospodársky odôvodnený dopyt. Po roku 2013 sa každoročne celkové mno</w:t>
            </w:r>
            <w:r w:rsidRPr="00325808">
              <w:rPr>
                <w:rFonts w:ascii="Times New Roman" w:eastAsia="Times New Roman" w:hAnsi="Times New Roman" w:cs="Times New Roman"/>
                <w:lang w:eastAsia="sk-SK"/>
              </w:rPr>
              <w:t xml:space="preserve">žstvo kvót pridelených takýmto </w:t>
            </w:r>
            <w:r w:rsidR="00666540" w:rsidRPr="00325808">
              <w:rPr>
                <w:rFonts w:ascii="Times New Roman" w:eastAsia="Times New Roman" w:hAnsi="Times New Roman" w:cs="Times New Roman"/>
                <w:lang w:eastAsia="sk-SK"/>
              </w:rPr>
              <w:t>zariadeniam v súvislosti s výrobou tohto tepla upraví o lineárny koeficient uvedený v článku 9 tejto smernice s výnimkou rokov, v kto</w:t>
            </w:r>
            <w:r w:rsidRPr="00325808">
              <w:rPr>
                <w:rFonts w:ascii="Times New Roman" w:eastAsia="Times New Roman" w:hAnsi="Times New Roman" w:cs="Times New Roman"/>
                <w:lang w:eastAsia="sk-SK"/>
              </w:rPr>
              <w:t xml:space="preserve">rých sa tieto prídely upravujú </w:t>
            </w:r>
            <w:r w:rsidR="00666540" w:rsidRPr="00325808">
              <w:rPr>
                <w:rFonts w:ascii="Times New Roman" w:eastAsia="Times New Roman" w:hAnsi="Times New Roman" w:cs="Times New Roman"/>
                <w:lang w:eastAsia="sk-SK"/>
              </w:rPr>
              <w:t xml:space="preserve">jednotným spôsobom v súlade s odsekom 5 tohto článku. </w:t>
            </w:r>
          </w:p>
          <w:p w:rsidR="00666540" w:rsidRPr="00325808" w:rsidRDefault="00666540" w:rsidP="00325808">
            <w:pPr>
              <w:rPr>
                <w:rFonts w:ascii="Times New Roman" w:eastAsia="Times New Roman" w:hAnsi="Times New Roman" w:cs="Times New Roman"/>
                <w:lang w:eastAsia="sk-SK"/>
              </w:rPr>
            </w:pPr>
          </w:p>
          <w:p w:rsidR="00666540" w:rsidRPr="00325808" w:rsidRDefault="00666540"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t xml:space="preserve">(*) Smernica Európskeho parlamentu a Rady 2012/27/EÚ </w:t>
            </w:r>
          </w:p>
          <w:p w:rsidR="00666540" w:rsidRPr="00325808" w:rsidRDefault="00666540"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t>z 25. októbra 201</w:t>
            </w:r>
            <w:r w:rsidR="004D648F" w:rsidRPr="00325808">
              <w:rPr>
                <w:rFonts w:ascii="Times New Roman" w:eastAsia="Times New Roman" w:hAnsi="Times New Roman" w:cs="Times New Roman"/>
                <w:lang w:eastAsia="sk-SK"/>
              </w:rPr>
              <w:t>2 o energetickej efektívnosti, ktorou sa menia a dopĺňa</w:t>
            </w:r>
            <w:r w:rsidRPr="00325808">
              <w:rPr>
                <w:rFonts w:ascii="Times New Roman" w:eastAsia="Times New Roman" w:hAnsi="Times New Roman" w:cs="Times New Roman"/>
                <w:lang w:eastAsia="sk-SK"/>
              </w:rPr>
              <w:t xml:space="preserve">jú smernice 2009/125/ES </w:t>
            </w:r>
          </w:p>
          <w:p w:rsidR="00091F89" w:rsidRPr="00325808" w:rsidRDefault="004D648F"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t xml:space="preserve">a 2010/30/EÚ a ktorou </w:t>
            </w:r>
            <w:r w:rsidR="00666540" w:rsidRPr="00325808">
              <w:rPr>
                <w:rFonts w:ascii="Times New Roman" w:eastAsia="Times New Roman" w:hAnsi="Times New Roman" w:cs="Times New Roman"/>
                <w:lang w:eastAsia="sk-SK"/>
              </w:rPr>
              <w:t>sa zrušujú smernice 2004</w:t>
            </w:r>
            <w:r w:rsidRPr="00325808">
              <w:rPr>
                <w:rFonts w:ascii="Times New Roman" w:eastAsia="Times New Roman" w:hAnsi="Times New Roman" w:cs="Times New Roman"/>
                <w:lang w:eastAsia="sk-SK"/>
              </w:rPr>
              <w:t xml:space="preserve">/8/ES </w:t>
            </w:r>
            <w:r w:rsidR="00666540" w:rsidRPr="00325808">
              <w:rPr>
                <w:rFonts w:ascii="Times New Roman" w:eastAsia="Times New Roman" w:hAnsi="Times New Roman" w:cs="Times New Roman"/>
                <w:lang w:eastAsia="sk-SK"/>
              </w:rPr>
              <w:t>a 2006/32/E</w:t>
            </w:r>
            <w:r w:rsidRPr="00325808">
              <w:rPr>
                <w:rFonts w:ascii="Times New Roman" w:eastAsia="Times New Roman" w:hAnsi="Times New Roman" w:cs="Times New Roman"/>
                <w:lang w:eastAsia="sk-SK"/>
              </w:rPr>
              <w:t xml:space="preserve">S (Ú. v. EÚ L 315, 14.11.2012, </w:t>
            </w:r>
            <w:r w:rsidR="00666540" w:rsidRPr="00325808">
              <w:rPr>
                <w:rFonts w:ascii="Times New Roman" w:eastAsia="Times New Roman" w:hAnsi="Times New Roman" w:cs="Times New Roman"/>
                <w:lang w:eastAsia="sk-SK"/>
              </w:rPr>
              <w:t>s. 1).</w:t>
            </w:r>
          </w:p>
        </w:tc>
        <w:tc>
          <w:tcPr>
            <w:tcW w:w="1418" w:type="dxa"/>
          </w:tcPr>
          <w:p w:rsidR="00091F89" w:rsidRPr="00325808" w:rsidRDefault="00666540" w:rsidP="00325808">
            <w:pPr>
              <w:rPr>
                <w:rFonts w:ascii="Times New Roman" w:hAnsi="Times New Roman" w:cs="Times New Roman"/>
              </w:rPr>
            </w:pPr>
            <w:r w:rsidRPr="00325808">
              <w:rPr>
                <w:rFonts w:ascii="Times New Roman" w:hAnsi="Times New Roman" w:cs="Times New Roman"/>
              </w:rPr>
              <w:t>n.a.</w:t>
            </w:r>
          </w:p>
        </w:tc>
        <w:tc>
          <w:tcPr>
            <w:tcW w:w="850" w:type="dxa"/>
          </w:tcPr>
          <w:p w:rsidR="00091F89" w:rsidRPr="00325808" w:rsidRDefault="00091F89" w:rsidP="00325808">
            <w:pPr>
              <w:rPr>
                <w:rFonts w:ascii="Times New Roman" w:hAnsi="Times New Roman" w:cs="Times New Roman"/>
              </w:rPr>
            </w:pPr>
          </w:p>
        </w:tc>
        <w:tc>
          <w:tcPr>
            <w:tcW w:w="1050" w:type="dxa"/>
          </w:tcPr>
          <w:p w:rsidR="00091F89" w:rsidRPr="00325808" w:rsidRDefault="00091F89" w:rsidP="00325808">
            <w:pPr>
              <w:rPr>
                <w:rFonts w:ascii="Times New Roman" w:hAnsi="Times New Roman" w:cs="Times New Roman"/>
              </w:rPr>
            </w:pPr>
          </w:p>
        </w:tc>
        <w:tc>
          <w:tcPr>
            <w:tcW w:w="3657" w:type="dxa"/>
          </w:tcPr>
          <w:p w:rsidR="00091F89" w:rsidRPr="00325808" w:rsidRDefault="00091F89" w:rsidP="00325808">
            <w:pPr>
              <w:rPr>
                <w:rFonts w:ascii="Times New Roman" w:hAnsi="Times New Roman" w:cs="Times New Roman"/>
              </w:rPr>
            </w:pPr>
          </w:p>
        </w:tc>
        <w:tc>
          <w:tcPr>
            <w:tcW w:w="830" w:type="dxa"/>
          </w:tcPr>
          <w:p w:rsidR="00091F89"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091F89" w:rsidRPr="00325808" w:rsidRDefault="00E436C3" w:rsidP="00325808">
            <w:pPr>
              <w:rPr>
                <w:rFonts w:ascii="Times New Roman" w:hAnsi="Times New Roman" w:cs="Times New Roman"/>
              </w:rPr>
            </w:pPr>
            <w:r w:rsidRPr="00325808">
              <w:rPr>
                <w:rFonts w:ascii="Times New Roman" w:hAnsi="Times New Roman" w:cs="Times New Roman"/>
              </w:rPr>
              <w:t xml:space="preserve">Postup o udeľovaní bezodplatnej alokácie pre 4. obchodovateľné obdobie je definovaný v delegovanom na riadení Komisie EÚ) 2019/331 z 19. decembra 2018, ktorým sa ustanovujú prechodné pravidlá harmonizácie bezodplatného prideľovania emisných kvót podľa článku 10a smernice Európskeho parlamentu a Rady 2003/87/ES, platné v celej </w:t>
            </w:r>
            <w:r w:rsidRPr="00325808">
              <w:rPr>
                <w:rFonts w:ascii="Times New Roman" w:hAnsi="Times New Roman" w:cs="Times New Roman"/>
              </w:rPr>
              <w:lastRenderedPageBreak/>
              <w:t>Únii.</w:t>
            </w:r>
          </w:p>
        </w:tc>
      </w:tr>
      <w:tr w:rsidR="00091F89" w:rsidRPr="00325808" w:rsidTr="003F282B">
        <w:tc>
          <w:tcPr>
            <w:tcW w:w="1074" w:type="dxa"/>
          </w:tcPr>
          <w:p w:rsidR="00666540" w:rsidRPr="00325808" w:rsidRDefault="004D648F" w:rsidP="00325808">
            <w:pPr>
              <w:rPr>
                <w:rFonts w:ascii="Times New Roman" w:hAnsi="Times New Roman" w:cs="Times New Roman"/>
              </w:rPr>
            </w:pPr>
            <w:r w:rsidRPr="00325808">
              <w:rPr>
                <w:rFonts w:ascii="Times New Roman" w:hAnsi="Times New Roman" w:cs="Times New Roman"/>
              </w:rPr>
              <w:t>Č: 1</w:t>
            </w:r>
          </w:p>
          <w:p w:rsidR="00091F89" w:rsidRPr="00325808" w:rsidRDefault="004D648F" w:rsidP="00325808">
            <w:pPr>
              <w:rPr>
                <w:rFonts w:ascii="Times New Roman" w:hAnsi="Times New Roman" w:cs="Times New Roman"/>
              </w:rPr>
            </w:pPr>
            <w:r w:rsidRPr="00325808">
              <w:rPr>
                <w:rFonts w:ascii="Times New Roman" w:hAnsi="Times New Roman" w:cs="Times New Roman"/>
              </w:rPr>
              <w:t>O: 14</w:t>
            </w:r>
          </w:p>
          <w:p w:rsidR="004D648F" w:rsidRPr="00325808" w:rsidRDefault="004D648F" w:rsidP="00325808">
            <w:pPr>
              <w:rPr>
                <w:rFonts w:ascii="Times New Roman" w:hAnsi="Times New Roman" w:cs="Times New Roman"/>
              </w:rPr>
            </w:pPr>
            <w:r w:rsidRPr="00325808">
              <w:rPr>
                <w:rFonts w:ascii="Times New Roman" w:hAnsi="Times New Roman" w:cs="Times New Roman"/>
              </w:rPr>
              <w:t>P: d)</w:t>
            </w:r>
          </w:p>
        </w:tc>
        <w:tc>
          <w:tcPr>
            <w:tcW w:w="3712" w:type="dxa"/>
          </w:tcPr>
          <w:p w:rsidR="00666540" w:rsidRPr="00325808" w:rsidRDefault="004D648F" w:rsidP="00325808">
            <w:pPr>
              <w:rPr>
                <w:rFonts w:ascii="Times New Roman" w:hAnsi="Times New Roman" w:cs="Times New Roman"/>
              </w:rPr>
            </w:pPr>
            <w:r w:rsidRPr="00325808">
              <w:rPr>
                <w:rFonts w:ascii="Times New Roman" w:hAnsi="Times New Roman" w:cs="Times New Roman"/>
              </w:rPr>
              <w:t xml:space="preserve">5. </w:t>
            </w:r>
            <w:r w:rsidR="00666540" w:rsidRPr="00325808">
              <w:rPr>
                <w:rFonts w:ascii="Times New Roman" w:hAnsi="Times New Roman" w:cs="Times New Roman"/>
              </w:rPr>
              <w:t xml:space="preserve">S cieľom dodržať podiel obchodovania  formou  aukcie </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stanovený  v  článku 10  sa  každý </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rok,  v  ktorom množstvo  bezodplatne pridelených  kvót  nedosiahne maximálne množstvo  zodpovedajúce podielu obchodovania formou aukcie, </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zostávajúce kvóty do daného </w:t>
            </w:r>
          </w:p>
          <w:p w:rsidR="00666540" w:rsidRPr="00325808" w:rsidRDefault="00666540" w:rsidP="00325808">
            <w:pPr>
              <w:rPr>
                <w:rFonts w:ascii="Times New Roman" w:hAnsi="Times New Roman" w:cs="Times New Roman"/>
              </w:rPr>
            </w:pPr>
            <w:r w:rsidRPr="00325808">
              <w:rPr>
                <w:rFonts w:ascii="Times New Roman" w:hAnsi="Times New Roman" w:cs="Times New Roman"/>
              </w:rPr>
              <w:t xml:space="preserve">množstva použijú na zabránenie </w:t>
            </w:r>
          </w:p>
          <w:p w:rsidR="00666540" w:rsidRPr="00325808" w:rsidRDefault="00666540" w:rsidP="00325808">
            <w:pPr>
              <w:rPr>
                <w:rFonts w:ascii="Times New Roman" w:hAnsi="Times New Roman" w:cs="Times New Roman"/>
              </w:rPr>
            </w:pPr>
            <w:r w:rsidRPr="00325808">
              <w:rPr>
                <w:rFonts w:ascii="Times New Roman" w:hAnsi="Times New Roman" w:cs="Times New Roman"/>
              </w:rPr>
              <w:t>zníženiu množstva bezod</w:t>
            </w:r>
            <w:r w:rsidR="007A3E68" w:rsidRPr="00325808">
              <w:rPr>
                <w:rFonts w:ascii="Times New Roman" w:hAnsi="Times New Roman" w:cs="Times New Roman"/>
              </w:rPr>
              <w:t xml:space="preserve">platne pridelených  kvót  alebo </w:t>
            </w:r>
            <w:r w:rsidRPr="00325808">
              <w:rPr>
                <w:rFonts w:ascii="Times New Roman" w:hAnsi="Times New Roman" w:cs="Times New Roman"/>
              </w:rPr>
              <w:t xml:space="preserve">obmedzenie jeho  zníženia, </w:t>
            </w:r>
          </w:p>
          <w:p w:rsidR="00666540" w:rsidRPr="00325808" w:rsidRDefault="00666540" w:rsidP="00325808">
            <w:pPr>
              <w:rPr>
                <w:rFonts w:ascii="Times New Roman" w:hAnsi="Times New Roman" w:cs="Times New Roman"/>
              </w:rPr>
            </w:pPr>
            <w:r w:rsidRPr="00325808">
              <w:rPr>
                <w:rFonts w:ascii="Times New Roman" w:hAnsi="Times New Roman" w:cs="Times New Roman"/>
              </w:rPr>
              <w:t>aby  sa  zachoval  podiel obchodo</w:t>
            </w:r>
            <w:r w:rsidR="007A3E68" w:rsidRPr="00325808">
              <w:rPr>
                <w:rFonts w:ascii="Times New Roman" w:hAnsi="Times New Roman" w:cs="Times New Roman"/>
              </w:rPr>
              <w:t xml:space="preserve">vania  formou </w:t>
            </w:r>
            <w:r w:rsidRPr="00325808">
              <w:rPr>
                <w:rFonts w:ascii="Times New Roman" w:hAnsi="Times New Roman" w:cs="Times New Roman"/>
              </w:rPr>
              <w:t xml:space="preserve">aukcie v ďalších rokoch. Ak  sa maximálne </w:t>
            </w:r>
            <w:r w:rsidR="007A3E68" w:rsidRPr="00325808">
              <w:rPr>
                <w:rFonts w:ascii="Times New Roman" w:hAnsi="Times New Roman" w:cs="Times New Roman"/>
              </w:rPr>
              <w:t xml:space="preserve">množstvo </w:t>
            </w:r>
            <w:r w:rsidRPr="00325808">
              <w:rPr>
                <w:rFonts w:ascii="Times New Roman" w:hAnsi="Times New Roman" w:cs="Times New Roman"/>
              </w:rPr>
              <w:t xml:space="preserve">napriek  tomu dosiahne, bezodplatne pridelené kvóty sa </w:t>
            </w:r>
          </w:p>
          <w:p w:rsidR="00091F89" w:rsidRPr="00325808" w:rsidRDefault="00666540" w:rsidP="00325808">
            <w:pPr>
              <w:rPr>
                <w:rFonts w:ascii="Times New Roman" w:hAnsi="Times New Roman" w:cs="Times New Roman"/>
              </w:rPr>
            </w:pPr>
            <w:r w:rsidRPr="00325808">
              <w:rPr>
                <w:rFonts w:ascii="Times New Roman" w:hAnsi="Times New Roman" w:cs="Times New Roman"/>
              </w:rPr>
              <w:t>zodpovedajúci</w:t>
            </w:r>
            <w:r w:rsidR="007A3E68" w:rsidRPr="00325808">
              <w:rPr>
                <w:rFonts w:ascii="Times New Roman" w:hAnsi="Times New Roman" w:cs="Times New Roman"/>
              </w:rPr>
              <w:t xml:space="preserve">m spôsobom upravia. Každá takáto úprava sa vykonáva jednotným </w:t>
            </w:r>
            <w:r w:rsidRPr="00325808">
              <w:rPr>
                <w:rFonts w:ascii="Times New Roman" w:hAnsi="Times New Roman" w:cs="Times New Roman"/>
              </w:rPr>
              <w:t>spôsobom.</w:t>
            </w:r>
          </w:p>
        </w:tc>
        <w:tc>
          <w:tcPr>
            <w:tcW w:w="1418" w:type="dxa"/>
          </w:tcPr>
          <w:p w:rsidR="00091F89" w:rsidRPr="00325808" w:rsidRDefault="007A3E68" w:rsidP="00325808">
            <w:pPr>
              <w:rPr>
                <w:rFonts w:ascii="Times New Roman" w:hAnsi="Times New Roman" w:cs="Times New Roman"/>
              </w:rPr>
            </w:pPr>
            <w:r w:rsidRPr="00325808">
              <w:rPr>
                <w:rFonts w:ascii="Times New Roman" w:hAnsi="Times New Roman" w:cs="Times New Roman"/>
              </w:rPr>
              <w:t>n.a.</w:t>
            </w:r>
          </w:p>
        </w:tc>
        <w:tc>
          <w:tcPr>
            <w:tcW w:w="850" w:type="dxa"/>
          </w:tcPr>
          <w:p w:rsidR="00091F89" w:rsidRPr="00325808" w:rsidRDefault="00091F89" w:rsidP="00325808">
            <w:pPr>
              <w:rPr>
                <w:rFonts w:ascii="Times New Roman" w:hAnsi="Times New Roman" w:cs="Times New Roman"/>
              </w:rPr>
            </w:pPr>
          </w:p>
        </w:tc>
        <w:tc>
          <w:tcPr>
            <w:tcW w:w="1050" w:type="dxa"/>
          </w:tcPr>
          <w:p w:rsidR="00091F89" w:rsidRPr="00325808" w:rsidRDefault="00091F89" w:rsidP="00325808">
            <w:pPr>
              <w:rPr>
                <w:rFonts w:ascii="Times New Roman" w:hAnsi="Times New Roman" w:cs="Times New Roman"/>
              </w:rPr>
            </w:pPr>
          </w:p>
        </w:tc>
        <w:tc>
          <w:tcPr>
            <w:tcW w:w="3657" w:type="dxa"/>
          </w:tcPr>
          <w:p w:rsidR="00091F89" w:rsidRPr="00325808" w:rsidRDefault="00091F89" w:rsidP="00325808">
            <w:pPr>
              <w:rPr>
                <w:rFonts w:ascii="Times New Roman" w:hAnsi="Times New Roman" w:cs="Times New Roman"/>
              </w:rPr>
            </w:pPr>
          </w:p>
        </w:tc>
        <w:tc>
          <w:tcPr>
            <w:tcW w:w="830" w:type="dxa"/>
          </w:tcPr>
          <w:p w:rsidR="00091F89" w:rsidRPr="00325808" w:rsidRDefault="00585222"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prípade uplatnenia jednotného medziodvetvového korekčného faktora, Európska komisia príjme rozhodnutie pokiaľ ide o jeho stanovenie v zmysle čl. 10a ods. 1 smernice Európskeho parlamentu a Rady 2003/87/ES, platné v celej Únii.</w:t>
            </w:r>
          </w:p>
          <w:p w:rsidR="003F282B" w:rsidRPr="00325808" w:rsidRDefault="003F282B" w:rsidP="00325808">
            <w:pPr>
              <w:jc w:val="center"/>
              <w:rPr>
                <w:rFonts w:ascii="Times New Roman" w:hAnsi="Times New Roman" w:cs="Times New Roman"/>
              </w:rPr>
            </w:pPr>
          </w:p>
          <w:p w:rsidR="003F282B" w:rsidRPr="00325808" w:rsidRDefault="003F282B" w:rsidP="00325808">
            <w:pPr>
              <w:rPr>
                <w:rFonts w:ascii="Times New Roman" w:hAnsi="Times New Roman" w:cs="Times New Roman"/>
              </w:rPr>
            </w:pPr>
          </w:p>
        </w:tc>
      </w:tr>
      <w:tr w:rsidR="003F282B" w:rsidRPr="00325808" w:rsidTr="003F282B">
        <w:trPr>
          <w:trHeight w:val="6071"/>
        </w:trPr>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e)</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5a. Odchylne  od  odseku 5  sa  v  potrebnom rozsahu použije dodatočné množstvo  až  do  výšky </w:t>
            </w:r>
          </w:p>
          <w:p w:rsidR="003F282B" w:rsidRPr="00325808" w:rsidRDefault="003F282B" w:rsidP="00325808">
            <w:pPr>
              <w:rPr>
                <w:rFonts w:ascii="Times New Roman" w:hAnsi="Times New Roman" w:cs="Times New Roman"/>
              </w:rPr>
            </w:pPr>
            <w:r w:rsidRPr="00325808">
              <w:rPr>
                <w:rFonts w:ascii="Times New Roman" w:hAnsi="Times New Roman" w:cs="Times New Roman"/>
              </w:rPr>
              <w:t>3  % celkového množstva kvót s cieľom zvýšiť maximálne množstvo dostupné podľa odseku 5.</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5b. Ak  je  na  zvýšenie maximálneho množstva dostupného podľa odseku 5  potrebné menej ako  3  % celkového množstva kvót: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  maximálne 50  miliónov kvót  sa  použije na  zvýšeniemnožstva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kvót,  ktoré  sú  k  dispozícii na  podporu inovácie v súlade s článkom 10a ods. 8, 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  maximálne 0,5 % celkového </w:t>
            </w:r>
          </w:p>
          <w:p w:rsidR="003F282B" w:rsidRPr="00325808" w:rsidRDefault="003F282B" w:rsidP="00325808">
            <w:pPr>
              <w:rPr>
                <w:rFonts w:ascii="Times New Roman" w:hAnsi="Times New Roman" w:cs="Times New Roman"/>
              </w:rPr>
            </w:pPr>
            <w:r w:rsidRPr="00325808">
              <w:rPr>
                <w:rFonts w:ascii="Times New Roman" w:hAnsi="Times New Roman" w:cs="Times New Roman"/>
              </w:rPr>
              <w:t>množstva kvót sa použije na zvýšenie množstva kvót, ktoré sú k dispozícii na modernizáciu energetických systémov určitých členských štátov v súlade s článkom 10d.</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prípade uplatnenia jednotného medziodvetvového korekčného faktora, Európska komisia príjme rozhodnutie pokiaľ ide o jeho stanovenie v zmysle čl. 10a ods. 1 smernice Európskeho parlamentu a Rady 2003/87/ES, platné v celej Únii.</w:t>
            </w:r>
          </w:p>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f)</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6. Členské  štáty  by  mali  prijať  finančné opatrenia v  súlade s  druhým a  štvrtým  pododsekom  v  prospech odvetví alebo  pododvetví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vystavených  skutočnému riziku  úniku uhlíka v  dôsledku výrazných nepriamych nákladov, ktoré v skutočnosti vznikajú z premietania nákladov súvisiacich s emisiami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skleníkových plynov do cien  elektrickej  energie, a  to  za  </w:t>
            </w:r>
            <w:r w:rsidRPr="00325808">
              <w:rPr>
                <w:rFonts w:ascii="Times New Roman" w:hAnsi="Times New Roman" w:cs="Times New Roman"/>
              </w:rPr>
              <w:lastRenderedPageBreak/>
              <w:t xml:space="preserve">predpokladu, že  takéto  finančné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opatrenia sú  v  súlade s  pravidlami </w:t>
            </w:r>
          </w:p>
          <w:p w:rsidR="003F282B" w:rsidRPr="00325808" w:rsidRDefault="003F282B" w:rsidP="00325808">
            <w:pPr>
              <w:rPr>
                <w:rFonts w:ascii="Times New Roman" w:hAnsi="Times New Roman" w:cs="Times New Roman"/>
              </w:rPr>
            </w:pPr>
            <w:r w:rsidRPr="00325808">
              <w:rPr>
                <w:rFonts w:ascii="Times New Roman" w:hAnsi="Times New Roman" w:cs="Times New Roman"/>
              </w:rPr>
              <w:t>štátnej pomoci, a najmä že nespôsobujú nenáležité narušenie hospodárskej súťaže na vnútornom trhu. Ak suma, ktorá je k dispozícii na takéto finančné opatrenia, presiahne 25 % príjmov z obchodovania s kvótami formou aukcie, dotknutý členský štát uvedie dôvody presiahnutia tejto výšky.</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Členské  štáty  sa  tiež  snažia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využívať najviac 25  %  príjmov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z  obchodovania  s  kvótami formou  aukcie na finančné opatrenia uvedené v prvom pododseku.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Členské štáty, ktoré zavedú takéto finančné opatrenia, do troch mesiacov od  konca  každého roka  zverejnia v  jednoducho  prístupnej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forme  celkovú  sumu kompenzácie poskytnutú v prospech jednotlivých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odvetví a pododvetví. Od roku 2018 v každom roku, v ktorom členský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štát použije  na  takéto  účely  viac  ako  25  %  príjmov z obchodovania  s  kvótami formou  aukcie, uverejní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správu, v  ktorej uvedie dôvody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presiahnutia tohto  množstva.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Správa musí  obsahovaťpríslušné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informácie o  cenách elektrickej  energie pre  veľkých priemyselných  spotrebiteľov využívajúcich  takéto finančné opatrenia bez  toho, aby boli dotknuté požiadavky týkajúce sa </w:t>
            </w:r>
            <w:r w:rsidRPr="00325808">
              <w:rPr>
                <w:rFonts w:ascii="Times New Roman" w:hAnsi="Times New Roman" w:cs="Times New Roman"/>
              </w:rPr>
              <w:lastRenderedPageBreak/>
              <w:t>ochrany dôverných informácií. Správa musí obsahovať aj informácie o tom, či sa náležite zohľadnili iné opatrenia zamerané na udržateľné zníženie nepriamych nákladov na uhlík v strednodobom až dlhodobom horizonte.</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Komisia zahrnie  do  správy stanovenej  v  článku 10  ods.  5  okrem iného aj  posúdenie účinkov  takýchto finančných opatrení na  vnútorný  trh  a  v  prípade potreby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odporučí  opatrenia, ktoré  môžu </w:t>
            </w:r>
          </w:p>
          <w:p w:rsidR="003F282B" w:rsidRPr="00325808" w:rsidRDefault="003F282B" w:rsidP="00325808">
            <w:pPr>
              <w:rPr>
                <w:rFonts w:ascii="Times New Roman" w:hAnsi="Times New Roman" w:cs="Times New Roman"/>
              </w:rPr>
            </w:pPr>
            <w:r w:rsidRPr="00325808">
              <w:rPr>
                <w:rFonts w:ascii="Times New Roman" w:hAnsi="Times New Roman" w:cs="Times New Roman"/>
              </w:rPr>
              <w:t>byť  podľa tohto posúdenia potrebné.</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Uvedené opatrenia musia byť také, aby sa zabezpečila primeraná ochrana proti riziku úniku uhlíka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na základe referenčných úrovní  ex  ante  pre  nepriame  emisie CO2 na  jednotku produkcie. Uvedené referenčné úrovne  ex ante  sa  vypočítavajú  pre  dané  odvetvie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alebo  pododvetvie ako  súčin  spotreby elektrickej  energie na  jednotku produkcie, ktorá  zodpovedá najúčinnejším dostupným technológiám, a  emisií </w:t>
            </w:r>
          </w:p>
          <w:p w:rsidR="003F282B" w:rsidRPr="00325808" w:rsidRDefault="003F282B" w:rsidP="00325808">
            <w:pPr>
              <w:rPr>
                <w:rFonts w:ascii="Times New Roman" w:hAnsi="Times New Roman" w:cs="Times New Roman"/>
              </w:rPr>
            </w:pPr>
            <w:r w:rsidRPr="00325808">
              <w:rPr>
                <w:rFonts w:ascii="Times New Roman" w:hAnsi="Times New Roman" w:cs="Times New Roman"/>
              </w:rPr>
              <w:t>CO2 spojených s  výrobou elektrickej energie v rámci priemerného európskeho energetického mixu.</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w:t>
            </w:r>
          </w:p>
        </w:tc>
        <w:tc>
          <w:tcPr>
            <w:tcW w:w="850" w:type="dxa"/>
          </w:tcPr>
          <w:p w:rsidR="004F274A" w:rsidRPr="00325808" w:rsidRDefault="007D0A33" w:rsidP="00325808">
            <w:pPr>
              <w:rPr>
                <w:rFonts w:ascii="Times New Roman" w:hAnsi="Times New Roman" w:cs="Times New Roman"/>
              </w:rPr>
            </w:pPr>
            <w:r w:rsidRPr="00325808">
              <w:rPr>
                <w:rFonts w:ascii="Times New Roman" w:hAnsi="Times New Roman" w:cs="Times New Roman"/>
              </w:rPr>
              <w:t>414/2012</w:t>
            </w:r>
          </w:p>
          <w:p w:rsidR="00C97A9D" w:rsidRPr="00325808" w:rsidRDefault="00C97A9D"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FB5210" w:rsidRPr="00325808" w:rsidRDefault="00FB5210" w:rsidP="00325808">
            <w:pPr>
              <w:rPr>
                <w:rFonts w:ascii="Times New Roman" w:hAnsi="Times New Roman" w:cs="Times New Roman"/>
              </w:rPr>
            </w:pPr>
          </w:p>
          <w:p w:rsidR="00FB5210" w:rsidRPr="00325808" w:rsidRDefault="00FB5210"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DC5C02" w:rsidRPr="00325808" w:rsidRDefault="00DC5C02"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p w:rsidR="000327A9" w:rsidRPr="00325808" w:rsidRDefault="000327A9"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18</w:t>
            </w:r>
          </w:p>
          <w:p w:rsidR="007D0A33" w:rsidRPr="00325808" w:rsidRDefault="003F282B" w:rsidP="00325808">
            <w:pPr>
              <w:rPr>
                <w:rFonts w:ascii="Times New Roman" w:hAnsi="Times New Roman" w:cs="Times New Roman"/>
              </w:rPr>
            </w:pPr>
            <w:r w:rsidRPr="00325808">
              <w:rPr>
                <w:rFonts w:ascii="Times New Roman" w:hAnsi="Times New Roman" w:cs="Times New Roman"/>
              </w:rPr>
              <w:t>O: 4</w:t>
            </w:r>
          </w:p>
          <w:p w:rsidR="002369F1" w:rsidRPr="00325808" w:rsidRDefault="002369F1" w:rsidP="00325808">
            <w:pPr>
              <w:rPr>
                <w:rFonts w:ascii="Times New Roman" w:hAnsi="Times New Roman" w:cs="Times New Roman"/>
              </w:rPr>
            </w:pPr>
          </w:p>
          <w:p w:rsidR="004F274A" w:rsidRPr="00325808" w:rsidRDefault="004F274A" w:rsidP="00325808">
            <w:pPr>
              <w:rPr>
                <w:rFonts w:ascii="Times New Roman" w:hAnsi="Times New Roman" w:cs="Times New Roman"/>
              </w:rPr>
            </w:pPr>
            <w:r w:rsidRPr="00325808">
              <w:rPr>
                <w:rFonts w:ascii="Times New Roman" w:hAnsi="Times New Roman" w:cs="Times New Roman"/>
              </w:rPr>
              <w:t>Č: 1</w:t>
            </w:r>
          </w:p>
          <w:p w:rsidR="004F274A" w:rsidRPr="00325808" w:rsidRDefault="004F274A" w:rsidP="00325808">
            <w:pPr>
              <w:rPr>
                <w:rFonts w:ascii="Times New Roman" w:hAnsi="Times New Roman" w:cs="Times New Roman"/>
              </w:rPr>
            </w:pPr>
            <w:r w:rsidRPr="00325808">
              <w:rPr>
                <w:rFonts w:ascii="Times New Roman" w:hAnsi="Times New Roman" w:cs="Times New Roman"/>
              </w:rPr>
              <w:t>§: 18</w:t>
            </w:r>
          </w:p>
          <w:p w:rsidR="004F274A" w:rsidRPr="00325808" w:rsidRDefault="002369F1" w:rsidP="00325808">
            <w:pPr>
              <w:rPr>
                <w:rFonts w:ascii="Times New Roman" w:hAnsi="Times New Roman" w:cs="Times New Roman"/>
              </w:rPr>
            </w:pPr>
            <w:r w:rsidRPr="00325808">
              <w:rPr>
                <w:rFonts w:ascii="Times New Roman" w:hAnsi="Times New Roman" w:cs="Times New Roman"/>
              </w:rPr>
              <w:t>O: 4</w:t>
            </w:r>
          </w:p>
          <w:p w:rsidR="004F274A" w:rsidRPr="00325808" w:rsidRDefault="007D0A33" w:rsidP="00325808">
            <w:pPr>
              <w:rPr>
                <w:rFonts w:ascii="Times New Roman" w:hAnsi="Times New Roman" w:cs="Times New Roman"/>
              </w:rPr>
            </w:pPr>
            <w:r w:rsidRPr="00325808">
              <w:rPr>
                <w:rFonts w:ascii="Times New Roman" w:hAnsi="Times New Roman" w:cs="Times New Roman"/>
              </w:rPr>
              <w:t>P: b</w:t>
            </w:r>
          </w:p>
          <w:p w:rsidR="003F282B" w:rsidRPr="00325808" w:rsidRDefault="003F282B"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2369F1" w:rsidRPr="00325808" w:rsidRDefault="002369F1" w:rsidP="00325808">
            <w:pPr>
              <w:rPr>
                <w:rFonts w:ascii="Times New Roman" w:hAnsi="Times New Roman" w:cs="Times New Roman"/>
              </w:rPr>
            </w:pPr>
          </w:p>
          <w:p w:rsidR="007D0A33" w:rsidRPr="00325808" w:rsidRDefault="007D0A33"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26</w:t>
            </w:r>
          </w:p>
          <w:p w:rsidR="003F282B" w:rsidRPr="00325808" w:rsidRDefault="003F282B" w:rsidP="00325808">
            <w:pPr>
              <w:rPr>
                <w:rFonts w:ascii="Times New Roman" w:hAnsi="Times New Roman" w:cs="Times New Roman"/>
              </w:rPr>
            </w:pPr>
            <w:r w:rsidRPr="00325808">
              <w:rPr>
                <w:rFonts w:ascii="Times New Roman" w:hAnsi="Times New Roman" w:cs="Times New Roman"/>
              </w:rPr>
              <w:t>O: 1</w:t>
            </w:r>
          </w:p>
          <w:p w:rsidR="003F282B" w:rsidRPr="00325808" w:rsidRDefault="003F282B" w:rsidP="00325808">
            <w:pPr>
              <w:rPr>
                <w:rFonts w:ascii="Times New Roman" w:hAnsi="Times New Roman" w:cs="Times New Roman"/>
              </w:rPr>
            </w:pPr>
            <w:r w:rsidRPr="00325808">
              <w:rPr>
                <w:rFonts w:ascii="Times New Roman" w:hAnsi="Times New Roman" w:cs="Times New Roman"/>
              </w:rPr>
              <w:t>P: g</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32</w:t>
            </w:r>
          </w:p>
          <w:p w:rsidR="003F282B" w:rsidRPr="00325808" w:rsidRDefault="003F282B" w:rsidP="00325808">
            <w:pPr>
              <w:rPr>
                <w:rFonts w:ascii="Times New Roman" w:hAnsi="Times New Roman" w:cs="Times New Roman"/>
              </w:rPr>
            </w:pPr>
            <w:r w:rsidRPr="00325808">
              <w:rPr>
                <w:rFonts w:ascii="Times New Roman" w:hAnsi="Times New Roman" w:cs="Times New Roman"/>
              </w:rPr>
              <w:t>O: 3</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32</w:t>
            </w:r>
          </w:p>
          <w:p w:rsidR="003F282B" w:rsidRPr="00325808" w:rsidRDefault="003F282B" w:rsidP="00325808">
            <w:pPr>
              <w:rPr>
                <w:rFonts w:ascii="Times New Roman" w:hAnsi="Times New Roman" w:cs="Times New Roman"/>
              </w:rPr>
            </w:pPr>
            <w:r w:rsidRPr="00325808">
              <w:rPr>
                <w:rFonts w:ascii="Times New Roman" w:hAnsi="Times New Roman" w:cs="Times New Roman"/>
              </w:rPr>
              <w:t>O: 4</w:t>
            </w:r>
          </w:p>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lastRenderedPageBreak/>
              <w:t>Výnos získaný z dražieb kvót podľa odsekov 1 až 2 je príjmom</w:t>
            </w:r>
            <w:r w:rsidR="007D0A33" w:rsidRPr="00325808">
              <w:rPr>
                <w:rFonts w:ascii="Times New Roman" w:eastAsia="Times New Roman" w:hAnsi="Times New Roman" w:cs="Times New Roman"/>
                <w:lang w:eastAsia="sk-SK"/>
              </w:rPr>
              <w:t xml:space="preserve"> Environmentálneho fondu, pričom</w:t>
            </w:r>
          </w:p>
          <w:p w:rsidR="003F282B" w:rsidRPr="00325808" w:rsidRDefault="003F282B" w:rsidP="00325808">
            <w:pPr>
              <w:rPr>
                <w:rFonts w:ascii="Times New Roman" w:eastAsia="Times New Roman" w:hAnsi="Times New Roman" w:cs="Times New Roman"/>
                <w:lang w:eastAsia="sk-SK"/>
              </w:rPr>
            </w:pPr>
          </w:p>
          <w:p w:rsidR="004F274A" w:rsidRPr="00325808" w:rsidRDefault="003F282B" w:rsidP="00325808">
            <w:pPr>
              <w:rPr>
                <w:rFonts w:ascii="Times New Roman" w:eastAsia="Times New Roman" w:hAnsi="Times New Roman" w:cs="Times New Roman"/>
                <w:lang w:eastAsia="sk-SK"/>
              </w:rPr>
            </w:pPr>
            <w:r w:rsidRPr="00325808">
              <w:rPr>
                <w:rFonts w:ascii="Times New Roman" w:eastAsia="Times New Roman" w:hAnsi="Times New Roman" w:cs="Times New Roman"/>
                <w:lang w:eastAsia="sk-SK"/>
              </w:rPr>
              <w:t xml:space="preserve">b) </w:t>
            </w:r>
            <w:r w:rsidR="007D0A33" w:rsidRPr="00325808">
              <w:rPr>
                <w:rFonts w:ascii="Times New Roman" w:eastAsia="Times New Roman" w:hAnsi="Times New Roman" w:cs="Times New Roman"/>
                <w:lang w:eastAsia="sk-SK"/>
              </w:rPr>
              <w:t>2</w:t>
            </w:r>
            <w:r w:rsidR="004F274A" w:rsidRPr="00325808">
              <w:rPr>
                <w:rFonts w:ascii="Times New Roman" w:eastAsia="Times New Roman" w:hAnsi="Times New Roman" w:cs="Times New Roman"/>
                <w:lang w:eastAsia="sk-SK"/>
              </w:rPr>
              <w:t xml:space="preserve">5 % sa použije na financovanie schémy štátnej pomoci </w:t>
            </w:r>
            <w:r w:rsidR="007D0A33" w:rsidRPr="00325808">
              <w:rPr>
                <w:rFonts w:ascii="Times New Roman" w:eastAsia="Times New Roman" w:hAnsi="Times New Roman" w:cs="Times New Roman"/>
                <w:lang w:eastAsia="sk-SK"/>
              </w:rPr>
              <w:t xml:space="preserve">prevádzkam podľa § 26 ods. 3, v prípade </w:t>
            </w:r>
            <w:r w:rsidR="004F274A" w:rsidRPr="00325808">
              <w:rPr>
                <w:rFonts w:ascii="Times New Roman" w:eastAsia="Times New Roman" w:hAnsi="Times New Roman" w:cs="Times New Roman"/>
                <w:lang w:eastAsia="sk-SK"/>
              </w:rPr>
              <w:t>ktorých sa predpokladá značné riziko úniku uhlíka v súvislosti s premietnutím nákladov kvót do cien elektrickej energie</w:t>
            </w:r>
            <w:r w:rsidRPr="00325808">
              <w:rPr>
                <w:rFonts w:ascii="Times New Roman" w:eastAsia="Times New Roman" w:hAnsi="Times New Roman" w:cs="Times New Roman"/>
                <w:lang w:eastAsia="sk-SK"/>
              </w:rPr>
              <w:t>,</w:t>
            </w:r>
          </w:p>
          <w:p w:rsidR="007D0A33" w:rsidRPr="00325808" w:rsidRDefault="007D0A33"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g) je notifikačným orgánom vo vzťahu ku Komisii a podáva jej správy vo veciach obchodovania </w:t>
            </w:r>
            <w:r w:rsidR="00BA23E4" w:rsidRPr="00325808">
              <w:rPr>
                <w:rFonts w:ascii="Times New Roman" w:hAnsi="Times New Roman" w:cs="Times New Roman"/>
              </w:rPr>
              <w:t xml:space="preserve">s kvótami skleníkových plynov, </w:t>
            </w:r>
            <w:r w:rsidRPr="00325808">
              <w:rPr>
                <w:rFonts w:ascii="Times New Roman" w:hAnsi="Times New Roman" w:cs="Times New Roman"/>
              </w:rPr>
              <w:t>správy o využití príjmov z obchodovania kvót formou dražby a prijatých opatreniach na znižovanie emisií skleníkových plynov</w:t>
            </w:r>
            <w:r w:rsidR="007075E2" w:rsidRPr="00325808">
              <w:rPr>
                <w:rFonts w:ascii="Times New Roman" w:hAnsi="Times New Roman" w:cs="Times New Roman"/>
              </w:rPr>
              <w:t>,</w:t>
            </w:r>
            <w:r w:rsidR="000327A9" w:rsidRPr="00325808">
              <w:rPr>
                <w:rFonts w:ascii="Times New Roman" w:hAnsi="Times New Roman" w:cs="Times New Roman"/>
              </w:rPr>
              <w:t xml:space="preserve"> </w:t>
            </w:r>
            <w:r w:rsidRPr="00325808">
              <w:rPr>
                <w:rFonts w:ascii="Times New Roman" w:hAnsi="Times New Roman" w:cs="Times New Roman"/>
              </w:rPr>
              <w:t>a správy v súvislosti s finančnými opatreniami v prospech odvetví a pododvetví, u ktorých sa predpokladá značné riziko úniku uhlíka v súvislosti s premietnutím nákladov kvót do cien elektrickej energie,</w:t>
            </w:r>
          </w:p>
          <w:p w:rsidR="007075E2" w:rsidRPr="00325808" w:rsidRDefault="007075E2"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Ministerstvo do troch mesiacov od konca každého roka zverejní na svojom webovom sídle celkovú sumu kompenzácie poskytnutú v prospech jednotlivých odvetví a pododvetví vystavených skutočnému riziku úniku uhlíka v dôsledku výrazných nepriamych nákladov, ktoré v skutočnosti vznikajú z premietania nákladov súvisiacich s emisiami skleníkových plynov do cien elektrickej energie.</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Ministerstvo v každom roku, v ktorom použije </w:t>
            </w:r>
            <w:r w:rsidR="007072C2" w:rsidRPr="00325808">
              <w:rPr>
                <w:rFonts w:ascii="Times New Roman" w:hAnsi="Times New Roman" w:cs="Times New Roman"/>
              </w:rPr>
              <w:t xml:space="preserve">na </w:t>
            </w:r>
            <w:r w:rsidRPr="00325808">
              <w:rPr>
                <w:rFonts w:ascii="Times New Roman" w:hAnsi="Times New Roman" w:cs="Times New Roman"/>
              </w:rPr>
              <w:t>účely podľa odseku 3 viac ako 25 % príjmov z obchodo</w:t>
            </w:r>
            <w:r w:rsidR="007072C2" w:rsidRPr="00325808">
              <w:rPr>
                <w:rFonts w:ascii="Times New Roman" w:hAnsi="Times New Roman" w:cs="Times New Roman"/>
              </w:rPr>
              <w:t>vania s kvótami formou aukcie, z</w:t>
            </w:r>
            <w:r w:rsidRPr="00325808">
              <w:rPr>
                <w:rFonts w:ascii="Times New Roman" w:hAnsi="Times New Roman" w:cs="Times New Roman"/>
              </w:rPr>
              <w:t xml:space="preserve">verejní na svojom webovom sídle správu, v ktorej uvedie dôvody presiahnutia </w:t>
            </w:r>
            <w:r w:rsidRPr="00325808">
              <w:rPr>
                <w:rFonts w:ascii="Times New Roman" w:hAnsi="Times New Roman" w:cs="Times New Roman"/>
              </w:rPr>
              <w:lastRenderedPageBreak/>
              <w:t>tohto množstva.</w:t>
            </w: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g)</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 prvý pododsek sa nahrádza takto: „Kvóty z maximálneho množstva uvedeného v odseku 5 tohto článku, </w:t>
            </w:r>
            <w:r w:rsidRPr="00325808">
              <w:rPr>
                <w:rFonts w:ascii="Times New Roman" w:hAnsi="Times New Roman" w:cs="Times New Roman"/>
              </w:rPr>
              <w:lastRenderedPageBreak/>
              <w:t>ktoré sa do roku 2020 nepridelili bezodplatne, sa vyčlenia pre nových účastníkov spolu s 200 miliónmi kvót umiestnenými do trhovej stabilizačnej rezervy podľa článku 1 ods. 3 rozhodnutia (EÚ) 2015/1814. Najviac 200 miliónov z vyčlenených kvót sa na konci obdobia rokov 2021 až 2030 vráti do trhovej stabilizačnej rezervy, pokiaľ sa počas uvedeného obdobia nepridelia. Od roku 2021 sa kvóty, ktoré sa podľa odsekov 19 a 20 nepridelili zariadeniam, pridajú k množstvu kvót vyčlenených v súlade s prvou vetou prvého pododseku tohto odseku.“;</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ii) štvrtý a piaty pododsek sa vypúšťajú;</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Fungovanie trhovej stabilizačnej </w:t>
            </w:r>
            <w:r w:rsidRPr="00325808">
              <w:rPr>
                <w:rFonts w:ascii="Times New Roman" w:hAnsi="Times New Roman" w:cs="Times New Roman"/>
              </w:rPr>
              <w:lastRenderedPageBreak/>
              <w:t>rezervy bližšie upravuje rozhodnutie Európskeho parlamentu a Rady (EÚ) 2015/1814 zo 6. októbra 2015 o zriadení a prevádzke trhovej stabilizačnej rezervy systému obchodovania s emisnými kvótami skleníkových plynov v Únii a o zmene smernice 2003/87/ES.</w:t>
            </w: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h)</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odseku 8 sa prvý, druhý a tretí pododsek nahrádzajú takto: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„325 miliónov kvót z množstva, ktoré sa inak mohlo prideliť bezodplatne podľa tohto článku, a 75 miliónov kvót z množstva, s ktorým sa inak mohlo obchodovať formou aukcie podľa článku 10, sa poskytne na podporu inovácie v nízkouhlíkových technológiách a procesoch v odvetviach uvedených v prílohe I vrátane environmentálne bezpečného zachytávania a využívania uhlíka </w:t>
            </w:r>
            <w:r w:rsidRPr="00325808">
              <w:rPr>
                <w:rFonts w:ascii="Times New Roman" w:hAnsi="Times New Roman" w:cs="Times New Roman"/>
              </w:rPr>
              <w:lastRenderedPageBreak/>
              <w:t>(carboncapture and utilisation – CCU), ktoré výrazne prispieva k zmierňovaniu zmeny klímy, ako aj výrobkov, ktoré nahrádzajú výrobky s vysokou spotrebou uhlíka, v odvetviach uvedených v prílohe I a na podporu stimulovania budovania a prevádzky projektov, ktorých cieľom je environmentálne bezpečné zachytávanie a geologické ukladanie CO2 (capture and geologicalstorage – CCS), ako aj inovačných technológií výroby energie z obnoviteľných zdrojov a uskladňovania energie v geograficky vyvážených lokalitách v rámci územia Únie (ďalej len „inovačný fond“). Oprávnené sú projekty vrátane malých projektov vo všetkých členských štátoch.</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Okrem toho sa 50 miliónov nepridelených kvót z trhovej stabilizačnej rezervy doplní ku zvyšným príjmom z 300 miliónov kvót, ktoré sú k dispozícii v období rokov 2013 až 2020 podľa rozhodnutia Komisie 2010/670/EÚ (*), a použije sa vo vhodnom čase na podporu inovácie, ako sa uvádza v prvom pododseku.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Projekty sa vyberajú na základe objektívnych a transparentných kritérií, pričom sa v relevantných prípadoch zohľadní, do akej miery projekty prispievajú k dosiahnutiu zníženia emisií výrazne pod referenčné úrovne </w:t>
            </w:r>
            <w:r w:rsidRPr="00325808">
              <w:rPr>
                <w:rFonts w:ascii="Times New Roman" w:hAnsi="Times New Roman" w:cs="Times New Roman"/>
              </w:rPr>
              <w:lastRenderedPageBreak/>
              <w:t xml:space="preserve">uvedené v odseku 2. Projekty musia mať potenciál na rozsiahle uplatnenie alebo na výrazné zníženie nákladov na prechod na nízkouhlíkové hospodárstvo pre príslušné odvetvia. Projekty zahŕňajúce CCU musia priniesť čisté zníženie emisií a zabezpečiť zabránenie emisiám CO2 alebo ich trvalé uloženie. Technológie, na ktoré sa poskytne podpora, ešte nesmú byť komerčne dostupné, ale musia predstavovať prelomové riešenia alebo musia byť dostatočne zrelé na to, aby boli pripravené na predvedenie v štádiu pred komerčným využívaním. Podporiť možno do 60 % relevantných nákladov projektov, z čoho 40 % nemusí závisieť od overeného zamedzenia emisií skleníkových plynov, a to za predpokladu, že s ohľadom na použitú technológiu sa dosiahli vytýčené čiastkové ciele.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Komisia je splnomocnená prijímať delegované akty v súlade s článkom 23 na doplnenie tejto smernice, pokiaľ ide o pravidlá prevádzkovania inovačného fondu vrátane postupu a kritérií výberu.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(*)Rozhodnutie Komisie 2010/670/EÚ z 3. novembra 2010, ktorým sa ustanovujú kritériá a opatrenia na financovanie komerčných demonštračných projektov, ktorých cieľom je environmentálne bezpečné </w:t>
            </w:r>
            <w:r w:rsidRPr="00325808">
              <w:rPr>
                <w:rFonts w:ascii="Times New Roman" w:hAnsi="Times New Roman" w:cs="Times New Roman"/>
              </w:rPr>
              <w:lastRenderedPageBreak/>
              <w:t>zachytávanie a geologické ukladanie CO2, ako aj demonštračných projektov využívajúcich inovačné technológie výroby energie z obnoviteľných zdrojov v rámci systému obchodovania s emisnými kvótami skleníkových plynov v Spoločenstve vytvoreného smernicou Európskeho parlamentu a Rady 2003/87/ES (Ú. v. EÚ L 290, 6.11.2010, s. 39).</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Podporu  nízkouhlíkových technológiách bližšie upravuje delegované nariadenie Komisie (EÚ) </w:t>
            </w:r>
            <w:r w:rsidR="00613C8B" w:rsidRPr="00325808">
              <w:rPr>
                <w:rFonts w:ascii="Times New Roman" w:hAnsi="Times New Roman" w:cs="Times New Roman"/>
              </w:rPr>
              <w:t>2019</w:t>
            </w:r>
            <w:r w:rsidRPr="00325808">
              <w:rPr>
                <w:rFonts w:ascii="Times New Roman" w:hAnsi="Times New Roman" w:cs="Times New Roman"/>
              </w:rPr>
              <w:t>/</w:t>
            </w:r>
            <w:r w:rsidR="00613C8B" w:rsidRPr="00325808">
              <w:rPr>
                <w:rFonts w:ascii="Times New Roman" w:hAnsi="Times New Roman" w:cs="Times New Roman"/>
              </w:rPr>
              <w:t>856</w:t>
            </w:r>
            <w:r w:rsidRPr="00325808">
              <w:rPr>
                <w:rFonts w:ascii="Times New Roman" w:hAnsi="Times New Roman" w:cs="Times New Roman"/>
              </w:rPr>
              <w:t xml:space="preserve"> z 26. februára 2019, ktorým sa dopĺňa smernica </w:t>
            </w:r>
            <w:r w:rsidRPr="00325808">
              <w:rPr>
                <w:rFonts w:ascii="Times New Roman" w:hAnsi="Times New Roman" w:cs="Times New Roman"/>
              </w:rPr>
              <w:lastRenderedPageBreak/>
              <w:t>Európskeho parlamentu a Rady 2003/87/ES, pokiaľ ide o prevádzkovanie inovačného fondu.</w:t>
            </w: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i)</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9. Grécko, ktoré malo v roku 2014 hrubý domáci produkt (HDP) na obyvateľa v trhových cenách nižšie ako 60 % priemeru Únie, si môže pred uplatnením odseku 7 tohto článku uplatniť nárok až do výšky 25 miliónov kvót z maximálneho množstva kvót uvedeného v odseku 5 tohto článku, ktoré sa do 31. decembra 2020 nepridelili bezodplatne, na účely spolufinancovania dekarbonizácie dodávok elektrickej energie na ostrovoch nachádzajúcich sa na jeho území do výšky maximálne 60 %. Článok 10d ods. 3 sa na tieto kvóty uplatňuje mutatismutandis. Nárok na kvóty možno uplatniť v prípade, že realizácia projektu zameraného na dekarbonizáciu dodávok elektrickej energie na gréckych ostrovoch by z dôvodu obmedzeného prístupu na medzinárodné dlhové trhy inak nebola možná, a v prípade, že Európska investičná banka (ďalej len „EIB“) potvrdí finančnú životaschopnosť a </w:t>
            </w:r>
            <w:r w:rsidRPr="00325808">
              <w:rPr>
                <w:rFonts w:ascii="Times New Roman" w:hAnsi="Times New Roman" w:cs="Times New Roman"/>
              </w:rPr>
              <w:lastRenderedPageBreak/>
              <w:t>sociálno-ekonomické prínosy projektu.</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j)</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odsek 10 sa vypúšťa</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k)</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odseku 11 sa vypúšťajú slová „,s cieľom dosiahnuť ukončenie bezodplatného prideľovania v roku 2027“</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l)</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odseky 12 až 18 sa vypúšťajú</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m)</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20. Úroveň bezodplatného prideľovania zariadeniam, ktorých činnosti sa z hľadiska dvojročného kĺzavého priemeru zvýšili alebo znížili o viac ako 15 % v porovnaní s úrovňou, ktorá sa pôvodne použila na určenie bezodplatného prideľovania kvót na príslušné obdobie uvedené v článku 11 ods. 1, sa podľa potreby upraví. Takéto úpravy sa vykonajú pomocou kvót, ktoré sa vyčlenili v súlade s odsekom 7 tohto článku, alebo doplnením kvót k týmto vyčleneným kvótam.</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14</w:t>
            </w:r>
          </w:p>
          <w:p w:rsidR="003F282B" w:rsidRPr="00325808" w:rsidRDefault="003F282B" w:rsidP="00325808">
            <w:pPr>
              <w:rPr>
                <w:rFonts w:ascii="Times New Roman" w:hAnsi="Times New Roman" w:cs="Times New Roman"/>
              </w:rPr>
            </w:pPr>
            <w:r w:rsidRPr="00325808">
              <w:rPr>
                <w:rFonts w:ascii="Times New Roman" w:hAnsi="Times New Roman" w:cs="Times New Roman"/>
              </w:rPr>
              <w:t>P: n)</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21. S cieľom zabezpečiť účinné, nediskriminačné a jednotné uplatňovanie úprav a prahovej hodnoty uvedenej v odseku 20 tohto článku, s cieľom vyhnúť sa akémukoľvek zbytočnému administratívnemu zaťaženiu a zabrániť manipulácii alebo zneužívaniu úprav prideľovania môže Komisia prijať vykonávacie akty, v ktorých sa stanovia ďalšie podrobnosti </w:t>
            </w:r>
            <w:r w:rsidRPr="00325808">
              <w:rPr>
                <w:rFonts w:ascii="Times New Roman" w:hAnsi="Times New Roman" w:cs="Times New Roman"/>
              </w:rPr>
              <w:lastRenderedPageBreak/>
              <w:t>týchto úprav. 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15</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Článok 10b</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Prechodné opatrenia na podporu niektorých energeticky náročných odvetví v prípade úniku uhlíka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1.Odvetvia a pododvetvia, v súvislosti s ktorými súčin ich intenzity obchodu s tretími krajinami, vymedzenej ako pomer celkovej hodnoty vývozu do tretích krajín plus hodnoty dovozu z tretích krajín a celkovej veľkosti trhu Európskeho hospodárskeho priestoru (ročný obrat plus celkový dovoz z tretích krajín), a ich intenzity emisií meranej v kgCO2, vydelený ich hrubou pridanou hodnotou (v eurách) presahuje 0,2, sa považujú za vystavené riziku úniku uhlíka. Takýmto odvetviam a pododvetviam sa v období do roku 2030 prideľujú kvóty bezodplatne v rozsahu 100 % množstva určeného podľa článku 10a.</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2.Odvetvia a pododvetvia, v súvislosti s ktorými súčin ich intenzity obchodu s tretími krajinami a ich intenzity emisií presahuje 0,15, možno začleniť do skupiny uvedenej v odseku 1 pomocou údajov za roky 2014 až 2016 na základe kvalitatívneho posúdenia a týchto kritérií: </w:t>
            </w: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a) miera, do akej možno znížiť úrovne emisií alebo spotrebu elektrickej energie jednotlivých zariadení v predmetnom odvetví alebo pododvetví;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b) aktuálne a predpokladané charakteristiky trhu, a ak je to relevantné, aj vrátane, spoločnej referenčnej ceny;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c) ziskové marže ako potenciálny ukazovateľ rozhodnutí týkajúcich sa dlhodobých investícií alebo premiestňovania zohľadňujúce zmeny výrobných nákladov súvisiace so znižovaním emisií.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3. Odvetvia a pododvetvia, ktoré nepresahujú prahovú hodnotu uvedenú v odseku 1, ale pri ktorých podiel intenzity emisií meranej v kgCO2 a ich hrubej pridanej hodnoty (v eurách) presahuje 1,5, sa takisto posudzujú na úrovni štvormiestneho číselného kódu (kód NACE-4). Komisia zverejní výsledky tohto posúdenia.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Do troch mesiacov od zverejnenia uvedeného v prvom pododseku môžu odvetvia a pododvetvia uvedené v danom pododseku požiadať Komisiu buď o kvalitatívne posúdenie ich vystavenia riziku úniku uhlíka na úrovni štvormiestneho číselného kódu (kód NACE-4), alebo o posúdenie na základe klasifikácie tovaru používanej na štatistické účely v odvetví </w:t>
            </w:r>
            <w:r w:rsidRPr="00325808">
              <w:rPr>
                <w:rFonts w:ascii="Times New Roman" w:hAnsi="Times New Roman" w:cs="Times New Roman"/>
              </w:rPr>
              <w:lastRenderedPageBreak/>
              <w:t xml:space="preserve">priemyselnej produkcie v Únii na úrovni osemmiestneho číselného kódu (Prodcom). Na tento účel odvetvia a pododvetvia predložia spolu so žiadosťou riadne podložené, úplné a nezávisle overené údaje, ktoré umožnia Komisii vykonať posúdenie.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Ak sa odvetvie alebo pododvetvie rozhodne pre posúdenie na úrovni štvormiestneho číselného kódu (kód NACE-4), možno ho začleniť do skupiny uvedenej v odseku 1 na základe kritérií uvedených v odseku 2 písm. a), b) a c). Ak sa odvetvie alebo pododvetvie rozhodne pre posúdenie na úrovni osemmiestneho číselného kódu (Prodcom), začlení sa do skupiny uvedenej v odseku 1, ak sa na tejto úrovni prekročí prahová hodnota 0,2 uvedená v odseku 1.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Odvetvia a pododvetvia, pre ktoré sa bezodplatné prideľovanie vypočítava na základe referenčných úrovní uvedených v článku 10a ods. 2 štvrtom pododseku, môžu takisto požiadať o posúdenie v súlade s tretím pododsekom tohto odseku.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Odchylne od odsekov 1 a 2 môže členský štát do 30. júna 2018 požiadať, aby sa v súvislosti s klasifikáciami na úrovni šesťmiestneho alebo osemmiestneho číselného kódu </w:t>
            </w:r>
            <w:r w:rsidRPr="00325808">
              <w:rPr>
                <w:rFonts w:ascii="Times New Roman" w:hAnsi="Times New Roman" w:cs="Times New Roman"/>
              </w:rPr>
              <w:lastRenderedPageBreak/>
              <w:t xml:space="preserve">(Prodcom) odvetvie alebo pododvetvie uvedené v prílohe k rozhodnutiu Komisie 2014/746/EÚ (*) považovalo za začlenené do skupiny uvedenej v odseku 1. O takejto žiadosti sa uvažuje len v prípade, ak žiadajúci členský štát zistí, že uplatnenie tejto výnimky možno odôvodniť na základe riadne podložených, úplných, overených a auditovaných údajov za posledných päť rokov, ktoré poskytne príslušné odvetvie alebo pododvetvie, a do svojej žiadosti zahrnie všetky relevantné informácie. Na základe týchto údajov sa príslušné odvetvie alebo pododvetvie začlení v súvislosti s uvedenými klasifikáciami tak, že v rámci heterogénneho štvormiestneho číselného kódu (kód NACE-4) sa preukáže, že má podstatne vyššiu intenzitu obchodu a emisií na úrovni šesťmiestneho alebo osemmiestneho číselného kódu (Prodcom), prekračujúcu prahovú hodnotu stanovenú v odseku 1.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4.Pri iných odvetviach a pododvetviach sa vychádza z predpokladu, že sú schopné premietnuť väčšiu časť ceny kvót do cien produktov, a kvóty sa im prideľujú bezodplatne v rozsahu 30 % množstva stanoveného podľa článku 10a. Pokiaľ sa nerozhodne inak v rámci preskúmania podľa článku 30, bezodplatné prideľovanie kvót iným </w:t>
            </w:r>
            <w:r w:rsidRPr="00325808">
              <w:rPr>
                <w:rFonts w:ascii="Times New Roman" w:hAnsi="Times New Roman" w:cs="Times New Roman"/>
              </w:rPr>
              <w:lastRenderedPageBreak/>
              <w:t>odvetviam a pododvetviam s výnimkou diaľkového vykurovania sa po roku 2026 znižuje o rovnaké množstvá tak, aby sa v roku 2030 žiadne kvóty neprideľovali bezodplatne.</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5.Komisia je splnomocnená prijať do 31. decembra 2019 delegované akty v súlade s článkom 23 na doplnenie tejto smernice, pokiaľ ide o určenie odvetví a pododvetví, ktoré sa považujú za vystavené riziku úniku uhlíka, ako sa uvádza v odsekoch 1, 2 a 3 tohto článku, v súvislosti s činnosťami na úrovni štvormiestneho číselného kódu (kód NACE-4), pokiaľ sa to týka odseku 1 tohto článku, pričom východiskom sú údaje za posledné tri kalendárne roky. </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Riziko úniku uhlíka bližšie upravuje delegované rozhodnutie Komisie (EÚ) </w:t>
            </w:r>
            <w:hyperlink r:id="rId8" w:tooltip="Odkaz sa otvorí v novom okne" w:history="1">
              <w:r w:rsidRPr="00325808">
                <w:rPr>
                  <w:rFonts w:ascii="Times New Roman" w:hAnsi="Times New Roman" w:cs="Times New Roman"/>
                </w:rPr>
                <w:t>2019/708</w:t>
              </w:r>
            </w:hyperlink>
            <w:r w:rsidRPr="00325808">
              <w:rPr>
                <w:rFonts w:ascii="Times New Roman" w:hAnsi="Times New Roman" w:cs="Times New Roman"/>
              </w:rPr>
              <w:t xml:space="preserve"> z 15. februára 2019, ktorým sa dopĺňa smernica Európskeho parlamentu a Rady 2003/87/ES, pokiaľ ide o určenie zoznamu odvetví a pododvetví, ktoré sa v období rokov 2021 až 2030 považujú za odvetvia a pododvetvia s rizikom úniku uhlíka.</w:t>
            </w: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15</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10c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Možnosť prechodného bezodplatného prideľovania kvót na účely modernizácie v odvetví energetiky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1.Odchylne od článku 10a ods. 1 až 5 členské štáty, ktoré v roku 2013 mali v trhových cenách (v eurách) HDP na obyvateľa nižší ako 60 % priemeru Únie, môžu zariadeniam na výrobu elektrickej energie prechodne prideľovať kvóty bezodplatne na účely modernizácie, diverzifikácie a udržateľnej transformácie odvetvia energetiky. Podporované investície musia byť v súlade s prechodom na </w:t>
            </w:r>
            <w:r w:rsidRPr="00325808">
              <w:rPr>
                <w:rFonts w:ascii="Times New Roman" w:hAnsi="Times New Roman" w:cs="Times New Roman"/>
              </w:rPr>
              <w:lastRenderedPageBreak/>
              <w:t xml:space="preserve">bezpečné a udržateľné nízkouhlíkové hospodárstvo, s cieľmi rámca politík Únie v oblasti klímy a energetiky na obdobie do roku 2030 a s plnením dlhodobých cieľov stanovených v Parížskej dohode. Platnosť výnimky stanovenej v tomto odseku sa skončí 31. decembra 2030.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2.Pri projektoch s celkovou sumou investícií presahujúcou 12,5 milióna EUR dotknutý členský štát zorganizuje súťažné ponukové konanie, prostredníctvom ktorého sa vyberú investície, ktoré sa majú financovať bezodplatne pridelenými kvótami, a ktoré sa uskutoční v jednom alebo viacerých kolách v období rokov 2021 až 2030. Pri tomto súťažnom ponukovom konaní sa: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 dodržiavajú zásady transparentnosti, nediskriminácie, rovnakého zaobchádzania a riadneho finančného hospodárenia; b)zaručuje, že oprávnené na účasť v konaní sú len projekty, ktoré predstavujú prínos pre diverzifikáciu energetického mixu a zdrojov dodávok, pre potrebnú reštrukturalizáciu, zlepšenie životného prostredia a renováciu infraštruktúry, čisté technológie, ako sú technológie výroby energie z obnoviteľných zdrojov, alebo pre modernizáciu odvetvia výroby energie, ako je efektívne a udržateľné diaľkové vykurovanie, a odvetvia </w:t>
            </w:r>
            <w:r w:rsidRPr="00325808">
              <w:rPr>
                <w:rFonts w:ascii="Times New Roman" w:hAnsi="Times New Roman" w:cs="Times New Roman"/>
              </w:rPr>
              <w:lastRenderedPageBreak/>
              <w:t xml:space="preserve">prenosu a distribúcie energie;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c) vymedzia jasné, objektívne, transparentné a nediskriminačné kritériá výberu projektov, aby sa vybrali len projekty, ktoré: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 na základe analýzy nákladov a prínosov zabezpečia čistý pozitívny zisk z hľadiska zníženia emisií a dosiahnu určenú vysokú mieru zníženia CO2 s ohľadom na veľkosť projektu;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ii) majú doplnkový charakter, jednoznačne napĺňajú potrebu obnovy a modernizácie a nemajú za následok trhovo podmienený nárast dopytu po energii;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iii) predstavujú najvýhodnejší pomer medzi kvalitou a cenou a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iv) nepodporujú ani nezlepšujú finančnú životaschopnosť výroby elektrickej energie s veľmi vysokou intenzitou emisií ani nezvyšujú závislosť od fosílnych palív s vysokou intenzitou emisií.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Odchylne od článku 10 ods. 1 a bez toho, aby bola dotknutá posledná veta odseku 1 tohto článku, v prípade, že sa investícia vybraná prostredníctvom súťažného ponukového konania zruší alebo sa nedosiahne zamýšľaný výkon, sa vyčlenené kvóty môžu využiť prostredníctvom jediného dodatočného kola súťažného ponukového konania najskôr o jeden rok neskôr na financovanie iných investícií.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Členský štát, ktorý plánuje využiť nepovinné prechodné bezodplatné prideľovanie kvót na modernizáciu odvetvia energetiky, uverejní do 30. júna 2019 podrobný vnútroštátny rámec, v ktorom sa stanoví proces súťažného ponukového konania vrátane plánovaného počtu kôl podľa prvého pododseku a kritériá výberu na účely verejného pripomienkovania.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V prípadoch, keď sa investície v hodnote nižšej než 12,5 milióna EUR majú podporiť z bezodplatne pridelených kvót a nevyberajú sa prostredníctvom súťažného ponukového konania uvedeného v tomto odseku, členské štáty vyberajú projekty na základe objektívnych a transparentných kritérií. Výsledky tohto výberového konania sa uverejnia na účely verejného pripomienkovania. Dotknuté členské štáty na tomto základe do 30. júna 2019 zostavia, uverejnia a predložia Komisii zoznam investícií. Ak sa v rámci toho istého zariadenia uskutočňuje viac ako jedna investícia, posudzujú sa tieto investície ako celok s cieľom zistiť, či sa nepresiahla prahová hodnota 12,5 milióna EUR, pokiaľ nie sú tieto investície nezávisle technicky alebo finančne uskutočniteľné.</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3.Hodnota plánovaných investícií sa minimálne vyrovná trhovej hodnote bezodplatne pridelených kvót, pričom sa zohľadní potreba obmedziť priamo súvisiaci nárast cien. Trhová hodnota zodpovedá priemeru cien kvót na spoločnej aukčnej platforme v prechádzajúcom kalendárnom roku. Prostredníctvom bezodplatného prideľovania kvót možno podporiť najviac 70 % relevantných nákladov investície za predpokladu, že zvyšné náklady financujú súkromné právnické osoby.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4.Prechodne bezodplatne pridelené kvóty sa odpočítavajú od množstva kvót, s ktorými by daný členský štát za bežných okolností obchodoval formou aukcie. Celkové množstvo bezodplatne pridelených kvót nepresiahne 40 % kvót, ktoré budú pridelené dotknutému členskému štátu podľa článku 10 ods. 2 písm. a) v období rokov 2021 až 2030 v rovnakých ročných množstvách počas tohto obdobia.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5.Ak členský štát podľa článku 10d ods. 4 využíva kvóty, ktoré sa pridelili na účely solidarity, rastu a vzájomných prepojení v Únii v súlade s článkom 10 ods. 2 písm. b), môže tento členský štát odchylne od odseku 4 tohto článku využiť na prechodné bezodplatné prideľovanie celkovo do 60 % kvót, </w:t>
            </w:r>
            <w:r w:rsidRPr="00325808">
              <w:rPr>
                <w:rFonts w:ascii="Times New Roman" w:hAnsi="Times New Roman" w:cs="Times New Roman"/>
              </w:rPr>
              <w:lastRenderedPageBreak/>
              <w:t xml:space="preserve">ktoré získal v období rokov 2021 až 2030 podľa článku 10 ods. 2 písm. a), s využitím zodpovedajúceho množstva kvót rozdelených v súlade s článkom 10 ods. 2 písm. b).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Kvóty, ktoré sa nepridelia podľa tohto článku do roku 2020, možno prideliť v období rokov 2021 až 2030 na investície vybrané prostredníctvom súťažného ponukového konania uvedeného v odseku 2, pokiaľ dotknutý členský štát do 30. septembra 2019 neinformuje Komisiu o svojom zámere neprideliť niektoré alebo všetky tieto kvóty v období rokov 2021 až 2030 a o množstve kvót, s ktorými sa má namiesto toho v roku 2020 obchodovať formou aukcie. Ak sa takéto kvóty pridelia v období rokov 2021 až 2030, zodpovedajúce množstvo kvót sa zohľadní pri uplatňovaní limitu na úrovni 60 % stanoveného v prvom pododseku tohto odseku.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6.Podmienkou pridelenia kvót prevádzkovateľom je preukázanie toho, že investícia vybraná v súlade s pravidlami súťažného ponukového konania sa zrealizovala. Ak investícia vedie k zvýšeniu výrobnej kapacity elektrickej energie, dotknutý prevádzkovateľ tiež preukáže, že najneskôr do spustenia prevádzky tejto dodatočnej kapacity tento alebo iný </w:t>
            </w:r>
            <w:r w:rsidRPr="00325808">
              <w:rPr>
                <w:rFonts w:ascii="Times New Roman" w:hAnsi="Times New Roman" w:cs="Times New Roman"/>
              </w:rPr>
              <w:lastRenderedPageBreak/>
              <w:t xml:space="preserve">pridružený prevádzkovateľ vyradil z prevádzky zodpovedajúci objem kapacity na výrobu elektrickej energie s vyššou intenzitou emisií.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7.Členské štáty vyžadujú, aby prijímajúci výrobcovia elektrickej energie a prevádzkovatelia sietí do 28. februára každého roka predložili správu o realizácii svojich vybraných investícií, ktorej súčasťou je aj bilancia bezodplatne prideľovaných kvót a vynaložených investičných nákladov a druhy podporovaných investícií. Členské štáty o tom podávajú správy Komisii a Komisia tieto správy zverejňuje.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(*)Rozhodnutie Komisie 2014/746/EÚ z 27. októbra 2014, ktorým sa podľa smernice Európskeho parlamentu a Rady 2003/87/ES určuje zoznam odvetví a pododvetví, ktoré sa považujú za odvetvia a pododvetvia vystavené vysokému riziku úniku uhlíka medzi rokmi 2015 až 2019 (Ú. v. EÚ L 308, 29.10.2014, s. 114).</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D</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16</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10d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Modernizačný fond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1.Zriaďuje sa fond na podporu investícií, ktoré navrhnú prijímajúce členské štáty, vrátane financovania malých investičných projektov, na modernizáciu energetických systémov </w:t>
            </w:r>
            <w:r w:rsidRPr="00325808">
              <w:rPr>
                <w:rFonts w:ascii="Times New Roman" w:hAnsi="Times New Roman" w:cs="Times New Roman"/>
              </w:rPr>
              <w:lastRenderedPageBreak/>
              <w:t xml:space="preserve">a zlepšenie energetickej efektívnosti v členských štátoch s HDP na obyvateľa v trhových cenách nižším ako 60 % priemeru Únie v roku 2013 (ďalej len „modernizačný fond“) na obdobie rokov 2021 až 2030. Modernizačný fond sa financuje prostredníctvom obchodovania s kvótami formou aukcie, ako je stanovené v článku 10.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Podporované investície musia byť v súlade s cieľmi tejto smernice, ako aj s cieľmi rámca politík Únie v oblasti klímy a energetiky na obdobie do roku 2030 a dlhodobými cieľmi stanovenými v Parížskej dohode. Podpora z modernizačného fondu sa neposkytuje zariadeniam na výrobu energie, ktoré využívajú tuhé fosílne palivá, s výnimkou efektívneho a udržateľného diaľkového vykurovania v členských štátoch s HDP na obyvateľa v trhových cenách nižším ako 30 % priemeru Únie v roku 2013 za predpokladu, že množstvo kvót aspoň rovnocennej hodnoty sa použije na investície podľa článku 10c, ktoré nezahŕňajú tuhé fosílne palivá.</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2.Aspoň 70 % finančných prostriedkov z modernizačného fondu sa použije na podporu investícií do výroby a využívania elektrickej energie z obnoviteľných zdrojov, zlepšenia energetickej efektívnosti okrem </w:t>
            </w:r>
            <w:r w:rsidRPr="00325808">
              <w:rPr>
                <w:rFonts w:ascii="Times New Roman" w:hAnsi="Times New Roman" w:cs="Times New Roman"/>
              </w:rPr>
              <w:lastRenderedPageBreak/>
              <w:t xml:space="preserve">energetickej efektívnosti súvisiacej s výrobou energie pomocou tuhých fosílnych palív, do uskladňovania energie a modernizácie energetických sietí vrátane vedení diaľkového vykurovania, do prenosových sietí elektrickej energie a zvýšenia prepojení medzi členskými štátmi, ako aj na podporu spravodlivého prechodu v regiónoch závislých od uhlíka v prijímajúcich členských štátoch s cieľom podporiť v rámci dialógu so sociálnymi partnermi opätovné zaradenie pracovníkov, ich rekvalifikáciu a zvyšovanie kvalifikácie, vzdelávanie, iniciatívy zamerané na hľadanie zamestnania a začínajúce podniky. Oprávnené sú aj investície do energetickej efektívnosti v doprave, stavebníctve, poľnohospodárstve a odpadovom hospodárstve.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3.Za prevádzku modernizačného fondu zodpovedajú prijímajúce členské štáty. EIB zabezpečí, aby obchodovanie s kvótami formou aukcie prebiehalo v súlade so zásadami a podmienkami stanovenými v článku 10 ods. 4, pričom zodpovedá za hospodárenie s výnosmi. EIB prevedie výnosy členským štátom na základe rozhodnutia Komisie o vyplatení, ak je toto vyplatenie na účely investícií v súlade s odsekom 2 tohto článku, alebo </w:t>
            </w:r>
            <w:r w:rsidRPr="00325808">
              <w:rPr>
                <w:rFonts w:ascii="Times New Roman" w:hAnsi="Times New Roman" w:cs="Times New Roman"/>
              </w:rPr>
              <w:lastRenderedPageBreak/>
              <w:t xml:space="preserve">v prípade, že investície nepatria do oblastí uvedených v odseku 2 tohto článku, pokiaľ je to v súlade s odporúčaniami investičného výboru. Komisia prijme svoje rozhodnutie včas. Výnosy sa rozdeľujú medzi členské štáty podľa podielov stanovených v prílohe IIb a v súlade s odsekmi 6 až 12 tohto článku.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4.Ktorýkoľvek dotknutý členský štát môže použiť celkové množstvo kvót bezodplatne pridelených podľa článku 10c ods. 4 alebo ich časť a množstvo kvót pridelené na účely solidarity, rastu a vzájomných prepojení v Únii v súlade s článkom 10 ods. 2 písm. b) alebo jeho časť v súlade s článkom 10d na podporu investícií v rámci modernizačného fondu, čím sa zvýšia zdroje pridelené danému členskému štátu. Dotknutý členský štát do 30. septembra 2019 oznámi Komisii príslušné množstvá kvót, ktoré sa majú použiť v súlade s článkom 10 ods. 2 písm. b), článkom 10c a článkom 10d.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5.Týmto sa zriaďuje investičný výbor modernizačného fondu. Investičný výbor tvorí jeden zástupca z každého prijímajúceho členského štátu, Komisie a EIB a traja zástupcovia zvolení ostatnými členskými štátmi na obdobie piatich rokov. Predsedá mu zástupca Komisie. Na zasadnutiach výboru sa </w:t>
            </w:r>
            <w:r w:rsidRPr="00325808">
              <w:rPr>
                <w:rFonts w:ascii="Times New Roman" w:hAnsi="Times New Roman" w:cs="Times New Roman"/>
              </w:rPr>
              <w:lastRenderedPageBreak/>
              <w:t xml:space="preserve">ako pozorovateľ môže zúčastňovať jeden zástupca každého členského štátu, ktorý nie je členom investičného výboru.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Investičný výbor funguje transparentným spôsobom. Zloženie investičného výboru a životopisy a vyhlásenia o záujmoch jeho členov sa zverejnia a v prípade potreby aktualizujú.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6.Predtým ako sa prijímajúci členský štát rozhodne financovať investíciu zo svojho podielu v modernizačnom fonde, predloží investičný projekt investičnému výboru a EIB. Ak EIB potvrdí, že investícia patrí do oblastí uvedených v odseku 2, členský štát môže pristúpiť k financovaniu investičného projektu zo svojho podielu.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Ak investícia do modernizácie energetických systémov, ktorá sa má podľa návrhu financovať z modernizačného fondu, nepatrí do oblastí uvedených v odseku 2, investičný výbor posúdi technickú a finančnú životaschopnosť takejto investície vrátane zníženia emisií, ktoré sa ňou dosiahne, a vydá odporúčanie na financovanie investície z modernizačného fondu. Investičný výbor zabezpečí, aby všetky investície súvisiace s diaľkovým vykurovaním </w:t>
            </w:r>
            <w:r w:rsidRPr="00325808">
              <w:rPr>
                <w:rFonts w:ascii="Times New Roman" w:hAnsi="Times New Roman" w:cs="Times New Roman"/>
              </w:rPr>
              <w:lastRenderedPageBreak/>
              <w:t xml:space="preserve">prinášali výrazné zlepšenie energetickej efektívnosti a zníženie emisií. Súčasťou tohto odporúčania môžu byť návrhy týkajúce sa vhodných nástrojov financovania. Zo zdrojov z modernizačného fondu možno podporiť najviac 70 % príslušných nákladov na investíciu, ktorá nepatrí do oblastí uvedených v odseku 2, za predpokladu, že zvyšné náklady financujú súkromné právnické osoby.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7.Investičný výbor sa usiluje prijímať svoje odporúčania konsenzom. Ak investičný výbor nedokáže dospieť k rozhodnutiu konsenzom v lehote, ktorú určil predseda, prijme rozhodnutie jednoduchou väčšinou.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Ak zástupca EIB neschváli financovanie investície, odporúčanie sa prijme len vtedy, ak za investíciu hlasujú dve tretiny všetkých členov. Zástupca členského štátu, v ktorom sa má investícia uskutočniť, a zástupca EIB nie sú v takom prípade oprávnení hlasovať. Tento pododsek sa neuplatňuje na malé projekty financované prostredníctvom pôžičiek od národných podporných bánk alebo grantov ako príspevkov na vykonávanie vnútroštátneho programu na dosiahnutie konkrétnych cieľov v súlade s cieľmi modernizačného fondu za predpokladu, že v rámci programu </w:t>
            </w:r>
            <w:r w:rsidRPr="00325808">
              <w:rPr>
                <w:rFonts w:ascii="Times New Roman" w:hAnsi="Times New Roman" w:cs="Times New Roman"/>
              </w:rPr>
              <w:lastRenderedPageBreak/>
              <w:t xml:space="preserve">sa využíva maximálne 10 % podielu členského štátu stanoveného v prílohe IIb.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8.Všetky akty alebo odporúčania EIB alebo investičného výboru podľa odsekov 6 a 7 sa prijímajú včas a uvedú sa v nich dôvody, na ktorých sa zakladajú. Takéto akty a odporúčania sa zverejnia.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9.Prijímajúce členské štáty sú zodpovedné za sledovanie realizácie v súvislosti s vybranými projektmi.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10.Prijímajúce členské štáty každoročne podávajú Komisii správu o investíciách financovaných z modernizačného fondu. Táto správa sa zverejňuje a obsahuje: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 informácie o financovaných investíciách v jednotlivých prijímajúcich členských štátoch;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b) posúdenie pridanej hodnoty z hľadiska energetickej efektívnosti alebo modernizácie energetického systému dosiahnutej pomocou investície.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11.Investičný výbor každoročne podáva Komisii správu o skúsenostiach s hodnotením investícií. Komisia do 31. decembra 2024 s ohľadom na zistenia investičného výboru preskúma oblasti pre projekty uvedené v odseku </w:t>
            </w:r>
            <w:r w:rsidRPr="00325808">
              <w:rPr>
                <w:rFonts w:ascii="Times New Roman" w:hAnsi="Times New Roman" w:cs="Times New Roman"/>
              </w:rPr>
              <w:lastRenderedPageBreak/>
              <w:t xml:space="preserve">2 a základ, z ktorého investičný výbor vychádza pri tvorbe svojich odporúčaní.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12.Komisia prijme vykonávacie akty týkajúce sa podrobných pravidiel prevádzkovania modernizačného fondu. 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lastRenderedPageBreak/>
              <w:t>414/2012</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8443D6" w:rsidRPr="00325808" w:rsidRDefault="008443D6" w:rsidP="00325808">
            <w:pPr>
              <w:rPr>
                <w:rFonts w:ascii="Times New Roman" w:hAnsi="Times New Roman" w:cs="Times New Roman"/>
              </w:rPr>
            </w:pPr>
          </w:p>
          <w:p w:rsidR="008443D6" w:rsidRPr="00325808" w:rsidRDefault="008443D6" w:rsidP="00325808">
            <w:pPr>
              <w:rPr>
                <w:rFonts w:ascii="Times New Roman" w:hAnsi="Times New Roman" w:cs="Times New Roman"/>
              </w:rPr>
            </w:pPr>
          </w:p>
          <w:p w:rsidR="008443D6" w:rsidRPr="00325808" w:rsidRDefault="008443D6" w:rsidP="00325808">
            <w:pPr>
              <w:rPr>
                <w:rFonts w:ascii="Times New Roman" w:hAnsi="Times New Roman" w:cs="Times New Roman"/>
              </w:rPr>
            </w:pPr>
          </w:p>
          <w:p w:rsidR="008443D6" w:rsidRPr="00325808" w:rsidRDefault="008443D6"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DC5C02" w:rsidRPr="00325808" w:rsidRDefault="00DC5C02" w:rsidP="00325808">
            <w:pPr>
              <w:rPr>
                <w:rFonts w:ascii="Times New Roman" w:hAnsi="Times New Roman" w:cs="Times New Roman"/>
              </w:rPr>
            </w:pPr>
          </w:p>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2</w:t>
            </w:r>
          </w:p>
          <w:p w:rsidR="003F282B" w:rsidRPr="00325808" w:rsidRDefault="003F282B" w:rsidP="00325808">
            <w:pPr>
              <w:rPr>
                <w:rFonts w:ascii="Times New Roman" w:hAnsi="Times New Roman" w:cs="Times New Roman"/>
              </w:rPr>
            </w:pPr>
            <w:r w:rsidRPr="00325808">
              <w:rPr>
                <w:rFonts w:ascii="Times New Roman" w:hAnsi="Times New Roman" w:cs="Times New Roman"/>
              </w:rPr>
              <w:t>P: r)</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7075E2" w:rsidRPr="00325808" w:rsidRDefault="007075E2" w:rsidP="00325808">
            <w:pPr>
              <w:rPr>
                <w:rFonts w:ascii="Times New Roman" w:hAnsi="Times New Roman" w:cs="Times New Roman"/>
              </w:rPr>
            </w:pPr>
          </w:p>
          <w:p w:rsidR="007075E2" w:rsidRPr="00325808" w:rsidRDefault="007075E2"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26</w:t>
            </w:r>
          </w:p>
          <w:p w:rsidR="003F282B" w:rsidRPr="00325808" w:rsidRDefault="003F282B" w:rsidP="00325808">
            <w:pPr>
              <w:rPr>
                <w:rFonts w:ascii="Times New Roman" w:hAnsi="Times New Roman" w:cs="Times New Roman"/>
              </w:rPr>
            </w:pPr>
            <w:r w:rsidRPr="00325808">
              <w:rPr>
                <w:rFonts w:ascii="Times New Roman" w:hAnsi="Times New Roman" w:cs="Times New Roman"/>
              </w:rPr>
              <w:t>O: 1</w:t>
            </w:r>
          </w:p>
          <w:p w:rsidR="003F282B" w:rsidRPr="00325808" w:rsidRDefault="002D5F9C" w:rsidP="00325808">
            <w:pPr>
              <w:rPr>
                <w:rFonts w:ascii="Times New Roman" w:hAnsi="Times New Roman" w:cs="Times New Roman"/>
              </w:rPr>
            </w:pPr>
            <w:r w:rsidRPr="00325808">
              <w:rPr>
                <w:rFonts w:ascii="Times New Roman" w:hAnsi="Times New Roman" w:cs="Times New Roman"/>
              </w:rPr>
              <w:t>P: t)</w:t>
            </w:r>
          </w:p>
          <w:p w:rsidR="007075E2" w:rsidRPr="00325808" w:rsidRDefault="007075E2"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26</w:t>
            </w:r>
          </w:p>
          <w:p w:rsidR="003F282B" w:rsidRPr="00325808" w:rsidRDefault="003F282B" w:rsidP="00325808">
            <w:pPr>
              <w:rPr>
                <w:rFonts w:ascii="Times New Roman" w:hAnsi="Times New Roman" w:cs="Times New Roman"/>
              </w:rPr>
            </w:pPr>
            <w:r w:rsidRPr="00325808">
              <w:rPr>
                <w:rFonts w:ascii="Times New Roman" w:hAnsi="Times New Roman" w:cs="Times New Roman"/>
              </w:rPr>
              <w:t>O: 4</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2D5F9C" w:rsidRPr="00325808" w:rsidRDefault="002D5F9C"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18</w:t>
            </w:r>
          </w:p>
          <w:p w:rsidR="003F282B" w:rsidRPr="00325808" w:rsidRDefault="003F282B" w:rsidP="00325808">
            <w:pPr>
              <w:rPr>
                <w:rFonts w:ascii="Times New Roman" w:hAnsi="Times New Roman" w:cs="Times New Roman"/>
              </w:rPr>
            </w:pPr>
            <w:r w:rsidRPr="00325808">
              <w:rPr>
                <w:rFonts w:ascii="Times New Roman" w:hAnsi="Times New Roman" w:cs="Times New Roman"/>
              </w:rPr>
              <w:t>O: 13</w:t>
            </w:r>
          </w:p>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r)</w:t>
            </w:r>
            <w:r w:rsidRPr="00325808">
              <w:rPr>
                <w:rFonts w:ascii="Times New Roman" w:hAnsi="Times New Roman" w:cs="Times New Roman"/>
              </w:rPr>
              <w:tab/>
              <w:t>modernizačným fondom fond zriadený Európskou úniou v rámci systému obchodovania,  ktorý je určený na podporu investícií, na modernizáciu energetických systémov a zlepšenie energetickej efektívnosti.</w:t>
            </w:r>
          </w:p>
          <w:p w:rsidR="003F282B" w:rsidRPr="00325808" w:rsidRDefault="003F282B" w:rsidP="00325808">
            <w:pPr>
              <w:rPr>
                <w:rFonts w:ascii="Times New Roman" w:hAnsi="Times New Roman" w:cs="Times New Roman"/>
              </w:rPr>
            </w:pPr>
          </w:p>
          <w:p w:rsidR="00684CD2" w:rsidRPr="00325808" w:rsidRDefault="00684CD2" w:rsidP="00325808">
            <w:pPr>
              <w:rPr>
                <w:rFonts w:ascii="Times New Roman" w:hAnsi="Times New Roman" w:cs="Times New Roman"/>
              </w:rPr>
            </w:pPr>
          </w:p>
          <w:p w:rsidR="00684CD2" w:rsidRPr="00325808" w:rsidRDefault="00684CD2"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t) spravuje prostriedky pridelené Slovenskej republike z modernizačného fondu,</w:t>
            </w:r>
          </w:p>
          <w:p w:rsidR="003F282B" w:rsidRPr="00325808" w:rsidRDefault="003F282B" w:rsidP="00325808">
            <w:pPr>
              <w:rPr>
                <w:rFonts w:ascii="Times New Roman" w:hAnsi="Times New Roman" w:cs="Times New Roman"/>
              </w:rPr>
            </w:pPr>
          </w:p>
          <w:p w:rsidR="007075E2" w:rsidRPr="00325808" w:rsidRDefault="007075E2" w:rsidP="00325808">
            <w:pPr>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r w:rsidRPr="00325808">
              <w:rPr>
                <w:rFonts w:ascii="Times New Roman" w:hAnsi="Times New Roman" w:cs="Times New Roman"/>
              </w:rPr>
              <w:t>Ministerstvo v spolupráci s Ministerstvom hospodárstva Slovenskej republiky pripraví a zašle Komisii na notifikáciu schému štátnej pomoci na financovanie projektov v rámci modernizačného fondu</w:t>
            </w:r>
            <w:r w:rsidR="00DA6ADE" w:rsidRPr="00325808">
              <w:rPr>
                <w:rFonts w:ascii="Times New Roman" w:hAnsi="Times New Roman" w:cs="Times New Roman"/>
              </w:rPr>
              <w:t>.</w:t>
            </w: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p>
          <w:p w:rsidR="003F282B" w:rsidRPr="00325808" w:rsidRDefault="003F282B" w:rsidP="00325808">
            <w:pPr>
              <w:autoSpaceDE w:val="0"/>
              <w:autoSpaceDN w:val="0"/>
              <w:adjustRightInd w:val="0"/>
              <w:rPr>
                <w:rFonts w:ascii="Times New Roman" w:hAnsi="Times New Roman" w:cs="Times New Roman"/>
              </w:rPr>
            </w:pPr>
            <w:r w:rsidRPr="00325808">
              <w:rPr>
                <w:rFonts w:ascii="Times New Roman" w:hAnsi="Times New Roman" w:cs="Times New Roman"/>
              </w:rPr>
              <w:t>Ministerstvo oznámi Komisii</w:t>
            </w:r>
            <w:r w:rsidR="007075E2" w:rsidRPr="00325808">
              <w:rPr>
                <w:rFonts w:ascii="Times New Roman" w:hAnsi="Times New Roman" w:cs="Times New Roman"/>
              </w:rPr>
              <w:t xml:space="preserve">, že 30 % z celkového </w:t>
            </w:r>
            <w:r w:rsidRPr="00325808">
              <w:rPr>
                <w:rFonts w:ascii="Times New Roman" w:hAnsi="Times New Roman" w:cs="Times New Roman"/>
              </w:rPr>
              <w:t>množstv</w:t>
            </w:r>
            <w:r w:rsidR="007075E2" w:rsidRPr="00325808">
              <w:rPr>
                <w:rFonts w:ascii="Times New Roman" w:hAnsi="Times New Roman" w:cs="Times New Roman"/>
              </w:rPr>
              <w:t>a</w:t>
            </w:r>
            <w:r w:rsidRPr="00325808">
              <w:rPr>
                <w:rFonts w:ascii="Times New Roman" w:hAnsi="Times New Roman" w:cs="Times New Roman"/>
              </w:rPr>
              <w:t xml:space="preserve"> kvót určených na dražbu počas desaťročného obchodovateľného obdobia začínajúceho od 1. január</w:t>
            </w:r>
            <w:r w:rsidR="00DA6ADE" w:rsidRPr="00325808">
              <w:rPr>
                <w:rFonts w:ascii="Times New Roman" w:hAnsi="Times New Roman" w:cs="Times New Roman"/>
              </w:rPr>
              <w:t xml:space="preserve">a 2021prevedie do modernizačného fondu ustanoveného </w:t>
            </w:r>
            <w:r w:rsidRPr="00325808">
              <w:rPr>
                <w:rFonts w:ascii="Times New Roman" w:hAnsi="Times New Roman" w:cs="Times New Roman"/>
              </w:rPr>
              <w:t xml:space="preserve">osobitným predpisom. Finančné prostriedky z dražby týchto kvót ministerstvo použije na podporu výrobcov elektrickej energie a výrobcov tepla, </w:t>
            </w:r>
            <w:r w:rsidRPr="00325808">
              <w:rPr>
                <w:rFonts w:ascii="Times New Roman" w:hAnsi="Times New Roman" w:cs="Times New Roman"/>
                <w:vertAlign w:val="superscript"/>
              </w:rPr>
              <w:t>17b</w:t>
            </w:r>
            <w:r w:rsidRPr="00325808">
              <w:rPr>
                <w:rFonts w:ascii="Times New Roman" w:hAnsi="Times New Roman" w:cs="Times New Roman"/>
              </w:rPr>
              <w:t>) ktorí nevykonávajú inú činnosť</w:t>
            </w:r>
            <w:r w:rsidR="00B4768E" w:rsidRPr="00325808">
              <w:rPr>
                <w:rFonts w:ascii="Times New Roman" w:hAnsi="Times New Roman" w:cs="Times New Roman"/>
              </w:rPr>
              <w:t>,</w:t>
            </w:r>
            <w:r w:rsidR="00684CD2" w:rsidRPr="00325808">
              <w:rPr>
                <w:rFonts w:ascii="Times New Roman" w:hAnsi="Times New Roman" w:cs="Times New Roman"/>
              </w:rPr>
              <w:t xml:space="preserve"> </w:t>
            </w:r>
            <w:r w:rsidR="00DA6ADE" w:rsidRPr="00325808">
              <w:rPr>
                <w:rFonts w:ascii="Times New Roman" w:hAnsi="Times New Roman" w:cs="Times New Roman"/>
              </w:rPr>
              <w:t xml:space="preserve">ako je </w:t>
            </w:r>
            <w:r w:rsidRPr="00325808">
              <w:rPr>
                <w:rFonts w:ascii="Times New Roman" w:hAnsi="Times New Roman" w:cs="Times New Roman"/>
              </w:rPr>
              <w:t>uve</w:t>
            </w:r>
            <w:r w:rsidR="00DA6ADE" w:rsidRPr="00325808">
              <w:rPr>
                <w:rFonts w:ascii="Times New Roman" w:hAnsi="Times New Roman" w:cs="Times New Roman"/>
              </w:rPr>
              <w:t>dená</w:t>
            </w:r>
            <w:r w:rsidRPr="00325808">
              <w:rPr>
                <w:rFonts w:ascii="Times New Roman" w:hAnsi="Times New Roman" w:cs="Times New Roman"/>
              </w:rPr>
              <w:t xml:space="preserve"> v prílohe č. 1 tabuľkách A a B okrem spaľovania palív.</w:t>
            </w:r>
          </w:p>
          <w:p w:rsidR="003F282B" w:rsidRPr="00325808" w:rsidRDefault="003F282B" w:rsidP="00325808">
            <w:pPr>
              <w:autoSpaceDE w:val="0"/>
              <w:autoSpaceDN w:val="0"/>
              <w:adjustRightInd w:val="0"/>
              <w:jc w:val="both"/>
              <w:rPr>
                <w:rFonts w:ascii="Times New Roman" w:hAnsi="Times New Roman" w:cs="Times New Roman"/>
                <w:color w:val="000000"/>
              </w:rPr>
            </w:pPr>
          </w:p>
          <w:p w:rsidR="003F282B" w:rsidRPr="00325808" w:rsidRDefault="003F282B" w:rsidP="00325808">
            <w:pPr>
              <w:autoSpaceDE w:val="0"/>
              <w:autoSpaceDN w:val="0"/>
              <w:adjustRightInd w:val="0"/>
              <w:rPr>
                <w:rFonts w:ascii="Times New Roman" w:hAnsi="Times New Roman" w:cs="Times New Roman"/>
                <w:color w:val="000000"/>
              </w:rPr>
            </w:pPr>
            <w:r w:rsidRPr="00325808">
              <w:rPr>
                <w:rFonts w:ascii="Times New Roman" w:hAnsi="Times New Roman" w:cs="Times New Roman"/>
                <w:color w:val="000000"/>
              </w:rPr>
              <w:t>Poznámka pod čiarou k odkazu 17b znie:</w:t>
            </w:r>
          </w:p>
          <w:p w:rsidR="003F282B" w:rsidRPr="00325808" w:rsidRDefault="003F282B" w:rsidP="00325808">
            <w:pPr>
              <w:autoSpaceDE w:val="0"/>
              <w:autoSpaceDN w:val="0"/>
              <w:adjustRightInd w:val="0"/>
              <w:rPr>
                <w:rFonts w:ascii="Times New Roman" w:hAnsi="Times New Roman" w:cs="Times New Roman"/>
                <w:bCs/>
                <w:color w:val="000000"/>
              </w:rPr>
            </w:pPr>
            <w:r w:rsidRPr="00325808">
              <w:rPr>
                <w:rFonts w:ascii="Times New Roman" w:hAnsi="Times New Roman" w:cs="Times New Roman"/>
                <w:color w:val="000000"/>
              </w:rPr>
              <w:lastRenderedPageBreak/>
              <w:t>„</w:t>
            </w:r>
            <w:r w:rsidRPr="00325808">
              <w:rPr>
                <w:rFonts w:ascii="Times New Roman" w:hAnsi="Times New Roman" w:cs="Times New Roman"/>
                <w:color w:val="000000"/>
                <w:vertAlign w:val="superscript"/>
              </w:rPr>
              <w:t>17b</w:t>
            </w:r>
            <w:r w:rsidRPr="00325808">
              <w:rPr>
                <w:rFonts w:ascii="Times New Roman" w:hAnsi="Times New Roman" w:cs="Times New Roman"/>
                <w:color w:val="000000"/>
              </w:rPr>
              <w:t xml:space="preserve">) </w:t>
            </w:r>
            <w:r w:rsidRPr="00325808">
              <w:rPr>
                <w:rFonts w:ascii="Times New Roman" w:hAnsi="Times New Roman" w:cs="Times New Roman"/>
                <w:bCs/>
                <w:color w:val="000000"/>
              </w:rPr>
              <w:t xml:space="preserve">§ 2 písm. b) zákona č. 657/2004 Z. z. o tepelnej energetike v znení neskorších predpisov.“. </w:t>
            </w:r>
          </w:p>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tc>
        <w:tc>
          <w:tcPr>
            <w:tcW w:w="1629" w:type="dxa"/>
          </w:tcPr>
          <w:p w:rsidR="00F73829" w:rsidRPr="00325808" w:rsidRDefault="00F73829" w:rsidP="00325808">
            <w:pPr>
              <w:jc w:val="both"/>
              <w:rPr>
                <w:rFonts w:ascii="Times New Roman" w:hAnsi="Times New Roman" w:cs="Times New Roman"/>
              </w:rPr>
            </w:pPr>
            <w:r w:rsidRPr="00325808">
              <w:rPr>
                <w:rFonts w:ascii="Times New Roman" w:hAnsi="Times New Roman" w:cs="Times New Roman"/>
              </w:rPr>
              <w:lastRenderedPageBreak/>
              <w:t xml:space="preserve">Pravidlá na spravovanie Modernizačného fondu a spôsob jeho fungovania v praxi bude ustanovený vo </w:t>
            </w:r>
            <w:r w:rsidRPr="00325808">
              <w:rPr>
                <w:rFonts w:ascii="Times New Roman" w:hAnsi="Times New Roman" w:cs="Times New Roman"/>
              </w:rPr>
              <w:lastRenderedPageBreak/>
              <w:t>vykonávacom právnom akte, ktorý Komisia plánuje vydať v roku 2020.  Modernizačný fond bude detailnejšie opísaný v dôvodovej správe.</w:t>
            </w:r>
          </w:p>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17</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článku 11 ods. 1 sa dopĺňa tento pododsek: </w:t>
            </w:r>
          </w:p>
          <w:p w:rsidR="003F282B" w:rsidRPr="00325808" w:rsidRDefault="003F282B" w:rsidP="00325808">
            <w:pPr>
              <w:rPr>
                <w:rFonts w:ascii="Times New Roman" w:hAnsi="Times New Roman" w:cs="Times New Roman"/>
              </w:rPr>
            </w:pPr>
            <w:r w:rsidRPr="00325808">
              <w:rPr>
                <w:rFonts w:ascii="Times New Roman" w:hAnsi="Times New Roman" w:cs="Times New Roman"/>
              </w:rPr>
              <w:t>„Zoznam zariadení, na ktoré sa počas piatich rokov počnúc 1. januárom 2021 vzťahuje táto smernica, sa predloží do 30. septembra 2019 a zoznam na každé nasledujúce päťročné obdobie sa predloží každých nasledujúcich päť rokov. Každý zoznam obsahuje informácie o výrobnej činnosti, prenose tepla a plynov, výrobe elektrickej energie a emisiách na úrovni podzariadení za päť kalendárnych rokov pred jeho predložením. Kvóty sa prideľujú bezodplatne len tým zariadeniam, o ktorých sa poskytnú tieto informácie.“</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9</w:t>
            </w:r>
          </w:p>
          <w:p w:rsidR="003F282B" w:rsidRPr="00325808" w:rsidRDefault="003F282B" w:rsidP="00325808">
            <w:pPr>
              <w:rPr>
                <w:rFonts w:ascii="Times New Roman" w:hAnsi="Times New Roman" w:cs="Times New Roman"/>
              </w:rPr>
            </w:pPr>
            <w:r w:rsidRPr="00325808">
              <w:rPr>
                <w:rFonts w:ascii="Times New Roman" w:hAnsi="Times New Roman" w:cs="Times New Roman"/>
              </w:rPr>
              <w:t>O: 1</w:t>
            </w:r>
          </w:p>
        </w:tc>
        <w:tc>
          <w:tcPr>
            <w:tcW w:w="3657" w:type="dxa"/>
          </w:tcPr>
          <w:p w:rsidR="00DA6ADE" w:rsidRPr="00325808" w:rsidRDefault="002D5F9C" w:rsidP="00325808">
            <w:pPr>
              <w:rPr>
                <w:rFonts w:ascii="Times New Roman" w:hAnsi="Times New Roman" w:cs="Times New Roman"/>
              </w:rPr>
            </w:pPr>
            <w:r w:rsidRPr="00325808">
              <w:rPr>
                <w:rFonts w:ascii="Times New Roman" w:hAnsi="Times New Roman" w:cs="Times New Roman"/>
              </w:rPr>
              <w:t>Ministerstvo predloží Európskej komisii (ďalej len „Komisia“) zoznam prevádzok, v ktorých sa počas obdobia piatich rokov začínajúceho od 1. januára 2021 vykonáva jedna alebo viac činností uvedených v prílohe č. 1 tabuľkách A a B s použitím elektronickej šablóny poskytnutej Komisiou podľa osobitného predpisu</w:t>
            </w:r>
            <w:r w:rsidRPr="00325808">
              <w:rPr>
                <w:rFonts w:ascii="Times New Roman" w:hAnsi="Times New Roman" w:cs="Times New Roman"/>
                <w:vertAlign w:val="superscript"/>
              </w:rPr>
              <w:t>.8</w:t>
            </w:r>
            <w:r w:rsidRPr="00325808">
              <w:rPr>
                <w:rFonts w:ascii="Times New Roman" w:hAnsi="Times New Roman" w:cs="Times New Roman"/>
              </w:rPr>
              <w:t>) Tento zoznam obsahuje informácie o výrobnej činnosti, prenose tepla a plynov, výrobe elektrickej energie a emisiách na úrovni častí prevádzky za päť kalendárnych rokov pred jeho predložením. Tento zoznam ministerstvo predkladá Komisii aj pre každé nasledujúce päťročné obchodovateľné obdobie</w:t>
            </w:r>
            <w:r w:rsidR="00DA6ADE" w:rsidRPr="00325808">
              <w:rPr>
                <w:rFonts w:ascii="Times New Roman" w:hAnsi="Times New Roman" w:cs="Times New Roman"/>
              </w:rPr>
              <w:t>.</w:t>
            </w:r>
          </w:p>
          <w:p w:rsidR="00DA6ADE" w:rsidRPr="00325808" w:rsidRDefault="00DA6ADE" w:rsidP="00325808">
            <w:pPr>
              <w:autoSpaceDE w:val="0"/>
              <w:autoSpaceDN w:val="0"/>
              <w:adjustRightInd w:val="0"/>
              <w:jc w:val="both"/>
              <w:rPr>
                <w:rFonts w:ascii="Times New Roman" w:hAnsi="Times New Roman" w:cs="Times New Roman"/>
              </w:rPr>
            </w:pPr>
          </w:p>
          <w:p w:rsidR="00DA6ADE" w:rsidRPr="00325808" w:rsidRDefault="00DA6ADE" w:rsidP="00325808">
            <w:pPr>
              <w:autoSpaceDE w:val="0"/>
              <w:autoSpaceDN w:val="0"/>
              <w:adjustRightInd w:val="0"/>
              <w:jc w:val="both"/>
              <w:rPr>
                <w:rFonts w:ascii="Times New Roman" w:hAnsi="Times New Roman" w:cs="Times New Roman"/>
              </w:rPr>
            </w:pPr>
            <w:r w:rsidRPr="00325808">
              <w:rPr>
                <w:rFonts w:ascii="Times New Roman" w:hAnsi="Times New Roman" w:cs="Times New Roman"/>
              </w:rPr>
              <w:t>Poznámka pod čiarou k odkazu 8 znie:</w:t>
            </w:r>
          </w:p>
          <w:p w:rsidR="003F282B" w:rsidRPr="00325808" w:rsidRDefault="00DA6ADE" w:rsidP="00325808">
            <w:pPr>
              <w:autoSpaceDE w:val="0"/>
              <w:autoSpaceDN w:val="0"/>
              <w:adjustRightInd w:val="0"/>
              <w:jc w:val="both"/>
              <w:rPr>
                <w:rFonts w:ascii="Times New Roman" w:hAnsi="Times New Roman" w:cs="Times New Roman"/>
                <w:color w:val="0070C0"/>
              </w:rPr>
            </w:pPr>
            <w:r w:rsidRPr="00325808">
              <w:rPr>
                <w:rFonts w:ascii="Times New Roman" w:hAnsi="Times New Roman" w:cs="Times New Roman"/>
              </w:rPr>
              <w:t>„</w:t>
            </w:r>
            <w:r w:rsidRPr="00325808">
              <w:rPr>
                <w:rFonts w:ascii="Times New Roman" w:hAnsi="Times New Roman" w:cs="Times New Roman"/>
                <w:vertAlign w:val="superscript"/>
              </w:rPr>
              <w:t>8</w:t>
            </w:r>
            <w:r w:rsidRPr="00325808">
              <w:rPr>
                <w:rFonts w:ascii="Times New Roman" w:hAnsi="Times New Roman" w:cs="Times New Roman"/>
              </w:rPr>
              <w:t xml:space="preserve">) Delegované nariadenie Komisie (EÚ) 2019/331 z 19. decembra 2018, ktorým sa ustanovujú prechodné </w:t>
            </w:r>
            <w:r w:rsidRPr="00325808">
              <w:rPr>
                <w:rFonts w:ascii="Times New Roman" w:hAnsi="Times New Roman" w:cs="Times New Roman"/>
              </w:rPr>
              <w:lastRenderedPageBreak/>
              <w:t>pravidlá harmonizácie bezodplatného prideľovania emisných kvót podľa článku 10a smernice Európskeho parlamentu a Rady 2003/87/ES, platné v celej Únii (Ú. v. EÚ L 59, 27. 2. 2019).“.</w:t>
            </w: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18</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článku 11a sa vypúšťajú odseky 8 a 9.</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11 sa vypúšťa.</w:t>
            </w:r>
            <w:r w:rsidR="00DA6ADE" w:rsidRPr="00325808">
              <w:rPr>
                <w:rFonts w:ascii="Times New Roman" w:hAnsi="Times New Roman" w:cs="Times New Roman"/>
              </w:rPr>
              <w:t xml:space="preserve"> Poznámky pod čiarou k odkazom 11 a 11a sa vypúšťajú.</w:t>
            </w: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19</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článku 11b sa vypúšťa odsek 7.</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20</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článku 12 ods. 4 sa dopĺňajú tieto vety: </w:t>
            </w:r>
          </w:p>
          <w:p w:rsidR="003F282B" w:rsidRPr="00325808" w:rsidRDefault="003F282B" w:rsidP="00325808">
            <w:pPr>
              <w:rPr>
                <w:rFonts w:ascii="Times New Roman" w:hAnsi="Times New Roman" w:cs="Times New Roman"/>
              </w:rPr>
            </w:pPr>
            <w:r w:rsidRPr="00325808">
              <w:rPr>
                <w:rFonts w:ascii="Times New Roman" w:hAnsi="Times New Roman" w:cs="Times New Roman"/>
              </w:rPr>
              <w:t>„Členské štáty môžu v prípade uzavretia výrobnej kapacity elektrickej energie na ich území v dôsledku dodatočných vnútroštátnych opatrení zrušiť kvóty z celkového množstva kvót, s ktorými majú obchodovať formou aukcie podľa článku 10 ods. 2, až do sumy zodpovedajúcej priemerným overeným emisiám dotknutého zariadenia v období piatich rokov pred uzavretím danej kapacity. Dotknutý členský štát informuje Komisiu o takomto plánovanom zrušení v súlade s delegovanými aktmi prijatými podľa článku 10 ods. 4.“</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D</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b/>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21</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13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Platnosť kvót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Kvóty vydávané od 1. januára 2013 majú neobmedzenú platnosť. Pri kvótach vydávaných od 1. januára 2021 sa musí uviesť, v ktorom </w:t>
            </w:r>
            <w:r w:rsidRPr="00325808">
              <w:rPr>
                <w:rFonts w:ascii="Times New Roman" w:hAnsi="Times New Roman" w:cs="Times New Roman"/>
              </w:rPr>
              <w:lastRenderedPageBreak/>
              <w:t>desaťročnom období počnúc 1. januárom 2021 sa vydali, pričom platia pre emisie od prvého roka daného obdobia.</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 23</w:t>
            </w:r>
          </w:p>
          <w:p w:rsidR="003F282B" w:rsidRPr="00325808" w:rsidRDefault="003F282B" w:rsidP="00325808">
            <w:pPr>
              <w:rPr>
                <w:rFonts w:ascii="Times New Roman" w:hAnsi="Times New Roman" w:cs="Times New Roman"/>
              </w:rPr>
            </w:pPr>
            <w:r w:rsidRPr="00325808">
              <w:rPr>
                <w:rFonts w:ascii="Times New Roman" w:hAnsi="Times New Roman" w:cs="Times New Roman"/>
              </w:rPr>
              <w:t>O: 2</w:t>
            </w:r>
          </w:p>
        </w:tc>
        <w:tc>
          <w:tcPr>
            <w:tcW w:w="3657"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Pri kvótach vydávaných od 1. januára 2021 sa musí uviesť, v ktorom desaťročnom období počnúc 1. januárom 2021 sa vydali, pričom platia pre emisie od prvého roka daného obdobia.</w:t>
            </w: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22</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 Komisia prijme vykonávacie akty týkajúce sa podrobných postupov na monitorovanie emisií a podávanie správ o emisiách a v príslušných prípadoch aj údajov o činnostiach uvedených v prílohe I v rámci monitorovania a podávania správ o údajoch o tonokilometroch na účely žiadosti podľa článku 3e alebo 3f, pričom uvedené vykonávacie akty vychádzajú zo zásad monitorovania a podávania správ stanovených v prílohe IV a požiadaviek stanovených v odseku 2 tohto článku. V uvedených vykonávacích aktoch sa v požiadavkách na monitorovanie emisií a podávanie správ o emisiách jednotlivých skleníkových plynov stanoví aj potenciál globálneho otepľovania daného plynu. </w:t>
            </w:r>
          </w:p>
          <w:p w:rsidR="003F282B" w:rsidRPr="00325808" w:rsidRDefault="003F282B" w:rsidP="00325808">
            <w:pPr>
              <w:rPr>
                <w:rFonts w:ascii="Times New Roman" w:hAnsi="Times New Roman" w:cs="Times New Roman"/>
              </w:rPr>
            </w:pPr>
            <w:r w:rsidRPr="00325808">
              <w:rPr>
                <w:rFonts w:ascii="Times New Roman" w:hAnsi="Times New Roman" w:cs="Times New Roman"/>
              </w:rPr>
              <w:t>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23</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článku 15 sa tretí, štvrtý a piaty odsek nahrádzajú takto: „Komisia prijme vykonávacie akty týkajúce sa overovania správ o emisiách podľa zásad stanovených v prílohe V, ako aj akreditácie overovateľov a dohľadu nad nimi. Komisia môže prijať vykonávacie akty aj na účely </w:t>
            </w:r>
            <w:r w:rsidRPr="00325808">
              <w:rPr>
                <w:rFonts w:ascii="Times New Roman" w:hAnsi="Times New Roman" w:cs="Times New Roman"/>
              </w:rPr>
              <w:lastRenderedPageBreak/>
              <w:t>overovania správ, ktoré podávajú prevádzkovatelia lietadiel podľa článku 14 ods. 3, a žiadostí podľa článkov 3e a 3f vrátane postupov overovania, ktoré majú použiť overovatelia. Stanoví podmienky akreditácie a odnímania akreditácie, vzájomného uznávania a vo vhodných prípadoch aj partnerského hodnotenia akreditačných orgánov.Uvedené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24</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12. Komisia prijme vykonávacie akty týkajúce sa podrobných pravidiel postupov uvedených v tomto článku. 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25</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3. Komisia je splnomocnená prijímať delegované akty v súlade s článkom 23 na doplnenie tejto smernice stanovením všetkých potrebných požiadaviek týkajúcich sa registra Únie na obdobie obchodovania, ktoré sa začína 1. januára 2013, a na nasledujúce obdobia vo forme štandardizovaných elektronických databáz, ktoré obsahujú spoločné prvky údajov na sledovanie vydávania, držby, prenosu a v prípade potreby aj rušenia kvót a podľa potreby aj na zabezpečenie prístupu verejnosti a dôvernosti. Uvedené delegované akty zahŕňajú aj ustanovenia o nadobudnutí účinnosti pravidiel vzájomného </w:t>
            </w:r>
            <w:r w:rsidRPr="00325808">
              <w:rPr>
                <w:rFonts w:ascii="Times New Roman" w:hAnsi="Times New Roman" w:cs="Times New Roman"/>
              </w:rPr>
              <w:lastRenderedPageBreak/>
              <w:t>uznávania kvót v rámci dohôd o prepojení systémov obchodovania s emisiami.</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26</w:t>
            </w:r>
          </w:p>
          <w:p w:rsidR="003F282B" w:rsidRPr="00325808" w:rsidRDefault="003F282B" w:rsidP="00325808">
            <w:pPr>
              <w:rPr>
                <w:rFonts w:ascii="Times New Roman" w:hAnsi="Times New Roman" w:cs="Times New Roman"/>
              </w:rPr>
            </w:pPr>
            <w:r w:rsidRPr="00325808">
              <w:rPr>
                <w:rFonts w:ascii="Times New Roman" w:hAnsi="Times New Roman" w:cs="Times New Roman"/>
              </w:rPr>
              <w:t>P: a)</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Správa sa vypracuje na základe dotazníka alebo návodu prijatého Komisiou vo forme vykonávacích aktov. Uvedené vykonávacie akty sa prijmú v súlade s postupom preskúmania uvedeným v článku 22a ods.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26</w:t>
            </w:r>
          </w:p>
          <w:p w:rsidR="003F282B" w:rsidRPr="00325808" w:rsidRDefault="003F282B" w:rsidP="00325808">
            <w:pPr>
              <w:rPr>
                <w:rFonts w:ascii="Times New Roman" w:hAnsi="Times New Roman" w:cs="Times New Roman"/>
              </w:rPr>
            </w:pPr>
            <w:r w:rsidRPr="00325808">
              <w:rPr>
                <w:rFonts w:ascii="Times New Roman" w:hAnsi="Times New Roman" w:cs="Times New Roman"/>
              </w:rPr>
              <w:t>P: b)</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4. Každé tri roky v správe uvedenej v odseku 1 sa zároveň venuje osobitná pozornosť rovnocenným opatreniam prijatým pre malé zariadenia vylúčené zo systému EU ETS. Vydanie rovnocenných opatrení prijatých pre malé zariadenia sa tiež zváži v rámci výmeny informácií uvedenej v odseku 3.</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27</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22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Zmeny príloh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Komisia je splnomocnená prijímať delegované akty v súlade s článkom 23 s cieľom zmeniť v prípade potreby prílohy k tejto smernici s výnimkou príloh I, IIa a IIb na základe správ stanovených v článku 21 a skúseností s uplatňovaním tejto smernice. Prílohy IV a V sa môžu zmeniť s cieľom zlepšiť monitorovanie emisií, podávanie správ o emisiách a overovanie emisií.</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O: 28</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Článok 22a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Postup výboru</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1.Komisii pomáha Výbor pre zmenu klímy zriadený článkom 26 nariadenia Európskeho parlamentu a Rady (EÚ) č. 525/2013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Uvedený výbor je výborom v zmysle nariadenia Európskeho parlamentu a Rady (EÚ) č. 182/2011 (**).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2.Ak sa odkazuje na tento odsek, uplatňuje sa článok 5 nariadenia (EÚ) č. 182/2011.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Ak výbor nevydá žiadne stanovisko, Komisia neprijme návrh vykonávacieho aktu a uplatňuje sa článok 5 ods. 4 tretí pododsek nariadenia (EÚ) č. 182/2011.</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(*)Nariadenie Európskeho parlamentu a Rady (EÚ) č. 525/2013 z 21. mája 2013 o mechanizme monitorovania a nahlasovania emisií skleníkových plynov a nahlasovania ďalších informácií na úrovni členských štátov a Únie relevantných z hľadiska zmeny klímy a o zrušení rozhodnutia č. 280/2004/ES (Ú. v. EÚ L 165, 18.6.2013, s. 13).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(**)Nariadenie Európskeho parlamentu a Rady (EÚ) č. 182/2011 zo 16. februára 2011, ktorým sa ustanovujú </w:t>
            </w:r>
            <w:r w:rsidRPr="00325808">
              <w:rPr>
                <w:rFonts w:ascii="Times New Roman" w:hAnsi="Times New Roman" w:cs="Times New Roman"/>
              </w:rPr>
              <w:lastRenderedPageBreak/>
              <w:t>pravidlá a všeobecné zásady mechanizmu, na základe ktorého členské štáty kontrolujú vykonávanie vykonávacích právomocí Komisie (Ú. v. EÚ L 55, 28.2.2011, s. 13).“</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29</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23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Vykonávanie delegovania právomoci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1.Komisii sa udeľuje právomoc prijímať delegované akty za podmienok stanovených v tomto článku.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2.Právomoc prijímať delegované akty uvedené v článku 3d ods. 3, článku 10 ods. 4, článku 10a ods. 1 a 8, článku 10b ods. 5, článku 19 ods. 3, článku 22, článku 24 ods. 3, článku 24a ods. 1, článku 25a ods. 1 a článku 28c sa Komisii udeľuje na dobu neurčitú od 8. apríla 2018.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3.Delegovanie právomoci uvedené v článku 3d ods. 3, článku 10 ods. 4, článku 10a ods. 1 a 8, článku 10b ods. 5, článku 19 ods. 3, článku 22, článku 24 ods. 3, článku 24a ods. 1, článku 25a ods. 1 a článku 28c môže Európsky parlament alebo Rada kedykoľvek odvolať. Rozhodnutím o odvolaní sa ukončuje delegovanie právomoci, ktoré sa v ňom uvádza. Rozhodnutie nadobúda účinnosť dňom nasledujúcim po jeho uverejnení v Úradnom vestníku </w:t>
            </w:r>
            <w:r w:rsidRPr="00325808">
              <w:rPr>
                <w:rFonts w:ascii="Times New Roman" w:hAnsi="Times New Roman" w:cs="Times New Roman"/>
              </w:rPr>
              <w:lastRenderedPageBreak/>
              <w:t xml:space="preserve">Európskej únie alebo k neskoršiemu dátumu, ktorý je v ňom určený. Nie je ním dotknutá platnosť delegovaných aktov, ktoré už nadobudli účinnosť.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4.Komisia pred prijatím delegovaného aktu konzultuje s odborníkmi určenými jednotlivými členskými štátmi v súlade so zásadami stanovenými v Medziinštitucionálnej dohode z 13. apríla 2016 o lepšej tvorbe práva (*).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5.Komisia oznamuje delegovaný akt hneď po jeho prijatí súčasne Európskemu parlamentu a Rade.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6.Delegovaný akt prijatý podľa článku 3d ods. 3, článku 10 ods. 4, článku 10a ods. 1 a 8, článku 10b ods. 5, článku 19 ods. 3, článku 22, článku 24 ods. 3, článku 24a ods. 1, článku 25a ods. 1 a článku 28c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(*)Ú. v. EÚ L 123, 12.5.2016, s. 1.“</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30</w:t>
            </w:r>
          </w:p>
          <w:p w:rsidR="003F282B" w:rsidRPr="00325808" w:rsidRDefault="003F282B" w:rsidP="00325808">
            <w:pPr>
              <w:rPr>
                <w:rFonts w:ascii="Times New Roman" w:hAnsi="Times New Roman" w:cs="Times New Roman"/>
              </w:rPr>
            </w:pPr>
            <w:r w:rsidRPr="00325808">
              <w:rPr>
                <w:rFonts w:ascii="Times New Roman" w:hAnsi="Times New Roman" w:cs="Times New Roman"/>
              </w:rPr>
              <w:t>P: a)</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1. Od roku 2008 môžu členské štáty uplatňovať obchodovanie s emisnými kvótami v súlade s touto smernicou na činnosti a skleníkové plyny, ktoré nie sú uvedené v prílohe I, pri zohľadnení všetkých relevantných kritérií, najmä účinkov na vnútorný trh, možného narušenia hospodárskej súťaže, environmentálnej integrity systému EU ETS a spoľahlivosti plánovaného systému monitorovania a podávania správ za predpokladu, že začlenenie takýchto činností a skleníkových plynov schváli Komisia v súlade s delegovanými aktmi, ktoré je Komisia splnomocnená prijať v súlade s článkom 23.</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D</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30</w:t>
            </w:r>
          </w:p>
          <w:p w:rsidR="003F282B" w:rsidRPr="00325808" w:rsidRDefault="003F282B" w:rsidP="00325808">
            <w:pPr>
              <w:rPr>
                <w:rFonts w:ascii="Times New Roman" w:hAnsi="Times New Roman" w:cs="Times New Roman"/>
              </w:rPr>
            </w:pPr>
            <w:r w:rsidRPr="00325808">
              <w:rPr>
                <w:rFonts w:ascii="Times New Roman" w:hAnsi="Times New Roman" w:cs="Times New Roman"/>
              </w:rPr>
              <w:t>P: b)</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odseku 3 sa druhý pododsek nahrádza takto: „Komisia je splnomocnená prijímať delegované akty v súlade s článkom 23 na doplnenie tejto smernice na tento účel.“</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31</w:t>
            </w:r>
          </w:p>
          <w:p w:rsidR="003F282B" w:rsidRPr="00325808" w:rsidRDefault="003F282B" w:rsidP="00325808">
            <w:pPr>
              <w:rPr>
                <w:rFonts w:ascii="Times New Roman" w:hAnsi="Times New Roman" w:cs="Times New Roman"/>
              </w:rPr>
            </w:pPr>
            <w:r w:rsidRPr="00325808">
              <w:rPr>
                <w:rFonts w:ascii="Times New Roman" w:hAnsi="Times New Roman" w:cs="Times New Roman"/>
              </w:rPr>
              <w:t>P: a)</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odseku 1 sa prvý a druhý pododsek nahrádzajú takto: „1.Okrem začlenenia stanoveného v článku 24 môže Komisia prijať opatrenia na vydávanie kvót alebo kreditov v prípade projektov, ktoré spravujú členské štáty a ktorými sa znižujú emisie skleníkových plynov, ktoré nespadajú do systému EU ETS. Takéto opatrenia musia byť v súlade s aktmi prijatými podľa bývalého článku 11b ods. 7 v znení účinnom pred 8. aprílom 2018. Komisia je splnomocnená prijímať </w:t>
            </w:r>
            <w:r w:rsidRPr="00325808">
              <w:rPr>
                <w:rFonts w:ascii="Times New Roman" w:hAnsi="Times New Roman" w:cs="Times New Roman"/>
              </w:rPr>
              <w:lastRenderedPageBreak/>
              <w:t>delegované akty v súlade s článkom 23 na doplnenie tejto smernice stanovením postupu, ktorý sa má uplatňovať.</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31</w:t>
            </w:r>
          </w:p>
          <w:p w:rsidR="003F282B" w:rsidRPr="00325808" w:rsidRDefault="003F282B" w:rsidP="00325808">
            <w:pPr>
              <w:rPr>
                <w:rFonts w:ascii="Times New Roman" w:hAnsi="Times New Roman" w:cs="Times New Roman"/>
              </w:rPr>
            </w:pPr>
            <w:r w:rsidRPr="00325808">
              <w:rPr>
                <w:rFonts w:ascii="Times New Roman" w:hAnsi="Times New Roman" w:cs="Times New Roman"/>
              </w:rPr>
              <w:t>P: b)</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odsek 2 sa vypúšťa</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32</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článku 25 sa odsek 2 vypúšťa.</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33</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prvý a druhý pododsek nahrádzajú takto: „V prípade, že tretia krajina prijme opatrenia na zníženie vplyvu letov s odletom z tejto tretej krajiny a pristávajúcich v Únii na zmenu klímy, Komisia po konzultácii s touto treťou krajinou a členskými štátmi v rámci výboru uvedeného v článku 22a ods. 1 posúdi dostupné možnosti s cieľom zabezpečiť optimálnu interakciu medzi systémom EU ETS a opatreniami tejto krajiny. Komisia je splnomocnená prijímať delegované akty v súlade s článkom 23 na zmenu prílohy I k tejto smernici s cieľom stanoviť, že lety prichádzajúce z dotknutej tretej krajiny sa vylúčia z činností leteckej dopravy uvedených v prílohe I, alebo stanoviť akékoľvek iné zmeny činností leteckej dopravy uvedených v prílohe I s výnimkou zmien rozsahu pôsobnosti, ktoré si vyžaduje dohoda uzavretá podľa článku 218 Zmluvy o fungovaní Európskej únie.“</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34</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druhý pododseksa nahrádza takto: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„Každé takéto zariadenie zostane v systéme EU ETS do konca obdobia </w:t>
            </w:r>
            <w:r w:rsidRPr="00325808">
              <w:rPr>
                <w:rFonts w:ascii="Times New Roman" w:hAnsi="Times New Roman" w:cs="Times New Roman"/>
              </w:rPr>
              <w:lastRenderedPageBreak/>
              <w:t>uvedeného v článku 11 ods. 1, počas ktorého sa doň znovu začlenilo.“</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D</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35</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27a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Nepovinné vylúčenie zariadení, ktoré emitujú menej ako 2 500 ton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1.Členské štáty môžu vylúčiť zo systému EU ETS zariadenia, ktorých emisie nahlásené príslušnému orgánu dotknutého členského štátu predstavujú za každý z troch rokov predchádzajúcich oznámeniu podľa písmena a) menej ako 2 500 ton ekvivalentu oxidu uhličitého bez ohľadu na emisie z biomasy, za predpokladu, že dotknutý členský štát: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 oznámi Komisii každé takéto zariadenie pred tým, ako sa má predložiť zoznam zariadení podľa článku 11 ods. 1, alebo najneskôr, keď sa tento zoznam predkladá Komisii;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b) potvrdí, že sa prijali zjednodušené opatrenia na monitorovanie s cieľom posúdiť, či niektoré zariadenie emituje v ktoromkoľvek kalendárnom roku 2 500 ton ekvivalentu oxidu uhličitého alebo viac bez ohľadu na emisie z biomasy;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c) potvrdí, že ak niektoré zariadenie emituje v ktoromkoľvek kalendárnom roku 2 500 ton ekvivalentu oxidu uhličitého alebo viac bez ohľadu na emisie z biomasy, zariadenie sa opäť začlení do systému EU ETS, a </w:t>
            </w: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d) zverejní informácie uvedené v písmenách a), b) a c).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2.Keď sa zariadenie znovu začlení do systému EU ETS v súlade s odsekom 1 písm. c) tohto článku, všetky kvóty pridelené v súlade s článkom 10a sa pridelia počnúc rokom opätovného začlenenia. Kvóty pridelené takémuto zariadeniu sa odpočítajú z množstva, s ktorým má obchodovať formou aukcie podľa článku 10 ods. 2 členský štát, v ktorom sa zariadenie nachádza.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3.Členské štáty môžu vylúčiť zo systému EU ETS aj rezervné alebo záložné jednotky, ktoré neboli v prevádzke viac ako 300 hodín ročne za každý z troch rokov predchádzajúcich oznámeniu podľa odseku 1 písm. a), za rovnakých podmienok, ako sú stanovené v odsekoch 1 a 2.“</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D</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36</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28c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Ustanovenia o monitorovaní, podávaní správ a overovaní na účely globálneho trhového opatrenia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Komisia je splnomocnená prijímať delegované akty v súlade s článkom 23 na doplnenie tejto smernice, pokiaľ ide o primerané monitorovanie emisií, podávanie správ o emisiách a overovanie emisií na účely vykonávania globálneho trhového </w:t>
            </w:r>
            <w:r w:rsidRPr="00325808">
              <w:rPr>
                <w:rFonts w:ascii="Times New Roman" w:hAnsi="Times New Roman" w:cs="Times New Roman"/>
              </w:rPr>
              <w:lastRenderedPageBreak/>
              <w:t>opatrenia ICAO na všetky trasách, na ktoré sa vzťahuje. Uvedené delegované akty sa zakladajú na relevantných nástrojoch prijatých v ICAO, zabraňujú narušeniu hospodárskej súťaže a dodržiavajú zásady uvedené v aktoch, na ktoré sa odkazuje v článku 14 ods. 1, a zabezpečujú, aby sa predložené správy o emisiách overili v súlade so zásadami a kritériami overovania stanovenými v článku 15.</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37</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30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Preskúmanie z hľadiska vykonávania Parížskej dohody a vývoja trhov s uhlíkom v iných významných ekonomikách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1.Táto smernica sa preskúma z hľadiska medzinárodného vývoja a úsilia o dosiahnutie dlhodobých cieľov Parížskej dohody.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2.Opatrenia na podporu určitých energeticky náročných priemyselných odvetví, ktoré môžu byť vystavené úniku uhlíka, ako sa uvádza v článkoch 10a a 10b, sa preskúmavajú aj z hľadiska opatrení politiky v oblasti klímy v iných významných ekonomikách. V tejto súvislosti Komisia tiež zváži, či by sa opatrenia súvisiace s kompenzáciou nepriamych nákladov mali ďalej harmonizovať.</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3.Komisia podá Európskemu parlamentu a Rade v kontexte každého globálneho hodnotenia, ktoré sa dohodlo v rámci Parížskej dohody, správu, najmä pokiaľ ide o potrebu ďalších politík a opatrení Únie na účely potrebného zníženia emisií skleníkových plynov zo strany Únie a jej členských štátov, okrem iného aj v súvislosti s lineárnym koeficientom uvedeným v článku 9. Komisia môže podľa potreby Európskemu parlamentu a Rade predložiť návrhy na zmenu tejto smernice.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4.Komisia pred 1. januárom 2020 predloží aktualizovanú analýzu vplyvov leteckej dopravy, ktoré nesúvisia s emisiami CO2, ku ktorej v prípade potreby pripojí návrh, ako čo najlepšie riešiť tieto vplyvy.</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38</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V prílohe IIa k smernici 2003/87/ES sa vypúšťajú záznamy v súvislosti s Belgickom, Talianskom, Luxemburskom a Švédskom.</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39</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Príloha IIb k smernici 2003/87/ES sa nahrádza znením uvedeným v prílohe I k tejto smernici.</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1</w:t>
            </w:r>
          </w:p>
          <w:p w:rsidR="003F282B" w:rsidRPr="00325808" w:rsidRDefault="003F282B" w:rsidP="00325808">
            <w:pPr>
              <w:rPr>
                <w:rFonts w:ascii="Times New Roman" w:hAnsi="Times New Roman" w:cs="Times New Roman"/>
              </w:rPr>
            </w:pPr>
            <w:r w:rsidRPr="00325808">
              <w:rPr>
                <w:rFonts w:ascii="Times New Roman" w:hAnsi="Times New Roman" w:cs="Times New Roman"/>
              </w:rPr>
              <w:t>O: 40</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Príloha IV k smernici 2003/87/ES sa mení v súlade s prílohou II k tejto smernici.</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2</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Zmeny rozhodnutia (EÚ) 2015/1814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Článok 1 rozhodnutia (EÚ) 2015/1814 sa mení takto: </w:t>
            </w:r>
          </w:p>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 xml:space="preserve">1. V odseku 5 sa v prvom pododseku dopĺňa táto veta: „Odchylne od prvej a druhej vety sa do 31. decembra 2023 percentuálne podiely a 100 miliónov kvót, ktoré sa uvádzajú v týchto vetách, zdvojnásobia.“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2. Vkladá sa tento odsek: „5a.Pokiaľ sa nerozhodne inak v rámci prvého preskúmania vykonaného v súlade s článkom 3, kvóty umiestnené v rezerve, ktoré presahujú celkové množstvo kvót, s ktorými sa počas predchádzajúceho roka obchodovalo formou aukcie, nie sú od roku 2023 ďalej platné.“</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3</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Transpozícia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1.Členské štáty uvedú do účinnosti zákony, iné právne predpisy a správne opatrenia potrebné na dosiahnutie súladu s touto smernicou do 9. októbra 2019. Bezodkladne Komisii oznámia znenie týchto ustanovení. Členské štáty uvedú priamo v prijatých ustanoveniach alebo pri ich úradnom uverejnení odkaz na túto smernicu. Podrobnosti o odkaze a jeho znenie upravia členské štáty. Odchylne od prvého pododseku členské štáty uvedú do účinnosti zákony, iné právne predpisy a správne opatrenia potrebné na dosiahnutie súladu s povinnosťami súvisiacimi s uverejňovaním a podávaním správ uvedenými v článku </w:t>
            </w:r>
            <w:r w:rsidRPr="00325808">
              <w:rPr>
                <w:rFonts w:ascii="Times New Roman" w:hAnsi="Times New Roman" w:cs="Times New Roman"/>
              </w:rPr>
              <w:lastRenderedPageBreak/>
              <w:t xml:space="preserve">1 bode 14 písm. f) tejto smernice týkajúcimi sa článku 10a ods. 6 smernice 2003/87/ES do 31. decembra 2018.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2.Členské štáty oznámia Komisii znenie hlavných ustanovení vnútroštátnych právnych predpisov, ktoré prijmú v oblasti pôsobnosti tejto smernice.</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DC5C02" w:rsidRPr="00325808" w:rsidRDefault="00DC5C02"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575/</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2001 </w:t>
            </w:r>
          </w:p>
          <w:p w:rsidR="008443D6" w:rsidRPr="00325808" w:rsidRDefault="008443D6"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Č: 2</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B4768E" w:rsidRPr="00325808" w:rsidRDefault="00B4768E"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Príloha č. 4 bod 2</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2D5F9C" w:rsidRPr="00325808" w:rsidRDefault="002D5F9C"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 16 </w:t>
            </w:r>
          </w:p>
          <w:p w:rsidR="003F282B" w:rsidRPr="00325808" w:rsidRDefault="003F282B" w:rsidP="00325808">
            <w:pPr>
              <w:rPr>
                <w:rFonts w:ascii="Times New Roman" w:hAnsi="Times New Roman" w:cs="Times New Roman"/>
              </w:rPr>
            </w:pPr>
            <w:r w:rsidRPr="00325808">
              <w:rPr>
                <w:rFonts w:ascii="Times New Roman" w:hAnsi="Times New Roman" w:cs="Times New Roman"/>
              </w:rPr>
              <w:t>P: c)</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p>
          <w:p w:rsidR="008443D6" w:rsidRPr="00325808" w:rsidRDefault="008443D6"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35</w:t>
            </w:r>
          </w:p>
          <w:p w:rsidR="003F282B" w:rsidRPr="00325808" w:rsidRDefault="003F282B" w:rsidP="00325808">
            <w:pPr>
              <w:rPr>
                <w:rFonts w:ascii="Times New Roman" w:hAnsi="Times New Roman" w:cs="Times New Roman"/>
              </w:rPr>
            </w:pPr>
            <w:r w:rsidRPr="00325808">
              <w:rPr>
                <w:rFonts w:ascii="Times New Roman" w:hAnsi="Times New Roman" w:cs="Times New Roman"/>
              </w:rPr>
              <w:t>O: 7</w:t>
            </w:r>
          </w:p>
          <w:p w:rsidR="003F282B" w:rsidRPr="00325808" w:rsidRDefault="003F282B" w:rsidP="00325808">
            <w:pPr>
              <w:rPr>
                <w:rFonts w:ascii="Times New Roman" w:hAnsi="Times New Roman" w:cs="Times New Roman"/>
              </w:rPr>
            </w:pPr>
          </w:p>
        </w:tc>
        <w:tc>
          <w:tcPr>
            <w:tcW w:w="3657" w:type="dxa"/>
          </w:tcPr>
          <w:p w:rsidR="00B4768E" w:rsidRPr="00325808" w:rsidRDefault="00B4768E" w:rsidP="00325808">
            <w:pPr>
              <w:rPr>
                <w:rFonts w:ascii="Times New Roman" w:hAnsi="Times New Roman" w:cs="Times New Roman"/>
              </w:rPr>
            </w:pPr>
            <w:r w:rsidRPr="00325808">
              <w:rPr>
                <w:rFonts w:ascii="Times New Roman" w:hAnsi="Times New Roman" w:cs="Times New Roman"/>
              </w:rPr>
              <w:lastRenderedPageBreak/>
              <w:t>Tento zákon</w:t>
            </w:r>
            <w:r w:rsidR="00C97A9D" w:rsidRPr="00325808">
              <w:rPr>
                <w:rFonts w:ascii="Times New Roman" w:hAnsi="Times New Roman" w:cs="Times New Roman"/>
              </w:rPr>
              <w:t xml:space="preserve"> </w:t>
            </w:r>
            <w:r w:rsidRPr="00325808">
              <w:rPr>
                <w:rFonts w:ascii="Times New Roman" w:hAnsi="Times New Roman" w:cs="Times New Roman"/>
              </w:rPr>
              <w:t>nadobúda</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dňom</w:t>
            </w:r>
            <w:r w:rsidR="00C97A9D" w:rsidRPr="00325808">
              <w:rPr>
                <w:rFonts w:ascii="Times New Roman" w:hAnsi="Times New Roman" w:cs="Times New Roman"/>
              </w:rPr>
              <w:t xml:space="preserve"> </w:t>
            </w:r>
            <w:r w:rsidRPr="00325808">
              <w:rPr>
                <w:rFonts w:ascii="Times New Roman" w:hAnsi="Times New Roman" w:cs="Times New Roman"/>
              </w:rPr>
              <w:t>vyhlásenia</w:t>
            </w:r>
            <w:r w:rsidR="00C97A9D" w:rsidRPr="00325808">
              <w:rPr>
                <w:rFonts w:ascii="Times New Roman" w:hAnsi="Times New Roman" w:cs="Times New Roman"/>
              </w:rPr>
              <w:t xml:space="preserve"> </w:t>
            </w:r>
            <w:r w:rsidRPr="00325808">
              <w:rPr>
                <w:rFonts w:ascii="Times New Roman" w:hAnsi="Times New Roman" w:cs="Times New Roman"/>
              </w:rPr>
              <w:t>okrem</w:t>
            </w:r>
            <w:r w:rsidR="00C97A9D" w:rsidRPr="00325808">
              <w:rPr>
                <w:rFonts w:ascii="Times New Roman" w:hAnsi="Times New Roman" w:cs="Times New Roman"/>
              </w:rPr>
              <w:t xml:space="preserve"> </w:t>
            </w:r>
            <w:r w:rsidRPr="00325808">
              <w:rPr>
                <w:rFonts w:ascii="Times New Roman" w:hAnsi="Times New Roman" w:cs="Times New Roman"/>
              </w:rPr>
              <w:t>čl.</w:t>
            </w:r>
            <w:r w:rsidR="00C97A9D" w:rsidRPr="00325808">
              <w:rPr>
                <w:rFonts w:ascii="Times New Roman" w:hAnsi="Times New Roman" w:cs="Times New Roman"/>
              </w:rPr>
              <w:t xml:space="preserve"> </w:t>
            </w:r>
            <w:r w:rsidRPr="00325808">
              <w:rPr>
                <w:rFonts w:ascii="Times New Roman" w:hAnsi="Times New Roman" w:cs="Times New Roman"/>
              </w:rPr>
              <w:t>I</w:t>
            </w:r>
            <w:r w:rsidR="00C97A9D" w:rsidRPr="00325808">
              <w:rPr>
                <w:rFonts w:ascii="Times New Roman" w:hAnsi="Times New Roman" w:cs="Times New Roman"/>
              </w:rPr>
              <w:t> </w:t>
            </w:r>
            <w:r w:rsidRPr="00325808">
              <w:rPr>
                <w:rFonts w:ascii="Times New Roman" w:hAnsi="Times New Roman" w:cs="Times New Roman"/>
              </w:rPr>
              <w:t>bodov</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3,</w:t>
            </w:r>
            <w:r w:rsidR="00C97A9D" w:rsidRPr="00325808">
              <w:rPr>
                <w:rFonts w:ascii="Times New Roman" w:hAnsi="Times New Roman" w:cs="Times New Roman"/>
              </w:rPr>
              <w:t xml:space="preserve"> </w:t>
            </w:r>
            <w:r w:rsidRPr="00325808">
              <w:rPr>
                <w:rFonts w:ascii="Times New Roman" w:hAnsi="Times New Roman" w:cs="Times New Roman"/>
              </w:rPr>
              <w:t>5,</w:t>
            </w:r>
            <w:r w:rsidR="00C97A9D" w:rsidRPr="00325808">
              <w:rPr>
                <w:rFonts w:ascii="Times New Roman" w:hAnsi="Times New Roman" w:cs="Times New Roman"/>
              </w:rPr>
              <w:t xml:space="preserve"> </w:t>
            </w:r>
            <w:r w:rsidRPr="00325808">
              <w:rPr>
                <w:rFonts w:ascii="Times New Roman" w:hAnsi="Times New Roman" w:cs="Times New Roman"/>
              </w:rPr>
              <w:t>7</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9,</w:t>
            </w:r>
            <w:r w:rsidR="00C97A9D" w:rsidRPr="00325808">
              <w:rPr>
                <w:rFonts w:ascii="Times New Roman" w:hAnsi="Times New Roman" w:cs="Times New Roman"/>
              </w:rPr>
              <w:t xml:space="preserve"> </w:t>
            </w:r>
            <w:r w:rsidRPr="00325808">
              <w:rPr>
                <w:rFonts w:ascii="Times New Roman" w:hAnsi="Times New Roman" w:cs="Times New Roman"/>
              </w:rPr>
              <w:t>13</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20, 22, 25, 26,</w:t>
            </w:r>
            <w:r w:rsidR="00C97A9D" w:rsidRPr="00325808">
              <w:rPr>
                <w:rFonts w:ascii="Times New Roman" w:hAnsi="Times New Roman" w:cs="Times New Roman"/>
              </w:rPr>
              <w:t xml:space="preserve"> </w:t>
            </w:r>
            <w:r w:rsidRPr="00325808">
              <w:rPr>
                <w:rFonts w:ascii="Times New Roman" w:hAnsi="Times New Roman" w:cs="Times New Roman"/>
              </w:rPr>
              <w:t>28</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33,</w:t>
            </w:r>
            <w:r w:rsidR="00C97A9D" w:rsidRPr="00325808">
              <w:rPr>
                <w:rFonts w:ascii="Times New Roman" w:hAnsi="Times New Roman" w:cs="Times New Roman"/>
              </w:rPr>
              <w:t xml:space="preserve"> </w:t>
            </w:r>
            <w:r w:rsidRPr="00325808">
              <w:rPr>
                <w:rFonts w:ascii="Times New Roman" w:hAnsi="Times New Roman" w:cs="Times New Roman"/>
              </w:rPr>
              <w:t>36</w:t>
            </w:r>
            <w:r w:rsidR="00C97A9D" w:rsidRPr="00325808">
              <w:rPr>
                <w:rFonts w:ascii="Times New Roman" w:hAnsi="Times New Roman" w:cs="Times New Roman"/>
              </w:rPr>
              <w:t xml:space="preserve"> </w:t>
            </w:r>
            <w:r w:rsidRPr="00325808">
              <w:rPr>
                <w:rFonts w:ascii="Times New Roman" w:hAnsi="Times New Roman" w:cs="Times New Roman"/>
              </w:rPr>
              <w:t>a</w:t>
            </w:r>
            <w:r w:rsidR="00C97A9D" w:rsidRPr="00325808">
              <w:rPr>
                <w:rFonts w:ascii="Times New Roman" w:hAnsi="Times New Roman" w:cs="Times New Roman"/>
              </w:rPr>
              <w:t xml:space="preserve"> </w:t>
            </w:r>
            <w:r w:rsidRPr="00325808">
              <w:rPr>
                <w:rFonts w:ascii="Times New Roman" w:hAnsi="Times New Roman" w:cs="Times New Roman"/>
              </w:rPr>
              <w:t>37,</w:t>
            </w:r>
            <w:r w:rsidR="00C97A9D" w:rsidRPr="00325808">
              <w:rPr>
                <w:rFonts w:ascii="Times New Roman" w:hAnsi="Times New Roman" w:cs="Times New Roman"/>
              </w:rPr>
              <w:t xml:space="preserve"> </w:t>
            </w:r>
            <w:r w:rsidRPr="00325808">
              <w:rPr>
                <w:rFonts w:ascii="Times New Roman" w:hAnsi="Times New Roman" w:cs="Times New Roman"/>
              </w:rPr>
              <w:t>ktoré</w:t>
            </w:r>
            <w:r w:rsidR="00C97A9D" w:rsidRPr="00325808">
              <w:rPr>
                <w:rFonts w:ascii="Times New Roman" w:hAnsi="Times New Roman" w:cs="Times New Roman"/>
              </w:rPr>
              <w:t xml:space="preserve"> </w:t>
            </w:r>
            <w:r w:rsidRPr="00325808">
              <w:rPr>
                <w:rFonts w:ascii="Times New Roman" w:hAnsi="Times New Roman" w:cs="Times New Roman"/>
              </w:rPr>
              <w:t>nadobúdajú</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15.</w:t>
            </w:r>
            <w:r w:rsidR="00C97A9D" w:rsidRPr="00325808">
              <w:rPr>
                <w:rFonts w:ascii="Times New Roman" w:hAnsi="Times New Roman" w:cs="Times New Roman"/>
              </w:rPr>
              <w:t xml:space="preserve"> </w:t>
            </w:r>
            <w:r w:rsidRPr="00325808">
              <w:rPr>
                <w:rFonts w:ascii="Times New Roman" w:hAnsi="Times New Roman" w:cs="Times New Roman"/>
              </w:rPr>
              <w:t>októbra</w:t>
            </w:r>
            <w:r w:rsidR="00C97A9D" w:rsidRPr="00325808">
              <w:rPr>
                <w:rFonts w:ascii="Times New Roman" w:hAnsi="Times New Roman" w:cs="Times New Roman"/>
              </w:rPr>
              <w:t xml:space="preserve"> </w:t>
            </w:r>
            <w:r w:rsidRPr="00325808">
              <w:rPr>
                <w:rFonts w:ascii="Times New Roman" w:hAnsi="Times New Roman" w:cs="Times New Roman"/>
              </w:rPr>
              <w:t>2019,</w:t>
            </w:r>
            <w:r w:rsidR="00C97A9D" w:rsidRPr="00325808">
              <w:rPr>
                <w:rFonts w:ascii="Times New Roman" w:hAnsi="Times New Roman" w:cs="Times New Roman"/>
              </w:rPr>
              <w:t xml:space="preserve"> </w:t>
            </w:r>
            <w:r w:rsidRPr="00325808">
              <w:rPr>
                <w:rFonts w:ascii="Times New Roman" w:hAnsi="Times New Roman" w:cs="Times New Roman"/>
              </w:rPr>
              <w:t>čl. I</w:t>
            </w:r>
            <w:r w:rsidR="00C97A9D" w:rsidRPr="00325808">
              <w:rPr>
                <w:rFonts w:ascii="Times New Roman" w:hAnsi="Times New Roman" w:cs="Times New Roman"/>
              </w:rPr>
              <w:t> </w:t>
            </w:r>
            <w:r w:rsidRPr="00325808">
              <w:rPr>
                <w:rFonts w:ascii="Times New Roman" w:hAnsi="Times New Roman" w:cs="Times New Roman"/>
              </w:rPr>
              <w:t>bodu</w:t>
            </w:r>
            <w:r w:rsidR="00C97A9D" w:rsidRPr="00325808">
              <w:rPr>
                <w:rFonts w:ascii="Times New Roman" w:hAnsi="Times New Roman" w:cs="Times New Roman"/>
              </w:rPr>
              <w:t xml:space="preserve"> </w:t>
            </w:r>
            <w:r w:rsidRPr="00325808">
              <w:rPr>
                <w:rFonts w:ascii="Times New Roman" w:hAnsi="Times New Roman" w:cs="Times New Roman"/>
              </w:rPr>
              <w:t>4 §</w:t>
            </w:r>
            <w:r w:rsidR="00C97A9D" w:rsidRPr="00325808">
              <w:rPr>
                <w:rFonts w:ascii="Times New Roman" w:hAnsi="Times New Roman" w:cs="Times New Roman"/>
              </w:rPr>
              <w:t xml:space="preserve"> </w:t>
            </w:r>
            <w:r w:rsidRPr="00325808">
              <w:rPr>
                <w:rFonts w:ascii="Times New Roman" w:hAnsi="Times New Roman" w:cs="Times New Roman"/>
              </w:rPr>
              <w:t>2</w:t>
            </w:r>
            <w:r w:rsidR="00C97A9D" w:rsidRPr="00325808">
              <w:rPr>
                <w:rFonts w:ascii="Times New Roman" w:hAnsi="Times New Roman" w:cs="Times New Roman"/>
              </w:rPr>
              <w:t xml:space="preserve"> </w:t>
            </w:r>
            <w:r w:rsidRPr="00325808">
              <w:rPr>
                <w:rFonts w:ascii="Times New Roman" w:hAnsi="Times New Roman" w:cs="Times New Roman"/>
              </w:rPr>
              <w:t>písm. p), bodov 6,</w:t>
            </w:r>
            <w:r w:rsidR="00C97A9D" w:rsidRPr="00325808">
              <w:rPr>
                <w:rFonts w:ascii="Times New Roman" w:hAnsi="Times New Roman" w:cs="Times New Roman"/>
              </w:rPr>
              <w:t xml:space="preserve"> </w:t>
            </w:r>
            <w:r w:rsidRPr="00325808">
              <w:rPr>
                <w:rFonts w:ascii="Times New Roman" w:hAnsi="Times New Roman" w:cs="Times New Roman"/>
              </w:rPr>
              <w:t>11,</w:t>
            </w:r>
            <w:r w:rsidR="00C97A9D" w:rsidRPr="00325808">
              <w:rPr>
                <w:rFonts w:ascii="Times New Roman" w:hAnsi="Times New Roman" w:cs="Times New Roman"/>
              </w:rPr>
              <w:t xml:space="preserve"> </w:t>
            </w:r>
            <w:r w:rsidRPr="00325808">
              <w:rPr>
                <w:rFonts w:ascii="Times New Roman" w:hAnsi="Times New Roman" w:cs="Times New Roman"/>
              </w:rPr>
              <w:t>23 a 24,</w:t>
            </w:r>
            <w:r w:rsidR="00C97A9D" w:rsidRPr="00325808">
              <w:rPr>
                <w:rFonts w:ascii="Times New Roman" w:hAnsi="Times New Roman" w:cs="Times New Roman"/>
              </w:rPr>
              <w:t xml:space="preserve"> </w:t>
            </w:r>
            <w:r w:rsidRPr="00325808">
              <w:rPr>
                <w:rFonts w:ascii="Times New Roman" w:hAnsi="Times New Roman" w:cs="Times New Roman"/>
              </w:rPr>
              <w:t>ktoré</w:t>
            </w:r>
            <w:r w:rsidR="00C97A9D" w:rsidRPr="00325808">
              <w:rPr>
                <w:rFonts w:ascii="Times New Roman" w:hAnsi="Times New Roman" w:cs="Times New Roman"/>
              </w:rPr>
              <w:t xml:space="preserve"> </w:t>
            </w:r>
            <w:r w:rsidRPr="00325808">
              <w:rPr>
                <w:rFonts w:ascii="Times New Roman" w:hAnsi="Times New Roman" w:cs="Times New Roman"/>
              </w:rPr>
              <w:t>nadobúdajú</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januára</w:t>
            </w:r>
            <w:r w:rsidR="00C97A9D" w:rsidRPr="00325808">
              <w:rPr>
                <w:rFonts w:ascii="Times New Roman" w:hAnsi="Times New Roman" w:cs="Times New Roman"/>
              </w:rPr>
              <w:t xml:space="preserve"> </w:t>
            </w:r>
            <w:r w:rsidRPr="00325808">
              <w:rPr>
                <w:rFonts w:ascii="Times New Roman" w:hAnsi="Times New Roman" w:cs="Times New Roman"/>
              </w:rPr>
              <w:t>2021,</w:t>
            </w:r>
            <w:r w:rsidR="00C97A9D" w:rsidRPr="00325808">
              <w:rPr>
                <w:rFonts w:ascii="Times New Roman" w:hAnsi="Times New Roman" w:cs="Times New Roman"/>
              </w:rPr>
              <w:t xml:space="preserve"> </w:t>
            </w:r>
            <w:r w:rsidRPr="00325808">
              <w:rPr>
                <w:rFonts w:ascii="Times New Roman" w:hAnsi="Times New Roman" w:cs="Times New Roman"/>
              </w:rPr>
              <w:t>a čl.</w:t>
            </w:r>
            <w:r w:rsidR="00C97A9D" w:rsidRPr="00325808">
              <w:rPr>
                <w:rFonts w:ascii="Times New Roman" w:hAnsi="Times New Roman" w:cs="Times New Roman"/>
              </w:rPr>
              <w:t xml:space="preserve"> </w:t>
            </w:r>
            <w:r w:rsidRPr="00325808">
              <w:rPr>
                <w:rFonts w:ascii="Times New Roman" w:hAnsi="Times New Roman" w:cs="Times New Roman"/>
              </w:rPr>
              <w:t>I</w:t>
            </w:r>
            <w:r w:rsidR="00C97A9D" w:rsidRPr="00325808">
              <w:rPr>
                <w:rFonts w:ascii="Times New Roman" w:hAnsi="Times New Roman" w:cs="Times New Roman"/>
              </w:rPr>
              <w:t> </w:t>
            </w:r>
            <w:r w:rsidRPr="00325808">
              <w:rPr>
                <w:rFonts w:ascii="Times New Roman" w:hAnsi="Times New Roman" w:cs="Times New Roman"/>
              </w:rPr>
              <w:t>bodov</w:t>
            </w:r>
            <w:r w:rsidR="00C97A9D" w:rsidRPr="00325808">
              <w:rPr>
                <w:rFonts w:ascii="Times New Roman" w:hAnsi="Times New Roman" w:cs="Times New Roman"/>
              </w:rPr>
              <w:t xml:space="preserve"> </w:t>
            </w:r>
            <w:r w:rsidRPr="00325808">
              <w:rPr>
                <w:rFonts w:ascii="Times New Roman" w:hAnsi="Times New Roman" w:cs="Times New Roman"/>
              </w:rPr>
              <w:t>2,</w:t>
            </w:r>
            <w:r w:rsidR="00C97A9D" w:rsidRPr="00325808">
              <w:rPr>
                <w:rFonts w:ascii="Times New Roman" w:hAnsi="Times New Roman" w:cs="Times New Roman"/>
              </w:rPr>
              <w:t xml:space="preserve"> </w:t>
            </w:r>
            <w:r w:rsidRPr="00325808">
              <w:rPr>
                <w:rFonts w:ascii="Times New Roman" w:hAnsi="Times New Roman" w:cs="Times New Roman"/>
              </w:rPr>
              <w:t>12</w:t>
            </w:r>
            <w:r w:rsidR="00C97A9D" w:rsidRPr="00325808">
              <w:rPr>
                <w:rFonts w:ascii="Times New Roman" w:hAnsi="Times New Roman" w:cs="Times New Roman"/>
              </w:rPr>
              <w:t xml:space="preserve"> </w:t>
            </w:r>
            <w:r w:rsidRPr="00325808">
              <w:rPr>
                <w:rFonts w:ascii="Times New Roman" w:hAnsi="Times New Roman" w:cs="Times New Roman"/>
              </w:rPr>
              <w:t>a 34, ktoré nadobúdajú účinnosť</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júla</w:t>
            </w:r>
            <w:r w:rsidR="00C97A9D" w:rsidRPr="00325808">
              <w:rPr>
                <w:rFonts w:ascii="Times New Roman" w:hAnsi="Times New Roman" w:cs="Times New Roman"/>
              </w:rPr>
              <w:t xml:space="preserve"> </w:t>
            </w:r>
            <w:r w:rsidRPr="00325808">
              <w:rPr>
                <w:rFonts w:ascii="Times New Roman" w:hAnsi="Times New Roman" w:cs="Times New Roman"/>
              </w:rPr>
              <w:t>2021.</w:t>
            </w:r>
          </w:p>
          <w:p w:rsidR="00B4768E" w:rsidRPr="00325808" w:rsidRDefault="00B4768E" w:rsidP="00325808">
            <w:pPr>
              <w:rPr>
                <w:rFonts w:ascii="Times New Roman" w:hAnsi="Times New Roman" w:cs="Times New Roman"/>
              </w:rPr>
            </w:pPr>
          </w:p>
          <w:p w:rsidR="003F282B" w:rsidRPr="00325808" w:rsidRDefault="003F282B" w:rsidP="00325808">
            <w:pPr>
              <w:rPr>
                <w:rFonts w:ascii="Times" w:hAnsi="Times" w:cs="Times"/>
              </w:rPr>
            </w:pPr>
            <w:r w:rsidRPr="00325808">
              <w:rPr>
                <w:rFonts w:ascii="Times New Roman" w:hAnsi="Times New Roman" w:cs="Times New Roman"/>
                <w:color w:val="000000"/>
              </w:rPr>
              <w:t xml:space="preserve">2. </w:t>
            </w:r>
            <w:r w:rsidRPr="00325808">
              <w:rPr>
                <w:rFonts w:ascii="Times" w:hAnsi="Times" w:cs="Times"/>
              </w:rPr>
              <w:t>Smernica Európskeho parlamentu a Rady (EÚ) 2018/410 zo 14. marca 2018, ktorou sa mení smernica 2003/87/ES s cieľom zlepšiť nákladovo efektívne znižovanie emisií a investície do nízkouhlíkových technológií a rozhodnutie (EÚ) 2015/1814 (Ú. v. EÚ L 76, 19.3.2018).</w:t>
            </w:r>
          </w:p>
          <w:p w:rsidR="003F282B" w:rsidRPr="00325808" w:rsidRDefault="003F282B" w:rsidP="00325808">
            <w:pPr>
              <w:rPr>
                <w:rFonts w:ascii="Times" w:hAnsi="Times" w:cs="Times"/>
              </w:rPr>
            </w:pPr>
          </w:p>
          <w:p w:rsidR="003F282B" w:rsidRPr="00325808" w:rsidRDefault="003F282B" w:rsidP="00325808">
            <w:pPr>
              <w:rPr>
                <w:rFonts w:ascii="Times" w:hAnsi="Times" w:cs="Times"/>
              </w:rPr>
            </w:pPr>
          </w:p>
          <w:p w:rsidR="008443D6" w:rsidRPr="00325808" w:rsidRDefault="003F282B" w:rsidP="00325808">
            <w:pPr>
              <w:rPr>
                <w:rFonts w:ascii="Times" w:hAnsi="Times" w:cs="Times"/>
              </w:rPr>
            </w:pPr>
            <w:r w:rsidRPr="00325808">
              <w:rPr>
                <w:rFonts w:ascii="Times" w:hAnsi="Times" w:cs="Times"/>
              </w:rPr>
              <w:t xml:space="preserve">Ministerstvo životného prostredia Slovenskej republiky je ústredným orgánom štátnej správy pre tvorbu a ochranu životného prostredia vrátane </w:t>
            </w:r>
          </w:p>
          <w:p w:rsidR="003F282B" w:rsidRPr="00325808" w:rsidRDefault="003F282B" w:rsidP="00325808">
            <w:pPr>
              <w:rPr>
                <w:rFonts w:ascii="Times" w:hAnsi="Times" w:cs="Times"/>
              </w:rPr>
            </w:pPr>
            <w:r w:rsidRPr="00325808">
              <w:rPr>
                <w:rFonts w:ascii="Times" w:hAnsi="Times" w:cs="Times"/>
              </w:rPr>
              <w:t>c) ochrany ovzdušia, ozónovej vrstvy a klimatického systému Zeme.</w:t>
            </w:r>
          </w:p>
          <w:p w:rsidR="003F282B" w:rsidRPr="00325808" w:rsidRDefault="003F282B" w:rsidP="00325808">
            <w:pPr>
              <w:rPr>
                <w:rFonts w:ascii="Times" w:hAnsi="Times" w:cs="Times"/>
              </w:rPr>
            </w:pPr>
          </w:p>
          <w:p w:rsidR="003F282B" w:rsidRPr="00325808" w:rsidRDefault="003F282B" w:rsidP="00325808">
            <w:pPr>
              <w:rPr>
                <w:rFonts w:ascii="Times New Roman" w:hAnsi="Times New Roman" w:cs="Times New Roman"/>
              </w:rPr>
            </w:pPr>
            <w:r w:rsidRPr="00325808">
              <w:rPr>
                <w:rFonts w:ascii="Times" w:hAnsi="Times" w:cs="Times"/>
              </w:rPr>
              <w:t>Ministerstvá a ostatné ústredné orgány štátnej správy v rozsahu vymedzenej pôsobnosti plnia voči orgánom Európskej únie informačnú a oznamovaciu povinnosť, ktorá im vyplýva z právne záväzných aktov týchto orgánov.</w:t>
            </w: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4</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Prechodné ustanovenie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Členské štáty pri plnení svojich povinností stanovených v článku 3 ods. 1 prvom pododseku tejto smernice zabezpečia, aby sa ich vnútroštátne právne predpisy transponujúce článok 10, článok 10a ods. 4 až 7, článok 10a ods. 8 prvý a druhý pododsek, článok 10a ods. 12 až 18, článok 10c a článok 11a ods. 8 a 9 smernice 2003/87/ES a príloh IIa a IIb k uvedenej smernici v znení k 19. marcu 2018 naďalej uplatňovali do 31. decembra 2020. Zoznam uvedený v prílohe k rozhodnutiu 2014/746/EÚ sa uplatňuje naďalej do 31. decembra 2020.</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w:t>
            </w:r>
          </w:p>
        </w:tc>
        <w:tc>
          <w:tcPr>
            <w:tcW w:w="850" w:type="dxa"/>
          </w:tcPr>
          <w:p w:rsidR="003F282B" w:rsidRPr="00325808" w:rsidRDefault="00DC5C02" w:rsidP="00325808">
            <w:pPr>
              <w:rPr>
                <w:rFonts w:ascii="Times New Roman" w:hAnsi="Times New Roman" w:cs="Times New Roman"/>
              </w:rPr>
            </w:pPr>
            <w:r w:rsidRPr="00325808">
              <w:rPr>
                <w:rFonts w:ascii="Times New Roman" w:hAnsi="Times New Roman" w:cs="Times New Roman"/>
              </w:rPr>
              <w:t>414/2012</w:t>
            </w:r>
          </w:p>
        </w:tc>
        <w:tc>
          <w:tcPr>
            <w:tcW w:w="105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2</w:t>
            </w:r>
          </w:p>
        </w:tc>
        <w:tc>
          <w:tcPr>
            <w:tcW w:w="3657" w:type="dxa"/>
          </w:tcPr>
          <w:p w:rsidR="00B4768E" w:rsidRPr="00325808" w:rsidRDefault="00B4768E" w:rsidP="00325808">
            <w:pPr>
              <w:rPr>
                <w:rFonts w:ascii="Times New Roman" w:hAnsi="Times New Roman" w:cs="Times New Roman"/>
              </w:rPr>
            </w:pPr>
            <w:r w:rsidRPr="00325808">
              <w:rPr>
                <w:rFonts w:ascii="Times New Roman" w:hAnsi="Times New Roman" w:cs="Times New Roman"/>
              </w:rPr>
              <w:t>Tento zákon</w:t>
            </w:r>
            <w:r w:rsidR="00C97A9D" w:rsidRPr="00325808">
              <w:rPr>
                <w:rFonts w:ascii="Times New Roman" w:hAnsi="Times New Roman" w:cs="Times New Roman"/>
              </w:rPr>
              <w:t xml:space="preserve"> </w:t>
            </w:r>
            <w:r w:rsidRPr="00325808">
              <w:rPr>
                <w:rFonts w:ascii="Times New Roman" w:hAnsi="Times New Roman" w:cs="Times New Roman"/>
              </w:rPr>
              <w:t>nadobúda</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dňom</w:t>
            </w:r>
            <w:r w:rsidR="00C97A9D" w:rsidRPr="00325808">
              <w:rPr>
                <w:rFonts w:ascii="Times New Roman" w:hAnsi="Times New Roman" w:cs="Times New Roman"/>
              </w:rPr>
              <w:t xml:space="preserve"> </w:t>
            </w:r>
            <w:r w:rsidRPr="00325808">
              <w:rPr>
                <w:rFonts w:ascii="Times New Roman" w:hAnsi="Times New Roman" w:cs="Times New Roman"/>
              </w:rPr>
              <w:t>vyhlásenia</w:t>
            </w:r>
            <w:r w:rsidR="00C97A9D" w:rsidRPr="00325808">
              <w:rPr>
                <w:rFonts w:ascii="Times New Roman" w:hAnsi="Times New Roman" w:cs="Times New Roman"/>
              </w:rPr>
              <w:t xml:space="preserve"> </w:t>
            </w:r>
            <w:r w:rsidRPr="00325808">
              <w:rPr>
                <w:rFonts w:ascii="Times New Roman" w:hAnsi="Times New Roman" w:cs="Times New Roman"/>
              </w:rPr>
              <w:t>okrem</w:t>
            </w:r>
            <w:r w:rsidR="00C97A9D" w:rsidRPr="00325808">
              <w:rPr>
                <w:rFonts w:ascii="Times New Roman" w:hAnsi="Times New Roman" w:cs="Times New Roman"/>
              </w:rPr>
              <w:t xml:space="preserve"> </w:t>
            </w:r>
            <w:r w:rsidRPr="00325808">
              <w:rPr>
                <w:rFonts w:ascii="Times New Roman" w:hAnsi="Times New Roman" w:cs="Times New Roman"/>
              </w:rPr>
              <w:t>čl.</w:t>
            </w:r>
            <w:r w:rsidR="00C97A9D" w:rsidRPr="00325808">
              <w:rPr>
                <w:rFonts w:ascii="Times New Roman" w:hAnsi="Times New Roman" w:cs="Times New Roman"/>
              </w:rPr>
              <w:t xml:space="preserve"> </w:t>
            </w:r>
            <w:r w:rsidRPr="00325808">
              <w:rPr>
                <w:rFonts w:ascii="Times New Roman" w:hAnsi="Times New Roman" w:cs="Times New Roman"/>
              </w:rPr>
              <w:t>I bodov</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3,</w:t>
            </w:r>
            <w:r w:rsidR="00C97A9D" w:rsidRPr="00325808">
              <w:rPr>
                <w:rFonts w:ascii="Times New Roman" w:hAnsi="Times New Roman" w:cs="Times New Roman"/>
              </w:rPr>
              <w:t xml:space="preserve"> </w:t>
            </w:r>
            <w:r w:rsidRPr="00325808">
              <w:rPr>
                <w:rFonts w:ascii="Times New Roman" w:hAnsi="Times New Roman" w:cs="Times New Roman"/>
              </w:rPr>
              <w:t>5,</w:t>
            </w:r>
            <w:r w:rsidR="00C97A9D" w:rsidRPr="00325808">
              <w:rPr>
                <w:rFonts w:ascii="Times New Roman" w:hAnsi="Times New Roman" w:cs="Times New Roman"/>
              </w:rPr>
              <w:t xml:space="preserve"> </w:t>
            </w:r>
            <w:r w:rsidRPr="00325808">
              <w:rPr>
                <w:rFonts w:ascii="Times New Roman" w:hAnsi="Times New Roman" w:cs="Times New Roman"/>
              </w:rPr>
              <w:t>7</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9,13</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20, 22, 25, 26,</w:t>
            </w:r>
            <w:r w:rsidR="00C97A9D" w:rsidRPr="00325808">
              <w:rPr>
                <w:rFonts w:ascii="Times New Roman" w:hAnsi="Times New Roman" w:cs="Times New Roman"/>
              </w:rPr>
              <w:t xml:space="preserve"> </w:t>
            </w:r>
            <w:r w:rsidRPr="00325808">
              <w:rPr>
                <w:rFonts w:ascii="Times New Roman" w:hAnsi="Times New Roman" w:cs="Times New Roman"/>
              </w:rPr>
              <w:t>28</w:t>
            </w:r>
            <w:r w:rsidR="00C97A9D" w:rsidRPr="00325808">
              <w:rPr>
                <w:rFonts w:ascii="Times New Roman" w:hAnsi="Times New Roman" w:cs="Times New Roman"/>
              </w:rPr>
              <w:t xml:space="preserve"> </w:t>
            </w:r>
            <w:r w:rsidRPr="00325808">
              <w:rPr>
                <w:rFonts w:ascii="Times New Roman" w:hAnsi="Times New Roman" w:cs="Times New Roman"/>
              </w:rPr>
              <w:t>až</w:t>
            </w:r>
            <w:r w:rsidR="00C97A9D" w:rsidRPr="00325808">
              <w:rPr>
                <w:rFonts w:ascii="Times New Roman" w:hAnsi="Times New Roman" w:cs="Times New Roman"/>
              </w:rPr>
              <w:t xml:space="preserve"> </w:t>
            </w:r>
            <w:r w:rsidRPr="00325808">
              <w:rPr>
                <w:rFonts w:ascii="Times New Roman" w:hAnsi="Times New Roman" w:cs="Times New Roman"/>
              </w:rPr>
              <w:t>33,</w:t>
            </w:r>
            <w:r w:rsidR="00C97A9D" w:rsidRPr="00325808">
              <w:rPr>
                <w:rFonts w:ascii="Times New Roman" w:hAnsi="Times New Roman" w:cs="Times New Roman"/>
              </w:rPr>
              <w:t xml:space="preserve"> </w:t>
            </w:r>
            <w:r w:rsidRPr="00325808">
              <w:rPr>
                <w:rFonts w:ascii="Times New Roman" w:hAnsi="Times New Roman" w:cs="Times New Roman"/>
              </w:rPr>
              <w:t>36</w:t>
            </w:r>
            <w:r w:rsidR="00C97A9D" w:rsidRPr="00325808">
              <w:rPr>
                <w:rFonts w:ascii="Times New Roman" w:hAnsi="Times New Roman" w:cs="Times New Roman"/>
              </w:rPr>
              <w:t xml:space="preserve"> </w:t>
            </w:r>
            <w:r w:rsidRPr="00325808">
              <w:rPr>
                <w:rFonts w:ascii="Times New Roman" w:hAnsi="Times New Roman" w:cs="Times New Roman"/>
              </w:rPr>
              <w:t>a</w:t>
            </w:r>
            <w:r w:rsidR="00C97A9D" w:rsidRPr="00325808">
              <w:rPr>
                <w:rFonts w:ascii="Times New Roman" w:hAnsi="Times New Roman" w:cs="Times New Roman"/>
              </w:rPr>
              <w:t xml:space="preserve"> </w:t>
            </w:r>
            <w:r w:rsidRPr="00325808">
              <w:rPr>
                <w:rFonts w:ascii="Times New Roman" w:hAnsi="Times New Roman" w:cs="Times New Roman"/>
              </w:rPr>
              <w:t>37,</w:t>
            </w:r>
            <w:r w:rsidR="00C97A9D" w:rsidRPr="00325808">
              <w:rPr>
                <w:rFonts w:ascii="Times New Roman" w:hAnsi="Times New Roman" w:cs="Times New Roman"/>
              </w:rPr>
              <w:t xml:space="preserve"> </w:t>
            </w:r>
            <w:r w:rsidRPr="00325808">
              <w:rPr>
                <w:rFonts w:ascii="Times New Roman" w:hAnsi="Times New Roman" w:cs="Times New Roman"/>
              </w:rPr>
              <w:t>ktoré</w:t>
            </w:r>
            <w:r w:rsidR="00C97A9D" w:rsidRPr="00325808">
              <w:rPr>
                <w:rFonts w:ascii="Times New Roman" w:hAnsi="Times New Roman" w:cs="Times New Roman"/>
              </w:rPr>
              <w:t xml:space="preserve"> </w:t>
            </w:r>
            <w:r w:rsidRPr="00325808">
              <w:rPr>
                <w:rFonts w:ascii="Times New Roman" w:hAnsi="Times New Roman" w:cs="Times New Roman"/>
              </w:rPr>
              <w:t>nadobúdajú</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15.</w:t>
            </w:r>
            <w:r w:rsidR="00C97A9D" w:rsidRPr="00325808">
              <w:rPr>
                <w:rFonts w:ascii="Times New Roman" w:hAnsi="Times New Roman" w:cs="Times New Roman"/>
              </w:rPr>
              <w:t xml:space="preserve"> </w:t>
            </w:r>
            <w:r w:rsidRPr="00325808">
              <w:rPr>
                <w:rFonts w:ascii="Times New Roman" w:hAnsi="Times New Roman" w:cs="Times New Roman"/>
              </w:rPr>
              <w:t>októbra</w:t>
            </w:r>
            <w:r w:rsidR="00C97A9D" w:rsidRPr="00325808">
              <w:rPr>
                <w:rFonts w:ascii="Times New Roman" w:hAnsi="Times New Roman" w:cs="Times New Roman"/>
              </w:rPr>
              <w:t xml:space="preserve"> </w:t>
            </w:r>
            <w:r w:rsidRPr="00325808">
              <w:rPr>
                <w:rFonts w:ascii="Times New Roman" w:hAnsi="Times New Roman" w:cs="Times New Roman"/>
              </w:rPr>
              <w:t>2019,</w:t>
            </w:r>
            <w:r w:rsidR="00C97A9D" w:rsidRPr="00325808">
              <w:rPr>
                <w:rFonts w:ascii="Times New Roman" w:hAnsi="Times New Roman" w:cs="Times New Roman"/>
              </w:rPr>
              <w:t xml:space="preserve"> </w:t>
            </w:r>
            <w:r w:rsidRPr="00325808">
              <w:rPr>
                <w:rFonts w:ascii="Times New Roman" w:hAnsi="Times New Roman" w:cs="Times New Roman"/>
              </w:rPr>
              <w:t>čl. I</w:t>
            </w:r>
            <w:r w:rsidR="00C97A9D" w:rsidRPr="00325808">
              <w:rPr>
                <w:rFonts w:ascii="Times New Roman" w:hAnsi="Times New Roman" w:cs="Times New Roman"/>
              </w:rPr>
              <w:t> </w:t>
            </w:r>
            <w:r w:rsidRPr="00325808">
              <w:rPr>
                <w:rFonts w:ascii="Times New Roman" w:hAnsi="Times New Roman" w:cs="Times New Roman"/>
              </w:rPr>
              <w:t>bodu</w:t>
            </w:r>
            <w:r w:rsidR="00C97A9D" w:rsidRPr="00325808">
              <w:rPr>
                <w:rFonts w:ascii="Times New Roman" w:hAnsi="Times New Roman" w:cs="Times New Roman"/>
              </w:rPr>
              <w:t xml:space="preserve"> </w:t>
            </w:r>
            <w:r w:rsidRPr="00325808">
              <w:rPr>
                <w:rFonts w:ascii="Times New Roman" w:hAnsi="Times New Roman" w:cs="Times New Roman"/>
              </w:rPr>
              <w:t>4 §2</w:t>
            </w:r>
            <w:r w:rsidR="00C97A9D" w:rsidRPr="00325808">
              <w:rPr>
                <w:rFonts w:ascii="Times New Roman" w:hAnsi="Times New Roman" w:cs="Times New Roman"/>
              </w:rPr>
              <w:t xml:space="preserve"> </w:t>
            </w:r>
            <w:r w:rsidRPr="00325808">
              <w:rPr>
                <w:rFonts w:ascii="Times New Roman" w:hAnsi="Times New Roman" w:cs="Times New Roman"/>
              </w:rPr>
              <w:t>písm. p), bodov 6,</w:t>
            </w:r>
            <w:r w:rsidR="00C97A9D" w:rsidRPr="00325808">
              <w:rPr>
                <w:rFonts w:ascii="Times New Roman" w:hAnsi="Times New Roman" w:cs="Times New Roman"/>
              </w:rPr>
              <w:t xml:space="preserve"> </w:t>
            </w:r>
            <w:r w:rsidRPr="00325808">
              <w:rPr>
                <w:rFonts w:ascii="Times New Roman" w:hAnsi="Times New Roman" w:cs="Times New Roman"/>
              </w:rPr>
              <w:t>11,</w:t>
            </w:r>
            <w:r w:rsidR="00C97A9D" w:rsidRPr="00325808">
              <w:rPr>
                <w:rFonts w:ascii="Times New Roman" w:hAnsi="Times New Roman" w:cs="Times New Roman"/>
              </w:rPr>
              <w:t xml:space="preserve"> </w:t>
            </w:r>
            <w:r w:rsidRPr="00325808">
              <w:rPr>
                <w:rFonts w:ascii="Times New Roman" w:hAnsi="Times New Roman" w:cs="Times New Roman"/>
              </w:rPr>
              <w:t>23 a 24,</w:t>
            </w:r>
            <w:r w:rsidR="00C97A9D" w:rsidRPr="00325808">
              <w:rPr>
                <w:rFonts w:ascii="Times New Roman" w:hAnsi="Times New Roman" w:cs="Times New Roman"/>
              </w:rPr>
              <w:t xml:space="preserve"> </w:t>
            </w:r>
            <w:r w:rsidRPr="00325808">
              <w:rPr>
                <w:rFonts w:ascii="Times New Roman" w:hAnsi="Times New Roman" w:cs="Times New Roman"/>
              </w:rPr>
              <w:t>ktoré</w:t>
            </w:r>
            <w:r w:rsidR="00C97A9D" w:rsidRPr="00325808">
              <w:rPr>
                <w:rFonts w:ascii="Times New Roman" w:hAnsi="Times New Roman" w:cs="Times New Roman"/>
              </w:rPr>
              <w:t xml:space="preserve"> </w:t>
            </w:r>
            <w:r w:rsidRPr="00325808">
              <w:rPr>
                <w:rFonts w:ascii="Times New Roman" w:hAnsi="Times New Roman" w:cs="Times New Roman"/>
              </w:rPr>
              <w:t>nadobúdajú</w:t>
            </w:r>
            <w:r w:rsidR="00C97A9D" w:rsidRPr="00325808">
              <w:rPr>
                <w:rFonts w:ascii="Times New Roman" w:hAnsi="Times New Roman" w:cs="Times New Roman"/>
              </w:rPr>
              <w:t xml:space="preserve"> </w:t>
            </w:r>
            <w:r w:rsidRPr="00325808">
              <w:rPr>
                <w:rFonts w:ascii="Times New Roman" w:hAnsi="Times New Roman" w:cs="Times New Roman"/>
              </w:rPr>
              <w:t>účinnosť</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januára</w:t>
            </w:r>
            <w:r w:rsidR="00C97A9D" w:rsidRPr="00325808">
              <w:rPr>
                <w:rFonts w:ascii="Times New Roman" w:hAnsi="Times New Roman" w:cs="Times New Roman"/>
              </w:rPr>
              <w:t xml:space="preserve"> </w:t>
            </w:r>
            <w:r w:rsidRPr="00325808">
              <w:rPr>
                <w:rFonts w:ascii="Times New Roman" w:hAnsi="Times New Roman" w:cs="Times New Roman"/>
              </w:rPr>
              <w:t>2021,</w:t>
            </w:r>
            <w:r w:rsidR="00C97A9D" w:rsidRPr="00325808">
              <w:rPr>
                <w:rFonts w:ascii="Times New Roman" w:hAnsi="Times New Roman" w:cs="Times New Roman"/>
              </w:rPr>
              <w:t xml:space="preserve"> </w:t>
            </w:r>
            <w:r w:rsidRPr="00325808">
              <w:rPr>
                <w:rFonts w:ascii="Times New Roman" w:hAnsi="Times New Roman" w:cs="Times New Roman"/>
              </w:rPr>
              <w:t>a čl.</w:t>
            </w:r>
            <w:r w:rsidR="00C97A9D" w:rsidRPr="00325808">
              <w:rPr>
                <w:rFonts w:ascii="Times New Roman" w:hAnsi="Times New Roman" w:cs="Times New Roman"/>
              </w:rPr>
              <w:t xml:space="preserve"> </w:t>
            </w:r>
            <w:r w:rsidRPr="00325808">
              <w:rPr>
                <w:rFonts w:ascii="Times New Roman" w:hAnsi="Times New Roman" w:cs="Times New Roman"/>
              </w:rPr>
              <w:t>I</w:t>
            </w:r>
            <w:r w:rsidR="00C97A9D" w:rsidRPr="00325808">
              <w:rPr>
                <w:rFonts w:ascii="Times New Roman" w:hAnsi="Times New Roman" w:cs="Times New Roman"/>
              </w:rPr>
              <w:t> </w:t>
            </w:r>
            <w:r w:rsidRPr="00325808">
              <w:rPr>
                <w:rFonts w:ascii="Times New Roman" w:hAnsi="Times New Roman" w:cs="Times New Roman"/>
              </w:rPr>
              <w:t>bodov</w:t>
            </w:r>
            <w:r w:rsidR="00C97A9D" w:rsidRPr="00325808">
              <w:rPr>
                <w:rFonts w:ascii="Times New Roman" w:hAnsi="Times New Roman" w:cs="Times New Roman"/>
              </w:rPr>
              <w:t xml:space="preserve"> </w:t>
            </w:r>
            <w:r w:rsidRPr="00325808">
              <w:rPr>
                <w:rFonts w:ascii="Times New Roman" w:hAnsi="Times New Roman" w:cs="Times New Roman"/>
              </w:rPr>
              <w:t>2,</w:t>
            </w:r>
            <w:r w:rsidR="00C97A9D" w:rsidRPr="00325808">
              <w:rPr>
                <w:rFonts w:ascii="Times New Roman" w:hAnsi="Times New Roman" w:cs="Times New Roman"/>
              </w:rPr>
              <w:t xml:space="preserve"> </w:t>
            </w:r>
            <w:r w:rsidRPr="00325808">
              <w:rPr>
                <w:rFonts w:ascii="Times New Roman" w:hAnsi="Times New Roman" w:cs="Times New Roman"/>
              </w:rPr>
              <w:t>12</w:t>
            </w:r>
            <w:r w:rsidR="00C97A9D" w:rsidRPr="00325808">
              <w:rPr>
                <w:rFonts w:ascii="Times New Roman" w:hAnsi="Times New Roman" w:cs="Times New Roman"/>
              </w:rPr>
              <w:t xml:space="preserve"> </w:t>
            </w:r>
            <w:r w:rsidRPr="00325808">
              <w:rPr>
                <w:rFonts w:ascii="Times New Roman" w:hAnsi="Times New Roman" w:cs="Times New Roman"/>
              </w:rPr>
              <w:t>a 34, ktoré nadobúdajú účinnosť</w:t>
            </w:r>
            <w:r w:rsidR="00C97A9D" w:rsidRPr="00325808">
              <w:rPr>
                <w:rFonts w:ascii="Times New Roman" w:hAnsi="Times New Roman" w:cs="Times New Roman"/>
              </w:rPr>
              <w:t xml:space="preserve"> </w:t>
            </w:r>
            <w:r w:rsidRPr="00325808">
              <w:rPr>
                <w:rFonts w:ascii="Times New Roman" w:hAnsi="Times New Roman" w:cs="Times New Roman"/>
              </w:rPr>
              <w:t>1.</w:t>
            </w:r>
            <w:r w:rsidR="00C97A9D" w:rsidRPr="00325808">
              <w:rPr>
                <w:rFonts w:ascii="Times New Roman" w:hAnsi="Times New Roman" w:cs="Times New Roman"/>
              </w:rPr>
              <w:t xml:space="preserve"> </w:t>
            </w:r>
            <w:r w:rsidRPr="00325808">
              <w:rPr>
                <w:rFonts w:ascii="Times New Roman" w:hAnsi="Times New Roman" w:cs="Times New Roman"/>
              </w:rPr>
              <w:t>júla</w:t>
            </w:r>
            <w:r w:rsidR="00C97A9D" w:rsidRPr="00325808">
              <w:rPr>
                <w:rFonts w:ascii="Times New Roman" w:hAnsi="Times New Roman" w:cs="Times New Roman"/>
              </w:rPr>
              <w:t xml:space="preserve"> </w:t>
            </w:r>
            <w:r w:rsidRPr="00325808">
              <w:rPr>
                <w:rFonts w:ascii="Times New Roman" w:hAnsi="Times New Roman" w:cs="Times New Roman"/>
              </w:rPr>
              <w:t>2021.</w:t>
            </w:r>
          </w:p>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Ú</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5</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Nadobudnutie účinnosti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Táto smernica nadobúda účinnosť </w:t>
            </w:r>
            <w:r w:rsidRPr="00325808">
              <w:rPr>
                <w:rFonts w:ascii="Times New Roman" w:hAnsi="Times New Roman" w:cs="Times New Roman"/>
              </w:rPr>
              <w:lastRenderedPageBreak/>
              <w:t>dvadsiatym dňom po jej uverejnení v Úradnom vestníku Európskej únie.</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lastRenderedPageBreak/>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Č: 6</w:t>
            </w: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Adresáti </w:t>
            </w:r>
          </w:p>
          <w:p w:rsidR="003F282B" w:rsidRPr="00325808" w:rsidRDefault="003F282B" w:rsidP="00325808">
            <w:pPr>
              <w:rPr>
                <w:rFonts w:ascii="Times New Roman" w:hAnsi="Times New Roman" w:cs="Times New Roman"/>
              </w:rPr>
            </w:pPr>
          </w:p>
          <w:p w:rsidR="003F282B" w:rsidRPr="00325808" w:rsidRDefault="003F282B" w:rsidP="00325808">
            <w:pPr>
              <w:rPr>
                <w:rFonts w:ascii="Times New Roman" w:hAnsi="Times New Roman" w:cs="Times New Roman"/>
              </w:rPr>
            </w:pPr>
            <w:r w:rsidRPr="00325808">
              <w:rPr>
                <w:rFonts w:ascii="Times New Roman" w:hAnsi="Times New Roman" w:cs="Times New Roman"/>
              </w:rPr>
              <w:t>Táto smernica je určená členským štátom.</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PRÍLOHA I </w:t>
            </w:r>
          </w:p>
          <w:p w:rsidR="003F282B" w:rsidRPr="00325808" w:rsidRDefault="003F282B" w:rsidP="00325808">
            <w:pPr>
              <w:rPr>
                <w:rFonts w:ascii="Times New Roman" w:hAnsi="Times New Roman" w:cs="Times New Roman"/>
              </w:rPr>
            </w:pP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Príloha IIb k smernici 2003/87/ES sa nahrádza takto: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„PRÍLOHA IIb ROZDELENIE FINANČNÝCH PROSTRIEDKOV Z MODERNIZAČNÉHO FONDU DO 31. DECEMBRA 2030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Podiel z modernizačného fondu Bulharsko 5,84 %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Česká republika 15,59 %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Estónsko 2,78 %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Chorvátsko 3,14 %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Lotyšsko 1,44 %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Litva 2,57 %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Maďarsko 7,12 %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Poľsko 43,41 % </w:t>
            </w:r>
          </w:p>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Rumunsko 11,98 % </w:t>
            </w:r>
          </w:p>
          <w:p w:rsidR="003F282B" w:rsidRPr="00325808" w:rsidRDefault="003F282B" w:rsidP="00325808">
            <w:pPr>
              <w:rPr>
                <w:rFonts w:ascii="Times New Roman" w:hAnsi="Times New Roman" w:cs="Times New Roman"/>
              </w:rPr>
            </w:pPr>
            <w:r w:rsidRPr="00325808">
              <w:rPr>
                <w:rFonts w:ascii="Times New Roman" w:hAnsi="Times New Roman" w:cs="Times New Roman"/>
              </w:rPr>
              <w:t>Slovensko 6,13 %“.</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r w:rsidR="003F282B" w:rsidRPr="00325808" w:rsidTr="003F282B">
        <w:tc>
          <w:tcPr>
            <w:tcW w:w="1074"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PRÍLOHA II </w:t>
            </w:r>
          </w:p>
          <w:p w:rsidR="003F282B" w:rsidRPr="00325808" w:rsidRDefault="003F282B" w:rsidP="00325808">
            <w:pPr>
              <w:rPr>
                <w:rFonts w:ascii="Times New Roman" w:hAnsi="Times New Roman" w:cs="Times New Roman"/>
              </w:rPr>
            </w:pPr>
          </w:p>
        </w:tc>
        <w:tc>
          <w:tcPr>
            <w:tcW w:w="3712"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 xml:space="preserve">V časti A prílohy IV k smernici 2003/87/ES sa odsek pod štvrtým nadpisom „Monitorovanie emisií iných skleníkových plynov“ nahrádza takto: </w:t>
            </w:r>
          </w:p>
          <w:p w:rsidR="003F282B" w:rsidRPr="00325808" w:rsidRDefault="003F282B" w:rsidP="00325808">
            <w:pPr>
              <w:rPr>
                <w:rFonts w:ascii="Times New Roman" w:hAnsi="Times New Roman" w:cs="Times New Roman"/>
              </w:rPr>
            </w:pPr>
            <w:r w:rsidRPr="00325808">
              <w:rPr>
                <w:rFonts w:ascii="Times New Roman" w:hAnsi="Times New Roman" w:cs="Times New Roman"/>
              </w:rPr>
              <w:t>„Použijú sa normatívne alebo schválené metódy vytvorené Komisiou v spolupráci so všetkými relevantnými stranami a prijaté podľa článku 14 ods. 1.“.</w:t>
            </w:r>
          </w:p>
        </w:tc>
        <w:tc>
          <w:tcPr>
            <w:tcW w:w="1418"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850" w:type="dxa"/>
          </w:tcPr>
          <w:p w:rsidR="003F282B" w:rsidRPr="00325808" w:rsidRDefault="003F282B" w:rsidP="00325808">
            <w:pPr>
              <w:rPr>
                <w:rFonts w:ascii="Times New Roman" w:hAnsi="Times New Roman" w:cs="Times New Roman"/>
              </w:rPr>
            </w:pPr>
          </w:p>
        </w:tc>
        <w:tc>
          <w:tcPr>
            <w:tcW w:w="1050" w:type="dxa"/>
          </w:tcPr>
          <w:p w:rsidR="003F282B" w:rsidRPr="00325808" w:rsidRDefault="003F282B" w:rsidP="00325808">
            <w:pPr>
              <w:rPr>
                <w:rFonts w:ascii="Times New Roman" w:hAnsi="Times New Roman" w:cs="Times New Roman"/>
              </w:rPr>
            </w:pPr>
          </w:p>
        </w:tc>
        <w:tc>
          <w:tcPr>
            <w:tcW w:w="3657" w:type="dxa"/>
          </w:tcPr>
          <w:p w:rsidR="003F282B" w:rsidRPr="00325808" w:rsidRDefault="003F282B" w:rsidP="00325808">
            <w:pPr>
              <w:rPr>
                <w:rFonts w:ascii="Times New Roman" w:hAnsi="Times New Roman" w:cs="Times New Roman"/>
              </w:rPr>
            </w:pPr>
          </w:p>
        </w:tc>
        <w:tc>
          <w:tcPr>
            <w:tcW w:w="830" w:type="dxa"/>
          </w:tcPr>
          <w:p w:rsidR="003F282B" w:rsidRPr="00325808" w:rsidRDefault="003F282B" w:rsidP="00325808">
            <w:pPr>
              <w:rPr>
                <w:rFonts w:ascii="Times New Roman" w:hAnsi="Times New Roman" w:cs="Times New Roman"/>
              </w:rPr>
            </w:pPr>
            <w:r w:rsidRPr="00325808">
              <w:rPr>
                <w:rFonts w:ascii="Times New Roman" w:hAnsi="Times New Roman" w:cs="Times New Roman"/>
              </w:rPr>
              <w:t>n.a.</w:t>
            </w:r>
          </w:p>
        </w:tc>
        <w:tc>
          <w:tcPr>
            <w:tcW w:w="1629" w:type="dxa"/>
          </w:tcPr>
          <w:p w:rsidR="003F282B" w:rsidRPr="00325808" w:rsidRDefault="003F282B" w:rsidP="00325808">
            <w:pPr>
              <w:rPr>
                <w:rFonts w:ascii="Times New Roman" w:hAnsi="Times New Roman" w:cs="Times New Roman"/>
              </w:rPr>
            </w:pPr>
          </w:p>
        </w:tc>
      </w:tr>
    </w:tbl>
    <w:p w:rsidR="00BF1A89" w:rsidRPr="00325808" w:rsidRDefault="00BF1A89" w:rsidP="00325808">
      <w:pPr>
        <w:spacing w:after="0" w:line="240" w:lineRule="auto"/>
        <w:jc w:val="both"/>
        <w:rPr>
          <w:rFonts w:ascii="Times New Roman" w:hAnsi="Times New Roman"/>
          <w:lang w:eastAsia="sk-SK"/>
        </w:rPr>
      </w:pPr>
    </w:p>
    <w:p w:rsidR="00BF1A89" w:rsidRPr="00325808" w:rsidRDefault="00BF1A89" w:rsidP="00325808">
      <w:pPr>
        <w:spacing w:after="0" w:line="240" w:lineRule="auto"/>
        <w:jc w:val="both"/>
        <w:rPr>
          <w:rFonts w:ascii="Times New Roman" w:hAnsi="Times New Roman"/>
          <w:lang w:eastAsia="sk-SK"/>
        </w:rPr>
      </w:pPr>
      <w:r w:rsidRPr="00325808">
        <w:rPr>
          <w:rFonts w:ascii="Times New Roman" w:hAnsi="Times New Roman"/>
          <w:lang w:eastAsia="sk-SK"/>
        </w:rPr>
        <w:t>LEGENDA:</w:t>
      </w:r>
    </w:p>
    <w:p w:rsidR="00BF1A89" w:rsidRPr="00325808" w:rsidRDefault="00BF1A89" w:rsidP="00325808">
      <w:pPr>
        <w:spacing w:after="0" w:line="240" w:lineRule="auto"/>
        <w:jc w:val="both"/>
        <w:rPr>
          <w:rFonts w:ascii="Times New Roman" w:hAnsi="Times New Roman"/>
          <w:u w:val="single"/>
          <w:lang w:eastAsia="sk-SK"/>
        </w:rPr>
      </w:pPr>
      <w:r w:rsidRPr="00325808">
        <w:rPr>
          <w:rFonts w:ascii="Times New Roman" w:hAnsi="Times New Roman"/>
          <w:u w:val="single"/>
          <w:lang w:eastAsia="sk-SK"/>
        </w:rPr>
        <w:t>V stĺpci (1):</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u w:val="single"/>
          <w:lang w:eastAsia="sk-SK"/>
        </w:rPr>
        <w:t>V stĺpci (3):</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u w:val="single"/>
          <w:lang w:eastAsia="sk-SK"/>
        </w:rPr>
        <w:t>V stĺpci (5):</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u w:val="single"/>
          <w:lang w:eastAsia="sk-SK"/>
        </w:rPr>
        <w:t>V stĺpci (7):</w:t>
      </w:r>
    </w:p>
    <w:p w:rsidR="00BF1A89" w:rsidRPr="00325808" w:rsidRDefault="00BF1A89" w:rsidP="00325808">
      <w:pPr>
        <w:spacing w:after="0" w:line="240" w:lineRule="auto"/>
        <w:jc w:val="both"/>
        <w:rPr>
          <w:rFonts w:ascii="Times New Roman" w:hAnsi="Times New Roman"/>
          <w:lang w:eastAsia="sk-SK"/>
        </w:rPr>
      </w:pPr>
      <w:r w:rsidRPr="00325808">
        <w:rPr>
          <w:rFonts w:ascii="Times New Roman" w:hAnsi="Times New Roman"/>
          <w:lang w:eastAsia="sk-SK"/>
        </w:rPr>
        <w:lastRenderedPageBreak/>
        <w:t>Č – článok</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t>N – bežná transpozícia</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t>Č – článok</w:t>
      </w:r>
      <w:r w:rsidRPr="00325808">
        <w:rPr>
          <w:rFonts w:ascii="Times New Roman" w:hAnsi="Times New Roman"/>
          <w:lang w:eastAsia="sk-SK"/>
        </w:rPr>
        <w:tab/>
      </w:r>
      <w:r w:rsidRPr="00325808">
        <w:rPr>
          <w:rFonts w:ascii="Times New Roman" w:hAnsi="Times New Roman"/>
          <w:lang w:eastAsia="sk-SK"/>
        </w:rPr>
        <w:tab/>
        <w:t>Ú – úplná zhoda</w:t>
      </w:r>
    </w:p>
    <w:p w:rsidR="00BF1A89" w:rsidRPr="00325808" w:rsidRDefault="00BF1A89" w:rsidP="00325808">
      <w:pPr>
        <w:spacing w:after="0" w:line="240" w:lineRule="auto"/>
        <w:jc w:val="both"/>
        <w:rPr>
          <w:rFonts w:ascii="Times New Roman" w:hAnsi="Times New Roman"/>
          <w:lang w:eastAsia="sk-SK"/>
        </w:rPr>
      </w:pPr>
      <w:r w:rsidRPr="00325808">
        <w:rPr>
          <w:rFonts w:ascii="Times New Roman" w:hAnsi="Times New Roman"/>
          <w:lang w:eastAsia="sk-SK"/>
        </w:rPr>
        <w:t>O – odsek</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t>O – transpozícia s možnosťou voľby</w:t>
      </w:r>
      <w:r w:rsidRPr="00325808">
        <w:rPr>
          <w:rFonts w:ascii="Times New Roman" w:hAnsi="Times New Roman"/>
          <w:lang w:eastAsia="sk-SK"/>
        </w:rPr>
        <w:tab/>
      </w:r>
      <w:r w:rsidRPr="00325808">
        <w:rPr>
          <w:rFonts w:ascii="Times New Roman" w:hAnsi="Times New Roman"/>
          <w:lang w:eastAsia="sk-SK"/>
        </w:rPr>
        <w:tab/>
        <w:t>§ - paragraf</w:t>
      </w:r>
      <w:r w:rsidRPr="00325808">
        <w:rPr>
          <w:rFonts w:ascii="Times New Roman" w:hAnsi="Times New Roman"/>
          <w:lang w:eastAsia="sk-SK"/>
        </w:rPr>
        <w:tab/>
      </w:r>
      <w:r w:rsidRPr="00325808">
        <w:rPr>
          <w:rFonts w:ascii="Times New Roman" w:hAnsi="Times New Roman"/>
          <w:lang w:eastAsia="sk-SK"/>
        </w:rPr>
        <w:tab/>
        <w:t>Č – čiastočná zhoda</w:t>
      </w:r>
    </w:p>
    <w:p w:rsidR="00BF1A89" w:rsidRPr="00325808" w:rsidRDefault="00BF1A89" w:rsidP="00325808">
      <w:pPr>
        <w:spacing w:after="0" w:line="240" w:lineRule="auto"/>
        <w:jc w:val="both"/>
        <w:rPr>
          <w:rFonts w:ascii="Times New Roman" w:hAnsi="Times New Roman"/>
          <w:lang w:eastAsia="sk-SK"/>
        </w:rPr>
      </w:pPr>
      <w:r w:rsidRPr="00325808">
        <w:rPr>
          <w:rFonts w:ascii="Times New Roman" w:hAnsi="Times New Roman"/>
          <w:lang w:eastAsia="sk-SK"/>
        </w:rPr>
        <w:t>V – veta</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t>D – transpozícia podľa úvahy (dobrovoľná)</w:t>
      </w:r>
      <w:r w:rsidRPr="00325808">
        <w:rPr>
          <w:rFonts w:ascii="Times New Roman" w:hAnsi="Times New Roman"/>
          <w:lang w:eastAsia="sk-SK"/>
        </w:rPr>
        <w:tab/>
      </w:r>
      <w:r w:rsidRPr="00325808">
        <w:rPr>
          <w:rFonts w:ascii="Times New Roman" w:hAnsi="Times New Roman"/>
          <w:lang w:eastAsia="sk-SK"/>
        </w:rPr>
        <w:tab/>
        <w:t>O – odsek</w:t>
      </w:r>
      <w:r w:rsidRPr="00325808">
        <w:rPr>
          <w:rFonts w:ascii="Times New Roman" w:hAnsi="Times New Roman"/>
          <w:lang w:eastAsia="sk-SK"/>
        </w:rPr>
        <w:tab/>
      </w:r>
      <w:r w:rsidRPr="00325808">
        <w:rPr>
          <w:rFonts w:ascii="Times New Roman" w:hAnsi="Times New Roman"/>
          <w:lang w:eastAsia="sk-SK"/>
        </w:rPr>
        <w:tab/>
        <w:t xml:space="preserve">Ž – žiadna zhoda (ak nebola dosiahnutá ani čast. ani úplná </w:t>
      </w:r>
    </w:p>
    <w:p w:rsidR="00BF1A89" w:rsidRPr="00325808" w:rsidRDefault="00BF1A89" w:rsidP="00325808">
      <w:pPr>
        <w:spacing w:after="0" w:line="240" w:lineRule="auto"/>
        <w:jc w:val="both"/>
        <w:rPr>
          <w:rFonts w:ascii="Times New Roman" w:hAnsi="Times New Roman"/>
          <w:lang w:eastAsia="sk-SK"/>
        </w:rPr>
      </w:pPr>
      <w:r w:rsidRPr="00325808">
        <w:rPr>
          <w:rFonts w:ascii="Times New Roman" w:hAnsi="Times New Roman"/>
          <w:lang w:eastAsia="sk-SK"/>
        </w:rPr>
        <w:t>P – písmeno (číslo)</w:t>
      </w:r>
      <w:r w:rsidRPr="00325808">
        <w:rPr>
          <w:rFonts w:ascii="Times New Roman" w:hAnsi="Times New Roman"/>
          <w:lang w:eastAsia="sk-SK"/>
        </w:rPr>
        <w:tab/>
      </w:r>
      <w:r w:rsidRPr="00325808">
        <w:rPr>
          <w:rFonts w:ascii="Times New Roman" w:hAnsi="Times New Roman"/>
          <w:lang w:eastAsia="sk-SK"/>
        </w:rPr>
        <w:tab/>
        <w:t>n.a. – transpozícia sa neuskutočňuje</w:t>
      </w:r>
      <w:r w:rsidRPr="00325808">
        <w:rPr>
          <w:rFonts w:ascii="Times New Roman" w:hAnsi="Times New Roman"/>
          <w:lang w:eastAsia="sk-SK"/>
        </w:rPr>
        <w:tab/>
      </w:r>
      <w:r w:rsidRPr="00325808">
        <w:rPr>
          <w:rFonts w:ascii="Times New Roman" w:hAnsi="Times New Roman"/>
          <w:lang w:eastAsia="sk-SK"/>
        </w:rPr>
        <w:tab/>
        <w:t>V – veta</w:t>
      </w:r>
      <w:r w:rsidRPr="00325808">
        <w:rPr>
          <w:rFonts w:ascii="Times New Roman" w:hAnsi="Times New Roman"/>
          <w:lang w:eastAsia="sk-SK"/>
        </w:rPr>
        <w:tab/>
      </w:r>
      <w:r w:rsidRPr="00325808">
        <w:rPr>
          <w:rFonts w:ascii="Times New Roman" w:hAnsi="Times New Roman"/>
          <w:lang w:eastAsia="sk-SK"/>
        </w:rPr>
        <w:tab/>
      </w:r>
      <w:r w:rsidRPr="00325808">
        <w:rPr>
          <w:rFonts w:ascii="Times New Roman" w:hAnsi="Times New Roman"/>
          <w:lang w:eastAsia="sk-SK"/>
        </w:rPr>
        <w:tab/>
        <w:t>zhoda alebo k prebratiu dôjde v budúcnosti)</w:t>
      </w:r>
    </w:p>
    <w:p w:rsidR="00B13F6D" w:rsidRPr="00325808" w:rsidRDefault="00BF1A89" w:rsidP="00325808">
      <w:pPr>
        <w:spacing w:after="0" w:line="240" w:lineRule="auto"/>
        <w:ind w:left="9180" w:hanging="2100"/>
        <w:jc w:val="both"/>
        <w:rPr>
          <w:rFonts w:ascii="Times New Roman" w:hAnsi="Times New Roman"/>
          <w:lang w:eastAsia="sk-SK"/>
        </w:rPr>
      </w:pPr>
      <w:r w:rsidRPr="00325808">
        <w:rPr>
          <w:rFonts w:ascii="Times New Roman" w:hAnsi="Times New Roman"/>
          <w:lang w:eastAsia="sk-SK"/>
        </w:rPr>
        <w:t>P – písmeno (číslo)</w:t>
      </w:r>
      <w:r w:rsidRPr="00325808">
        <w:rPr>
          <w:rFonts w:ascii="Times New Roman" w:hAnsi="Times New Roman"/>
          <w:lang w:eastAsia="sk-SK"/>
        </w:rPr>
        <w:tab/>
        <w:t>n.a. – neaplikovateľnosť (ak sa ustanovenie smernice netýka SR alebo nie je potrebné ho prebrať)</w:t>
      </w:r>
    </w:p>
    <w:sectPr w:rsidR="00B13F6D" w:rsidRPr="00325808" w:rsidSect="00B0328B">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90" w:rsidRDefault="00FD2190" w:rsidP="00B0328B">
      <w:pPr>
        <w:spacing w:after="0" w:line="240" w:lineRule="auto"/>
      </w:pPr>
      <w:r>
        <w:separator/>
      </w:r>
    </w:p>
  </w:endnote>
  <w:endnote w:type="continuationSeparator" w:id="0">
    <w:p w:rsidR="00FD2190" w:rsidRDefault="00FD2190" w:rsidP="00B0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842825"/>
      <w:docPartObj>
        <w:docPartGallery w:val="Page Numbers (Bottom of Page)"/>
        <w:docPartUnique/>
      </w:docPartObj>
    </w:sdtPr>
    <w:sdtEndPr/>
    <w:sdtContent>
      <w:p w:rsidR="007D0A33" w:rsidRDefault="007D0A33">
        <w:pPr>
          <w:pStyle w:val="Pta"/>
          <w:jc w:val="center"/>
        </w:pPr>
        <w:r>
          <w:rPr>
            <w:noProof/>
          </w:rPr>
          <w:fldChar w:fldCharType="begin"/>
        </w:r>
        <w:r>
          <w:rPr>
            <w:noProof/>
          </w:rPr>
          <w:instrText>PAGE   \* MERGEFORMAT</w:instrText>
        </w:r>
        <w:r>
          <w:rPr>
            <w:noProof/>
          </w:rPr>
          <w:fldChar w:fldCharType="separate"/>
        </w:r>
        <w:r w:rsidR="00325808">
          <w:rPr>
            <w:noProof/>
          </w:rPr>
          <w:t>3</w:t>
        </w:r>
        <w:r>
          <w:rPr>
            <w:noProof/>
          </w:rPr>
          <w:fldChar w:fldCharType="end"/>
        </w:r>
      </w:p>
    </w:sdtContent>
  </w:sdt>
  <w:p w:rsidR="007D0A33" w:rsidRDefault="007D0A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90" w:rsidRDefault="00FD2190" w:rsidP="00B0328B">
      <w:pPr>
        <w:spacing w:after="0" w:line="240" w:lineRule="auto"/>
      </w:pPr>
      <w:r>
        <w:separator/>
      </w:r>
    </w:p>
  </w:footnote>
  <w:footnote w:type="continuationSeparator" w:id="0">
    <w:p w:rsidR="00FD2190" w:rsidRDefault="00FD2190" w:rsidP="00B03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7507E"/>
    <w:multiLevelType w:val="hybridMultilevel"/>
    <w:tmpl w:val="751C2492"/>
    <w:lvl w:ilvl="0" w:tplc="C3B6A3BE">
      <w:start w:val="1"/>
      <w:numFmt w:val="decimal"/>
      <w:lvlText w:val="%1."/>
      <w:lvlJc w:val="left"/>
      <w:pPr>
        <w:ind w:left="360" w:hanging="360"/>
      </w:pPr>
      <w:rPr>
        <w:rFonts w:ascii="Times New Roman" w:hAnsi="Times New Roman" w:cs="Times New Roman" w:hint="default"/>
        <w:b w:val="0"/>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B4E"/>
    <w:rsid w:val="00026D04"/>
    <w:rsid w:val="000327A9"/>
    <w:rsid w:val="0003725A"/>
    <w:rsid w:val="00057157"/>
    <w:rsid w:val="00077776"/>
    <w:rsid w:val="00091F89"/>
    <w:rsid w:val="000E3B4E"/>
    <w:rsid w:val="00107D88"/>
    <w:rsid w:val="0011520C"/>
    <w:rsid w:val="001322BA"/>
    <w:rsid w:val="00137D01"/>
    <w:rsid w:val="00155825"/>
    <w:rsid w:val="001769ED"/>
    <w:rsid w:val="00195BA6"/>
    <w:rsid w:val="001B30B5"/>
    <w:rsid w:val="001B400D"/>
    <w:rsid w:val="001C77FF"/>
    <w:rsid w:val="001D0A84"/>
    <w:rsid w:val="002003F7"/>
    <w:rsid w:val="002345F4"/>
    <w:rsid w:val="002369F1"/>
    <w:rsid w:val="002D54B9"/>
    <w:rsid w:val="002D5F9C"/>
    <w:rsid w:val="00325808"/>
    <w:rsid w:val="00343D43"/>
    <w:rsid w:val="003462A1"/>
    <w:rsid w:val="00347BE6"/>
    <w:rsid w:val="00372D0C"/>
    <w:rsid w:val="00397A12"/>
    <w:rsid w:val="003A3C28"/>
    <w:rsid w:val="003A6E64"/>
    <w:rsid w:val="003B2035"/>
    <w:rsid w:val="003B519B"/>
    <w:rsid w:val="003F282B"/>
    <w:rsid w:val="003F7F57"/>
    <w:rsid w:val="00436817"/>
    <w:rsid w:val="004D648F"/>
    <w:rsid w:val="004F274A"/>
    <w:rsid w:val="00502A11"/>
    <w:rsid w:val="0052673A"/>
    <w:rsid w:val="0057109D"/>
    <w:rsid w:val="00585222"/>
    <w:rsid w:val="00594095"/>
    <w:rsid w:val="005C178A"/>
    <w:rsid w:val="005C245D"/>
    <w:rsid w:val="00613C8B"/>
    <w:rsid w:val="006203DC"/>
    <w:rsid w:val="00632175"/>
    <w:rsid w:val="00666540"/>
    <w:rsid w:val="00684CD2"/>
    <w:rsid w:val="00696C36"/>
    <w:rsid w:val="006C0573"/>
    <w:rsid w:val="006E3D15"/>
    <w:rsid w:val="006E4C50"/>
    <w:rsid w:val="00706D4E"/>
    <w:rsid w:val="00706E8E"/>
    <w:rsid w:val="007072C2"/>
    <w:rsid w:val="007075E2"/>
    <w:rsid w:val="007204F0"/>
    <w:rsid w:val="007217AA"/>
    <w:rsid w:val="007225BC"/>
    <w:rsid w:val="00723E20"/>
    <w:rsid w:val="00783541"/>
    <w:rsid w:val="007A3E68"/>
    <w:rsid w:val="007A4F87"/>
    <w:rsid w:val="007A71D1"/>
    <w:rsid w:val="007B4D88"/>
    <w:rsid w:val="007B5EC0"/>
    <w:rsid w:val="007C6F46"/>
    <w:rsid w:val="007D0A33"/>
    <w:rsid w:val="00800AA1"/>
    <w:rsid w:val="00827BFF"/>
    <w:rsid w:val="008443D6"/>
    <w:rsid w:val="008670E4"/>
    <w:rsid w:val="008B1D05"/>
    <w:rsid w:val="00922C11"/>
    <w:rsid w:val="00930662"/>
    <w:rsid w:val="00945917"/>
    <w:rsid w:val="00967BA8"/>
    <w:rsid w:val="009864CC"/>
    <w:rsid w:val="009976A5"/>
    <w:rsid w:val="009D42E4"/>
    <w:rsid w:val="009E0DF4"/>
    <w:rsid w:val="009E67DE"/>
    <w:rsid w:val="00A32DB0"/>
    <w:rsid w:val="00A85321"/>
    <w:rsid w:val="00A8614A"/>
    <w:rsid w:val="00A946A4"/>
    <w:rsid w:val="00A96AAD"/>
    <w:rsid w:val="00AC1531"/>
    <w:rsid w:val="00AE0239"/>
    <w:rsid w:val="00B0328B"/>
    <w:rsid w:val="00B03B79"/>
    <w:rsid w:val="00B13F6D"/>
    <w:rsid w:val="00B4768E"/>
    <w:rsid w:val="00B5468E"/>
    <w:rsid w:val="00B86E96"/>
    <w:rsid w:val="00B96C28"/>
    <w:rsid w:val="00BA23E4"/>
    <w:rsid w:val="00BC0D2D"/>
    <w:rsid w:val="00BF1A89"/>
    <w:rsid w:val="00C01DEE"/>
    <w:rsid w:val="00C02E06"/>
    <w:rsid w:val="00C77916"/>
    <w:rsid w:val="00C81263"/>
    <w:rsid w:val="00C93BB7"/>
    <w:rsid w:val="00C97A9D"/>
    <w:rsid w:val="00CB6666"/>
    <w:rsid w:val="00CE7270"/>
    <w:rsid w:val="00D04B9F"/>
    <w:rsid w:val="00D36CDF"/>
    <w:rsid w:val="00D43F89"/>
    <w:rsid w:val="00D5095C"/>
    <w:rsid w:val="00D63F37"/>
    <w:rsid w:val="00D95FE7"/>
    <w:rsid w:val="00DA0F3D"/>
    <w:rsid w:val="00DA6ADE"/>
    <w:rsid w:val="00DC5C02"/>
    <w:rsid w:val="00DE3EB5"/>
    <w:rsid w:val="00E1296A"/>
    <w:rsid w:val="00E13CE6"/>
    <w:rsid w:val="00E20D9B"/>
    <w:rsid w:val="00E42ACF"/>
    <w:rsid w:val="00E436C3"/>
    <w:rsid w:val="00E726D3"/>
    <w:rsid w:val="00EA0A34"/>
    <w:rsid w:val="00EA5AB0"/>
    <w:rsid w:val="00ED24D1"/>
    <w:rsid w:val="00EF03A3"/>
    <w:rsid w:val="00EF3493"/>
    <w:rsid w:val="00EF6929"/>
    <w:rsid w:val="00F12FD0"/>
    <w:rsid w:val="00F16E40"/>
    <w:rsid w:val="00F23630"/>
    <w:rsid w:val="00F47DB3"/>
    <w:rsid w:val="00F73829"/>
    <w:rsid w:val="00FA02D6"/>
    <w:rsid w:val="00FA54DE"/>
    <w:rsid w:val="00FB51E0"/>
    <w:rsid w:val="00FB5210"/>
    <w:rsid w:val="00FC7BAF"/>
    <w:rsid w:val="00FD2190"/>
    <w:rsid w:val="00FF334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CD45"/>
  <w15:docId w15:val="{A7B31566-7709-424E-920E-841FB010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0E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032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328B"/>
  </w:style>
  <w:style w:type="paragraph" w:styleId="Pta">
    <w:name w:val="footer"/>
    <w:basedOn w:val="Normlny"/>
    <w:link w:val="PtaChar"/>
    <w:uiPriority w:val="99"/>
    <w:unhideWhenUsed/>
    <w:rsid w:val="00B0328B"/>
    <w:pPr>
      <w:tabs>
        <w:tab w:val="center" w:pos="4536"/>
        <w:tab w:val="right" w:pos="9072"/>
      </w:tabs>
      <w:spacing w:after="0" w:line="240" w:lineRule="auto"/>
    </w:pPr>
  </w:style>
  <w:style w:type="character" w:customStyle="1" w:styleId="PtaChar">
    <w:name w:val="Päta Char"/>
    <w:basedOn w:val="Predvolenpsmoodseku"/>
    <w:link w:val="Pta"/>
    <w:uiPriority w:val="99"/>
    <w:rsid w:val="00B0328B"/>
  </w:style>
  <w:style w:type="table" w:styleId="Mriekatabuky">
    <w:name w:val="Table Grid"/>
    <w:basedOn w:val="Normlnatabuka"/>
    <w:uiPriority w:val="59"/>
    <w:rsid w:val="00B0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86E96"/>
    <w:rPr>
      <w:sz w:val="16"/>
      <w:szCs w:val="16"/>
    </w:rPr>
  </w:style>
  <w:style w:type="paragraph" w:styleId="Textkomentra">
    <w:name w:val="annotation text"/>
    <w:basedOn w:val="Normlny"/>
    <w:link w:val="TextkomentraChar"/>
    <w:uiPriority w:val="99"/>
    <w:semiHidden/>
    <w:unhideWhenUsed/>
    <w:rsid w:val="00B86E96"/>
    <w:pPr>
      <w:spacing w:line="240" w:lineRule="auto"/>
    </w:pPr>
    <w:rPr>
      <w:sz w:val="20"/>
      <w:szCs w:val="20"/>
    </w:rPr>
  </w:style>
  <w:style w:type="character" w:customStyle="1" w:styleId="TextkomentraChar">
    <w:name w:val="Text komentára Char"/>
    <w:basedOn w:val="Predvolenpsmoodseku"/>
    <w:link w:val="Textkomentra"/>
    <w:uiPriority w:val="99"/>
    <w:semiHidden/>
    <w:rsid w:val="00B86E96"/>
    <w:rPr>
      <w:sz w:val="20"/>
      <w:szCs w:val="20"/>
    </w:rPr>
  </w:style>
  <w:style w:type="paragraph" w:styleId="Predmetkomentra">
    <w:name w:val="annotation subject"/>
    <w:basedOn w:val="Textkomentra"/>
    <w:next w:val="Textkomentra"/>
    <w:link w:val="PredmetkomentraChar"/>
    <w:uiPriority w:val="99"/>
    <w:semiHidden/>
    <w:unhideWhenUsed/>
    <w:rsid w:val="00B86E96"/>
    <w:rPr>
      <w:b/>
      <w:bCs/>
    </w:rPr>
  </w:style>
  <w:style w:type="character" w:customStyle="1" w:styleId="PredmetkomentraChar">
    <w:name w:val="Predmet komentára Char"/>
    <w:basedOn w:val="TextkomentraChar"/>
    <w:link w:val="Predmetkomentra"/>
    <w:uiPriority w:val="99"/>
    <w:semiHidden/>
    <w:rsid w:val="00B86E96"/>
    <w:rPr>
      <w:b/>
      <w:bCs/>
      <w:sz w:val="20"/>
      <w:szCs w:val="20"/>
    </w:rPr>
  </w:style>
  <w:style w:type="paragraph" w:styleId="Textbubliny">
    <w:name w:val="Balloon Text"/>
    <w:basedOn w:val="Normlny"/>
    <w:link w:val="TextbublinyChar"/>
    <w:uiPriority w:val="99"/>
    <w:semiHidden/>
    <w:unhideWhenUsed/>
    <w:rsid w:val="00B86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6E96"/>
    <w:rPr>
      <w:rFonts w:ascii="Segoe UI" w:hAnsi="Segoe UI" w:cs="Segoe UI"/>
      <w:sz w:val="18"/>
      <w:szCs w:val="18"/>
    </w:rPr>
  </w:style>
  <w:style w:type="character" w:styleId="Hypertextovprepojenie">
    <w:name w:val="Hyperlink"/>
    <w:basedOn w:val="Predvolenpsmoodseku"/>
    <w:uiPriority w:val="99"/>
    <w:semiHidden/>
    <w:unhideWhenUsed/>
    <w:rsid w:val="00C01DEE"/>
    <w:rPr>
      <w:color w:val="0000FF"/>
      <w:u w:val="single"/>
    </w:rPr>
  </w:style>
  <w:style w:type="paragraph" w:styleId="Odsekzoznamu">
    <w:name w:val="List Paragraph"/>
    <w:basedOn w:val="Normlny"/>
    <w:uiPriority w:val="34"/>
    <w:qFormat/>
    <w:rsid w:val="00107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3469">
      <w:bodyDiv w:val="1"/>
      <w:marLeft w:val="0"/>
      <w:marRight w:val="0"/>
      <w:marTop w:val="0"/>
      <w:marBottom w:val="0"/>
      <w:divBdr>
        <w:top w:val="none" w:sz="0" w:space="0" w:color="auto"/>
        <w:left w:val="none" w:sz="0" w:space="0" w:color="auto"/>
        <w:bottom w:val="none" w:sz="0" w:space="0" w:color="auto"/>
        <w:right w:val="none" w:sz="0" w:space="0" w:color="auto"/>
      </w:divBdr>
      <w:divsChild>
        <w:div w:id="1226912269">
          <w:marLeft w:val="0"/>
          <w:marRight w:val="0"/>
          <w:marTop w:val="0"/>
          <w:marBottom w:val="0"/>
          <w:divBdr>
            <w:top w:val="none" w:sz="0" w:space="0" w:color="auto"/>
            <w:left w:val="none" w:sz="0" w:space="0" w:color="auto"/>
            <w:bottom w:val="none" w:sz="0" w:space="0" w:color="auto"/>
            <w:right w:val="none" w:sz="0" w:space="0" w:color="auto"/>
          </w:divBdr>
        </w:div>
        <w:div w:id="890775466">
          <w:marLeft w:val="0"/>
          <w:marRight w:val="0"/>
          <w:marTop w:val="0"/>
          <w:marBottom w:val="0"/>
          <w:divBdr>
            <w:top w:val="none" w:sz="0" w:space="0" w:color="auto"/>
            <w:left w:val="none" w:sz="0" w:space="0" w:color="auto"/>
            <w:bottom w:val="none" w:sz="0" w:space="0" w:color="auto"/>
            <w:right w:val="none" w:sz="0" w:space="0" w:color="auto"/>
          </w:divBdr>
        </w:div>
        <w:div w:id="816846865">
          <w:marLeft w:val="0"/>
          <w:marRight w:val="0"/>
          <w:marTop w:val="0"/>
          <w:marBottom w:val="0"/>
          <w:divBdr>
            <w:top w:val="none" w:sz="0" w:space="0" w:color="auto"/>
            <w:left w:val="none" w:sz="0" w:space="0" w:color="auto"/>
            <w:bottom w:val="none" w:sz="0" w:space="0" w:color="auto"/>
            <w:right w:val="none" w:sz="0" w:space="0" w:color="auto"/>
          </w:divBdr>
        </w:div>
        <w:div w:id="1541360351">
          <w:marLeft w:val="0"/>
          <w:marRight w:val="0"/>
          <w:marTop w:val="0"/>
          <w:marBottom w:val="0"/>
          <w:divBdr>
            <w:top w:val="none" w:sz="0" w:space="0" w:color="auto"/>
            <w:left w:val="none" w:sz="0" w:space="0" w:color="auto"/>
            <w:bottom w:val="none" w:sz="0" w:space="0" w:color="auto"/>
            <w:right w:val="none" w:sz="0" w:space="0" w:color="auto"/>
          </w:divBdr>
        </w:div>
        <w:div w:id="2113892604">
          <w:marLeft w:val="0"/>
          <w:marRight w:val="0"/>
          <w:marTop w:val="0"/>
          <w:marBottom w:val="0"/>
          <w:divBdr>
            <w:top w:val="none" w:sz="0" w:space="0" w:color="auto"/>
            <w:left w:val="none" w:sz="0" w:space="0" w:color="auto"/>
            <w:bottom w:val="none" w:sz="0" w:space="0" w:color="auto"/>
            <w:right w:val="none" w:sz="0" w:space="0" w:color="auto"/>
          </w:divBdr>
        </w:div>
        <w:div w:id="377633911">
          <w:marLeft w:val="0"/>
          <w:marRight w:val="0"/>
          <w:marTop w:val="0"/>
          <w:marBottom w:val="0"/>
          <w:divBdr>
            <w:top w:val="none" w:sz="0" w:space="0" w:color="auto"/>
            <w:left w:val="none" w:sz="0" w:space="0" w:color="auto"/>
            <w:bottom w:val="none" w:sz="0" w:space="0" w:color="auto"/>
            <w:right w:val="none" w:sz="0" w:space="0" w:color="auto"/>
          </w:divBdr>
        </w:div>
        <w:div w:id="795486609">
          <w:marLeft w:val="0"/>
          <w:marRight w:val="0"/>
          <w:marTop w:val="0"/>
          <w:marBottom w:val="0"/>
          <w:divBdr>
            <w:top w:val="none" w:sz="0" w:space="0" w:color="auto"/>
            <w:left w:val="none" w:sz="0" w:space="0" w:color="auto"/>
            <w:bottom w:val="none" w:sz="0" w:space="0" w:color="auto"/>
            <w:right w:val="none" w:sz="0" w:space="0" w:color="auto"/>
          </w:divBdr>
        </w:div>
        <w:div w:id="1011835634">
          <w:marLeft w:val="0"/>
          <w:marRight w:val="0"/>
          <w:marTop w:val="0"/>
          <w:marBottom w:val="0"/>
          <w:divBdr>
            <w:top w:val="none" w:sz="0" w:space="0" w:color="auto"/>
            <w:left w:val="none" w:sz="0" w:space="0" w:color="auto"/>
            <w:bottom w:val="none" w:sz="0" w:space="0" w:color="auto"/>
            <w:right w:val="none" w:sz="0" w:space="0" w:color="auto"/>
          </w:divBdr>
        </w:div>
        <w:div w:id="1891914418">
          <w:marLeft w:val="0"/>
          <w:marRight w:val="0"/>
          <w:marTop w:val="0"/>
          <w:marBottom w:val="0"/>
          <w:divBdr>
            <w:top w:val="none" w:sz="0" w:space="0" w:color="auto"/>
            <w:left w:val="none" w:sz="0" w:space="0" w:color="auto"/>
            <w:bottom w:val="none" w:sz="0" w:space="0" w:color="auto"/>
            <w:right w:val="none" w:sz="0" w:space="0" w:color="auto"/>
          </w:divBdr>
        </w:div>
        <w:div w:id="479002895">
          <w:marLeft w:val="0"/>
          <w:marRight w:val="0"/>
          <w:marTop w:val="0"/>
          <w:marBottom w:val="0"/>
          <w:divBdr>
            <w:top w:val="none" w:sz="0" w:space="0" w:color="auto"/>
            <w:left w:val="none" w:sz="0" w:space="0" w:color="auto"/>
            <w:bottom w:val="none" w:sz="0" w:space="0" w:color="auto"/>
            <w:right w:val="none" w:sz="0" w:space="0" w:color="auto"/>
          </w:divBdr>
        </w:div>
        <w:div w:id="826022104">
          <w:marLeft w:val="0"/>
          <w:marRight w:val="0"/>
          <w:marTop w:val="0"/>
          <w:marBottom w:val="0"/>
          <w:divBdr>
            <w:top w:val="none" w:sz="0" w:space="0" w:color="auto"/>
            <w:left w:val="none" w:sz="0" w:space="0" w:color="auto"/>
            <w:bottom w:val="none" w:sz="0" w:space="0" w:color="auto"/>
            <w:right w:val="none" w:sz="0" w:space="0" w:color="auto"/>
          </w:divBdr>
        </w:div>
        <w:div w:id="711731306">
          <w:marLeft w:val="0"/>
          <w:marRight w:val="0"/>
          <w:marTop w:val="0"/>
          <w:marBottom w:val="0"/>
          <w:divBdr>
            <w:top w:val="none" w:sz="0" w:space="0" w:color="auto"/>
            <w:left w:val="none" w:sz="0" w:space="0" w:color="auto"/>
            <w:bottom w:val="none" w:sz="0" w:space="0" w:color="auto"/>
            <w:right w:val="none" w:sz="0" w:space="0" w:color="auto"/>
          </w:divBdr>
        </w:div>
        <w:div w:id="1946837755">
          <w:marLeft w:val="0"/>
          <w:marRight w:val="0"/>
          <w:marTop w:val="0"/>
          <w:marBottom w:val="0"/>
          <w:divBdr>
            <w:top w:val="none" w:sz="0" w:space="0" w:color="auto"/>
            <w:left w:val="none" w:sz="0" w:space="0" w:color="auto"/>
            <w:bottom w:val="none" w:sz="0" w:space="0" w:color="auto"/>
            <w:right w:val="none" w:sz="0" w:space="0" w:color="auto"/>
          </w:divBdr>
        </w:div>
        <w:div w:id="1624968601">
          <w:marLeft w:val="0"/>
          <w:marRight w:val="0"/>
          <w:marTop w:val="0"/>
          <w:marBottom w:val="0"/>
          <w:divBdr>
            <w:top w:val="none" w:sz="0" w:space="0" w:color="auto"/>
            <w:left w:val="none" w:sz="0" w:space="0" w:color="auto"/>
            <w:bottom w:val="none" w:sz="0" w:space="0" w:color="auto"/>
            <w:right w:val="none" w:sz="0" w:space="0" w:color="auto"/>
          </w:divBdr>
        </w:div>
        <w:div w:id="643243046">
          <w:marLeft w:val="0"/>
          <w:marRight w:val="0"/>
          <w:marTop w:val="0"/>
          <w:marBottom w:val="0"/>
          <w:divBdr>
            <w:top w:val="none" w:sz="0" w:space="0" w:color="auto"/>
            <w:left w:val="none" w:sz="0" w:space="0" w:color="auto"/>
            <w:bottom w:val="none" w:sz="0" w:space="0" w:color="auto"/>
            <w:right w:val="none" w:sz="0" w:space="0" w:color="auto"/>
          </w:divBdr>
        </w:div>
        <w:div w:id="2043897151">
          <w:marLeft w:val="0"/>
          <w:marRight w:val="0"/>
          <w:marTop w:val="0"/>
          <w:marBottom w:val="0"/>
          <w:divBdr>
            <w:top w:val="none" w:sz="0" w:space="0" w:color="auto"/>
            <w:left w:val="none" w:sz="0" w:space="0" w:color="auto"/>
            <w:bottom w:val="none" w:sz="0" w:space="0" w:color="auto"/>
            <w:right w:val="none" w:sz="0" w:space="0" w:color="auto"/>
          </w:divBdr>
        </w:div>
        <w:div w:id="1416173810">
          <w:marLeft w:val="0"/>
          <w:marRight w:val="0"/>
          <w:marTop w:val="0"/>
          <w:marBottom w:val="0"/>
          <w:divBdr>
            <w:top w:val="none" w:sz="0" w:space="0" w:color="auto"/>
            <w:left w:val="none" w:sz="0" w:space="0" w:color="auto"/>
            <w:bottom w:val="none" w:sz="0" w:space="0" w:color="auto"/>
            <w:right w:val="none" w:sz="0" w:space="0" w:color="auto"/>
          </w:divBdr>
        </w:div>
        <w:div w:id="2100758904">
          <w:marLeft w:val="0"/>
          <w:marRight w:val="0"/>
          <w:marTop w:val="0"/>
          <w:marBottom w:val="0"/>
          <w:divBdr>
            <w:top w:val="none" w:sz="0" w:space="0" w:color="auto"/>
            <w:left w:val="none" w:sz="0" w:space="0" w:color="auto"/>
            <w:bottom w:val="none" w:sz="0" w:space="0" w:color="auto"/>
            <w:right w:val="none" w:sz="0" w:space="0" w:color="auto"/>
          </w:divBdr>
        </w:div>
        <w:div w:id="1479569473">
          <w:marLeft w:val="0"/>
          <w:marRight w:val="0"/>
          <w:marTop w:val="0"/>
          <w:marBottom w:val="0"/>
          <w:divBdr>
            <w:top w:val="none" w:sz="0" w:space="0" w:color="auto"/>
            <w:left w:val="none" w:sz="0" w:space="0" w:color="auto"/>
            <w:bottom w:val="none" w:sz="0" w:space="0" w:color="auto"/>
            <w:right w:val="none" w:sz="0" w:space="0" w:color="auto"/>
          </w:divBdr>
        </w:div>
      </w:divsChild>
    </w:div>
    <w:div w:id="583102283">
      <w:bodyDiv w:val="1"/>
      <w:marLeft w:val="0"/>
      <w:marRight w:val="0"/>
      <w:marTop w:val="0"/>
      <w:marBottom w:val="0"/>
      <w:divBdr>
        <w:top w:val="none" w:sz="0" w:space="0" w:color="auto"/>
        <w:left w:val="none" w:sz="0" w:space="0" w:color="auto"/>
        <w:bottom w:val="none" w:sz="0" w:space="0" w:color="auto"/>
        <w:right w:val="none" w:sz="0" w:space="0" w:color="auto"/>
      </w:divBdr>
      <w:divsChild>
        <w:div w:id="1550459151">
          <w:marLeft w:val="0"/>
          <w:marRight w:val="0"/>
          <w:marTop w:val="0"/>
          <w:marBottom w:val="0"/>
          <w:divBdr>
            <w:top w:val="none" w:sz="0" w:space="0" w:color="auto"/>
            <w:left w:val="none" w:sz="0" w:space="0" w:color="auto"/>
            <w:bottom w:val="none" w:sz="0" w:space="0" w:color="auto"/>
            <w:right w:val="none" w:sz="0" w:space="0" w:color="auto"/>
          </w:divBdr>
        </w:div>
        <w:div w:id="997923964">
          <w:marLeft w:val="0"/>
          <w:marRight w:val="0"/>
          <w:marTop w:val="0"/>
          <w:marBottom w:val="0"/>
          <w:divBdr>
            <w:top w:val="none" w:sz="0" w:space="0" w:color="auto"/>
            <w:left w:val="none" w:sz="0" w:space="0" w:color="auto"/>
            <w:bottom w:val="none" w:sz="0" w:space="0" w:color="auto"/>
            <w:right w:val="none" w:sz="0" w:space="0" w:color="auto"/>
          </w:divBdr>
        </w:div>
        <w:div w:id="1669795597">
          <w:marLeft w:val="0"/>
          <w:marRight w:val="0"/>
          <w:marTop w:val="0"/>
          <w:marBottom w:val="0"/>
          <w:divBdr>
            <w:top w:val="none" w:sz="0" w:space="0" w:color="auto"/>
            <w:left w:val="none" w:sz="0" w:space="0" w:color="auto"/>
            <w:bottom w:val="none" w:sz="0" w:space="0" w:color="auto"/>
            <w:right w:val="none" w:sz="0" w:space="0" w:color="auto"/>
          </w:divBdr>
        </w:div>
        <w:div w:id="1631010891">
          <w:marLeft w:val="0"/>
          <w:marRight w:val="0"/>
          <w:marTop w:val="0"/>
          <w:marBottom w:val="0"/>
          <w:divBdr>
            <w:top w:val="none" w:sz="0" w:space="0" w:color="auto"/>
            <w:left w:val="none" w:sz="0" w:space="0" w:color="auto"/>
            <w:bottom w:val="none" w:sz="0" w:space="0" w:color="auto"/>
            <w:right w:val="none" w:sz="0" w:space="0" w:color="auto"/>
          </w:divBdr>
        </w:div>
        <w:div w:id="505830239">
          <w:marLeft w:val="0"/>
          <w:marRight w:val="0"/>
          <w:marTop w:val="0"/>
          <w:marBottom w:val="0"/>
          <w:divBdr>
            <w:top w:val="none" w:sz="0" w:space="0" w:color="auto"/>
            <w:left w:val="none" w:sz="0" w:space="0" w:color="auto"/>
            <w:bottom w:val="none" w:sz="0" w:space="0" w:color="auto"/>
            <w:right w:val="none" w:sz="0" w:space="0" w:color="auto"/>
          </w:divBdr>
        </w:div>
        <w:div w:id="1800491581">
          <w:marLeft w:val="0"/>
          <w:marRight w:val="0"/>
          <w:marTop w:val="0"/>
          <w:marBottom w:val="0"/>
          <w:divBdr>
            <w:top w:val="none" w:sz="0" w:space="0" w:color="auto"/>
            <w:left w:val="none" w:sz="0" w:space="0" w:color="auto"/>
            <w:bottom w:val="none" w:sz="0" w:space="0" w:color="auto"/>
            <w:right w:val="none" w:sz="0" w:space="0" w:color="auto"/>
          </w:divBdr>
        </w:div>
        <w:div w:id="365449877">
          <w:marLeft w:val="0"/>
          <w:marRight w:val="0"/>
          <w:marTop w:val="0"/>
          <w:marBottom w:val="0"/>
          <w:divBdr>
            <w:top w:val="none" w:sz="0" w:space="0" w:color="auto"/>
            <w:left w:val="none" w:sz="0" w:space="0" w:color="auto"/>
            <w:bottom w:val="none" w:sz="0" w:space="0" w:color="auto"/>
            <w:right w:val="none" w:sz="0" w:space="0" w:color="auto"/>
          </w:divBdr>
        </w:div>
        <w:div w:id="1130392727">
          <w:marLeft w:val="0"/>
          <w:marRight w:val="0"/>
          <w:marTop w:val="0"/>
          <w:marBottom w:val="0"/>
          <w:divBdr>
            <w:top w:val="none" w:sz="0" w:space="0" w:color="auto"/>
            <w:left w:val="none" w:sz="0" w:space="0" w:color="auto"/>
            <w:bottom w:val="none" w:sz="0" w:space="0" w:color="auto"/>
            <w:right w:val="none" w:sz="0" w:space="0" w:color="auto"/>
          </w:divBdr>
        </w:div>
        <w:div w:id="314920715">
          <w:marLeft w:val="0"/>
          <w:marRight w:val="0"/>
          <w:marTop w:val="0"/>
          <w:marBottom w:val="0"/>
          <w:divBdr>
            <w:top w:val="none" w:sz="0" w:space="0" w:color="auto"/>
            <w:left w:val="none" w:sz="0" w:space="0" w:color="auto"/>
            <w:bottom w:val="none" w:sz="0" w:space="0" w:color="auto"/>
            <w:right w:val="none" w:sz="0" w:space="0" w:color="auto"/>
          </w:divBdr>
        </w:div>
        <w:div w:id="1981962457">
          <w:marLeft w:val="0"/>
          <w:marRight w:val="0"/>
          <w:marTop w:val="0"/>
          <w:marBottom w:val="0"/>
          <w:divBdr>
            <w:top w:val="none" w:sz="0" w:space="0" w:color="auto"/>
            <w:left w:val="none" w:sz="0" w:space="0" w:color="auto"/>
            <w:bottom w:val="none" w:sz="0" w:space="0" w:color="auto"/>
            <w:right w:val="none" w:sz="0" w:space="0" w:color="auto"/>
          </w:divBdr>
        </w:div>
        <w:div w:id="781612843">
          <w:marLeft w:val="0"/>
          <w:marRight w:val="0"/>
          <w:marTop w:val="0"/>
          <w:marBottom w:val="0"/>
          <w:divBdr>
            <w:top w:val="none" w:sz="0" w:space="0" w:color="auto"/>
            <w:left w:val="none" w:sz="0" w:space="0" w:color="auto"/>
            <w:bottom w:val="none" w:sz="0" w:space="0" w:color="auto"/>
            <w:right w:val="none" w:sz="0" w:space="0" w:color="auto"/>
          </w:divBdr>
        </w:div>
        <w:div w:id="1630554549">
          <w:marLeft w:val="0"/>
          <w:marRight w:val="0"/>
          <w:marTop w:val="0"/>
          <w:marBottom w:val="0"/>
          <w:divBdr>
            <w:top w:val="none" w:sz="0" w:space="0" w:color="auto"/>
            <w:left w:val="none" w:sz="0" w:space="0" w:color="auto"/>
            <w:bottom w:val="none" w:sz="0" w:space="0" w:color="auto"/>
            <w:right w:val="none" w:sz="0" w:space="0" w:color="auto"/>
          </w:divBdr>
        </w:div>
        <w:div w:id="924001375">
          <w:marLeft w:val="0"/>
          <w:marRight w:val="0"/>
          <w:marTop w:val="0"/>
          <w:marBottom w:val="0"/>
          <w:divBdr>
            <w:top w:val="none" w:sz="0" w:space="0" w:color="auto"/>
            <w:left w:val="none" w:sz="0" w:space="0" w:color="auto"/>
            <w:bottom w:val="none" w:sz="0" w:space="0" w:color="auto"/>
            <w:right w:val="none" w:sz="0" w:space="0" w:color="auto"/>
          </w:divBdr>
        </w:div>
        <w:div w:id="1922987995">
          <w:marLeft w:val="0"/>
          <w:marRight w:val="0"/>
          <w:marTop w:val="0"/>
          <w:marBottom w:val="0"/>
          <w:divBdr>
            <w:top w:val="none" w:sz="0" w:space="0" w:color="auto"/>
            <w:left w:val="none" w:sz="0" w:space="0" w:color="auto"/>
            <w:bottom w:val="none" w:sz="0" w:space="0" w:color="auto"/>
            <w:right w:val="none" w:sz="0" w:space="0" w:color="auto"/>
          </w:divBdr>
        </w:div>
        <w:div w:id="965501139">
          <w:marLeft w:val="0"/>
          <w:marRight w:val="0"/>
          <w:marTop w:val="0"/>
          <w:marBottom w:val="0"/>
          <w:divBdr>
            <w:top w:val="none" w:sz="0" w:space="0" w:color="auto"/>
            <w:left w:val="none" w:sz="0" w:space="0" w:color="auto"/>
            <w:bottom w:val="none" w:sz="0" w:space="0" w:color="auto"/>
            <w:right w:val="none" w:sz="0" w:space="0" w:color="auto"/>
          </w:divBdr>
        </w:div>
        <w:div w:id="821625136">
          <w:marLeft w:val="0"/>
          <w:marRight w:val="0"/>
          <w:marTop w:val="0"/>
          <w:marBottom w:val="0"/>
          <w:divBdr>
            <w:top w:val="none" w:sz="0" w:space="0" w:color="auto"/>
            <w:left w:val="none" w:sz="0" w:space="0" w:color="auto"/>
            <w:bottom w:val="none" w:sz="0" w:space="0" w:color="auto"/>
            <w:right w:val="none" w:sz="0" w:space="0" w:color="auto"/>
          </w:divBdr>
        </w:div>
        <w:div w:id="77364235">
          <w:marLeft w:val="0"/>
          <w:marRight w:val="0"/>
          <w:marTop w:val="0"/>
          <w:marBottom w:val="0"/>
          <w:divBdr>
            <w:top w:val="none" w:sz="0" w:space="0" w:color="auto"/>
            <w:left w:val="none" w:sz="0" w:space="0" w:color="auto"/>
            <w:bottom w:val="none" w:sz="0" w:space="0" w:color="auto"/>
            <w:right w:val="none" w:sz="0" w:space="0" w:color="auto"/>
          </w:divBdr>
        </w:div>
        <w:div w:id="1810856451">
          <w:marLeft w:val="0"/>
          <w:marRight w:val="0"/>
          <w:marTop w:val="0"/>
          <w:marBottom w:val="0"/>
          <w:divBdr>
            <w:top w:val="none" w:sz="0" w:space="0" w:color="auto"/>
            <w:left w:val="none" w:sz="0" w:space="0" w:color="auto"/>
            <w:bottom w:val="none" w:sz="0" w:space="0" w:color="auto"/>
            <w:right w:val="none" w:sz="0" w:space="0" w:color="auto"/>
          </w:divBdr>
        </w:div>
        <w:div w:id="1970091894">
          <w:marLeft w:val="0"/>
          <w:marRight w:val="0"/>
          <w:marTop w:val="0"/>
          <w:marBottom w:val="0"/>
          <w:divBdr>
            <w:top w:val="none" w:sz="0" w:space="0" w:color="auto"/>
            <w:left w:val="none" w:sz="0" w:space="0" w:color="auto"/>
            <w:bottom w:val="none" w:sz="0" w:space="0" w:color="auto"/>
            <w:right w:val="none" w:sz="0" w:space="0" w:color="auto"/>
          </w:divBdr>
        </w:div>
        <w:div w:id="1010641042">
          <w:marLeft w:val="0"/>
          <w:marRight w:val="0"/>
          <w:marTop w:val="0"/>
          <w:marBottom w:val="0"/>
          <w:divBdr>
            <w:top w:val="none" w:sz="0" w:space="0" w:color="auto"/>
            <w:left w:val="none" w:sz="0" w:space="0" w:color="auto"/>
            <w:bottom w:val="none" w:sz="0" w:space="0" w:color="auto"/>
            <w:right w:val="none" w:sz="0" w:space="0" w:color="auto"/>
          </w:divBdr>
        </w:div>
        <w:div w:id="2025281012">
          <w:marLeft w:val="0"/>
          <w:marRight w:val="0"/>
          <w:marTop w:val="0"/>
          <w:marBottom w:val="0"/>
          <w:divBdr>
            <w:top w:val="none" w:sz="0" w:space="0" w:color="auto"/>
            <w:left w:val="none" w:sz="0" w:space="0" w:color="auto"/>
            <w:bottom w:val="none" w:sz="0" w:space="0" w:color="auto"/>
            <w:right w:val="none" w:sz="0" w:space="0" w:color="auto"/>
          </w:divBdr>
        </w:div>
        <w:div w:id="382019326">
          <w:marLeft w:val="0"/>
          <w:marRight w:val="0"/>
          <w:marTop w:val="0"/>
          <w:marBottom w:val="0"/>
          <w:divBdr>
            <w:top w:val="none" w:sz="0" w:space="0" w:color="auto"/>
            <w:left w:val="none" w:sz="0" w:space="0" w:color="auto"/>
            <w:bottom w:val="none" w:sz="0" w:space="0" w:color="auto"/>
            <w:right w:val="none" w:sz="0" w:space="0" w:color="auto"/>
          </w:divBdr>
        </w:div>
        <w:div w:id="1821850640">
          <w:marLeft w:val="0"/>
          <w:marRight w:val="0"/>
          <w:marTop w:val="0"/>
          <w:marBottom w:val="0"/>
          <w:divBdr>
            <w:top w:val="none" w:sz="0" w:space="0" w:color="auto"/>
            <w:left w:val="none" w:sz="0" w:space="0" w:color="auto"/>
            <w:bottom w:val="none" w:sz="0" w:space="0" w:color="auto"/>
            <w:right w:val="none" w:sz="0" w:space="0" w:color="auto"/>
          </w:divBdr>
        </w:div>
        <w:div w:id="994262810">
          <w:marLeft w:val="0"/>
          <w:marRight w:val="0"/>
          <w:marTop w:val="0"/>
          <w:marBottom w:val="0"/>
          <w:divBdr>
            <w:top w:val="none" w:sz="0" w:space="0" w:color="auto"/>
            <w:left w:val="none" w:sz="0" w:space="0" w:color="auto"/>
            <w:bottom w:val="none" w:sz="0" w:space="0" w:color="auto"/>
            <w:right w:val="none" w:sz="0" w:space="0" w:color="auto"/>
          </w:divBdr>
        </w:div>
        <w:div w:id="1686053808">
          <w:marLeft w:val="0"/>
          <w:marRight w:val="0"/>
          <w:marTop w:val="0"/>
          <w:marBottom w:val="0"/>
          <w:divBdr>
            <w:top w:val="none" w:sz="0" w:space="0" w:color="auto"/>
            <w:left w:val="none" w:sz="0" w:space="0" w:color="auto"/>
            <w:bottom w:val="none" w:sz="0" w:space="0" w:color="auto"/>
            <w:right w:val="none" w:sz="0" w:space="0" w:color="auto"/>
          </w:divBdr>
        </w:div>
        <w:div w:id="520776002">
          <w:marLeft w:val="0"/>
          <w:marRight w:val="0"/>
          <w:marTop w:val="0"/>
          <w:marBottom w:val="0"/>
          <w:divBdr>
            <w:top w:val="none" w:sz="0" w:space="0" w:color="auto"/>
            <w:left w:val="none" w:sz="0" w:space="0" w:color="auto"/>
            <w:bottom w:val="none" w:sz="0" w:space="0" w:color="auto"/>
            <w:right w:val="none" w:sz="0" w:space="0" w:color="auto"/>
          </w:divBdr>
        </w:div>
        <w:div w:id="858856853">
          <w:marLeft w:val="0"/>
          <w:marRight w:val="0"/>
          <w:marTop w:val="0"/>
          <w:marBottom w:val="0"/>
          <w:divBdr>
            <w:top w:val="none" w:sz="0" w:space="0" w:color="auto"/>
            <w:left w:val="none" w:sz="0" w:space="0" w:color="auto"/>
            <w:bottom w:val="none" w:sz="0" w:space="0" w:color="auto"/>
            <w:right w:val="none" w:sz="0" w:space="0" w:color="auto"/>
          </w:divBdr>
        </w:div>
        <w:div w:id="1978535878">
          <w:marLeft w:val="0"/>
          <w:marRight w:val="0"/>
          <w:marTop w:val="0"/>
          <w:marBottom w:val="0"/>
          <w:divBdr>
            <w:top w:val="none" w:sz="0" w:space="0" w:color="auto"/>
            <w:left w:val="none" w:sz="0" w:space="0" w:color="auto"/>
            <w:bottom w:val="none" w:sz="0" w:space="0" w:color="auto"/>
            <w:right w:val="none" w:sz="0" w:space="0" w:color="auto"/>
          </w:divBdr>
        </w:div>
        <w:div w:id="644553526">
          <w:marLeft w:val="0"/>
          <w:marRight w:val="0"/>
          <w:marTop w:val="0"/>
          <w:marBottom w:val="0"/>
          <w:divBdr>
            <w:top w:val="none" w:sz="0" w:space="0" w:color="auto"/>
            <w:left w:val="none" w:sz="0" w:space="0" w:color="auto"/>
            <w:bottom w:val="none" w:sz="0" w:space="0" w:color="auto"/>
            <w:right w:val="none" w:sz="0" w:space="0" w:color="auto"/>
          </w:divBdr>
        </w:div>
        <w:div w:id="53554260">
          <w:marLeft w:val="0"/>
          <w:marRight w:val="0"/>
          <w:marTop w:val="0"/>
          <w:marBottom w:val="0"/>
          <w:divBdr>
            <w:top w:val="none" w:sz="0" w:space="0" w:color="auto"/>
            <w:left w:val="none" w:sz="0" w:space="0" w:color="auto"/>
            <w:bottom w:val="none" w:sz="0" w:space="0" w:color="auto"/>
            <w:right w:val="none" w:sz="0" w:space="0" w:color="auto"/>
          </w:divBdr>
        </w:div>
        <w:div w:id="876158720">
          <w:marLeft w:val="0"/>
          <w:marRight w:val="0"/>
          <w:marTop w:val="0"/>
          <w:marBottom w:val="0"/>
          <w:divBdr>
            <w:top w:val="none" w:sz="0" w:space="0" w:color="auto"/>
            <w:left w:val="none" w:sz="0" w:space="0" w:color="auto"/>
            <w:bottom w:val="none" w:sz="0" w:space="0" w:color="auto"/>
            <w:right w:val="none" w:sz="0" w:space="0" w:color="auto"/>
          </w:divBdr>
        </w:div>
        <w:div w:id="1353267223">
          <w:marLeft w:val="0"/>
          <w:marRight w:val="0"/>
          <w:marTop w:val="0"/>
          <w:marBottom w:val="0"/>
          <w:divBdr>
            <w:top w:val="none" w:sz="0" w:space="0" w:color="auto"/>
            <w:left w:val="none" w:sz="0" w:space="0" w:color="auto"/>
            <w:bottom w:val="none" w:sz="0" w:space="0" w:color="auto"/>
            <w:right w:val="none" w:sz="0" w:space="0" w:color="auto"/>
          </w:divBdr>
        </w:div>
        <w:div w:id="1447962441">
          <w:marLeft w:val="0"/>
          <w:marRight w:val="0"/>
          <w:marTop w:val="0"/>
          <w:marBottom w:val="0"/>
          <w:divBdr>
            <w:top w:val="none" w:sz="0" w:space="0" w:color="auto"/>
            <w:left w:val="none" w:sz="0" w:space="0" w:color="auto"/>
            <w:bottom w:val="none" w:sz="0" w:space="0" w:color="auto"/>
            <w:right w:val="none" w:sz="0" w:space="0" w:color="auto"/>
          </w:divBdr>
        </w:div>
        <w:div w:id="652032321">
          <w:marLeft w:val="0"/>
          <w:marRight w:val="0"/>
          <w:marTop w:val="0"/>
          <w:marBottom w:val="0"/>
          <w:divBdr>
            <w:top w:val="none" w:sz="0" w:space="0" w:color="auto"/>
            <w:left w:val="none" w:sz="0" w:space="0" w:color="auto"/>
            <w:bottom w:val="none" w:sz="0" w:space="0" w:color="auto"/>
            <w:right w:val="none" w:sz="0" w:space="0" w:color="auto"/>
          </w:divBdr>
        </w:div>
        <w:div w:id="209420162">
          <w:marLeft w:val="0"/>
          <w:marRight w:val="0"/>
          <w:marTop w:val="0"/>
          <w:marBottom w:val="0"/>
          <w:divBdr>
            <w:top w:val="none" w:sz="0" w:space="0" w:color="auto"/>
            <w:left w:val="none" w:sz="0" w:space="0" w:color="auto"/>
            <w:bottom w:val="none" w:sz="0" w:space="0" w:color="auto"/>
            <w:right w:val="none" w:sz="0" w:space="0" w:color="auto"/>
          </w:divBdr>
        </w:div>
        <w:div w:id="1318026556">
          <w:marLeft w:val="0"/>
          <w:marRight w:val="0"/>
          <w:marTop w:val="0"/>
          <w:marBottom w:val="0"/>
          <w:divBdr>
            <w:top w:val="none" w:sz="0" w:space="0" w:color="auto"/>
            <w:left w:val="none" w:sz="0" w:space="0" w:color="auto"/>
            <w:bottom w:val="none" w:sz="0" w:space="0" w:color="auto"/>
            <w:right w:val="none" w:sz="0" w:space="0" w:color="auto"/>
          </w:divBdr>
        </w:div>
        <w:div w:id="613442525">
          <w:marLeft w:val="0"/>
          <w:marRight w:val="0"/>
          <w:marTop w:val="0"/>
          <w:marBottom w:val="0"/>
          <w:divBdr>
            <w:top w:val="none" w:sz="0" w:space="0" w:color="auto"/>
            <w:left w:val="none" w:sz="0" w:space="0" w:color="auto"/>
            <w:bottom w:val="none" w:sz="0" w:space="0" w:color="auto"/>
            <w:right w:val="none" w:sz="0" w:space="0" w:color="auto"/>
          </w:divBdr>
        </w:div>
        <w:div w:id="718169431">
          <w:marLeft w:val="0"/>
          <w:marRight w:val="0"/>
          <w:marTop w:val="0"/>
          <w:marBottom w:val="0"/>
          <w:divBdr>
            <w:top w:val="none" w:sz="0" w:space="0" w:color="auto"/>
            <w:left w:val="none" w:sz="0" w:space="0" w:color="auto"/>
            <w:bottom w:val="none" w:sz="0" w:space="0" w:color="auto"/>
            <w:right w:val="none" w:sz="0" w:space="0" w:color="auto"/>
          </w:divBdr>
        </w:div>
        <w:div w:id="1361274266">
          <w:marLeft w:val="0"/>
          <w:marRight w:val="0"/>
          <w:marTop w:val="0"/>
          <w:marBottom w:val="0"/>
          <w:divBdr>
            <w:top w:val="none" w:sz="0" w:space="0" w:color="auto"/>
            <w:left w:val="none" w:sz="0" w:space="0" w:color="auto"/>
            <w:bottom w:val="none" w:sz="0" w:space="0" w:color="auto"/>
            <w:right w:val="none" w:sz="0" w:space="0" w:color="auto"/>
          </w:divBdr>
        </w:div>
        <w:div w:id="1660114900">
          <w:marLeft w:val="0"/>
          <w:marRight w:val="0"/>
          <w:marTop w:val="0"/>
          <w:marBottom w:val="0"/>
          <w:divBdr>
            <w:top w:val="none" w:sz="0" w:space="0" w:color="auto"/>
            <w:left w:val="none" w:sz="0" w:space="0" w:color="auto"/>
            <w:bottom w:val="none" w:sz="0" w:space="0" w:color="auto"/>
            <w:right w:val="none" w:sz="0" w:space="0" w:color="auto"/>
          </w:divBdr>
        </w:div>
        <w:div w:id="1963883418">
          <w:marLeft w:val="0"/>
          <w:marRight w:val="0"/>
          <w:marTop w:val="0"/>
          <w:marBottom w:val="0"/>
          <w:divBdr>
            <w:top w:val="none" w:sz="0" w:space="0" w:color="auto"/>
            <w:left w:val="none" w:sz="0" w:space="0" w:color="auto"/>
            <w:bottom w:val="none" w:sz="0" w:space="0" w:color="auto"/>
            <w:right w:val="none" w:sz="0" w:space="0" w:color="auto"/>
          </w:divBdr>
        </w:div>
        <w:div w:id="1656958443">
          <w:marLeft w:val="0"/>
          <w:marRight w:val="0"/>
          <w:marTop w:val="0"/>
          <w:marBottom w:val="0"/>
          <w:divBdr>
            <w:top w:val="none" w:sz="0" w:space="0" w:color="auto"/>
            <w:left w:val="none" w:sz="0" w:space="0" w:color="auto"/>
            <w:bottom w:val="none" w:sz="0" w:space="0" w:color="auto"/>
            <w:right w:val="none" w:sz="0" w:space="0" w:color="auto"/>
          </w:divBdr>
        </w:div>
        <w:div w:id="740181893">
          <w:marLeft w:val="0"/>
          <w:marRight w:val="0"/>
          <w:marTop w:val="0"/>
          <w:marBottom w:val="0"/>
          <w:divBdr>
            <w:top w:val="none" w:sz="0" w:space="0" w:color="auto"/>
            <w:left w:val="none" w:sz="0" w:space="0" w:color="auto"/>
            <w:bottom w:val="none" w:sz="0" w:space="0" w:color="auto"/>
            <w:right w:val="none" w:sz="0" w:space="0" w:color="auto"/>
          </w:divBdr>
        </w:div>
        <w:div w:id="1595899082">
          <w:marLeft w:val="0"/>
          <w:marRight w:val="0"/>
          <w:marTop w:val="0"/>
          <w:marBottom w:val="0"/>
          <w:divBdr>
            <w:top w:val="none" w:sz="0" w:space="0" w:color="auto"/>
            <w:left w:val="none" w:sz="0" w:space="0" w:color="auto"/>
            <w:bottom w:val="none" w:sz="0" w:space="0" w:color="auto"/>
            <w:right w:val="none" w:sz="0" w:space="0" w:color="auto"/>
          </w:divBdr>
        </w:div>
        <w:div w:id="1971521249">
          <w:marLeft w:val="0"/>
          <w:marRight w:val="0"/>
          <w:marTop w:val="0"/>
          <w:marBottom w:val="0"/>
          <w:divBdr>
            <w:top w:val="none" w:sz="0" w:space="0" w:color="auto"/>
            <w:left w:val="none" w:sz="0" w:space="0" w:color="auto"/>
            <w:bottom w:val="none" w:sz="0" w:space="0" w:color="auto"/>
            <w:right w:val="none" w:sz="0" w:space="0" w:color="auto"/>
          </w:divBdr>
        </w:div>
        <w:div w:id="1987054167">
          <w:marLeft w:val="0"/>
          <w:marRight w:val="0"/>
          <w:marTop w:val="0"/>
          <w:marBottom w:val="0"/>
          <w:divBdr>
            <w:top w:val="none" w:sz="0" w:space="0" w:color="auto"/>
            <w:left w:val="none" w:sz="0" w:space="0" w:color="auto"/>
            <w:bottom w:val="none" w:sz="0" w:space="0" w:color="auto"/>
            <w:right w:val="none" w:sz="0" w:space="0" w:color="auto"/>
          </w:divBdr>
        </w:div>
        <w:div w:id="692464627">
          <w:marLeft w:val="0"/>
          <w:marRight w:val="0"/>
          <w:marTop w:val="0"/>
          <w:marBottom w:val="0"/>
          <w:divBdr>
            <w:top w:val="none" w:sz="0" w:space="0" w:color="auto"/>
            <w:left w:val="none" w:sz="0" w:space="0" w:color="auto"/>
            <w:bottom w:val="none" w:sz="0" w:space="0" w:color="auto"/>
            <w:right w:val="none" w:sz="0" w:space="0" w:color="auto"/>
          </w:divBdr>
        </w:div>
      </w:divsChild>
    </w:div>
    <w:div w:id="679350609">
      <w:bodyDiv w:val="1"/>
      <w:marLeft w:val="0"/>
      <w:marRight w:val="0"/>
      <w:marTop w:val="0"/>
      <w:marBottom w:val="0"/>
      <w:divBdr>
        <w:top w:val="none" w:sz="0" w:space="0" w:color="auto"/>
        <w:left w:val="none" w:sz="0" w:space="0" w:color="auto"/>
        <w:bottom w:val="none" w:sz="0" w:space="0" w:color="auto"/>
        <w:right w:val="none" w:sz="0" w:space="0" w:color="auto"/>
      </w:divBdr>
      <w:divsChild>
        <w:div w:id="1354922584">
          <w:marLeft w:val="0"/>
          <w:marRight w:val="0"/>
          <w:marTop w:val="0"/>
          <w:marBottom w:val="0"/>
          <w:divBdr>
            <w:top w:val="none" w:sz="0" w:space="0" w:color="auto"/>
            <w:left w:val="none" w:sz="0" w:space="0" w:color="auto"/>
            <w:bottom w:val="none" w:sz="0" w:space="0" w:color="auto"/>
            <w:right w:val="none" w:sz="0" w:space="0" w:color="auto"/>
          </w:divBdr>
          <w:divsChild>
            <w:div w:id="983193361">
              <w:marLeft w:val="0"/>
              <w:marRight w:val="0"/>
              <w:marTop w:val="0"/>
              <w:marBottom w:val="0"/>
              <w:divBdr>
                <w:top w:val="none" w:sz="0" w:space="0" w:color="auto"/>
                <w:left w:val="none" w:sz="0" w:space="0" w:color="auto"/>
                <w:bottom w:val="none" w:sz="0" w:space="0" w:color="auto"/>
                <w:right w:val="none" w:sz="0" w:space="0" w:color="auto"/>
              </w:divBdr>
              <w:divsChild>
                <w:div w:id="1355109370">
                  <w:marLeft w:val="0"/>
                  <w:marRight w:val="0"/>
                  <w:marTop w:val="0"/>
                  <w:marBottom w:val="0"/>
                  <w:divBdr>
                    <w:top w:val="none" w:sz="0" w:space="0" w:color="auto"/>
                    <w:left w:val="none" w:sz="0" w:space="0" w:color="auto"/>
                    <w:bottom w:val="none" w:sz="0" w:space="0" w:color="auto"/>
                    <w:right w:val="none" w:sz="0" w:space="0" w:color="auto"/>
                  </w:divBdr>
                  <w:divsChild>
                    <w:div w:id="111443312">
                      <w:marLeft w:val="0"/>
                      <w:marRight w:val="0"/>
                      <w:marTop w:val="0"/>
                      <w:marBottom w:val="0"/>
                      <w:divBdr>
                        <w:top w:val="none" w:sz="0" w:space="0" w:color="auto"/>
                        <w:left w:val="none" w:sz="0" w:space="0" w:color="auto"/>
                        <w:bottom w:val="none" w:sz="0" w:space="0" w:color="auto"/>
                        <w:right w:val="none" w:sz="0" w:space="0" w:color="auto"/>
                      </w:divBdr>
                      <w:divsChild>
                        <w:div w:id="2100563332">
                          <w:marLeft w:val="0"/>
                          <w:marRight w:val="0"/>
                          <w:marTop w:val="0"/>
                          <w:marBottom w:val="0"/>
                          <w:divBdr>
                            <w:top w:val="none" w:sz="0" w:space="0" w:color="auto"/>
                            <w:left w:val="none" w:sz="0" w:space="0" w:color="auto"/>
                            <w:bottom w:val="none" w:sz="0" w:space="0" w:color="auto"/>
                            <w:right w:val="none" w:sz="0" w:space="0" w:color="auto"/>
                          </w:divBdr>
                          <w:divsChild>
                            <w:div w:id="2049797548">
                              <w:marLeft w:val="0"/>
                              <w:marRight w:val="0"/>
                              <w:marTop w:val="0"/>
                              <w:marBottom w:val="0"/>
                              <w:divBdr>
                                <w:top w:val="none" w:sz="0" w:space="0" w:color="auto"/>
                                <w:left w:val="none" w:sz="0" w:space="0" w:color="auto"/>
                                <w:bottom w:val="none" w:sz="0" w:space="0" w:color="auto"/>
                                <w:right w:val="none" w:sz="0" w:space="0" w:color="auto"/>
                              </w:divBdr>
                              <w:divsChild>
                                <w:div w:id="1843009938">
                                  <w:marLeft w:val="0"/>
                                  <w:marRight w:val="0"/>
                                  <w:marTop w:val="0"/>
                                  <w:marBottom w:val="0"/>
                                  <w:divBdr>
                                    <w:top w:val="none" w:sz="0" w:space="0" w:color="auto"/>
                                    <w:left w:val="none" w:sz="0" w:space="0" w:color="auto"/>
                                    <w:bottom w:val="none" w:sz="0" w:space="0" w:color="auto"/>
                                    <w:right w:val="none" w:sz="0" w:space="0" w:color="auto"/>
                                  </w:divBdr>
                                  <w:divsChild>
                                    <w:div w:id="1157497228">
                                      <w:marLeft w:val="0"/>
                                      <w:marRight w:val="0"/>
                                      <w:marTop w:val="0"/>
                                      <w:marBottom w:val="0"/>
                                      <w:divBdr>
                                        <w:top w:val="none" w:sz="0" w:space="0" w:color="auto"/>
                                        <w:left w:val="none" w:sz="0" w:space="0" w:color="auto"/>
                                        <w:bottom w:val="none" w:sz="0" w:space="0" w:color="auto"/>
                                        <w:right w:val="none" w:sz="0" w:space="0" w:color="auto"/>
                                      </w:divBdr>
                                      <w:divsChild>
                                        <w:div w:id="490491070">
                                          <w:marLeft w:val="0"/>
                                          <w:marRight w:val="0"/>
                                          <w:marTop w:val="0"/>
                                          <w:marBottom w:val="0"/>
                                          <w:divBdr>
                                            <w:top w:val="none" w:sz="0" w:space="0" w:color="auto"/>
                                            <w:left w:val="none" w:sz="0" w:space="0" w:color="auto"/>
                                            <w:bottom w:val="none" w:sz="0" w:space="0" w:color="auto"/>
                                            <w:right w:val="none" w:sz="0" w:space="0" w:color="auto"/>
                                          </w:divBdr>
                                          <w:divsChild>
                                            <w:div w:id="387068222">
                                              <w:marLeft w:val="0"/>
                                              <w:marRight w:val="0"/>
                                              <w:marTop w:val="0"/>
                                              <w:marBottom w:val="0"/>
                                              <w:divBdr>
                                                <w:top w:val="none" w:sz="0" w:space="0" w:color="auto"/>
                                                <w:left w:val="none" w:sz="0" w:space="0" w:color="auto"/>
                                                <w:bottom w:val="none" w:sz="0" w:space="0" w:color="auto"/>
                                                <w:right w:val="none" w:sz="0" w:space="0" w:color="auto"/>
                                              </w:divBdr>
                                              <w:divsChild>
                                                <w:div w:id="1870140758">
                                                  <w:marLeft w:val="0"/>
                                                  <w:marRight w:val="0"/>
                                                  <w:marTop w:val="0"/>
                                                  <w:marBottom w:val="0"/>
                                                  <w:divBdr>
                                                    <w:top w:val="none" w:sz="0" w:space="0" w:color="auto"/>
                                                    <w:left w:val="none" w:sz="0" w:space="0" w:color="auto"/>
                                                    <w:bottom w:val="none" w:sz="0" w:space="0" w:color="auto"/>
                                                    <w:right w:val="none" w:sz="0" w:space="0" w:color="auto"/>
                                                  </w:divBdr>
                                                  <w:divsChild>
                                                    <w:div w:id="1045518732">
                                                      <w:marLeft w:val="0"/>
                                                      <w:marRight w:val="0"/>
                                                      <w:marTop w:val="0"/>
                                                      <w:marBottom w:val="0"/>
                                                      <w:divBdr>
                                                        <w:top w:val="none" w:sz="0" w:space="0" w:color="auto"/>
                                                        <w:left w:val="none" w:sz="0" w:space="0" w:color="auto"/>
                                                        <w:bottom w:val="none" w:sz="0" w:space="0" w:color="auto"/>
                                                        <w:right w:val="none" w:sz="0" w:space="0" w:color="auto"/>
                                                      </w:divBdr>
                                                      <w:divsChild>
                                                        <w:div w:id="426579314">
                                                          <w:marLeft w:val="0"/>
                                                          <w:marRight w:val="0"/>
                                                          <w:marTop w:val="0"/>
                                                          <w:marBottom w:val="0"/>
                                                          <w:divBdr>
                                                            <w:top w:val="none" w:sz="0" w:space="0" w:color="auto"/>
                                                            <w:left w:val="none" w:sz="0" w:space="0" w:color="auto"/>
                                                            <w:bottom w:val="none" w:sz="0" w:space="0" w:color="auto"/>
                                                            <w:right w:val="none" w:sz="0" w:space="0" w:color="auto"/>
                                                          </w:divBdr>
                                                          <w:divsChild>
                                                            <w:div w:id="1048148204">
                                                              <w:marLeft w:val="0"/>
                                                              <w:marRight w:val="0"/>
                                                              <w:marTop w:val="0"/>
                                                              <w:marBottom w:val="0"/>
                                                              <w:divBdr>
                                                                <w:top w:val="none" w:sz="0" w:space="0" w:color="auto"/>
                                                                <w:left w:val="none" w:sz="0" w:space="0" w:color="auto"/>
                                                                <w:bottom w:val="none" w:sz="0" w:space="0" w:color="auto"/>
                                                                <w:right w:val="none" w:sz="0" w:space="0" w:color="auto"/>
                                                              </w:divBdr>
                                                              <w:divsChild>
                                                                <w:div w:id="1479759539">
                                                                  <w:marLeft w:val="0"/>
                                                                  <w:marRight w:val="0"/>
                                                                  <w:marTop w:val="0"/>
                                                                  <w:marBottom w:val="0"/>
                                                                  <w:divBdr>
                                                                    <w:top w:val="none" w:sz="0" w:space="0" w:color="auto"/>
                                                                    <w:left w:val="none" w:sz="0" w:space="0" w:color="auto"/>
                                                                    <w:bottom w:val="none" w:sz="0" w:space="0" w:color="auto"/>
                                                                    <w:right w:val="none" w:sz="0" w:space="0" w:color="auto"/>
                                                                  </w:divBdr>
                                                                  <w:divsChild>
                                                                    <w:div w:id="1783450955">
                                                                      <w:marLeft w:val="0"/>
                                                                      <w:marRight w:val="0"/>
                                                                      <w:marTop w:val="0"/>
                                                                      <w:marBottom w:val="0"/>
                                                                      <w:divBdr>
                                                                        <w:top w:val="none" w:sz="0" w:space="0" w:color="auto"/>
                                                                        <w:left w:val="none" w:sz="0" w:space="0" w:color="auto"/>
                                                                        <w:bottom w:val="none" w:sz="0" w:space="0" w:color="auto"/>
                                                                        <w:right w:val="none" w:sz="0" w:space="0" w:color="auto"/>
                                                                      </w:divBdr>
                                                                    </w:div>
                                                                    <w:div w:id="1265066888">
                                                                      <w:marLeft w:val="0"/>
                                                                      <w:marRight w:val="0"/>
                                                                      <w:marTop w:val="0"/>
                                                                      <w:marBottom w:val="0"/>
                                                                      <w:divBdr>
                                                                        <w:top w:val="none" w:sz="0" w:space="0" w:color="auto"/>
                                                                        <w:left w:val="none" w:sz="0" w:space="0" w:color="auto"/>
                                                                        <w:bottom w:val="none" w:sz="0" w:space="0" w:color="auto"/>
                                                                        <w:right w:val="none" w:sz="0" w:space="0" w:color="auto"/>
                                                                      </w:divBdr>
                                                                      <w:divsChild>
                                                                        <w:div w:id="1402486848">
                                                                          <w:marLeft w:val="0"/>
                                                                          <w:marRight w:val="0"/>
                                                                          <w:marTop w:val="0"/>
                                                                          <w:marBottom w:val="0"/>
                                                                          <w:divBdr>
                                                                            <w:top w:val="none" w:sz="0" w:space="0" w:color="auto"/>
                                                                            <w:left w:val="none" w:sz="0" w:space="0" w:color="auto"/>
                                                                            <w:bottom w:val="none" w:sz="0" w:space="0" w:color="auto"/>
                                                                            <w:right w:val="none" w:sz="0" w:space="0" w:color="auto"/>
                                                                          </w:divBdr>
                                                                        </w:div>
                                                                        <w:div w:id="14044271">
                                                                          <w:marLeft w:val="0"/>
                                                                          <w:marRight w:val="0"/>
                                                                          <w:marTop w:val="0"/>
                                                                          <w:marBottom w:val="0"/>
                                                                          <w:divBdr>
                                                                            <w:top w:val="none" w:sz="0" w:space="0" w:color="auto"/>
                                                                            <w:left w:val="none" w:sz="0" w:space="0" w:color="auto"/>
                                                                            <w:bottom w:val="none" w:sz="0" w:space="0" w:color="auto"/>
                                                                            <w:right w:val="none" w:sz="0" w:space="0" w:color="auto"/>
                                                                          </w:divBdr>
                                                                        </w:div>
                                                                      </w:divsChild>
                                                                    </w:div>
                                                                    <w:div w:id="2126266301">
                                                                      <w:marLeft w:val="0"/>
                                                                      <w:marRight w:val="0"/>
                                                                      <w:marTop w:val="0"/>
                                                                      <w:marBottom w:val="0"/>
                                                                      <w:divBdr>
                                                                        <w:top w:val="none" w:sz="0" w:space="0" w:color="auto"/>
                                                                        <w:left w:val="none" w:sz="0" w:space="0" w:color="auto"/>
                                                                        <w:bottom w:val="none" w:sz="0" w:space="0" w:color="auto"/>
                                                                        <w:right w:val="none" w:sz="0" w:space="0" w:color="auto"/>
                                                                      </w:divBdr>
                                                                      <w:divsChild>
                                                                        <w:div w:id="1933972835">
                                                                          <w:marLeft w:val="0"/>
                                                                          <w:marRight w:val="0"/>
                                                                          <w:marTop w:val="0"/>
                                                                          <w:marBottom w:val="0"/>
                                                                          <w:divBdr>
                                                                            <w:top w:val="none" w:sz="0" w:space="0" w:color="auto"/>
                                                                            <w:left w:val="none" w:sz="0" w:space="0" w:color="auto"/>
                                                                            <w:bottom w:val="none" w:sz="0" w:space="0" w:color="auto"/>
                                                                            <w:right w:val="none" w:sz="0" w:space="0" w:color="auto"/>
                                                                          </w:divBdr>
                                                                        </w:div>
                                                                        <w:div w:id="3404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319774">
      <w:bodyDiv w:val="1"/>
      <w:marLeft w:val="0"/>
      <w:marRight w:val="0"/>
      <w:marTop w:val="0"/>
      <w:marBottom w:val="0"/>
      <w:divBdr>
        <w:top w:val="none" w:sz="0" w:space="0" w:color="auto"/>
        <w:left w:val="none" w:sz="0" w:space="0" w:color="auto"/>
        <w:bottom w:val="none" w:sz="0" w:space="0" w:color="auto"/>
        <w:right w:val="none" w:sz="0" w:space="0" w:color="auto"/>
      </w:divBdr>
      <w:divsChild>
        <w:div w:id="1201477477">
          <w:marLeft w:val="0"/>
          <w:marRight w:val="0"/>
          <w:marTop w:val="0"/>
          <w:marBottom w:val="0"/>
          <w:divBdr>
            <w:top w:val="none" w:sz="0" w:space="0" w:color="auto"/>
            <w:left w:val="none" w:sz="0" w:space="0" w:color="auto"/>
            <w:bottom w:val="none" w:sz="0" w:space="0" w:color="auto"/>
            <w:right w:val="none" w:sz="0" w:space="0" w:color="auto"/>
          </w:divBdr>
        </w:div>
        <w:div w:id="410078091">
          <w:marLeft w:val="0"/>
          <w:marRight w:val="0"/>
          <w:marTop w:val="0"/>
          <w:marBottom w:val="0"/>
          <w:divBdr>
            <w:top w:val="none" w:sz="0" w:space="0" w:color="auto"/>
            <w:left w:val="none" w:sz="0" w:space="0" w:color="auto"/>
            <w:bottom w:val="none" w:sz="0" w:space="0" w:color="auto"/>
            <w:right w:val="none" w:sz="0" w:space="0" w:color="auto"/>
          </w:divBdr>
        </w:div>
        <w:div w:id="838623098">
          <w:marLeft w:val="0"/>
          <w:marRight w:val="0"/>
          <w:marTop w:val="0"/>
          <w:marBottom w:val="0"/>
          <w:divBdr>
            <w:top w:val="none" w:sz="0" w:space="0" w:color="auto"/>
            <w:left w:val="none" w:sz="0" w:space="0" w:color="auto"/>
            <w:bottom w:val="none" w:sz="0" w:space="0" w:color="auto"/>
            <w:right w:val="none" w:sz="0" w:space="0" w:color="auto"/>
          </w:divBdr>
        </w:div>
        <w:div w:id="1815835335">
          <w:marLeft w:val="0"/>
          <w:marRight w:val="0"/>
          <w:marTop w:val="0"/>
          <w:marBottom w:val="0"/>
          <w:divBdr>
            <w:top w:val="none" w:sz="0" w:space="0" w:color="auto"/>
            <w:left w:val="none" w:sz="0" w:space="0" w:color="auto"/>
            <w:bottom w:val="none" w:sz="0" w:space="0" w:color="auto"/>
            <w:right w:val="none" w:sz="0" w:space="0" w:color="auto"/>
          </w:divBdr>
        </w:div>
        <w:div w:id="1495799818">
          <w:marLeft w:val="0"/>
          <w:marRight w:val="0"/>
          <w:marTop w:val="0"/>
          <w:marBottom w:val="0"/>
          <w:divBdr>
            <w:top w:val="none" w:sz="0" w:space="0" w:color="auto"/>
            <w:left w:val="none" w:sz="0" w:space="0" w:color="auto"/>
            <w:bottom w:val="none" w:sz="0" w:space="0" w:color="auto"/>
            <w:right w:val="none" w:sz="0" w:space="0" w:color="auto"/>
          </w:divBdr>
        </w:div>
        <w:div w:id="1313874123">
          <w:marLeft w:val="0"/>
          <w:marRight w:val="0"/>
          <w:marTop w:val="0"/>
          <w:marBottom w:val="0"/>
          <w:divBdr>
            <w:top w:val="none" w:sz="0" w:space="0" w:color="auto"/>
            <w:left w:val="none" w:sz="0" w:space="0" w:color="auto"/>
            <w:bottom w:val="none" w:sz="0" w:space="0" w:color="auto"/>
            <w:right w:val="none" w:sz="0" w:space="0" w:color="auto"/>
          </w:divBdr>
        </w:div>
        <w:div w:id="552085548">
          <w:marLeft w:val="0"/>
          <w:marRight w:val="0"/>
          <w:marTop w:val="0"/>
          <w:marBottom w:val="0"/>
          <w:divBdr>
            <w:top w:val="none" w:sz="0" w:space="0" w:color="auto"/>
            <w:left w:val="none" w:sz="0" w:space="0" w:color="auto"/>
            <w:bottom w:val="none" w:sz="0" w:space="0" w:color="auto"/>
            <w:right w:val="none" w:sz="0" w:space="0" w:color="auto"/>
          </w:divBdr>
        </w:div>
        <w:div w:id="637347587">
          <w:marLeft w:val="0"/>
          <w:marRight w:val="0"/>
          <w:marTop w:val="0"/>
          <w:marBottom w:val="0"/>
          <w:divBdr>
            <w:top w:val="none" w:sz="0" w:space="0" w:color="auto"/>
            <w:left w:val="none" w:sz="0" w:space="0" w:color="auto"/>
            <w:bottom w:val="none" w:sz="0" w:space="0" w:color="auto"/>
            <w:right w:val="none" w:sz="0" w:space="0" w:color="auto"/>
          </w:divBdr>
        </w:div>
        <w:div w:id="761605257">
          <w:marLeft w:val="0"/>
          <w:marRight w:val="0"/>
          <w:marTop w:val="0"/>
          <w:marBottom w:val="0"/>
          <w:divBdr>
            <w:top w:val="none" w:sz="0" w:space="0" w:color="auto"/>
            <w:left w:val="none" w:sz="0" w:space="0" w:color="auto"/>
            <w:bottom w:val="none" w:sz="0" w:space="0" w:color="auto"/>
            <w:right w:val="none" w:sz="0" w:space="0" w:color="auto"/>
          </w:divBdr>
        </w:div>
        <w:div w:id="565530863">
          <w:marLeft w:val="0"/>
          <w:marRight w:val="0"/>
          <w:marTop w:val="0"/>
          <w:marBottom w:val="0"/>
          <w:divBdr>
            <w:top w:val="none" w:sz="0" w:space="0" w:color="auto"/>
            <w:left w:val="none" w:sz="0" w:space="0" w:color="auto"/>
            <w:bottom w:val="none" w:sz="0" w:space="0" w:color="auto"/>
            <w:right w:val="none" w:sz="0" w:space="0" w:color="auto"/>
          </w:divBdr>
        </w:div>
        <w:div w:id="2140489385">
          <w:marLeft w:val="0"/>
          <w:marRight w:val="0"/>
          <w:marTop w:val="0"/>
          <w:marBottom w:val="0"/>
          <w:divBdr>
            <w:top w:val="none" w:sz="0" w:space="0" w:color="auto"/>
            <w:left w:val="none" w:sz="0" w:space="0" w:color="auto"/>
            <w:bottom w:val="none" w:sz="0" w:space="0" w:color="auto"/>
            <w:right w:val="none" w:sz="0" w:space="0" w:color="auto"/>
          </w:divBdr>
        </w:div>
        <w:div w:id="1652059604">
          <w:marLeft w:val="0"/>
          <w:marRight w:val="0"/>
          <w:marTop w:val="0"/>
          <w:marBottom w:val="0"/>
          <w:divBdr>
            <w:top w:val="none" w:sz="0" w:space="0" w:color="auto"/>
            <w:left w:val="none" w:sz="0" w:space="0" w:color="auto"/>
            <w:bottom w:val="none" w:sz="0" w:space="0" w:color="auto"/>
            <w:right w:val="none" w:sz="0" w:space="0" w:color="auto"/>
          </w:divBdr>
        </w:div>
        <w:div w:id="1950894585">
          <w:marLeft w:val="0"/>
          <w:marRight w:val="0"/>
          <w:marTop w:val="0"/>
          <w:marBottom w:val="0"/>
          <w:divBdr>
            <w:top w:val="none" w:sz="0" w:space="0" w:color="auto"/>
            <w:left w:val="none" w:sz="0" w:space="0" w:color="auto"/>
            <w:bottom w:val="none" w:sz="0" w:space="0" w:color="auto"/>
            <w:right w:val="none" w:sz="0" w:space="0" w:color="auto"/>
          </w:divBdr>
        </w:div>
        <w:div w:id="2076396038">
          <w:marLeft w:val="0"/>
          <w:marRight w:val="0"/>
          <w:marTop w:val="0"/>
          <w:marBottom w:val="0"/>
          <w:divBdr>
            <w:top w:val="none" w:sz="0" w:space="0" w:color="auto"/>
            <w:left w:val="none" w:sz="0" w:space="0" w:color="auto"/>
            <w:bottom w:val="none" w:sz="0" w:space="0" w:color="auto"/>
            <w:right w:val="none" w:sz="0" w:space="0" w:color="auto"/>
          </w:divBdr>
        </w:div>
        <w:div w:id="1709835041">
          <w:marLeft w:val="0"/>
          <w:marRight w:val="0"/>
          <w:marTop w:val="0"/>
          <w:marBottom w:val="0"/>
          <w:divBdr>
            <w:top w:val="none" w:sz="0" w:space="0" w:color="auto"/>
            <w:left w:val="none" w:sz="0" w:space="0" w:color="auto"/>
            <w:bottom w:val="none" w:sz="0" w:space="0" w:color="auto"/>
            <w:right w:val="none" w:sz="0" w:space="0" w:color="auto"/>
          </w:divBdr>
        </w:div>
        <w:div w:id="52043263">
          <w:marLeft w:val="0"/>
          <w:marRight w:val="0"/>
          <w:marTop w:val="0"/>
          <w:marBottom w:val="0"/>
          <w:divBdr>
            <w:top w:val="none" w:sz="0" w:space="0" w:color="auto"/>
            <w:left w:val="none" w:sz="0" w:space="0" w:color="auto"/>
            <w:bottom w:val="none" w:sz="0" w:space="0" w:color="auto"/>
            <w:right w:val="none" w:sz="0" w:space="0" w:color="auto"/>
          </w:divBdr>
        </w:div>
        <w:div w:id="1304509867">
          <w:marLeft w:val="0"/>
          <w:marRight w:val="0"/>
          <w:marTop w:val="0"/>
          <w:marBottom w:val="0"/>
          <w:divBdr>
            <w:top w:val="none" w:sz="0" w:space="0" w:color="auto"/>
            <w:left w:val="none" w:sz="0" w:space="0" w:color="auto"/>
            <w:bottom w:val="none" w:sz="0" w:space="0" w:color="auto"/>
            <w:right w:val="none" w:sz="0" w:space="0" w:color="auto"/>
          </w:divBdr>
        </w:div>
        <w:div w:id="1398363325">
          <w:marLeft w:val="0"/>
          <w:marRight w:val="0"/>
          <w:marTop w:val="0"/>
          <w:marBottom w:val="0"/>
          <w:divBdr>
            <w:top w:val="none" w:sz="0" w:space="0" w:color="auto"/>
            <w:left w:val="none" w:sz="0" w:space="0" w:color="auto"/>
            <w:bottom w:val="none" w:sz="0" w:space="0" w:color="auto"/>
            <w:right w:val="none" w:sz="0" w:space="0" w:color="auto"/>
          </w:divBdr>
        </w:div>
        <w:div w:id="7562267">
          <w:marLeft w:val="0"/>
          <w:marRight w:val="0"/>
          <w:marTop w:val="0"/>
          <w:marBottom w:val="0"/>
          <w:divBdr>
            <w:top w:val="none" w:sz="0" w:space="0" w:color="auto"/>
            <w:left w:val="none" w:sz="0" w:space="0" w:color="auto"/>
            <w:bottom w:val="none" w:sz="0" w:space="0" w:color="auto"/>
            <w:right w:val="none" w:sz="0" w:space="0" w:color="auto"/>
          </w:divBdr>
        </w:div>
        <w:div w:id="49034833">
          <w:marLeft w:val="0"/>
          <w:marRight w:val="0"/>
          <w:marTop w:val="0"/>
          <w:marBottom w:val="0"/>
          <w:divBdr>
            <w:top w:val="none" w:sz="0" w:space="0" w:color="auto"/>
            <w:left w:val="none" w:sz="0" w:space="0" w:color="auto"/>
            <w:bottom w:val="none" w:sz="0" w:space="0" w:color="auto"/>
            <w:right w:val="none" w:sz="0" w:space="0" w:color="auto"/>
          </w:divBdr>
        </w:div>
        <w:div w:id="1660498294">
          <w:marLeft w:val="0"/>
          <w:marRight w:val="0"/>
          <w:marTop w:val="0"/>
          <w:marBottom w:val="0"/>
          <w:divBdr>
            <w:top w:val="none" w:sz="0" w:space="0" w:color="auto"/>
            <w:left w:val="none" w:sz="0" w:space="0" w:color="auto"/>
            <w:bottom w:val="none" w:sz="0" w:space="0" w:color="auto"/>
            <w:right w:val="none" w:sz="0" w:space="0" w:color="auto"/>
          </w:divBdr>
        </w:div>
        <w:div w:id="156043704">
          <w:marLeft w:val="0"/>
          <w:marRight w:val="0"/>
          <w:marTop w:val="0"/>
          <w:marBottom w:val="0"/>
          <w:divBdr>
            <w:top w:val="none" w:sz="0" w:space="0" w:color="auto"/>
            <w:left w:val="none" w:sz="0" w:space="0" w:color="auto"/>
            <w:bottom w:val="none" w:sz="0" w:space="0" w:color="auto"/>
            <w:right w:val="none" w:sz="0" w:space="0" w:color="auto"/>
          </w:divBdr>
        </w:div>
        <w:div w:id="1368683663">
          <w:marLeft w:val="0"/>
          <w:marRight w:val="0"/>
          <w:marTop w:val="0"/>
          <w:marBottom w:val="0"/>
          <w:divBdr>
            <w:top w:val="none" w:sz="0" w:space="0" w:color="auto"/>
            <w:left w:val="none" w:sz="0" w:space="0" w:color="auto"/>
            <w:bottom w:val="none" w:sz="0" w:space="0" w:color="auto"/>
            <w:right w:val="none" w:sz="0" w:space="0" w:color="auto"/>
          </w:divBdr>
        </w:div>
        <w:div w:id="1191921088">
          <w:marLeft w:val="0"/>
          <w:marRight w:val="0"/>
          <w:marTop w:val="0"/>
          <w:marBottom w:val="0"/>
          <w:divBdr>
            <w:top w:val="none" w:sz="0" w:space="0" w:color="auto"/>
            <w:left w:val="none" w:sz="0" w:space="0" w:color="auto"/>
            <w:bottom w:val="none" w:sz="0" w:space="0" w:color="auto"/>
            <w:right w:val="none" w:sz="0" w:space="0" w:color="auto"/>
          </w:divBdr>
        </w:div>
        <w:div w:id="39483079">
          <w:marLeft w:val="0"/>
          <w:marRight w:val="0"/>
          <w:marTop w:val="0"/>
          <w:marBottom w:val="0"/>
          <w:divBdr>
            <w:top w:val="none" w:sz="0" w:space="0" w:color="auto"/>
            <w:left w:val="none" w:sz="0" w:space="0" w:color="auto"/>
            <w:bottom w:val="none" w:sz="0" w:space="0" w:color="auto"/>
            <w:right w:val="none" w:sz="0" w:space="0" w:color="auto"/>
          </w:divBdr>
        </w:div>
        <w:div w:id="1283077162">
          <w:marLeft w:val="0"/>
          <w:marRight w:val="0"/>
          <w:marTop w:val="0"/>
          <w:marBottom w:val="0"/>
          <w:divBdr>
            <w:top w:val="none" w:sz="0" w:space="0" w:color="auto"/>
            <w:left w:val="none" w:sz="0" w:space="0" w:color="auto"/>
            <w:bottom w:val="none" w:sz="0" w:space="0" w:color="auto"/>
            <w:right w:val="none" w:sz="0" w:space="0" w:color="auto"/>
          </w:divBdr>
        </w:div>
        <w:div w:id="1030568668">
          <w:marLeft w:val="0"/>
          <w:marRight w:val="0"/>
          <w:marTop w:val="0"/>
          <w:marBottom w:val="0"/>
          <w:divBdr>
            <w:top w:val="none" w:sz="0" w:space="0" w:color="auto"/>
            <w:left w:val="none" w:sz="0" w:space="0" w:color="auto"/>
            <w:bottom w:val="none" w:sz="0" w:space="0" w:color="auto"/>
            <w:right w:val="none" w:sz="0" w:space="0" w:color="auto"/>
          </w:divBdr>
        </w:div>
        <w:div w:id="347633888">
          <w:marLeft w:val="0"/>
          <w:marRight w:val="0"/>
          <w:marTop w:val="0"/>
          <w:marBottom w:val="0"/>
          <w:divBdr>
            <w:top w:val="none" w:sz="0" w:space="0" w:color="auto"/>
            <w:left w:val="none" w:sz="0" w:space="0" w:color="auto"/>
            <w:bottom w:val="none" w:sz="0" w:space="0" w:color="auto"/>
            <w:right w:val="none" w:sz="0" w:space="0" w:color="auto"/>
          </w:divBdr>
        </w:div>
        <w:div w:id="1173881801">
          <w:marLeft w:val="0"/>
          <w:marRight w:val="0"/>
          <w:marTop w:val="0"/>
          <w:marBottom w:val="0"/>
          <w:divBdr>
            <w:top w:val="none" w:sz="0" w:space="0" w:color="auto"/>
            <w:left w:val="none" w:sz="0" w:space="0" w:color="auto"/>
            <w:bottom w:val="none" w:sz="0" w:space="0" w:color="auto"/>
            <w:right w:val="none" w:sz="0" w:space="0" w:color="auto"/>
          </w:divBdr>
        </w:div>
        <w:div w:id="984890642">
          <w:marLeft w:val="0"/>
          <w:marRight w:val="0"/>
          <w:marTop w:val="0"/>
          <w:marBottom w:val="0"/>
          <w:divBdr>
            <w:top w:val="none" w:sz="0" w:space="0" w:color="auto"/>
            <w:left w:val="none" w:sz="0" w:space="0" w:color="auto"/>
            <w:bottom w:val="none" w:sz="0" w:space="0" w:color="auto"/>
            <w:right w:val="none" w:sz="0" w:space="0" w:color="auto"/>
          </w:divBdr>
        </w:div>
        <w:div w:id="1840851332">
          <w:marLeft w:val="0"/>
          <w:marRight w:val="0"/>
          <w:marTop w:val="0"/>
          <w:marBottom w:val="0"/>
          <w:divBdr>
            <w:top w:val="none" w:sz="0" w:space="0" w:color="auto"/>
            <w:left w:val="none" w:sz="0" w:space="0" w:color="auto"/>
            <w:bottom w:val="none" w:sz="0" w:space="0" w:color="auto"/>
            <w:right w:val="none" w:sz="0" w:space="0" w:color="auto"/>
          </w:divBdr>
        </w:div>
        <w:div w:id="1070421090">
          <w:marLeft w:val="0"/>
          <w:marRight w:val="0"/>
          <w:marTop w:val="0"/>
          <w:marBottom w:val="0"/>
          <w:divBdr>
            <w:top w:val="none" w:sz="0" w:space="0" w:color="auto"/>
            <w:left w:val="none" w:sz="0" w:space="0" w:color="auto"/>
            <w:bottom w:val="none" w:sz="0" w:space="0" w:color="auto"/>
            <w:right w:val="none" w:sz="0" w:space="0" w:color="auto"/>
          </w:divBdr>
        </w:div>
        <w:div w:id="1550922708">
          <w:marLeft w:val="0"/>
          <w:marRight w:val="0"/>
          <w:marTop w:val="0"/>
          <w:marBottom w:val="0"/>
          <w:divBdr>
            <w:top w:val="none" w:sz="0" w:space="0" w:color="auto"/>
            <w:left w:val="none" w:sz="0" w:space="0" w:color="auto"/>
            <w:bottom w:val="none" w:sz="0" w:space="0" w:color="auto"/>
            <w:right w:val="none" w:sz="0" w:space="0" w:color="auto"/>
          </w:divBdr>
        </w:div>
        <w:div w:id="1936479376">
          <w:marLeft w:val="0"/>
          <w:marRight w:val="0"/>
          <w:marTop w:val="0"/>
          <w:marBottom w:val="0"/>
          <w:divBdr>
            <w:top w:val="none" w:sz="0" w:space="0" w:color="auto"/>
            <w:left w:val="none" w:sz="0" w:space="0" w:color="auto"/>
            <w:bottom w:val="none" w:sz="0" w:space="0" w:color="auto"/>
            <w:right w:val="none" w:sz="0" w:space="0" w:color="auto"/>
          </w:divBdr>
        </w:div>
        <w:div w:id="1030838328">
          <w:marLeft w:val="0"/>
          <w:marRight w:val="0"/>
          <w:marTop w:val="0"/>
          <w:marBottom w:val="0"/>
          <w:divBdr>
            <w:top w:val="none" w:sz="0" w:space="0" w:color="auto"/>
            <w:left w:val="none" w:sz="0" w:space="0" w:color="auto"/>
            <w:bottom w:val="none" w:sz="0" w:space="0" w:color="auto"/>
            <w:right w:val="none" w:sz="0" w:space="0" w:color="auto"/>
          </w:divBdr>
        </w:div>
        <w:div w:id="96950413">
          <w:marLeft w:val="0"/>
          <w:marRight w:val="0"/>
          <w:marTop w:val="0"/>
          <w:marBottom w:val="0"/>
          <w:divBdr>
            <w:top w:val="none" w:sz="0" w:space="0" w:color="auto"/>
            <w:left w:val="none" w:sz="0" w:space="0" w:color="auto"/>
            <w:bottom w:val="none" w:sz="0" w:space="0" w:color="auto"/>
            <w:right w:val="none" w:sz="0" w:space="0" w:color="auto"/>
          </w:divBdr>
        </w:div>
        <w:div w:id="1243175667">
          <w:marLeft w:val="0"/>
          <w:marRight w:val="0"/>
          <w:marTop w:val="0"/>
          <w:marBottom w:val="0"/>
          <w:divBdr>
            <w:top w:val="none" w:sz="0" w:space="0" w:color="auto"/>
            <w:left w:val="none" w:sz="0" w:space="0" w:color="auto"/>
            <w:bottom w:val="none" w:sz="0" w:space="0" w:color="auto"/>
            <w:right w:val="none" w:sz="0" w:space="0" w:color="auto"/>
          </w:divBdr>
        </w:div>
        <w:div w:id="986513549">
          <w:marLeft w:val="0"/>
          <w:marRight w:val="0"/>
          <w:marTop w:val="0"/>
          <w:marBottom w:val="0"/>
          <w:divBdr>
            <w:top w:val="none" w:sz="0" w:space="0" w:color="auto"/>
            <w:left w:val="none" w:sz="0" w:space="0" w:color="auto"/>
            <w:bottom w:val="none" w:sz="0" w:space="0" w:color="auto"/>
            <w:right w:val="none" w:sz="0" w:space="0" w:color="auto"/>
          </w:divBdr>
        </w:div>
        <w:div w:id="841941308">
          <w:marLeft w:val="0"/>
          <w:marRight w:val="0"/>
          <w:marTop w:val="0"/>
          <w:marBottom w:val="0"/>
          <w:divBdr>
            <w:top w:val="none" w:sz="0" w:space="0" w:color="auto"/>
            <w:left w:val="none" w:sz="0" w:space="0" w:color="auto"/>
            <w:bottom w:val="none" w:sz="0" w:space="0" w:color="auto"/>
            <w:right w:val="none" w:sz="0" w:space="0" w:color="auto"/>
          </w:divBdr>
        </w:div>
        <w:div w:id="1429692887">
          <w:marLeft w:val="0"/>
          <w:marRight w:val="0"/>
          <w:marTop w:val="0"/>
          <w:marBottom w:val="0"/>
          <w:divBdr>
            <w:top w:val="none" w:sz="0" w:space="0" w:color="auto"/>
            <w:left w:val="none" w:sz="0" w:space="0" w:color="auto"/>
            <w:bottom w:val="none" w:sz="0" w:space="0" w:color="auto"/>
            <w:right w:val="none" w:sz="0" w:space="0" w:color="auto"/>
          </w:divBdr>
        </w:div>
        <w:div w:id="495801251">
          <w:marLeft w:val="0"/>
          <w:marRight w:val="0"/>
          <w:marTop w:val="0"/>
          <w:marBottom w:val="0"/>
          <w:divBdr>
            <w:top w:val="none" w:sz="0" w:space="0" w:color="auto"/>
            <w:left w:val="none" w:sz="0" w:space="0" w:color="auto"/>
            <w:bottom w:val="none" w:sz="0" w:space="0" w:color="auto"/>
            <w:right w:val="none" w:sz="0" w:space="0" w:color="auto"/>
          </w:divBdr>
        </w:div>
        <w:div w:id="570120874">
          <w:marLeft w:val="0"/>
          <w:marRight w:val="0"/>
          <w:marTop w:val="0"/>
          <w:marBottom w:val="0"/>
          <w:divBdr>
            <w:top w:val="none" w:sz="0" w:space="0" w:color="auto"/>
            <w:left w:val="none" w:sz="0" w:space="0" w:color="auto"/>
            <w:bottom w:val="none" w:sz="0" w:space="0" w:color="auto"/>
            <w:right w:val="none" w:sz="0" w:space="0" w:color="auto"/>
          </w:divBdr>
        </w:div>
        <w:div w:id="1132558284">
          <w:marLeft w:val="0"/>
          <w:marRight w:val="0"/>
          <w:marTop w:val="0"/>
          <w:marBottom w:val="0"/>
          <w:divBdr>
            <w:top w:val="none" w:sz="0" w:space="0" w:color="auto"/>
            <w:left w:val="none" w:sz="0" w:space="0" w:color="auto"/>
            <w:bottom w:val="none" w:sz="0" w:space="0" w:color="auto"/>
            <w:right w:val="none" w:sz="0" w:space="0" w:color="auto"/>
          </w:divBdr>
        </w:div>
        <w:div w:id="1895853922">
          <w:marLeft w:val="0"/>
          <w:marRight w:val="0"/>
          <w:marTop w:val="0"/>
          <w:marBottom w:val="0"/>
          <w:divBdr>
            <w:top w:val="none" w:sz="0" w:space="0" w:color="auto"/>
            <w:left w:val="none" w:sz="0" w:space="0" w:color="auto"/>
            <w:bottom w:val="none" w:sz="0" w:space="0" w:color="auto"/>
            <w:right w:val="none" w:sz="0" w:space="0" w:color="auto"/>
          </w:divBdr>
        </w:div>
        <w:div w:id="1045181536">
          <w:marLeft w:val="0"/>
          <w:marRight w:val="0"/>
          <w:marTop w:val="0"/>
          <w:marBottom w:val="0"/>
          <w:divBdr>
            <w:top w:val="none" w:sz="0" w:space="0" w:color="auto"/>
            <w:left w:val="none" w:sz="0" w:space="0" w:color="auto"/>
            <w:bottom w:val="none" w:sz="0" w:space="0" w:color="auto"/>
            <w:right w:val="none" w:sz="0" w:space="0" w:color="auto"/>
          </w:divBdr>
        </w:div>
        <w:div w:id="1851066447">
          <w:marLeft w:val="0"/>
          <w:marRight w:val="0"/>
          <w:marTop w:val="0"/>
          <w:marBottom w:val="0"/>
          <w:divBdr>
            <w:top w:val="none" w:sz="0" w:space="0" w:color="auto"/>
            <w:left w:val="none" w:sz="0" w:space="0" w:color="auto"/>
            <w:bottom w:val="none" w:sz="0" w:space="0" w:color="auto"/>
            <w:right w:val="none" w:sz="0" w:space="0" w:color="auto"/>
          </w:divBdr>
        </w:div>
        <w:div w:id="1087577976">
          <w:marLeft w:val="0"/>
          <w:marRight w:val="0"/>
          <w:marTop w:val="0"/>
          <w:marBottom w:val="0"/>
          <w:divBdr>
            <w:top w:val="none" w:sz="0" w:space="0" w:color="auto"/>
            <w:left w:val="none" w:sz="0" w:space="0" w:color="auto"/>
            <w:bottom w:val="none" w:sz="0" w:space="0" w:color="auto"/>
            <w:right w:val="none" w:sz="0" w:space="0" w:color="auto"/>
          </w:divBdr>
        </w:div>
        <w:div w:id="1658268800">
          <w:marLeft w:val="0"/>
          <w:marRight w:val="0"/>
          <w:marTop w:val="0"/>
          <w:marBottom w:val="0"/>
          <w:divBdr>
            <w:top w:val="none" w:sz="0" w:space="0" w:color="auto"/>
            <w:left w:val="none" w:sz="0" w:space="0" w:color="auto"/>
            <w:bottom w:val="none" w:sz="0" w:space="0" w:color="auto"/>
            <w:right w:val="none" w:sz="0" w:space="0" w:color="auto"/>
          </w:divBdr>
        </w:div>
        <w:div w:id="1340548797">
          <w:marLeft w:val="0"/>
          <w:marRight w:val="0"/>
          <w:marTop w:val="0"/>
          <w:marBottom w:val="0"/>
          <w:divBdr>
            <w:top w:val="none" w:sz="0" w:space="0" w:color="auto"/>
            <w:left w:val="none" w:sz="0" w:space="0" w:color="auto"/>
            <w:bottom w:val="none" w:sz="0" w:space="0" w:color="auto"/>
            <w:right w:val="none" w:sz="0" w:space="0" w:color="auto"/>
          </w:divBdr>
        </w:div>
        <w:div w:id="571356705">
          <w:marLeft w:val="0"/>
          <w:marRight w:val="0"/>
          <w:marTop w:val="0"/>
          <w:marBottom w:val="0"/>
          <w:divBdr>
            <w:top w:val="none" w:sz="0" w:space="0" w:color="auto"/>
            <w:left w:val="none" w:sz="0" w:space="0" w:color="auto"/>
            <w:bottom w:val="none" w:sz="0" w:space="0" w:color="auto"/>
            <w:right w:val="none" w:sz="0" w:space="0" w:color="auto"/>
          </w:divBdr>
        </w:div>
        <w:div w:id="819081937">
          <w:marLeft w:val="0"/>
          <w:marRight w:val="0"/>
          <w:marTop w:val="0"/>
          <w:marBottom w:val="0"/>
          <w:divBdr>
            <w:top w:val="none" w:sz="0" w:space="0" w:color="auto"/>
            <w:left w:val="none" w:sz="0" w:space="0" w:color="auto"/>
            <w:bottom w:val="none" w:sz="0" w:space="0" w:color="auto"/>
            <w:right w:val="none" w:sz="0" w:space="0" w:color="auto"/>
          </w:divBdr>
        </w:div>
        <w:div w:id="227036926">
          <w:marLeft w:val="0"/>
          <w:marRight w:val="0"/>
          <w:marTop w:val="0"/>
          <w:marBottom w:val="0"/>
          <w:divBdr>
            <w:top w:val="none" w:sz="0" w:space="0" w:color="auto"/>
            <w:left w:val="none" w:sz="0" w:space="0" w:color="auto"/>
            <w:bottom w:val="none" w:sz="0" w:space="0" w:color="auto"/>
            <w:right w:val="none" w:sz="0" w:space="0" w:color="auto"/>
          </w:divBdr>
        </w:div>
        <w:div w:id="292978135">
          <w:marLeft w:val="0"/>
          <w:marRight w:val="0"/>
          <w:marTop w:val="0"/>
          <w:marBottom w:val="0"/>
          <w:divBdr>
            <w:top w:val="none" w:sz="0" w:space="0" w:color="auto"/>
            <w:left w:val="none" w:sz="0" w:space="0" w:color="auto"/>
            <w:bottom w:val="none" w:sz="0" w:space="0" w:color="auto"/>
            <w:right w:val="none" w:sz="0" w:space="0" w:color="auto"/>
          </w:divBdr>
        </w:div>
      </w:divsChild>
    </w:div>
    <w:div w:id="1381661803">
      <w:bodyDiv w:val="1"/>
      <w:marLeft w:val="0"/>
      <w:marRight w:val="0"/>
      <w:marTop w:val="0"/>
      <w:marBottom w:val="0"/>
      <w:divBdr>
        <w:top w:val="none" w:sz="0" w:space="0" w:color="auto"/>
        <w:left w:val="none" w:sz="0" w:space="0" w:color="auto"/>
        <w:bottom w:val="none" w:sz="0" w:space="0" w:color="auto"/>
        <w:right w:val="none" w:sz="0" w:space="0" w:color="auto"/>
      </w:divBdr>
      <w:divsChild>
        <w:div w:id="764686791">
          <w:marLeft w:val="0"/>
          <w:marRight w:val="0"/>
          <w:marTop w:val="0"/>
          <w:marBottom w:val="0"/>
          <w:divBdr>
            <w:top w:val="none" w:sz="0" w:space="0" w:color="auto"/>
            <w:left w:val="none" w:sz="0" w:space="0" w:color="auto"/>
            <w:bottom w:val="none" w:sz="0" w:space="0" w:color="auto"/>
            <w:right w:val="none" w:sz="0" w:space="0" w:color="auto"/>
          </w:divBdr>
        </w:div>
        <w:div w:id="797720132">
          <w:marLeft w:val="0"/>
          <w:marRight w:val="0"/>
          <w:marTop w:val="0"/>
          <w:marBottom w:val="0"/>
          <w:divBdr>
            <w:top w:val="none" w:sz="0" w:space="0" w:color="auto"/>
            <w:left w:val="none" w:sz="0" w:space="0" w:color="auto"/>
            <w:bottom w:val="none" w:sz="0" w:space="0" w:color="auto"/>
            <w:right w:val="none" w:sz="0" w:space="0" w:color="auto"/>
          </w:divBdr>
        </w:div>
        <w:div w:id="1566574613">
          <w:marLeft w:val="0"/>
          <w:marRight w:val="0"/>
          <w:marTop w:val="0"/>
          <w:marBottom w:val="0"/>
          <w:divBdr>
            <w:top w:val="none" w:sz="0" w:space="0" w:color="auto"/>
            <w:left w:val="none" w:sz="0" w:space="0" w:color="auto"/>
            <w:bottom w:val="none" w:sz="0" w:space="0" w:color="auto"/>
            <w:right w:val="none" w:sz="0" w:space="0" w:color="auto"/>
          </w:divBdr>
        </w:div>
        <w:div w:id="422074413">
          <w:marLeft w:val="0"/>
          <w:marRight w:val="0"/>
          <w:marTop w:val="0"/>
          <w:marBottom w:val="0"/>
          <w:divBdr>
            <w:top w:val="none" w:sz="0" w:space="0" w:color="auto"/>
            <w:left w:val="none" w:sz="0" w:space="0" w:color="auto"/>
            <w:bottom w:val="none" w:sz="0" w:space="0" w:color="auto"/>
            <w:right w:val="none" w:sz="0" w:space="0" w:color="auto"/>
          </w:divBdr>
        </w:div>
        <w:div w:id="1588877023">
          <w:marLeft w:val="0"/>
          <w:marRight w:val="0"/>
          <w:marTop w:val="0"/>
          <w:marBottom w:val="0"/>
          <w:divBdr>
            <w:top w:val="none" w:sz="0" w:space="0" w:color="auto"/>
            <w:left w:val="none" w:sz="0" w:space="0" w:color="auto"/>
            <w:bottom w:val="none" w:sz="0" w:space="0" w:color="auto"/>
            <w:right w:val="none" w:sz="0" w:space="0" w:color="auto"/>
          </w:divBdr>
        </w:div>
        <w:div w:id="1041322545">
          <w:marLeft w:val="0"/>
          <w:marRight w:val="0"/>
          <w:marTop w:val="0"/>
          <w:marBottom w:val="0"/>
          <w:divBdr>
            <w:top w:val="none" w:sz="0" w:space="0" w:color="auto"/>
            <w:left w:val="none" w:sz="0" w:space="0" w:color="auto"/>
            <w:bottom w:val="none" w:sz="0" w:space="0" w:color="auto"/>
            <w:right w:val="none" w:sz="0" w:space="0" w:color="auto"/>
          </w:divBdr>
        </w:div>
        <w:div w:id="1247769722">
          <w:marLeft w:val="0"/>
          <w:marRight w:val="0"/>
          <w:marTop w:val="0"/>
          <w:marBottom w:val="0"/>
          <w:divBdr>
            <w:top w:val="none" w:sz="0" w:space="0" w:color="auto"/>
            <w:left w:val="none" w:sz="0" w:space="0" w:color="auto"/>
            <w:bottom w:val="none" w:sz="0" w:space="0" w:color="auto"/>
            <w:right w:val="none" w:sz="0" w:space="0" w:color="auto"/>
          </w:divBdr>
        </w:div>
        <w:div w:id="151023983">
          <w:marLeft w:val="0"/>
          <w:marRight w:val="0"/>
          <w:marTop w:val="0"/>
          <w:marBottom w:val="0"/>
          <w:divBdr>
            <w:top w:val="none" w:sz="0" w:space="0" w:color="auto"/>
            <w:left w:val="none" w:sz="0" w:space="0" w:color="auto"/>
            <w:bottom w:val="none" w:sz="0" w:space="0" w:color="auto"/>
            <w:right w:val="none" w:sz="0" w:space="0" w:color="auto"/>
          </w:divBdr>
        </w:div>
        <w:div w:id="1628119322">
          <w:marLeft w:val="0"/>
          <w:marRight w:val="0"/>
          <w:marTop w:val="0"/>
          <w:marBottom w:val="0"/>
          <w:divBdr>
            <w:top w:val="none" w:sz="0" w:space="0" w:color="auto"/>
            <w:left w:val="none" w:sz="0" w:space="0" w:color="auto"/>
            <w:bottom w:val="none" w:sz="0" w:space="0" w:color="auto"/>
            <w:right w:val="none" w:sz="0" w:space="0" w:color="auto"/>
          </w:divBdr>
        </w:div>
        <w:div w:id="1919096251">
          <w:marLeft w:val="0"/>
          <w:marRight w:val="0"/>
          <w:marTop w:val="0"/>
          <w:marBottom w:val="0"/>
          <w:divBdr>
            <w:top w:val="none" w:sz="0" w:space="0" w:color="auto"/>
            <w:left w:val="none" w:sz="0" w:space="0" w:color="auto"/>
            <w:bottom w:val="none" w:sz="0" w:space="0" w:color="auto"/>
            <w:right w:val="none" w:sz="0" w:space="0" w:color="auto"/>
          </w:divBdr>
        </w:div>
        <w:div w:id="995644897">
          <w:marLeft w:val="0"/>
          <w:marRight w:val="0"/>
          <w:marTop w:val="0"/>
          <w:marBottom w:val="0"/>
          <w:divBdr>
            <w:top w:val="none" w:sz="0" w:space="0" w:color="auto"/>
            <w:left w:val="none" w:sz="0" w:space="0" w:color="auto"/>
            <w:bottom w:val="none" w:sz="0" w:space="0" w:color="auto"/>
            <w:right w:val="none" w:sz="0" w:space="0" w:color="auto"/>
          </w:divBdr>
        </w:div>
        <w:div w:id="1062868073">
          <w:marLeft w:val="0"/>
          <w:marRight w:val="0"/>
          <w:marTop w:val="0"/>
          <w:marBottom w:val="0"/>
          <w:divBdr>
            <w:top w:val="none" w:sz="0" w:space="0" w:color="auto"/>
            <w:left w:val="none" w:sz="0" w:space="0" w:color="auto"/>
            <w:bottom w:val="none" w:sz="0" w:space="0" w:color="auto"/>
            <w:right w:val="none" w:sz="0" w:space="0" w:color="auto"/>
          </w:divBdr>
        </w:div>
        <w:div w:id="464009901">
          <w:marLeft w:val="0"/>
          <w:marRight w:val="0"/>
          <w:marTop w:val="0"/>
          <w:marBottom w:val="0"/>
          <w:divBdr>
            <w:top w:val="none" w:sz="0" w:space="0" w:color="auto"/>
            <w:left w:val="none" w:sz="0" w:space="0" w:color="auto"/>
            <w:bottom w:val="none" w:sz="0" w:space="0" w:color="auto"/>
            <w:right w:val="none" w:sz="0" w:space="0" w:color="auto"/>
          </w:divBdr>
        </w:div>
        <w:div w:id="173232246">
          <w:marLeft w:val="0"/>
          <w:marRight w:val="0"/>
          <w:marTop w:val="0"/>
          <w:marBottom w:val="0"/>
          <w:divBdr>
            <w:top w:val="none" w:sz="0" w:space="0" w:color="auto"/>
            <w:left w:val="none" w:sz="0" w:space="0" w:color="auto"/>
            <w:bottom w:val="none" w:sz="0" w:space="0" w:color="auto"/>
            <w:right w:val="none" w:sz="0" w:space="0" w:color="auto"/>
          </w:divBdr>
        </w:div>
        <w:div w:id="1875267707">
          <w:marLeft w:val="0"/>
          <w:marRight w:val="0"/>
          <w:marTop w:val="0"/>
          <w:marBottom w:val="0"/>
          <w:divBdr>
            <w:top w:val="none" w:sz="0" w:space="0" w:color="auto"/>
            <w:left w:val="none" w:sz="0" w:space="0" w:color="auto"/>
            <w:bottom w:val="none" w:sz="0" w:space="0" w:color="auto"/>
            <w:right w:val="none" w:sz="0" w:space="0" w:color="auto"/>
          </w:divBdr>
        </w:div>
        <w:div w:id="410547045">
          <w:marLeft w:val="0"/>
          <w:marRight w:val="0"/>
          <w:marTop w:val="0"/>
          <w:marBottom w:val="0"/>
          <w:divBdr>
            <w:top w:val="none" w:sz="0" w:space="0" w:color="auto"/>
            <w:left w:val="none" w:sz="0" w:space="0" w:color="auto"/>
            <w:bottom w:val="none" w:sz="0" w:space="0" w:color="auto"/>
            <w:right w:val="none" w:sz="0" w:space="0" w:color="auto"/>
          </w:divBdr>
        </w:div>
        <w:div w:id="518391767">
          <w:marLeft w:val="0"/>
          <w:marRight w:val="0"/>
          <w:marTop w:val="0"/>
          <w:marBottom w:val="0"/>
          <w:divBdr>
            <w:top w:val="none" w:sz="0" w:space="0" w:color="auto"/>
            <w:left w:val="none" w:sz="0" w:space="0" w:color="auto"/>
            <w:bottom w:val="none" w:sz="0" w:space="0" w:color="auto"/>
            <w:right w:val="none" w:sz="0" w:space="0" w:color="auto"/>
          </w:divBdr>
        </w:div>
        <w:div w:id="1523740859">
          <w:marLeft w:val="0"/>
          <w:marRight w:val="0"/>
          <w:marTop w:val="0"/>
          <w:marBottom w:val="0"/>
          <w:divBdr>
            <w:top w:val="none" w:sz="0" w:space="0" w:color="auto"/>
            <w:left w:val="none" w:sz="0" w:space="0" w:color="auto"/>
            <w:bottom w:val="none" w:sz="0" w:space="0" w:color="auto"/>
            <w:right w:val="none" w:sz="0" w:space="0" w:color="auto"/>
          </w:divBdr>
        </w:div>
      </w:divsChild>
    </w:div>
    <w:div w:id="1387100440">
      <w:bodyDiv w:val="1"/>
      <w:marLeft w:val="0"/>
      <w:marRight w:val="0"/>
      <w:marTop w:val="0"/>
      <w:marBottom w:val="0"/>
      <w:divBdr>
        <w:top w:val="none" w:sz="0" w:space="0" w:color="auto"/>
        <w:left w:val="none" w:sz="0" w:space="0" w:color="auto"/>
        <w:bottom w:val="none" w:sz="0" w:space="0" w:color="auto"/>
        <w:right w:val="none" w:sz="0" w:space="0" w:color="auto"/>
      </w:divBdr>
      <w:divsChild>
        <w:div w:id="2015834616">
          <w:marLeft w:val="0"/>
          <w:marRight w:val="0"/>
          <w:marTop w:val="0"/>
          <w:marBottom w:val="0"/>
          <w:divBdr>
            <w:top w:val="none" w:sz="0" w:space="0" w:color="auto"/>
            <w:left w:val="none" w:sz="0" w:space="0" w:color="auto"/>
            <w:bottom w:val="none" w:sz="0" w:space="0" w:color="auto"/>
            <w:right w:val="none" w:sz="0" w:space="0" w:color="auto"/>
          </w:divBdr>
        </w:div>
        <w:div w:id="48774354">
          <w:marLeft w:val="0"/>
          <w:marRight w:val="0"/>
          <w:marTop w:val="0"/>
          <w:marBottom w:val="0"/>
          <w:divBdr>
            <w:top w:val="none" w:sz="0" w:space="0" w:color="auto"/>
            <w:left w:val="none" w:sz="0" w:space="0" w:color="auto"/>
            <w:bottom w:val="none" w:sz="0" w:space="0" w:color="auto"/>
            <w:right w:val="none" w:sz="0" w:space="0" w:color="auto"/>
          </w:divBdr>
        </w:div>
        <w:div w:id="1679234419">
          <w:marLeft w:val="0"/>
          <w:marRight w:val="0"/>
          <w:marTop w:val="0"/>
          <w:marBottom w:val="0"/>
          <w:divBdr>
            <w:top w:val="none" w:sz="0" w:space="0" w:color="auto"/>
            <w:left w:val="none" w:sz="0" w:space="0" w:color="auto"/>
            <w:bottom w:val="none" w:sz="0" w:space="0" w:color="auto"/>
            <w:right w:val="none" w:sz="0" w:space="0" w:color="auto"/>
          </w:divBdr>
        </w:div>
        <w:div w:id="1560480824">
          <w:marLeft w:val="0"/>
          <w:marRight w:val="0"/>
          <w:marTop w:val="0"/>
          <w:marBottom w:val="0"/>
          <w:divBdr>
            <w:top w:val="none" w:sz="0" w:space="0" w:color="auto"/>
            <w:left w:val="none" w:sz="0" w:space="0" w:color="auto"/>
            <w:bottom w:val="none" w:sz="0" w:space="0" w:color="auto"/>
            <w:right w:val="none" w:sz="0" w:space="0" w:color="auto"/>
          </w:divBdr>
        </w:div>
        <w:div w:id="1409571301">
          <w:marLeft w:val="0"/>
          <w:marRight w:val="0"/>
          <w:marTop w:val="0"/>
          <w:marBottom w:val="0"/>
          <w:divBdr>
            <w:top w:val="none" w:sz="0" w:space="0" w:color="auto"/>
            <w:left w:val="none" w:sz="0" w:space="0" w:color="auto"/>
            <w:bottom w:val="none" w:sz="0" w:space="0" w:color="auto"/>
            <w:right w:val="none" w:sz="0" w:space="0" w:color="auto"/>
          </w:divBdr>
        </w:div>
        <w:div w:id="1024281012">
          <w:marLeft w:val="0"/>
          <w:marRight w:val="0"/>
          <w:marTop w:val="0"/>
          <w:marBottom w:val="0"/>
          <w:divBdr>
            <w:top w:val="none" w:sz="0" w:space="0" w:color="auto"/>
            <w:left w:val="none" w:sz="0" w:space="0" w:color="auto"/>
            <w:bottom w:val="none" w:sz="0" w:space="0" w:color="auto"/>
            <w:right w:val="none" w:sz="0" w:space="0" w:color="auto"/>
          </w:divBdr>
        </w:div>
        <w:div w:id="349069398">
          <w:marLeft w:val="0"/>
          <w:marRight w:val="0"/>
          <w:marTop w:val="0"/>
          <w:marBottom w:val="0"/>
          <w:divBdr>
            <w:top w:val="none" w:sz="0" w:space="0" w:color="auto"/>
            <w:left w:val="none" w:sz="0" w:space="0" w:color="auto"/>
            <w:bottom w:val="none" w:sz="0" w:space="0" w:color="auto"/>
            <w:right w:val="none" w:sz="0" w:space="0" w:color="auto"/>
          </w:divBdr>
        </w:div>
        <w:div w:id="2028754998">
          <w:marLeft w:val="0"/>
          <w:marRight w:val="0"/>
          <w:marTop w:val="0"/>
          <w:marBottom w:val="0"/>
          <w:divBdr>
            <w:top w:val="none" w:sz="0" w:space="0" w:color="auto"/>
            <w:left w:val="none" w:sz="0" w:space="0" w:color="auto"/>
            <w:bottom w:val="none" w:sz="0" w:space="0" w:color="auto"/>
            <w:right w:val="none" w:sz="0" w:space="0" w:color="auto"/>
          </w:divBdr>
        </w:div>
        <w:div w:id="660695458">
          <w:marLeft w:val="0"/>
          <w:marRight w:val="0"/>
          <w:marTop w:val="0"/>
          <w:marBottom w:val="0"/>
          <w:divBdr>
            <w:top w:val="none" w:sz="0" w:space="0" w:color="auto"/>
            <w:left w:val="none" w:sz="0" w:space="0" w:color="auto"/>
            <w:bottom w:val="none" w:sz="0" w:space="0" w:color="auto"/>
            <w:right w:val="none" w:sz="0" w:space="0" w:color="auto"/>
          </w:divBdr>
        </w:div>
        <w:div w:id="93746999">
          <w:marLeft w:val="0"/>
          <w:marRight w:val="0"/>
          <w:marTop w:val="0"/>
          <w:marBottom w:val="0"/>
          <w:divBdr>
            <w:top w:val="none" w:sz="0" w:space="0" w:color="auto"/>
            <w:left w:val="none" w:sz="0" w:space="0" w:color="auto"/>
            <w:bottom w:val="none" w:sz="0" w:space="0" w:color="auto"/>
            <w:right w:val="none" w:sz="0" w:space="0" w:color="auto"/>
          </w:divBdr>
        </w:div>
        <w:div w:id="672727123">
          <w:marLeft w:val="0"/>
          <w:marRight w:val="0"/>
          <w:marTop w:val="0"/>
          <w:marBottom w:val="0"/>
          <w:divBdr>
            <w:top w:val="none" w:sz="0" w:space="0" w:color="auto"/>
            <w:left w:val="none" w:sz="0" w:space="0" w:color="auto"/>
            <w:bottom w:val="none" w:sz="0" w:space="0" w:color="auto"/>
            <w:right w:val="none" w:sz="0" w:space="0" w:color="auto"/>
          </w:divBdr>
        </w:div>
        <w:div w:id="2056658167">
          <w:marLeft w:val="0"/>
          <w:marRight w:val="0"/>
          <w:marTop w:val="0"/>
          <w:marBottom w:val="0"/>
          <w:divBdr>
            <w:top w:val="none" w:sz="0" w:space="0" w:color="auto"/>
            <w:left w:val="none" w:sz="0" w:space="0" w:color="auto"/>
            <w:bottom w:val="none" w:sz="0" w:space="0" w:color="auto"/>
            <w:right w:val="none" w:sz="0" w:space="0" w:color="auto"/>
          </w:divBdr>
        </w:div>
        <w:div w:id="912545519">
          <w:marLeft w:val="0"/>
          <w:marRight w:val="0"/>
          <w:marTop w:val="0"/>
          <w:marBottom w:val="0"/>
          <w:divBdr>
            <w:top w:val="none" w:sz="0" w:space="0" w:color="auto"/>
            <w:left w:val="none" w:sz="0" w:space="0" w:color="auto"/>
            <w:bottom w:val="none" w:sz="0" w:space="0" w:color="auto"/>
            <w:right w:val="none" w:sz="0" w:space="0" w:color="auto"/>
          </w:divBdr>
        </w:div>
        <w:div w:id="894778450">
          <w:marLeft w:val="0"/>
          <w:marRight w:val="0"/>
          <w:marTop w:val="0"/>
          <w:marBottom w:val="0"/>
          <w:divBdr>
            <w:top w:val="none" w:sz="0" w:space="0" w:color="auto"/>
            <w:left w:val="none" w:sz="0" w:space="0" w:color="auto"/>
            <w:bottom w:val="none" w:sz="0" w:space="0" w:color="auto"/>
            <w:right w:val="none" w:sz="0" w:space="0" w:color="auto"/>
          </w:divBdr>
        </w:div>
        <w:div w:id="771976765">
          <w:marLeft w:val="0"/>
          <w:marRight w:val="0"/>
          <w:marTop w:val="0"/>
          <w:marBottom w:val="0"/>
          <w:divBdr>
            <w:top w:val="none" w:sz="0" w:space="0" w:color="auto"/>
            <w:left w:val="none" w:sz="0" w:space="0" w:color="auto"/>
            <w:bottom w:val="none" w:sz="0" w:space="0" w:color="auto"/>
            <w:right w:val="none" w:sz="0" w:space="0" w:color="auto"/>
          </w:divBdr>
        </w:div>
        <w:div w:id="1111163782">
          <w:marLeft w:val="0"/>
          <w:marRight w:val="0"/>
          <w:marTop w:val="0"/>
          <w:marBottom w:val="0"/>
          <w:divBdr>
            <w:top w:val="none" w:sz="0" w:space="0" w:color="auto"/>
            <w:left w:val="none" w:sz="0" w:space="0" w:color="auto"/>
            <w:bottom w:val="none" w:sz="0" w:space="0" w:color="auto"/>
            <w:right w:val="none" w:sz="0" w:space="0" w:color="auto"/>
          </w:divBdr>
        </w:div>
        <w:div w:id="919096071">
          <w:marLeft w:val="0"/>
          <w:marRight w:val="0"/>
          <w:marTop w:val="0"/>
          <w:marBottom w:val="0"/>
          <w:divBdr>
            <w:top w:val="none" w:sz="0" w:space="0" w:color="auto"/>
            <w:left w:val="none" w:sz="0" w:space="0" w:color="auto"/>
            <w:bottom w:val="none" w:sz="0" w:space="0" w:color="auto"/>
            <w:right w:val="none" w:sz="0" w:space="0" w:color="auto"/>
          </w:divBdr>
        </w:div>
        <w:div w:id="1455756597">
          <w:marLeft w:val="0"/>
          <w:marRight w:val="0"/>
          <w:marTop w:val="0"/>
          <w:marBottom w:val="0"/>
          <w:divBdr>
            <w:top w:val="none" w:sz="0" w:space="0" w:color="auto"/>
            <w:left w:val="none" w:sz="0" w:space="0" w:color="auto"/>
            <w:bottom w:val="none" w:sz="0" w:space="0" w:color="auto"/>
            <w:right w:val="none" w:sz="0" w:space="0" w:color="auto"/>
          </w:divBdr>
        </w:div>
        <w:div w:id="624196379">
          <w:marLeft w:val="0"/>
          <w:marRight w:val="0"/>
          <w:marTop w:val="0"/>
          <w:marBottom w:val="0"/>
          <w:divBdr>
            <w:top w:val="none" w:sz="0" w:space="0" w:color="auto"/>
            <w:left w:val="none" w:sz="0" w:space="0" w:color="auto"/>
            <w:bottom w:val="none" w:sz="0" w:space="0" w:color="auto"/>
            <w:right w:val="none" w:sz="0" w:space="0" w:color="auto"/>
          </w:divBdr>
        </w:div>
        <w:div w:id="1488781640">
          <w:marLeft w:val="0"/>
          <w:marRight w:val="0"/>
          <w:marTop w:val="0"/>
          <w:marBottom w:val="0"/>
          <w:divBdr>
            <w:top w:val="none" w:sz="0" w:space="0" w:color="auto"/>
            <w:left w:val="none" w:sz="0" w:space="0" w:color="auto"/>
            <w:bottom w:val="none" w:sz="0" w:space="0" w:color="auto"/>
            <w:right w:val="none" w:sz="0" w:space="0" w:color="auto"/>
          </w:divBdr>
        </w:div>
        <w:div w:id="750078511">
          <w:marLeft w:val="0"/>
          <w:marRight w:val="0"/>
          <w:marTop w:val="0"/>
          <w:marBottom w:val="0"/>
          <w:divBdr>
            <w:top w:val="none" w:sz="0" w:space="0" w:color="auto"/>
            <w:left w:val="none" w:sz="0" w:space="0" w:color="auto"/>
            <w:bottom w:val="none" w:sz="0" w:space="0" w:color="auto"/>
            <w:right w:val="none" w:sz="0" w:space="0" w:color="auto"/>
          </w:divBdr>
        </w:div>
        <w:div w:id="293484093">
          <w:marLeft w:val="0"/>
          <w:marRight w:val="0"/>
          <w:marTop w:val="0"/>
          <w:marBottom w:val="0"/>
          <w:divBdr>
            <w:top w:val="none" w:sz="0" w:space="0" w:color="auto"/>
            <w:left w:val="none" w:sz="0" w:space="0" w:color="auto"/>
            <w:bottom w:val="none" w:sz="0" w:space="0" w:color="auto"/>
            <w:right w:val="none" w:sz="0" w:space="0" w:color="auto"/>
          </w:divBdr>
        </w:div>
        <w:div w:id="1438284970">
          <w:marLeft w:val="0"/>
          <w:marRight w:val="0"/>
          <w:marTop w:val="0"/>
          <w:marBottom w:val="0"/>
          <w:divBdr>
            <w:top w:val="none" w:sz="0" w:space="0" w:color="auto"/>
            <w:left w:val="none" w:sz="0" w:space="0" w:color="auto"/>
            <w:bottom w:val="none" w:sz="0" w:space="0" w:color="auto"/>
            <w:right w:val="none" w:sz="0" w:space="0" w:color="auto"/>
          </w:divBdr>
        </w:div>
        <w:div w:id="797065607">
          <w:marLeft w:val="0"/>
          <w:marRight w:val="0"/>
          <w:marTop w:val="0"/>
          <w:marBottom w:val="0"/>
          <w:divBdr>
            <w:top w:val="none" w:sz="0" w:space="0" w:color="auto"/>
            <w:left w:val="none" w:sz="0" w:space="0" w:color="auto"/>
            <w:bottom w:val="none" w:sz="0" w:space="0" w:color="auto"/>
            <w:right w:val="none" w:sz="0" w:space="0" w:color="auto"/>
          </w:divBdr>
        </w:div>
        <w:div w:id="1674642299">
          <w:marLeft w:val="0"/>
          <w:marRight w:val="0"/>
          <w:marTop w:val="0"/>
          <w:marBottom w:val="0"/>
          <w:divBdr>
            <w:top w:val="none" w:sz="0" w:space="0" w:color="auto"/>
            <w:left w:val="none" w:sz="0" w:space="0" w:color="auto"/>
            <w:bottom w:val="none" w:sz="0" w:space="0" w:color="auto"/>
            <w:right w:val="none" w:sz="0" w:space="0" w:color="auto"/>
          </w:divBdr>
        </w:div>
        <w:div w:id="348525702">
          <w:marLeft w:val="0"/>
          <w:marRight w:val="0"/>
          <w:marTop w:val="0"/>
          <w:marBottom w:val="0"/>
          <w:divBdr>
            <w:top w:val="none" w:sz="0" w:space="0" w:color="auto"/>
            <w:left w:val="none" w:sz="0" w:space="0" w:color="auto"/>
            <w:bottom w:val="none" w:sz="0" w:space="0" w:color="auto"/>
            <w:right w:val="none" w:sz="0" w:space="0" w:color="auto"/>
          </w:divBdr>
        </w:div>
        <w:div w:id="1977687306">
          <w:marLeft w:val="0"/>
          <w:marRight w:val="0"/>
          <w:marTop w:val="0"/>
          <w:marBottom w:val="0"/>
          <w:divBdr>
            <w:top w:val="none" w:sz="0" w:space="0" w:color="auto"/>
            <w:left w:val="none" w:sz="0" w:space="0" w:color="auto"/>
            <w:bottom w:val="none" w:sz="0" w:space="0" w:color="auto"/>
            <w:right w:val="none" w:sz="0" w:space="0" w:color="auto"/>
          </w:divBdr>
        </w:div>
        <w:div w:id="370082600">
          <w:marLeft w:val="0"/>
          <w:marRight w:val="0"/>
          <w:marTop w:val="0"/>
          <w:marBottom w:val="0"/>
          <w:divBdr>
            <w:top w:val="none" w:sz="0" w:space="0" w:color="auto"/>
            <w:left w:val="none" w:sz="0" w:space="0" w:color="auto"/>
            <w:bottom w:val="none" w:sz="0" w:space="0" w:color="auto"/>
            <w:right w:val="none" w:sz="0" w:space="0" w:color="auto"/>
          </w:divBdr>
        </w:div>
        <w:div w:id="310140780">
          <w:marLeft w:val="0"/>
          <w:marRight w:val="0"/>
          <w:marTop w:val="0"/>
          <w:marBottom w:val="0"/>
          <w:divBdr>
            <w:top w:val="none" w:sz="0" w:space="0" w:color="auto"/>
            <w:left w:val="none" w:sz="0" w:space="0" w:color="auto"/>
            <w:bottom w:val="none" w:sz="0" w:space="0" w:color="auto"/>
            <w:right w:val="none" w:sz="0" w:space="0" w:color="auto"/>
          </w:divBdr>
        </w:div>
        <w:div w:id="1764761350">
          <w:marLeft w:val="0"/>
          <w:marRight w:val="0"/>
          <w:marTop w:val="0"/>
          <w:marBottom w:val="0"/>
          <w:divBdr>
            <w:top w:val="none" w:sz="0" w:space="0" w:color="auto"/>
            <w:left w:val="none" w:sz="0" w:space="0" w:color="auto"/>
            <w:bottom w:val="none" w:sz="0" w:space="0" w:color="auto"/>
            <w:right w:val="none" w:sz="0" w:space="0" w:color="auto"/>
          </w:divBdr>
        </w:div>
        <w:div w:id="1244218671">
          <w:marLeft w:val="0"/>
          <w:marRight w:val="0"/>
          <w:marTop w:val="0"/>
          <w:marBottom w:val="0"/>
          <w:divBdr>
            <w:top w:val="none" w:sz="0" w:space="0" w:color="auto"/>
            <w:left w:val="none" w:sz="0" w:space="0" w:color="auto"/>
            <w:bottom w:val="none" w:sz="0" w:space="0" w:color="auto"/>
            <w:right w:val="none" w:sz="0" w:space="0" w:color="auto"/>
          </w:divBdr>
        </w:div>
        <w:div w:id="983772541">
          <w:marLeft w:val="0"/>
          <w:marRight w:val="0"/>
          <w:marTop w:val="0"/>
          <w:marBottom w:val="0"/>
          <w:divBdr>
            <w:top w:val="none" w:sz="0" w:space="0" w:color="auto"/>
            <w:left w:val="none" w:sz="0" w:space="0" w:color="auto"/>
            <w:bottom w:val="none" w:sz="0" w:space="0" w:color="auto"/>
            <w:right w:val="none" w:sz="0" w:space="0" w:color="auto"/>
          </w:divBdr>
        </w:div>
        <w:div w:id="766121698">
          <w:marLeft w:val="0"/>
          <w:marRight w:val="0"/>
          <w:marTop w:val="0"/>
          <w:marBottom w:val="0"/>
          <w:divBdr>
            <w:top w:val="none" w:sz="0" w:space="0" w:color="auto"/>
            <w:left w:val="none" w:sz="0" w:space="0" w:color="auto"/>
            <w:bottom w:val="none" w:sz="0" w:space="0" w:color="auto"/>
            <w:right w:val="none" w:sz="0" w:space="0" w:color="auto"/>
          </w:divBdr>
        </w:div>
        <w:div w:id="1579250239">
          <w:marLeft w:val="0"/>
          <w:marRight w:val="0"/>
          <w:marTop w:val="0"/>
          <w:marBottom w:val="0"/>
          <w:divBdr>
            <w:top w:val="none" w:sz="0" w:space="0" w:color="auto"/>
            <w:left w:val="none" w:sz="0" w:space="0" w:color="auto"/>
            <w:bottom w:val="none" w:sz="0" w:space="0" w:color="auto"/>
            <w:right w:val="none" w:sz="0" w:space="0" w:color="auto"/>
          </w:divBdr>
        </w:div>
        <w:div w:id="391151077">
          <w:marLeft w:val="0"/>
          <w:marRight w:val="0"/>
          <w:marTop w:val="0"/>
          <w:marBottom w:val="0"/>
          <w:divBdr>
            <w:top w:val="none" w:sz="0" w:space="0" w:color="auto"/>
            <w:left w:val="none" w:sz="0" w:space="0" w:color="auto"/>
            <w:bottom w:val="none" w:sz="0" w:space="0" w:color="auto"/>
            <w:right w:val="none" w:sz="0" w:space="0" w:color="auto"/>
          </w:divBdr>
        </w:div>
        <w:div w:id="1654946066">
          <w:marLeft w:val="0"/>
          <w:marRight w:val="0"/>
          <w:marTop w:val="0"/>
          <w:marBottom w:val="0"/>
          <w:divBdr>
            <w:top w:val="none" w:sz="0" w:space="0" w:color="auto"/>
            <w:left w:val="none" w:sz="0" w:space="0" w:color="auto"/>
            <w:bottom w:val="none" w:sz="0" w:space="0" w:color="auto"/>
            <w:right w:val="none" w:sz="0" w:space="0" w:color="auto"/>
          </w:divBdr>
        </w:div>
        <w:div w:id="1693147130">
          <w:marLeft w:val="0"/>
          <w:marRight w:val="0"/>
          <w:marTop w:val="0"/>
          <w:marBottom w:val="0"/>
          <w:divBdr>
            <w:top w:val="none" w:sz="0" w:space="0" w:color="auto"/>
            <w:left w:val="none" w:sz="0" w:space="0" w:color="auto"/>
            <w:bottom w:val="none" w:sz="0" w:space="0" w:color="auto"/>
            <w:right w:val="none" w:sz="0" w:space="0" w:color="auto"/>
          </w:divBdr>
        </w:div>
        <w:div w:id="415903815">
          <w:marLeft w:val="0"/>
          <w:marRight w:val="0"/>
          <w:marTop w:val="0"/>
          <w:marBottom w:val="0"/>
          <w:divBdr>
            <w:top w:val="none" w:sz="0" w:space="0" w:color="auto"/>
            <w:left w:val="none" w:sz="0" w:space="0" w:color="auto"/>
            <w:bottom w:val="none" w:sz="0" w:space="0" w:color="auto"/>
            <w:right w:val="none" w:sz="0" w:space="0" w:color="auto"/>
          </w:divBdr>
        </w:div>
        <w:div w:id="780611246">
          <w:marLeft w:val="0"/>
          <w:marRight w:val="0"/>
          <w:marTop w:val="0"/>
          <w:marBottom w:val="0"/>
          <w:divBdr>
            <w:top w:val="none" w:sz="0" w:space="0" w:color="auto"/>
            <w:left w:val="none" w:sz="0" w:space="0" w:color="auto"/>
            <w:bottom w:val="none" w:sz="0" w:space="0" w:color="auto"/>
            <w:right w:val="none" w:sz="0" w:space="0" w:color="auto"/>
          </w:divBdr>
        </w:div>
        <w:div w:id="1834837660">
          <w:marLeft w:val="0"/>
          <w:marRight w:val="0"/>
          <w:marTop w:val="0"/>
          <w:marBottom w:val="0"/>
          <w:divBdr>
            <w:top w:val="none" w:sz="0" w:space="0" w:color="auto"/>
            <w:left w:val="none" w:sz="0" w:space="0" w:color="auto"/>
            <w:bottom w:val="none" w:sz="0" w:space="0" w:color="auto"/>
            <w:right w:val="none" w:sz="0" w:space="0" w:color="auto"/>
          </w:divBdr>
        </w:div>
        <w:div w:id="269046847">
          <w:marLeft w:val="0"/>
          <w:marRight w:val="0"/>
          <w:marTop w:val="0"/>
          <w:marBottom w:val="0"/>
          <w:divBdr>
            <w:top w:val="none" w:sz="0" w:space="0" w:color="auto"/>
            <w:left w:val="none" w:sz="0" w:space="0" w:color="auto"/>
            <w:bottom w:val="none" w:sz="0" w:space="0" w:color="auto"/>
            <w:right w:val="none" w:sz="0" w:space="0" w:color="auto"/>
          </w:divBdr>
        </w:div>
        <w:div w:id="549221566">
          <w:marLeft w:val="0"/>
          <w:marRight w:val="0"/>
          <w:marTop w:val="0"/>
          <w:marBottom w:val="0"/>
          <w:divBdr>
            <w:top w:val="none" w:sz="0" w:space="0" w:color="auto"/>
            <w:left w:val="none" w:sz="0" w:space="0" w:color="auto"/>
            <w:bottom w:val="none" w:sz="0" w:space="0" w:color="auto"/>
            <w:right w:val="none" w:sz="0" w:space="0" w:color="auto"/>
          </w:divBdr>
        </w:div>
        <w:div w:id="1410732780">
          <w:marLeft w:val="0"/>
          <w:marRight w:val="0"/>
          <w:marTop w:val="0"/>
          <w:marBottom w:val="0"/>
          <w:divBdr>
            <w:top w:val="none" w:sz="0" w:space="0" w:color="auto"/>
            <w:left w:val="none" w:sz="0" w:space="0" w:color="auto"/>
            <w:bottom w:val="none" w:sz="0" w:space="0" w:color="auto"/>
            <w:right w:val="none" w:sz="0" w:space="0" w:color="auto"/>
          </w:divBdr>
        </w:div>
        <w:div w:id="18748361">
          <w:marLeft w:val="0"/>
          <w:marRight w:val="0"/>
          <w:marTop w:val="0"/>
          <w:marBottom w:val="0"/>
          <w:divBdr>
            <w:top w:val="none" w:sz="0" w:space="0" w:color="auto"/>
            <w:left w:val="none" w:sz="0" w:space="0" w:color="auto"/>
            <w:bottom w:val="none" w:sz="0" w:space="0" w:color="auto"/>
            <w:right w:val="none" w:sz="0" w:space="0" w:color="auto"/>
          </w:divBdr>
        </w:div>
        <w:div w:id="355692028">
          <w:marLeft w:val="0"/>
          <w:marRight w:val="0"/>
          <w:marTop w:val="0"/>
          <w:marBottom w:val="0"/>
          <w:divBdr>
            <w:top w:val="none" w:sz="0" w:space="0" w:color="auto"/>
            <w:left w:val="none" w:sz="0" w:space="0" w:color="auto"/>
            <w:bottom w:val="none" w:sz="0" w:space="0" w:color="auto"/>
            <w:right w:val="none" w:sz="0" w:space="0" w:color="auto"/>
          </w:divBdr>
        </w:div>
        <w:div w:id="167526319">
          <w:marLeft w:val="0"/>
          <w:marRight w:val="0"/>
          <w:marTop w:val="0"/>
          <w:marBottom w:val="0"/>
          <w:divBdr>
            <w:top w:val="none" w:sz="0" w:space="0" w:color="auto"/>
            <w:left w:val="none" w:sz="0" w:space="0" w:color="auto"/>
            <w:bottom w:val="none" w:sz="0" w:space="0" w:color="auto"/>
            <w:right w:val="none" w:sz="0" w:space="0" w:color="auto"/>
          </w:divBdr>
        </w:div>
        <w:div w:id="950551294">
          <w:marLeft w:val="0"/>
          <w:marRight w:val="0"/>
          <w:marTop w:val="0"/>
          <w:marBottom w:val="0"/>
          <w:divBdr>
            <w:top w:val="none" w:sz="0" w:space="0" w:color="auto"/>
            <w:left w:val="none" w:sz="0" w:space="0" w:color="auto"/>
            <w:bottom w:val="none" w:sz="0" w:space="0" w:color="auto"/>
            <w:right w:val="none" w:sz="0" w:space="0" w:color="auto"/>
          </w:divBdr>
        </w:div>
        <w:div w:id="789936195">
          <w:marLeft w:val="0"/>
          <w:marRight w:val="0"/>
          <w:marTop w:val="0"/>
          <w:marBottom w:val="0"/>
          <w:divBdr>
            <w:top w:val="none" w:sz="0" w:space="0" w:color="auto"/>
            <w:left w:val="none" w:sz="0" w:space="0" w:color="auto"/>
            <w:bottom w:val="none" w:sz="0" w:space="0" w:color="auto"/>
            <w:right w:val="none" w:sz="0" w:space="0" w:color="auto"/>
          </w:divBdr>
        </w:div>
        <w:div w:id="1065764196">
          <w:marLeft w:val="0"/>
          <w:marRight w:val="0"/>
          <w:marTop w:val="0"/>
          <w:marBottom w:val="0"/>
          <w:divBdr>
            <w:top w:val="none" w:sz="0" w:space="0" w:color="auto"/>
            <w:left w:val="none" w:sz="0" w:space="0" w:color="auto"/>
            <w:bottom w:val="none" w:sz="0" w:space="0" w:color="auto"/>
            <w:right w:val="none" w:sz="0" w:space="0" w:color="auto"/>
          </w:divBdr>
        </w:div>
        <w:div w:id="880246745">
          <w:marLeft w:val="0"/>
          <w:marRight w:val="0"/>
          <w:marTop w:val="0"/>
          <w:marBottom w:val="0"/>
          <w:divBdr>
            <w:top w:val="none" w:sz="0" w:space="0" w:color="auto"/>
            <w:left w:val="none" w:sz="0" w:space="0" w:color="auto"/>
            <w:bottom w:val="none" w:sz="0" w:space="0" w:color="auto"/>
            <w:right w:val="none" w:sz="0" w:space="0" w:color="auto"/>
          </w:divBdr>
        </w:div>
        <w:div w:id="1474904800">
          <w:marLeft w:val="0"/>
          <w:marRight w:val="0"/>
          <w:marTop w:val="0"/>
          <w:marBottom w:val="0"/>
          <w:divBdr>
            <w:top w:val="none" w:sz="0" w:space="0" w:color="auto"/>
            <w:left w:val="none" w:sz="0" w:space="0" w:color="auto"/>
            <w:bottom w:val="none" w:sz="0" w:space="0" w:color="auto"/>
            <w:right w:val="none" w:sz="0" w:space="0" w:color="auto"/>
          </w:divBdr>
        </w:div>
        <w:div w:id="591469323">
          <w:marLeft w:val="0"/>
          <w:marRight w:val="0"/>
          <w:marTop w:val="0"/>
          <w:marBottom w:val="0"/>
          <w:divBdr>
            <w:top w:val="none" w:sz="0" w:space="0" w:color="auto"/>
            <w:left w:val="none" w:sz="0" w:space="0" w:color="auto"/>
            <w:bottom w:val="none" w:sz="0" w:space="0" w:color="auto"/>
            <w:right w:val="none" w:sz="0" w:space="0" w:color="auto"/>
          </w:divBdr>
        </w:div>
        <w:div w:id="1923761708">
          <w:marLeft w:val="0"/>
          <w:marRight w:val="0"/>
          <w:marTop w:val="0"/>
          <w:marBottom w:val="0"/>
          <w:divBdr>
            <w:top w:val="none" w:sz="0" w:space="0" w:color="auto"/>
            <w:left w:val="none" w:sz="0" w:space="0" w:color="auto"/>
            <w:bottom w:val="none" w:sz="0" w:space="0" w:color="auto"/>
            <w:right w:val="none" w:sz="0" w:space="0" w:color="auto"/>
          </w:divBdr>
        </w:div>
        <w:div w:id="370150950">
          <w:marLeft w:val="0"/>
          <w:marRight w:val="0"/>
          <w:marTop w:val="0"/>
          <w:marBottom w:val="0"/>
          <w:divBdr>
            <w:top w:val="none" w:sz="0" w:space="0" w:color="auto"/>
            <w:left w:val="none" w:sz="0" w:space="0" w:color="auto"/>
            <w:bottom w:val="none" w:sz="0" w:space="0" w:color="auto"/>
            <w:right w:val="none" w:sz="0" w:space="0" w:color="auto"/>
          </w:divBdr>
        </w:div>
        <w:div w:id="1173297273">
          <w:marLeft w:val="0"/>
          <w:marRight w:val="0"/>
          <w:marTop w:val="0"/>
          <w:marBottom w:val="0"/>
          <w:divBdr>
            <w:top w:val="none" w:sz="0" w:space="0" w:color="auto"/>
            <w:left w:val="none" w:sz="0" w:space="0" w:color="auto"/>
            <w:bottom w:val="none" w:sz="0" w:space="0" w:color="auto"/>
            <w:right w:val="none" w:sz="0" w:space="0" w:color="auto"/>
          </w:divBdr>
        </w:div>
        <w:div w:id="1570842215">
          <w:marLeft w:val="0"/>
          <w:marRight w:val="0"/>
          <w:marTop w:val="0"/>
          <w:marBottom w:val="0"/>
          <w:divBdr>
            <w:top w:val="none" w:sz="0" w:space="0" w:color="auto"/>
            <w:left w:val="none" w:sz="0" w:space="0" w:color="auto"/>
            <w:bottom w:val="none" w:sz="0" w:space="0" w:color="auto"/>
            <w:right w:val="none" w:sz="0" w:space="0" w:color="auto"/>
          </w:divBdr>
        </w:div>
        <w:div w:id="1272736505">
          <w:marLeft w:val="0"/>
          <w:marRight w:val="0"/>
          <w:marTop w:val="0"/>
          <w:marBottom w:val="0"/>
          <w:divBdr>
            <w:top w:val="none" w:sz="0" w:space="0" w:color="auto"/>
            <w:left w:val="none" w:sz="0" w:space="0" w:color="auto"/>
            <w:bottom w:val="none" w:sz="0" w:space="0" w:color="auto"/>
            <w:right w:val="none" w:sz="0" w:space="0" w:color="auto"/>
          </w:divBdr>
        </w:div>
        <w:div w:id="1998653612">
          <w:marLeft w:val="0"/>
          <w:marRight w:val="0"/>
          <w:marTop w:val="0"/>
          <w:marBottom w:val="0"/>
          <w:divBdr>
            <w:top w:val="none" w:sz="0" w:space="0" w:color="auto"/>
            <w:left w:val="none" w:sz="0" w:space="0" w:color="auto"/>
            <w:bottom w:val="none" w:sz="0" w:space="0" w:color="auto"/>
            <w:right w:val="none" w:sz="0" w:space="0" w:color="auto"/>
          </w:divBdr>
        </w:div>
        <w:div w:id="962686283">
          <w:marLeft w:val="0"/>
          <w:marRight w:val="0"/>
          <w:marTop w:val="0"/>
          <w:marBottom w:val="0"/>
          <w:divBdr>
            <w:top w:val="none" w:sz="0" w:space="0" w:color="auto"/>
            <w:left w:val="none" w:sz="0" w:space="0" w:color="auto"/>
            <w:bottom w:val="none" w:sz="0" w:space="0" w:color="auto"/>
            <w:right w:val="none" w:sz="0" w:space="0" w:color="auto"/>
          </w:divBdr>
        </w:div>
        <w:div w:id="29693824">
          <w:marLeft w:val="0"/>
          <w:marRight w:val="0"/>
          <w:marTop w:val="0"/>
          <w:marBottom w:val="0"/>
          <w:divBdr>
            <w:top w:val="none" w:sz="0" w:space="0" w:color="auto"/>
            <w:left w:val="none" w:sz="0" w:space="0" w:color="auto"/>
            <w:bottom w:val="none" w:sz="0" w:space="0" w:color="auto"/>
            <w:right w:val="none" w:sz="0" w:space="0" w:color="auto"/>
          </w:divBdr>
        </w:div>
        <w:div w:id="404961080">
          <w:marLeft w:val="0"/>
          <w:marRight w:val="0"/>
          <w:marTop w:val="0"/>
          <w:marBottom w:val="0"/>
          <w:divBdr>
            <w:top w:val="none" w:sz="0" w:space="0" w:color="auto"/>
            <w:left w:val="none" w:sz="0" w:space="0" w:color="auto"/>
            <w:bottom w:val="none" w:sz="0" w:space="0" w:color="auto"/>
            <w:right w:val="none" w:sz="0" w:space="0" w:color="auto"/>
          </w:divBdr>
        </w:div>
        <w:div w:id="2121485141">
          <w:marLeft w:val="0"/>
          <w:marRight w:val="0"/>
          <w:marTop w:val="0"/>
          <w:marBottom w:val="0"/>
          <w:divBdr>
            <w:top w:val="none" w:sz="0" w:space="0" w:color="auto"/>
            <w:left w:val="none" w:sz="0" w:space="0" w:color="auto"/>
            <w:bottom w:val="none" w:sz="0" w:space="0" w:color="auto"/>
            <w:right w:val="none" w:sz="0" w:space="0" w:color="auto"/>
          </w:divBdr>
        </w:div>
        <w:div w:id="183594960">
          <w:marLeft w:val="0"/>
          <w:marRight w:val="0"/>
          <w:marTop w:val="0"/>
          <w:marBottom w:val="0"/>
          <w:divBdr>
            <w:top w:val="none" w:sz="0" w:space="0" w:color="auto"/>
            <w:left w:val="none" w:sz="0" w:space="0" w:color="auto"/>
            <w:bottom w:val="none" w:sz="0" w:space="0" w:color="auto"/>
            <w:right w:val="none" w:sz="0" w:space="0" w:color="auto"/>
          </w:divBdr>
        </w:div>
        <w:div w:id="582959464">
          <w:marLeft w:val="0"/>
          <w:marRight w:val="0"/>
          <w:marTop w:val="0"/>
          <w:marBottom w:val="0"/>
          <w:divBdr>
            <w:top w:val="none" w:sz="0" w:space="0" w:color="auto"/>
            <w:left w:val="none" w:sz="0" w:space="0" w:color="auto"/>
            <w:bottom w:val="none" w:sz="0" w:space="0" w:color="auto"/>
            <w:right w:val="none" w:sz="0" w:space="0" w:color="auto"/>
          </w:divBdr>
        </w:div>
        <w:div w:id="1603681100">
          <w:marLeft w:val="0"/>
          <w:marRight w:val="0"/>
          <w:marTop w:val="0"/>
          <w:marBottom w:val="0"/>
          <w:divBdr>
            <w:top w:val="none" w:sz="0" w:space="0" w:color="auto"/>
            <w:left w:val="none" w:sz="0" w:space="0" w:color="auto"/>
            <w:bottom w:val="none" w:sz="0" w:space="0" w:color="auto"/>
            <w:right w:val="none" w:sz="0" w:space="0" w:color="auto"/>
          </w:divBdr>
        </w:div>
        <w:div w:id="1695304459">
          <w:marLeft w:val="0"/>
          <w:marRight w:val="0"/>
          <w:marTop w:val="0"/>
          <w:marBottom w:val="0"/>
          <w:divBdr>
            <w:top w:val="none" w:sz="0" w:space="0" w:color="auto"/>
            <w:left w:val="none" w:sz="0" w:space="0" w:color="auto"/>
            <w:bottom w:val="none" w:sz="0" w:space="0" w:color="auto"/>
            <w:right w:val="none" w:sz="0" w:space="0" w:color="auto"/>
          </w:divBdr>
        </w:div>
        <w:div w:id="180634557">
          <w:marLeft w:val="0"/>
          <w:marRight w:val="0"/>
          <w:marTop w:val="0"/>
          <w:marBottom w:val="0"/>
          <w:divBdr>
            <w:top w:val="none" w:sz="0" w:space="0" w:color="auto"/>
            <w:left w:val="none" w:sz="0" w:space="0" w:color="auto"/>
            <w:bottom w:val="none" w:sz="0" w:space="0" w:color="auto"/>
            <w:right w:val="none" w:sz="0" w:space="0" w:color="auto"/>
          </w:divBdr>
        </w:div>
        <w:div w:id="882640176">
          <w:marLeft w:val="0"/>
          <w:marRight w:val="0"/>
          <w:marTop w:val="0"/>
          <w:marBottom w:val="0"/>
          <w:divBdr>
            <w:top w:val="none" w:sz="0" w:space="0" w:color="auto"/>
            <w:left w:val="none" w:sz="0" w:space="0" w:color="auto"/>
            <w:bottom w:val="none" w:sz="0" w:space="0" w:color="auto"/>
            <w:right w:val="none" w:sz="0" w:space="0" w:color="auto"/>
          </w:divBdr>
        </w:div>
        <w:div w:id="2066180757">
          <w:marLeft w:val="0"/>
          <w:marRight w:val="0"/>
          <w:marTop w:val="0"/>
          <w:marBottom w:val="0"/>
          <w:divBdr>
            <w:top w:val="none" w:sz="0" w:space="0" w:color="auto"/>
            <w:left w:val="none" w:sz="0" w:space="0" w:color="auto"/>
            <w:bottom w:val="none" w:sz="0" w:space="0" w:color="auto"/>
            <w:right w:val="none" w:sz="0" w:space="0" w:color="auto"/>
          </w:divBdr>
        </w:div>
        <w:div w:id="2047411627">
          <w:marLeft w:val="0"/>
          <w:marRight w:val="0"/>
          <w:marTop w:val="0"/>
          <w:marBottom w:val="0"/>
          <w:divBdr>
            <w:top w:val="none" w:sz="0" w:space="0" w:color="auto"/>
            <w:left w:val="none" w:sz="0" w:space="0" w:color="auto"/>
            <w:bottom w:val="none" w:sz="0" w:space="0" w:color="auto"/>
            <w:right w:val="none" w:sz="0" w:space="0" w:color="auto"/>
          </w:divBdr>
        </w:div>
        <w:div w:id="160051291">
          <w:marLeft w:val="0"/>
          <w:marRight w:val="0"/>
          <w:marTop w:val="0"/>
          <w:marBottom w:val="0"/>
          <w:divBdr>
            <w:top w:val="none" w:sz="0" w:space="0" w:color="auto"/>
            <w:left w:val="none" w:sz="0" w:space="0" w:color="auto"/>
            <w:bottom w:val="none" w:sz="0" w:space="0" w:color="auto"/>
            <w:right w:val="none" w:sz="0" w:space="0" w:color="auto"/>
          </w:divBdr>
        </w:div>
        <w:div w:id="706834929">
          <w:marLeft w:val="0"/>
          <w:marRight w:val="0"/>
          <w:marTop w:val="0"/>
          <w:marBottom w:val="0"/>
          <w:divBdr>
            <w:top w:val="none" w:sz="0" w:space="0" w:color="auto"/>
            <w:left w:val="none" w:sz="0" w:space="0" w:color="auto"/>
            <w:bottom w:val="none" w:sz="0" w:space="0" w:color="auto"/>
            <w:right w:val="none" w:sz="0" w:space="0" w:color="auto"/>
          </w:divBdr>
        </w:div>
        <w:div w:id="1220357096">
          <w:marLeft w:val="0"/>
          <w:marRight w:val="0"/>
          <w:marTop w:val="0"/>
          <w:marBottom w:val="0"/>
          <w:divBdr>
            <w:top w:val="none" w:sz="0" w:space="0" w:color="auto"/>
            <w:left w:val="none" w:sz="0" w:space="0" w:color="auto"/>
            <w:bottom w:val="none" w:sz="0" w:space="0" w:color="auto"/>
            <w:right w:val="none" w:sz="0" w:space="0" w:color="auto"/>
          </w:divBdr>
        </w:div>
        <w:div w:id="1887988459">
          <w:marLeft w:val="0"/>
          <w:marRight w:val="0"/>
          <w:marTop w:val="0"/>
          <w:marBottom w:val="0"/>
          <w:divBdr>
            <w:top w:val="none" w:sz="0" w:space="0" w:color="auto"/>
            <w:left w:val="none" w:sz="0" w:space="0" w:color="auto"/>
            <w:bottom w:val="none" w:sz="0" w:space="0" w:color="auto"/>
            <w:right w:val="none" w:sz="0" w:space="0" w:color="auto"/>
          </w:divBdr>
        </w:div>
        <w:div w:id="1332104634">
          <w:marLeft w:val="0"/>
          <w:marRight w:val="0"/>
          <w:marTop w:val="0"/>
          <w:marBottom w:val="0"/>
          <w:divBdr>
            <w:top w:val="none" w:sz="0" w:space="0" w:color="auto"/>
            <w:left w:val="none" w:sz="0" w:space="0" w:color="auto"/>
            <w:bottom w:val="none" w:sz="0" w:space="0" w:color="auto"/>
            <w:right w:val="none" w:sz="0" w:space="0" w:color="auto"/>
          </w:divBdr>
        </w:div>
        <w:div w:id="137036274">
          <w:marLeft w:val="0"/>
          <w:marRight w:val="0"/>
          <w:marTop w:val="0"/>
          <w:marBottom w:val="0"/>
          <w:divBdr>
            <w:top w:val="none" w:sz="0" w:space="0" w:color="auto"/>
            <w:left w:val="none" w:sz="0" w:space="0" w:color="auto"/>
            <w:bottom w:val="none" w:sz="0" w:space="0" w:color="auto"/>
            <w:right w:val="none" w:sz="0" w:space="0" w:color="auto"/>
          </w:divBdr>
        </w:div>
        <w:div w:id="462432778">
          <w:marLeft w:val="0"/>
          <w:marRight w:val="0"/>
          <w:marTop w:val="0"/>
          <w:marBottom w:val="0"/>
          <w:divBdr>
            <w:top w:val="none" w:sz="0" w:space="0" w:color="auto"/>
            <w:left w:val="none" w:sz="0" w:space="0" w:color="auto"/>
            <w:bottom w:val="none" w:sz="0" w:space="0" w:color="auto"/>
            <w:right w:val="none" w:sz="0" w:space="0" w:color="auto"/>
          </w:divBdr>
        </w:div>
        <w:div w:id="1171410841">
          <w:marLeft w:val="0"/>
          <w:marRight w:val="0"/>
          <w:marTop w:val="0"/>
          <w:marBottom w:val="0"/>
          <w:divBdr>
            <w:top w:val="none" w:sz="0" w:space="0" w:color="auto"/>
            <w:left w:val="none" w:sz="0" w:space="0" w:color="auto"/>
            <w:bottom w:val="none" w:sz="0" w:space="0" w:color="auto"/>
            <w:right w:val="none" w:sz="0" w:space="0" w:color="auto"/>
          </w:divBdr>
        </w:div>
        <w:div w:id="947197629">
          <w:marLeft w:val="0"/>
          <w:marRight w:val="0"/>
          <w:marTop w:val="0"/>
          <w:marBottom w:val="0"/>
          <w:divBdr>
            <w:top w:val="none" w:sz="0" w:space="0" w:color="auto"/>
            <w:left w:val="none" w:sz="0" w:space="0" w:color="auto"/>
            <w:bottom w:val="none" w:sz="0" w:space="0" w:color="auto"/>
            <w:right w:val="none" w:sz="0" w:space="0" w:color="auto"/>
          </w:divBdr>
        </w:div>
        <w:div w:id="1404253779">
          <w:marLeft w:val="0"/>
          <w:marRight w:val="0"/>
          <w:marTop w:val="0"/>
          <w:marBottom w:val="0"/>
          <w:divBdr>
            <w:top w:val="none" w:sz="0" w:space="0" w:color="auto"/>
            <w:left w:val="none" w:sz="0" w:space="0" w:color="auto"/>
            <w:bottom w:val="none" w:sz="0" w:space="0" w:color="auto"/>
            <w:right w:val="none" w:sz="0" w:space="0" w:color="auto"/>
          </w:divBdr>
        </w:div>
        <w:div w:id="890925488">
          <w:marLeft w:val="0"/>
          <w:marRight w:val="0"/>
          <w:marTop w:val="0"/>
          <w:marBottom w:val="0"/>
          <w:divBdr>
            <w:top w:val="none" w:sz="0" w:space="0" w:color="auto"/>
            <w:left w:val="none" w:sz="0" w:space="0" w:color="auto"/>
            <w:bottom w:val="none" w:sz="0" w:space="0" w:color="auto"/>
            <w:right w:val="none" w:sz="0" w:space="0" w:color="auto"/>
          </w:divBdr>
        </w:div>
        <w:div w:id="335421313">
          <w:marLeft w:val="0"/>
          <w:marRight w:val="0"/>
          <w:marTop w:val="0"/>
          <w:marBottom w:val="0"/>
          <w:divBdr>
            <w:top w:val="none" w:sz="0" w:space="0" w:color="auto"/>
            <w:left w:val="none" w:sz="0" w:space="0" w:color="auto"/>
            <w:bottom w:val="none" w:sz="0" w:space="0" w:color="auto"/>
            <w:right w:val="none" w:sz="0" w:space="0" w:color="auto"/>
          </w:divBdr>
        </w:div>
        <w:div w:id="877737792">
          <w:marLeft w:val="0"/>
          <w:marRight w:val="0"/>
          <w:marTop w:val="0"/>
          <w:marBottom w:val="0"/>
          <w:divBdr>
            <w:top w:val="none" w:sz="0" w:space="0" w:color="auto"/>
            <w:left w:val="none" w:sz="0" w:space="0" w:color="auto"/>
            <w:bottom w:val="none" w:sz="0" w:space="0" w:color="auto"/>
            <w:right w:val="none" w:sz="0" w:space="0" w:color="auto"/>
          </w:divBdr>
        </w:div>
        <w:div w:id="869994346">
          <w:marLeft w:val="0"/>
          <w:marRight w:val="0"/>
          <w:marTop w:val="0"/>
          <w:marBottom w:val="0"/>
          <w:divBdr>
            <w:top w:val="none" w:sz="0" w:space="0" w:color="auto"/>
            <w:left w:val="none" w:sz="0" w:space="0" w:color="auto"/>
            <w:bottom w:val="none" w:sz="0" w:space="0" w:color="auto"/>
            <w:right w:val="none" w:sz="0" w:space="0" w:color="auto"/>
          </w:divBdr>
        </w:div>
        <w:div w:id="1899196670">
          <w:marLeft w:val="0"/>
          <w:marRight w:val="0"/>
          <w:marTop w:val="0"/>
          <w:marBottom w:val="0"/>
          <w:divBdr>
            <w:top w:val="none" w:sz="0" w:space="0" w:color="auto"/>
            <w:left w:val="none" w:sz="0" w:space="0" w:color="auto"/>
            <w:bottom w:val="none" w:sz="0" w:space="0" w:color="auto"/>
            <w:right w:val="none" w:sz="0" w:space="0" w:color="auto"/>
          </w:divBdr>
        </w:div>
        <w:div w:id="1877236339">
          <w:marLeft w:val="0"/>
          <w:marRight w:val="0"/>
          <w:marTop w:val="0"/>
          <w:marBottom w:val="0"/>
          <w:divBdr>
            <w:top w:val="none" w:sz="0" w:space="0" w:color="auto"/>
            <w:left w:val="none" w:sz="0" w:space="0" w:color="auto"/>
            <w:bottom w:val="none" w:sz="0" w:space="0" w:color="auto"/>
            <w:right w:val="none" w:sz="0" w:space="0" w:color="auto"/>
          </w:divBdr>
        </w:div>
        <w:div w:id="500586190">
          <w:marLeft w:val="0"/>
          <w:marRight w:val="0"/>
          <w:marTop w:val="0"/>
          <w:marBottom w:val="0"/>
          <w:divBdr>
            <w:top w:val="none" w:sz="0" w:space="0" w:color="auto"/>
            <w:left w:val="none" w:sz="0" w:space="0" w:color="auto"/>
            <w:bottom w:val="none" w:sz="0" w:space="0" w:color="auto"/>
            <w:right w:val="none" w:sz="0" w:space="0" w:color="auto"/>
          </w:divBdr>
        </w:div>
        <w:div w:id="921377880">
          <w:marLeft w:val="0"/>
          <w:marRight w:val="0"/>
          <w:marTop w:val="0"/>
          <w:marBottom w:val="0"/>
          <w:divBdr>
            <w:top w:val="none" w:sz="0" w:space="0" w:color="auto"/>
            <w:left w:val="none" w:sz="0" w:space="0" w:color="auto"/>
            <w:bottom w:val="none" w:sz="0" w:space="0" w:color="auto"/>
            <w:right w:val="none" w:sz="0" w:space="0" w:color="auto"/>
          </w:divBdr>
        </w:div>
        <w:div w:id="1793136056">
          <w:marLeft w:val="0"/>
          <w:marRight w:val="0"/>
          <w:marTop w:val="0"/>
          <w:marBottom w:val="0"/>
          <w:divBdr>
            <w:top w:val="none" w:sz="0" w:space="0" w:color="auto"/>
            <w:left w:val="none" w:sz="0" w:space="0" w:color="auto"/>
            <w:bottom w:val="none" w:sz="0" w:space="0" w:color="auto"/>
            <w:right w:val="none" w:sz="0" w:space="0" w:color="auto"/>
          </w:divBdr>
        </w:div>
        <w:div w:id="1217469334">
          <w:marLeft w:val="0"/>
          <w:marRight w:val="0"/>
          <w:marTop w:val="0"/>
          <w:marBottom w:val="0"/>
          <w:divBdr>
            <w:top w:val="none" w:sz="0" w:space="0" w:color="auto"/>
            <w:left w:val="none" w:sz="0" w:space="0" w:color="auto"/>
            <w:bottom w:val="none" w:sz="0" w:space="0" w:color="auto"/>
            <w:right w:val="none" w:sz="0" w:space="0" w:color="auto"/>
          </w:divBdr>
        </w:div>
        <w:div w:id="1610776261">
          <w:marLeft w:val="0"/>
          <w:marRight w:val="0"/>
          <w:marTop w:val="0"/>
          <w:marBottom w:val="0"/>
          <w:divBdr>
            <w:top w:val="none" w:sz="0" w:space="0" w:color="auto"/>
            <w:left w:val="none" w:sz="0" w:space="0" w:color="auto"/>
            <w:bottom w:val="none" w:sz="0" w:space="0" w:color="auto"/>
            <w:right w:val="none" w:sz="0" w:space="0" w:color="auto"/>
          </w:divBdr>
        </w:div>
        <w:div w:id="1894850728">
          <w:marLeft w:val="0"/>
          <w:marRight w:val="0"/>
          <w:marTop w:val="0"/>
          <w:marBottom w:val="0"/>
          <w:divBdr>
            <w:top w:val="none" w:sz="0" w:space="0" w:color="auto"/>
            <w:left w:val="none" w:sz="0" w:space="0" w:color="auto"/>
            <w:bottom w:val="none" w:sz="0" w:space="0" w:color="auto"/>
            <w:right w:val="none" w:sz="0" w:space="0" w:color="auto"/>
          </w:divBdr>
        </w:div>
        <w:div w:id="1286428231">
          <w:marLeft w:val="0"/>
          <w:marRight w:val="0"/>
          <w:marTop w:val="0"/>
          <w:marBottom w:val="0"/>
          <w:divBdr>
            <w:top w:val="none" w:sz="0" w:space="0" w:color="auto"/>
            <w:left w:val="none" w:sz="0" w:space="0" w:color="auto"/>
            <w:bottom w:val="none" w:sz="0" w:space="0" w:color="auto"/>
            <w:right w:val="none" w:sz="0" w:space="0" w:color="auto"/>
          </w:divBdr>
        </w:div>
        <w:div w:id="2049061725">
          <w:marLeft w:val="0"/>
          <w:marRight w:val="0"/>
          <w:marTop w:val="0"/>
          <w:marBottom w:val="0"/>
          <w:divBdr>
            <w:top w:val="none" w:sz="0" w:space="0" w:color="auto"/>
            <w:left w:val="none" w:sz="0" w:space="0" w:color="auto"/>
            <w:bottom w:val="none" w:sz="0" w:space="0" w:color="auto"/>
            <w:right w:val="none" w:sz="0" w:space="0" w:color="auto"/>
          </w:divBdr>
        </w:div>
        <w:div w:id="386610846">
          <w:marLeft w:val="0"/>
          <w:marRight w:val="0"/>
          <w:marTop w:val="0"/>
          <w:marBottom w:val="0"/>
          <w:divBdr>
            <w:top w:val="none" w:sz="0" w:space="0" w:color="auto"/>
            <w:left w:val="none" w:sz="0" w:space="0" w:color="auto"/>
            <w:bottom w:val="none" w:sz="0" w:space="0" w:color="auto"/>
            <w:right w:val="none" w:sz="0" w:space="0" w:color="auto"/>
          </w:divBdr>
        </w:div>
        <w:div w:id="1825390279">
          <w:marLeft w:val="0"/>
          <w:marRight w:val="0"/>
          <w:marTop w:val="0"/>
          <w:marBottom w:val="0"/>
          <w:divBdr>
            <w:top w:val="none" w:sz="0" w:space="0" w:color="auto"/>
            <w:left w:val="none" w:sz="0" w:space="0" w:color="auto"/>
            <w:bottom w:val="none" w:sz="0" w:space="0" w:color="auto"/>
            <w:right w:val="none" w:sz="0" w:space="0" w:color="auto"/>
          </w:divBdr>
        </w:div>
        <w:div w:id="2107846891">
          <w:marLeft w:val="0"/>
          <w:marRight w:val="0"/>
          <w:marTop w:val="0"/>
          <w:marBottom w:val="0"/>
          <w:divBdr>
            <w:top w:val="none" w:sz="0" w:space="0" w:color="auto"/>
            <w:left w:val="none" w:sz="0" w:space="0" w:color="auto"/>
            <w:bottom w:val="none" w:sz="0" w:space="0" w:color="auto"/>
            <w:right w:val="none" w:sz="0" w:space="0" w:color="auto"/>
          </w:divBdr>
        </w:div>
        <w:div w:id="954404231">
          <w:marLeft w:val="0"/>
          <w:marRight w:val="0"/>
          <w:marTop w:val="0"/>
          <w:marBottom w:val="0"/>
          <w:divBdr>
            <w:top w:val="none" w:sz="0" w:space="0" w:color="auto"/>
            <w:left w:val="none" w:sz="0" w:space="0" w:color="auto"/>
            <w:bottom w:val="none" w:sz="0" w:space="0" w:color="auto"/>
            <w:right w:val="none" w:sz="0" w:space="0" w:color="auto"/>
          </w:divBdr>
        </w:div>
        <w:div w:id="1935505476">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154957319">
          <w:marLeft w:val="0"/>
          <w:marRight w:val="0"/>
          <w:marTop w:val="0"/>
          <w:marBottom w:val="0"/>
          <w:divBdr>
            <w:top w:val="none" w:sz="0" w:space="0" w:color="auto"/>
            <w:left w:val="none" w:sz="0" w:space="0" w:color="auto"/>
            <w:bottom w:val="none" w:sz="0" w:space="0" w:color="auto"/>
            <w:right w:val="none" w:sz="0" w:space="0" w:color="auto"/>
          </w:divBdr>
        </w:div>
        <w:div w:id="2032605787">
          <w:marLeft w:val="0"/>
          <w:marRight w:val="0"/>
          <w:marTop w:val="0"/>
          <w:marBottom w:val="0"/>
          <w:divBdr>
            <w:top w:val="none" w:sz="0" w:space="0" w:color="auto"/>
            <w:left w:val="none" w:sz="0" w:space="0" w:color="auto"/>
            <w:bottom w:val="none" w:sz="0" w:space="0" w:color="auto"/>
            <w:right w:val="none" w:sz="0" w:space="0" w:color="auto"/>
          </w:divBdr>
        </w:div>
        <w:div w:id="732001290">
          <w:marLeft w:val="0"/>
          <w:marRight w:val="0"/>
          <w:marTop w:val="0"/>
          <w:marBottom w:val="0"/>
          <w:divBdr>
            <w:top w:val="none" w:sz="0" w:space="0" w:color="auto"/>
            <w:left w:val="none" w:sz="0" w:space="0" w:color="auto"/>
            <w:bottom w:val="none" w:sz="0" w:space="0" w:color="auto"/>
            <w:right w:val="none" w:sz="0" w:space="0" w:color="auto"/>
          </w:divBdr>
        </w:div>
        <w:div w:id="1490634839">
          <w:marLeft w:val="0"/>
          <w:marRight w:val="0"/>
          <w:marTop w:val="0"/>
          <w:marBottom w:val="0"/>
          <w:divBdr>
            <w:top w:val="none" w:sz="0" w:space="0" w:color="auto"/>
            <w:left w:val="none" w:sz="0" w:space="0" w:color="auto"/>
            <w:bottom w:val="none" w:sz="0" w:space="0" w:color="auto"/>
            <w:right w:val="none" w:sz="0" w:space="0" w:color="auto"/>
          </w:divBdr>
        </w:div>
        <w:div w:id="1264386412">
          <w:marLeft w:val="0"/>
          <w:marRight w:val="0"/>
          <w:marTop w:val="0"/>
          <w:marBottom w:val="0"/>
          <w:divBdr>
            <w:top w:val="none" w:sz="0" w:space="0" w:color="auto"/>
            <w:left w:val="none" w:sz="0" w:space="0" w:color="auto"/>
            <w:bottom w:val="none" w:sz="0" w:space="0" w:color="auto"/>
            <w:right w:val="none" w:sz="0" w:space="0" w:color="auto"/>
          </w:divBdr>
        </w:div>
        <w:div w:id="524903431">
          <w:marLeft w:val="0"/>
          <w:marRight w:val="0"/>
          <w:marTop w:val="0"/>
          <w:marBottom w:val="0"/>
          <w:divBdr>
            <w:top w:val="none" w:sz="0" w:space="0" w:color="auto"/>
            <w:left w:val="none" w:sz="0" w:space="0" w:color="auto"/>
            <w:bottom w:val="none" w:sz="0" w:space="0" w:color="auto"/>
            <w:right w:val="none" w:sz="0" w:space="0" w:color="auto"/>
          </w:divBdr>
        </w:div>
        <w:div w:id="319163676">
          <w:marLeft w:val="0"/>
          <w:marRight w:val="0"/>
          <w:marTop w:val="0"/>
          <w:marBottom w:val="0"/>
          <w:divBdr>
            <w:top w:val="none" w:sz="0" w:space="0" w:color="auto"/>
            <w:left w:val="none" w:sz="0" w:space="0" w:color="auto"/>
            <w:bottom w:val="none" w:sz="0" w:space="0" w:color="auto"/>
            <w:right w:val="none" w:sz="0" w:space="0" w:color="auto"/>
          </w:divBdr>
        </w:div>
        <w:div w:id="2007978886">
          <w:marLeft w:val="0"/>
          <w:marRight w:val="0"/>
          <w:marTop w:val="0"/>
          <w:marBottom w:val="0"/>
          <w:divBdr>
            <w:top w:val="none" w:sz="0" w:space="0" w:color="auto"/>
            <w:left w:val="none" w:sz="0" w:space="0" w:color="auto"/>
            <w:bottom w:val="none" w:sz="0" w:space="0" w:color="auto"/>
            <w:right w:val="none" w:sz="0" w:space="0" w:color="auto"/>
          </w:divBdr>
        </w:div>
        <w:div w:id="1752770823">
          <w:marLeft w:val="0"/>
          <w:marRight w:val="0"/>
          <w:marTop w:val="0"/>
          <w:marBottom w:val="0"/>
          <w:divBdr>
            <w:top w:val="none" w:sz="0" w:space="0" w:color="auto"/>
            <w:left w:val="none" w:sz="0" w:space="0" w:color="auto"/>
            <w:bottom w:val="none" w:sz="0" w:space="0" w:color="auto"/>
            <w:right w:val="none" w:sz="0" w:space="0" w:color="auto"/>
          </w:divBdr>
        </w:div>
        <w:div w:id="225185462">
          <w:marLeft w:val="0"/>
          <w:marRight w:val="0"/>
          <w:marTop w:val="0"/>
          <w:marBottom w:val="0"/>
          <w:divBdr>
            <w:top w:val="none" w:sz="0" w:space="0" w:color="auto"/>
            <w:left w:val="none" w:sz="0" w:space="0" w:color="auto"/>
            <w:bottom w:val="none" w:sz="0" w:space="0" w:color="auto"/>
            <w:right w:val="none" w:sz="0" w:space="0" w:color="auto"/>
          </w:divBdr>
        </w:div>
        <w:div w:id="1637486428">
          <w:marLeft w:val="0"/>
          <w:marRight w:val="0"/>
          <w:marTop w:val="0"/>
          <w:marBottom w:val="0"/>
          <w:divBdr>
            <w:top w:val="none" w:sz="0" w:space="0" w:color="auto"/>
            <w:left w:val="none" w:sz="0" w:space="0" w:color="auto"/>
            <w:bottom w:val="none" w:sz="0" w:space="0" w:color="auto"/>
            <w:right w:val="none" w:sz="0" w:space="0" w:color="auto"/>
          </w:divBdr>
        </w:div>
        <w:div w:id="979728982">
          <w:marLeft w:val="0"/>
          <w:marRight w:val="0"/>
          <w:marTop w:val="0"/>
          <w:marBottom w:val="0"/>
          <w:divBdr>
            <w:top w:val="none" w:sz="0" w:space="0" w:color="auto"/>
            <w:left w:val="none" w:sz="0" w:space="0" w:color="auto"/>
            <w:bottom w:val="none" w:sz="0" w:space="0" w:color="auto"/>
            <w:right w:val="none" w:sz="0" w:space="0" w:color="auto"/>
          </w:divBdr>
        </w:div>
        <w:div w:id="1833330783">
          <w:marLeft w:val="0"/>
          <w:marRight w:val="0"/>
          <w:marTop w:val="0"/>
          <w:marBottom w:val="0"/>
          <w:divBdr>
            <w:top w:val="none" w:sz="0" w:space="0" w:color="auto"/>
            <w:left w:val="none" w:sz="0" w:space="0" w:color="auto"/>
            <w:bottom w:val="none" w:sz="0" w:space="0" w:color="auto"/>
            <w:right w:val="none" w:sz="0" w:space="0" w:color="auto"/>
          </w:divBdr>
        </w:div>
        <w:div w:id="841166240">
          <w:marLeft w:val="0"/>
          <w:marRight w:val="0"/>
          <w:marTop w:val="0"/>
          <w:marBottom w:val="0"/>
          <w:divBdr>
            <w:top w:val="none" w:sz="0" w:space="0" w:color="auto"/>
            <w:left w:val="none" w:sz="0" w:space="0" w:color="auto"/>
            <w:bottom w:val="none" w:sz="0" w:space="0" w:color="auto"/>
            <w:right w:val="none" w:sz="0" w:space="0" w:color="auto"/>
          </w:divBdr>
        </w:div>
        <w:div w:id="1926768411">
          <w:marLeft w:val="0"/>
          <w:marRight w:val="0"/>
          <w:marTop w:val="0"/>
          <w:marBottom w:val="0"/>
          <w:divBdr>
            <w:top w:val="none" w:sz="0" w:space="0" w:color="auto"/>
            <w:left w:val="none" w:sz="0" w:space="0" w:color="auto"/>
            <w:bottom w:val="none" w:sz="0" w:space="0" w:color="auto"/>
            <w:right w:val="none" w:sz="0" w:space="0" w:color="auto"/>
          </w:divBdr>
        </w:div>
        <w:div w:id="1539196040">
          <w:marLeft w:val="0"/>
          <w:marRight w:val="0"/>
          <w:marTop w:val="0"/>
          <w:marBottom w:val="0"/>
          <w:divBdr>
            <w:top w:val="none" w:sz="0" w:space="0" w:color="auto"/>
            <w:left w:val="none" w:sz="0" w:space="0" w:color="auto"/>
            <w:bottom w:val="none" w:sz="0" w:space="0" w:color="auto"/>
            <w:right w:val="none" w:sz="0" w:space="0" w:color="auto"/>
          </w:divBdr>
        </w:div>
        <w:div w:id="1031413667">
          <w:marLeft w:val="0"/>
          <w:marRight w:val="0"/>
          <w:marTop w:val="0"/>
          <w:marBottom w:val="0"/>
          <w:divBdr>
            <w:top w:val="none" w:sz="0" w:space="0" w:color="auto"/>
            <w:left w:val="none" w:sz="0" w:space="0" w:color="auto"/>
            <w:bottom w:val="none" w:sz="0" w:space="0" w:color="auto"/>
            <w:right w:val="none" w:sz="0" w:space="0" w:color="auto"/>
          </w:divBdr>
        </w:div>
        <w:div w:id="1104226514">
          <w:marLeft w:val="0"/>
          <w:marRight w:val="0"/>
          <w:marTop w:val="0"/>
          <w:marBottom w:val="0"/>
          <w:divBdr>
            <w:top w:val="none" w:sz="0" w:space="0" w:color="auto"/>
            <w:left w:val="none" w:sz="0" w:space="0" w:color="auto"/>
            <w:bottom w:val="none" w:sz="0" w:space="0" w:color="auto"/>
            <w:right w:val="none" w:sz="0" w:space="0" w:color="auto"/>
          </w:divBdr>
        </w:div>
        <w:div w:id="399402415">
          <w:marLeft w:val="0"/>
          <w:marRight w:val="0"/>
          <w:marTop w:val="0"/>
          <w:marBottom w:val="0"/>
          <w:divBdr>
            <w:top w:val="none" w:sz="0" w:space="0" w:color="auto"/>
            <w:left w:val="none" w:sz="0" w:space="0" w:color="auto"/>
            <w:bottom w:val="none" w:sz="0" w:space="0" w:color="auto"/>
            <w:right w:val="none" w:sz="0" w:space="0" w:color="auto"/>
          </w:divBdr>
        </w:div>
        <w:div w:id="179898527">
          <w:marLeft w:val="0"/>
          <w:marRight w:val="0"/>
          <w:marTop w:val="0"/>
          <w:marBottom w:val="0"/>
          <w:divBdr>
            <w:top w:val="none" w:sz="0" w:space="0" w:color="auto"/>
            <w:left w:val="none" w:sz="0" w:space="0" w:color="auto"/>
            <w:bottom w:val="none" w:sz="0" w:space="0" w:color="auto"/>
            <w:right w:val="none" w:sz="0" w:space="0" w:color="auto"/>
          </w:divBdr>
        </w:div>
        <w:div w:id="1046375985">
          <w:marLeft w:val="0"/>
          <w:marRight w:val="0"/>
          <w:marTop w:val="0"/>
          <w:marBottom w:val="0"/>
          <w:divBdr>
            <w:top w:val="none" w:sz="0" w:space="0" w:color="auto"/>
            <w:left w:val="none" w:sz="0" w:space="0" w:color="auto"/>
            <w:bottom w:val="none" w:sz="0" w:space="0" w:color="auto"/>
            <w:right w:val="none" w:sz="0" w:space="0" w:color="auto"/>
          </w:divBdr>
        </w:div>
        <w:div w:id="1866821819">
          <w:marLeft w:val="0"/>
          <w:marRight w:val="0"/>
          <w:marTop w:val="0"/>
          <w:marBottom w:val="0"/>
          <w:divBdr>
            <w:top w:val="none" w:sz="0" w:space="0" w:color="auto"/>
            <w:left w:val="none" w:sz="0" w:space="0" w:color="auto"/>
            <w:bottom w:val="none" w:sz="0" w:space="0" w:color="auto"/>
            <w:right w:val="none" w:sz="0" w:space="0" w:color="auto"/>
          </w:divBdr>
        </w:div>
        <w:div w:id="1577860814">
          <w:marLeft w:val="0"/>
          <w:marRight w:val="0"/>
          <w:marTop w:val="0"/>
          <w:marBottom w:val="0"/>
          <w:divBdr>
            <w:top w:val="none" w:sz="0" w:space="0" w:color="auto"/>
            <w:left w:val="none" w:sz="0" w:space="0" w:color="auto"/>
            <w:bottom w:val="none" w:sz="0" w:space="0" w:color="auto"/>
            <w:right w:val="none" w:sz="0" w:space="0" w:color="auto"/>
          </w:divBdr>
        </w:div>
        <w:div w:id="102724346">
          <w:marLeft w:val="0"/>
          <w:marRight w:val="0"/>
          <w:marTop w:val="0"/>
          <w:marBottom w:val="0"/>
          <w:divBdr>
            <w:top w:val="none" w:sz="0" w:space="0" w:color="auto"/>
            <w:left w:val="none" w:sz="0" w:space="0" w:color="auto"/>
            <w:bottom w:val="none" w:sz="0" w:space="0" w:color="auto"/>
            <w:right w:val="none" w:sz="0" w:space="0" w:color="auto"/>
          </w:divBdr>
        </w:div>
        <w:div w:id="149180898">
          <w:marLeft w:val="0"/>
          <w:marRight w:val="0"/>
          <w:marTop w:val="0"/>
          <w:marBottom w:val="0"/>
          <w:divBdr>
            <w:top w:val="none" w:sz="0" w:space="0" w:color="auto"/>
            <w:left w:val="none" w:sz="0" w:space="0" w:color="auto"/>
            <w:bottom w:val="none" w:sz="0" w:space="0" w:color="auto"/>
            <w:right w:val="none" w:sz="0" w:space="0" w:color="auto"/>
          </w:divBdr>
        </w:div>
        <w:div w:id="2116364123">
          <w:marLeft w:val="0"/>
          <w:marRight w:val="0"/>
          <w:marTop w:val="0"/>
          <w:marBottom w:val="0"/>
          <w:divBdr>
            <w:top w:val="none" w:sz="0" w:space="0" w:color="auto"/>
            <w:left w:val="none" w:sz="0" w:space="0" w:color="auto"/>
            <w:bottom w:val="none" w:sz="0" w:space="0" w:color="auto"/>
            <w:right w:val="none" w:sz="0" w:space="0" w:color="auto"/>
          </w:divBdr>
        </w:div>
        <w:div w:id="1780300396">
          <w:marLeft w:val="0"/>
          <w:marRight w:val="0"/>
          <w:marTop w:val="0"/>
          <w:marBottom w:val="0"/>
          <w:divBdr>
            <w:top w:val="none" w:sz="0" w:space="0" w:color="auto"/>
            <w:left w:val="none" w:sz="0" w:space="0" w:color="auto"/>
            <w:bottom w:val="none" w:sz="0" w:space="0" w:color="auto"/>
            <w:right w:val="none" w:sz="0" w:space="0" w:color="auto"/>
          </w:divBdr>
        </w:div>
        <w:div w:id="1345592809">
          <w:marLeft w:val="0"/>
          <w:marRight w:val="0"/>
          <w:marTop w:val="0"/>
          <w:marBottom w:val="0"/>
          <w:divBdr>
            <w:top w:val="none" w:sz="0" w:space="0" w:color="auto"/>
            <w:left w:val="none" w:sz="0" w:space="0" w:color="auto"/>
            <w:bottom w:val="none" w:sz="0" w:space="0" w:color="auto"/>
            <w:right w:val="none" w:sz="0" w:space="0" w:color="auto"/>
          </w:divBdr>
        </w:div>
        <w:div w:id="129520257">
          <w:marLeft w:val="0"/>
          <w:marRight w:val="0"/>
          <w:marTop w:val="0"/>
          <w:marBottom w:val="0"/>
          <w:divBdr>
            <w:top w:val="none" w:sz="0" w:space="0" w:color="auto"/>
            <w:left w:val="none" w:sz="0" w:space="0" w:color="auto"/>
            <w:bottom w:val="none" w:sz="0" w:space="0" w:color="auto"/>
            <w:right w:val="none" w:sz="0" w:space="0" w:color="auto"/>
          </w:divBdr>
        </w:div>
        <w:div w:id="1189297810">
          <w:marLeft w:val="0"/>
          <w:marRight w:val="0"/>
          <w:marTop w:val="0"/>
          <w:marBottom w:val="0"/>
          <w:divBdr>
            <w:top w:val="none" w:sz="0" w:space="0" w:color="auto"/>
            <w:left w:val="none" w:sz="0" w:space="0" w:color="auto"/>
            <w:bottom w:val="none" w:sz="0" w:space="0" w:color="auto"/>
            <w:right w:val="none" w:sz="0" w:space="0" w:color="auto"/>
          </w:divBdr>
        </w:div>
        <w:div w:id="276642613">
          <w:marLeft w:val="0"/>
          <w:marRight w:val="0"/>
          <w:marTop w:val="0"/>
          <w:marBottom w:val="0"/>
          <w:divBdr>
            <w:top w:val="none" w:sz="0" w:space="0" w:color="auto"/>
            <w:left w:val="none" w:sz="0" w:space="0" w:color="auto"/>
            <w:bottom w:val="none" w:sz="0" w:space="0" w:color="auto"/>
            <w:right w:val="none" w:sz="0" w:space="0" w:color="auto"/>
          </w:divBdr>
        </w:div>
        <w:div w:id="185560414">
          <w:marLeft w:val="0"/>
          <w:marRight w:val="0"/>
          <w:marTop w:val="0"/>
          <w:marBottom w:val="0"/>
          <w:divBdr>
            <w:top w:val="none" w:sz="0" w:space="0" w:color="auto"/>
            <w:left w:val="none" w:sz="0" w:space="0" w:color="auto"/>
            <w:bottom w:val="none" w:sz="0" w:space="0" w:color="auto"/>
            <w:right w:val="none" w:sz="0" w:space="0" w:color="auto"/>
          </w:divBdr>
        </w:div>
        <w:div w:id="1424953396">
          <w:marLeft w:val="0"/>
          <w:marRight w:val="0"/>
          <w:marTop w:val="0"/>
          <w:marBottom w:val="0"/>
          <w:divBdr>
            <w:top w:val="none" w:sz="0" w:space="0" w:color="auto"/>
            <w:left w:val="none" w:sz="0" w:space="0" w:color="auto"/>
            <w:bottom w:val="none" w:sz="0" w:space="0" w:color="auto"/>
            <w:right w:val="none" w:sz="0" w:space="0" w:color="auto"/>
          </w:divBdr>
        </w:div>
        <w:div w:id="501823782">
          <w:marLeft w:val="0"/>
          <w:marRight w:val="0"/>
          <w:marTop w:val="0"/>
          <w:marBottom w:val="0"/>
          <w:divBdr>
            <w:top w:val="none" w:sz="0" w:space="0" w:color="auto"/>
            <w:left w:val="none" w:sz="0" w:space="0" w:color="auto"/>
            <w:bottom w:val="none" w:sz="0" w:space="0" w:color="auto"/>
            <w:right w:val="none" w:sz="0" w:space="0" w:color="auto"/>
          </w:divBdr>
        </w:div>
        <w:div w:id="289241052">
          <w:marLeft w:val="0"/>
          <w:marRight w:val="0"/>
          <w:marTop w:val="0"/>
          <w:marBottom w:val="0"/>
          <w:divBdr>
            <w:top w:val="none" w:sz="0" w:space="0" w:color="auto"/>
            <w:left w:val="none" w:sz="0" w:space="0" w:color="auto"/>
            <w:bottom w:val="none" w:sz="0" w:space="0" w:color="auto"/>
            <w:right w:val="none" w:sz="0" w:space="0" w:color="auto"/>
          </w:divBdr>
        </w:div>
        <w:div w:id="1465275323">
          <w:marLeft w:val="0"/>
          <w:marRight w:val="0"/>
          <w:marTop w:val="0"/>
          <w:marBottom w:val="0"/>
          <w:divBdr>
            <w:top w:val="none" w:sz="0" w:space="0" w:color="auto"/>
            <w:left w:val="none" w:sz="0" w:space="0" w:color="auto"/>
            <w:bottom w:val="none" w:sz="0" w:space="0" w:color="auto"/>
            <w:right w:val="none" w:sz="0" w:space="0" w:color="auto"/>
          </w:divBdr>
        </w:div>
        <w:div w:id="1624581119">
          <w:marLeft w:val="0"/>
          <w:marRight w:val="0"/>
          <w:marTop w:val="0"/>
          <w:marBottom w:val="0"/>
          <w:divBdr>
            <w:top w:val="none" w:sz="0" w:space="0" w:color="auto"/>
            <w:left w:val="none" w:sz="0" w:space="0" w:color="auto"/>
            <w:bottom w:val="none" w:sz="0" w:space="0" w:color="auto"/>
            <w:right w:val="none" w:sz="0" w:space="0" w:color="auto"/>
          </w:divBdr>
        </w:div>
        <w:div w:id="1914654557">
          <w:marLeft w:val="0"/>
          <w:marRight w:val="0"/>
          <w:marTop w:val="0"/>
          <w:marBottom w:val="0"/>
          <w:divBdr>
            <w:top w:val="none" w:sz="0" w:space="0" w:color="auto"/>
            <w:left w:val="none" w:sz="0" w:space="0" w:color="auto"/>
            <w:bottom w:val="none" w:sz="0" w:space="0" w:color="auto"/>
            <w:right w:val="none" w:sz="0" w:space="0" w:color="auto"/>
          </w:divBdr>
        </w:div>
        <w:div w:id="1292132825">
          <w:marLeft w:val="0"/>
          <w:marRight w:val="0"/>
          <w:marTop w:val="0"/>
          <w:marBottom w:val="0"/>
          <w:divBdr>
            <w:top w:val="none" w:sz="0" w:space="0" w:color="auto"/>
            <w:left w:val="none" w:sz="0" w:space="0" w:color="auto"/>
            <w:bottom w:val="none" w:sz="0" w:space="0" w:color="auto"/>
            <w:right w:val="none" w:sz="0" w:space="0" w:color="auto"/>
          </w:divBdr>
        </w:div>
        <w:div w:id="1584097745">
          <w:marLeft w:val="0"/>
          <w:marRight w:val="0"/>
          <w:marTop w:val="0"/>
          <w:marBottom w:val="0"/>
          <w:divBdr>
            <w:top w:val="none" w:sz="0" w:space="0" w:color="auto"/>
            <w:left w:val="none" w:sz="0" w:space="0" w:color="auto"/>
            <w:bottom w:val="none" w:sz="0" w:space="0" w:color="auto"/>
            <w:right w:val="none" w:sz="0" w:space="0" w:color="auto"/>
          </w:divBdr>
        </w:div>
        <w:div w:id="695236101">
          <w:marLeft w:val="0"/>
          <w:marRight w:val="0"/>
          <w:marTop w:val="0"/>
          <w:marBottom w:val="0"/>
          <w:divBdr>
            <w:top w:val="none" w:sz="0" w:space="0" w:color="auto"/>
            <w:left w:val="none" w:sz="0" w:space="0" w:color="auto"/>
            <w:bottom w:val="none" w:sz="0" w:space="0" w:color="auto"/>
            <w:right w:val="none" w:sz="0" w:space="0" w:color="auto"/>
          </w:divBdr>
        </w:div>
        <w:div w:id="1435243044">
          <w:marLeft w:val="0"/>
          <w:marRight w:val="0"/>
          <w:marTop w:val="0"/>
          <w:marBottom w:val="0"/>
          <w:divBdr>
            <w:top w:val="none" w:sz="0" w:space="0" w:color="auto"/>
            <w:left w:val="none" w:sz="0" w:space="0" w:color="auto"/>
            <w:bottom w:val="none" w:sz="0" w:space="0" w:color="auto"/>
            <w:right w:val="none" w:sz="0" w:space="0" w:color="auto"/>
          </w:divBdr>
        </w:div>
        <w:div w:id="1918634172">
          <w:marLeft w:val="0"/>
          <w:marRight w:val="0"/>
          <w:marTop w:val="0"/>
          <w:marBottom w:val="0"/>
          <w:divBdr>
            <w:top w:val="none" w:sz="0" w:space="0" w:color="auto"/>
            <w:left w:val="none" w:sz="0" w:space="0" w:color="auto"/>
            <w:bottom w:val="none" w:sz="0" w:space="0" w:color="auto"/>
            <w:right w:val="none" w:sz="0" w:space="0" w:color="auto"/>
          </w:divBdr>
        </w:div>
        <w:div w:id="825319148">
          <w:marLeft w:val="0"/>
          <w:marRight w:val="0"/>
          <w:marTop w:val="0"/>
          <w:marBottom w:val="0"/>
          <w:divBdr>
            <w:top w:val="none" w:sz="0" w:space="0" w:color="auto"/>
            <w:left w:val="none" w:sz="0" w:space="0" w:color="auto"/>
            <w:bottom w:val="none" w:sz="0" w:space="0" w:color="auto"/>
            <w:right w:val="none" w:sz="0" w:space="0" w:color="auto"/>
          </w:divBdr>
        </w:div>
        <w:div w:id="867330747">
          <w:marLeft w:val="0"/>
          <w:marRight w:val="0"/>
          <w:marTop w:val="0"/>
          <w:marBottom w:val="0"/>
          <w:divBdr>
            <w:top w:val="none" w:sz="0" w:space="0" w:color="auto"/>
            <w:left w:val="none" w:sz="0" w:space="0" w:color="auto"/>
            <w:bottom w:val="none" w:sz="0" w:space="0" w:color="auto"/>
            <w:right w:val="none" w:sz="0" w:space="0" w:color="auto"/>
          </w:divBdr>
        </w:div>
        <w:div w:id="490097501">
          <w:marLeft w:val="0"/>
          <w:marRight w:val="0"/>
          <w:marTop w:val="0"/>
          <w:marBottom w:val="0"/>
          <w:divBdr>
            <w:top w:val="none" w:sz="0" w:space="0" w:color="auto"/>
            <w:left w:val="none" w:sz="0" w:space="0" w:color="auto"/>
            <w:bottom w:val="none" w:sz="0" w:space="0" w:color="auto"/>
            <w:right w:val="none" w:sz="0" w:space="0" w:color="auto"/>
          </w:divBdr>
        </w:div>
        <w:div w:id="1514028041">
          <w:marLeft w:val="0"/>
          <w:marRight w:val="0"/>
          <w:marTop w:val="0"/>
          <w:marBottom w:val="0"/>
          <w:divBdr>
            <w:top w:val="none" w:sz="0" w:space="0" w:color="auto"/>
            <w:left w:val="none" w:sz="0" w:space="0" w:color="auto"/>
            <w:bottom w:val="none" w:sz="0" w:space="0" w:color="auto"/>
            <w:right w:val="none" w:sz="0" w:space="0" w:color="auto"/>
          </w:divBdr>
        </w:div>
        <w:div w:id="1106193990">
          <w:marLeft w:val="0"/>
          <w:marRight w:val="0"/>
          <w:marTop w:val="0"/>
          <w:marBottom w:val="0"/>
          <w:divBdr>
            <w:top w:val="none" w:sz="0" w:space="0" w:color="auto"/>
            <w:left w:val="none" w:sz="0" w:space="0" w:color="auto"/>
            <w:bottom w:val="none" w:sz="0" w:space="0" w:color="auto"/>
            <w:right w:val="none" w:sz="0" w:space="0" w:color="auto"/>
          </w:divBdr>
        </w:div>
        <w:div w:id="1377242360">
          <w:marLeft w:val="0"/>
          <w:marRight w:val="0"/>
          <w:marTop w:val="0"/>
          <w:marBottom w:val="0"/>
          <w:divBdr>
            <w:top w:val="none" w:sz="0" w:space="0" w:color="auto"/>
            <w:left w:val="none" w:sz="0" w:space="0" w:color="auto"/>
            <w:bottom w:val="none" w:sz="0" w:space="0" w:color="auto"/>
            <w:right w:val="none" w:sz="0" w:space="0" w:color="auto"/>
          </w:divBdr>
        </w:div>
        <w:div w:id="2145809498">
          <w:marLeft w:val="0"/>
          <w:marRight w:val="0"/>
          <w:marTop w:val="0"/>
          <w:marBottom w:val="0"/>
          <w:divBdr>
            <w:top w:val="none" w:sz="0" w:space="0" w:color="auto"/>
            <w:left w:val="none" w:sz="0" w:space="0" w:color="auto"/>
            <w:bottom w:val="none" w:sz="0" w:space="0" w:color="auto"/>
            <w:right w:val="none" w:sz="0" w:space="0" w:color="auto"/>
          </w:divBdr>
        </w:div>
        <w:div w:id="1154251469">
          <w:marLeft w:val="0"/>
          <w:marRight w:val="0"/>
          <w:marTop w:val="0"/>
          <w:marBottom w:val="0"/>
          <w:divBdr>
            <w:top w:val="none" w:sz="0" w:space="0" w:color="auto"/>
            <w:left w:val="none" w:sz="0" w:space="0" w:color="auto"/>
            <w:bottom w:val="none" w:sz="0" w:space="0" w:color="auto"/>
            <w:right w:val="none" w:sz="0" w:space="0" w:color="auto"/>
          </w:divBdr>
        </w:div>
        <w:div w:id="840855204">
          <w:marLeft w:val="0"/>
          <w:marRight w:val="0"/>
          <w:marTop w:val="0"/>
          <w:marBottom w:val="0"/>
          <w:divBdr>
            <w:top w:val="none" w:sz="0" w:space="0" w:color="auto"/>
            <w:left w:val="none" w:sz="0" w:space="0" w:color="auto"/>
            <w:bottom w:val="none" w:sz="0" w:space="0" w:color="auto"/>
            <w:right w:val="none" w:sz="0" w:space="0" w:color="auto"/>
          </w:divBdr>
        </w:div>
        <w:div w:id="748889309">
          <w:marLeft w:val="0"/>
          <w:marRight w:val="0"/>
          <w:marTop w:val="0"/>
          <w:marBottom w:val="0"/>
          <w:divBdr>
            <w:top w:val="none" w:sz="0" w:space="0" w:color="auto"/>
            <w:left w:val="none" w:sz="0" w:space="0" w:color="auto"/>
            <w:bottom w:val="none" w:sz="0" w:space="0" w:color="auto"/>
            <w:right w:val="none" w:sz="0" w:space="0" w:color="auto"/>
          </w:divBdr>
        </w:div>
        <w:div w:id="963804055">
          <w:marLeft w:val="0"/>
          <w:marRight w:val="0"/>
          <w:marTop w:val="0"/>
          <w:marBottom w:val="0"/>
          <w:divBdr>
            <w:top w:val="none" w:sz="0" w:space="0" w:color="auto"/>
            <w:left w:val="none" w:sz="0" w:space="0" w:color="auto"/>
            <w:bottom w:val="none" w:sz="0" w:space="0" w:color="auto"/>
            <w:right w:val="none" w:sz="0" w:space="0" w:color="auto"/>
          </w:divBdr>
        </w:div>
        <w:div w:id="2122072239">
          <w:marLeft w:val="0"/>
          <w:marRight w:val="0"/>
          <w:marTop w:val="0"/>
          <w:marBottom w:val="0"/>
          <w:divBdr>
            <w:top w:val="none" w:sz="0" w:space="0" w:color="auto"/>
            <w:left w:val="none" w:sz="0" w:space="0" w:color="auto"/>
            <w:bottom w:val="none" w:sz="0" w:space="0" w:color="auto"/>
            <w:right w:val="none" w:sz="0" w:space="0" w:color="auto"/>
          </w:divBdr>
        </w:div>
        <w:div w:id="631519799">
          <w:marLeft w:val="0"/>
          <w:marRight w:val="0"/>
          <w:marTop w:val="0"/>
          <w:marBottom w:val="0"/>
          <w:divBdr>
            <w:top w:val="none" w:sz="0" w:space="0" w:color="auto"/>
            <w:left w:val="none" w:sz="0" w:space="0" w:color="auto"/>
            <w:bottom w:val="none" w:sz="0" w:space="0" w:color="auto"/>
            <w:right w:val="none" w:sz="0" w:space="0" w:color="auto"/>
          </w:divBdr>
        </w:div>
        <w:div w:id="1461730194">
          <w:marLeft w:val="0"/>
          <w:marRight w:val="0"/>
          <w:marTop w:val="0"/>
          <w:marBottom w:val="0"/>
          <w:divBdr>
            <w:top w:val="none" w:sz="0" w:space="0" w:color="auto"/>
            <w:left w:val="none" w:sz="0" w:space="0" w:color="auto"/>
            <w:bottom w:val="none" w:sz="0" w:space="0" w:color="auto"/>
            <w:right w:val="none" w:sz="0" w:space="0" w:color="auto"/>
          </w:divBdr>
        </w:div>
        <w:div w:id="1751735754">
          <w:marLeft w:val="0"/>
          <w:marRight w:val="0"/>
          <w:marTop w:val="0"/>
          <w:marBottom w:val="0"/>
          <w:divBdr>
            <w:top w:val="none" w:sz="0" w:space="0" w:color="auto"/>
            <w:left w:val="none" w:sz="0" w:space="0" w:color="auto"/>
            <w:bottom w:val="none" w:sz="0" w:space="0" w:color="auto"/>
            <w:right w:val="none" w:sz="0" w:space="0" w:color="auto"/>
          </w:divBdr>
        </w:div>
        <w:div w:id="585387332">
          <w:marLeft w:val="0"/>
          <w:marRight w:val="0"/>
          <w:marTop w:val="0"/>
          <w:marBottom w:val="0"/>
          <w:divBdr>
            <w:top w:val="none" w:sz="0" w:space="0" w:color="auto"/>
            <w:left w:val="none" w:sz="0" w:space="0" w:color="auto"/>
            <w:bottom w:val="none" w:sz="0" w:space="0" w:color="auto"/>
            <w:right w:val="none" w:sz="0" w:space="0" w:color="auto"/>
          </w:divBdr>
        </w:div>
      </w:divsChild>
    </w:div>
    <w:div w:id="1435977459">
      <w:bodyDiv w:val="1"/>
      <w:marLeft w:val="0"/>
      <w:marRight w:val="0"/>
      <w:marTop w:val="0"/>
      <w:marBottom w:val="0"/>
      <w:divBdr>
        <w:top w:val="none" w:sz="0" w:space="0" w:color="auto"/>
        <w:left w:val="none" w:sz="0" w:space="0" w:color="auto"/>
        <w:bottom w:val="none" w:sz="0" w:space="0" w:color="auto"/>
        <w:right w:val="none" w:sz="0" w:space="0" w:color="auto"/>
      </w:divBdr>
      <w:divsChild>
        <w:div w:id="1060324461">
          <w:marLeft w:val="0"/>
          <w:marRight w:val="0"/>
          <w:marTop w:val="0"/>
          <w:marBottom w:val="0"/>
          <w:divBdr>
            <w:top w:val="none" w:sz="0" w:space="0" w:color="auto"/>
            <w:left w:val="none" w:sz="0" w:space="0" w:color="auto"/>
            <w:bottom w:val="none" w:sz="0" w:space="0" w:color="auto"/>
            <w:right w:val="none" w:sz="0" w:space="0" w:color="auto"/>
          </w:divBdr>
        </w:div>
        <w:div w:id="804466569">
          <w:marLeft w:val="0"/>
          <w:marRight w:val="0"/>
          <w:marTop w:val="0"/>
          <w:marBottom w:val="0"/>
          <w:divBdr>
            <w:top w:val="none" w:sz="0" w:space="0" w:color="auto"/>
            <w:left w:val="none" w:sz="0" w:space="0" w:color="auto"/>
            <w:bottom w:val="none" w:sz="0" w:space="0" w:color="auto"/>
            <w:right w:val="none" w:sz="0" w:space="0" w:color="auto"/>
          </w:divBdr>
        </w:div>
        <w:div w:id="992566859">
          <w:marLeft w:val="0"/>
          <w:marRight w:val="0"/>
          <w:marTop w:val="0"/>
          <w:marBottom w:val="0"/>
          <w:divBdr>
            <w:top w:val="none" w:sz="0" w:space="0" w:color="auto"/>
            <w:left w:val="none" w:sz="0" w:space="0" w:color="auto"/>
            <w:bottom w:val="none" w:sz="0" w:space="0" w:color="auto"/>
            <w:right w:val="none" w:sz="0" w:space="0" w:color="auto"/>
          </w:divBdr>
        </w:div>
        <w:div w:id="403913684">
          <w:marLeft w:val="0"/>
          <w:marRight w:val="0"/>
          <w:marTop w:val="0"/>
          <w:marBottom w:val="0"/>
          <w:divBdr>
            <w:top w:val="none" w:sz="0" w:space="0" w:color="auto"/>
            <w:left w:val="none" w:sz="0" w:space="0" w:color="auto"/>
            <w:bottom w:val="none" w:sz="0" w:space="0" w:color="auto"/>
            <w:right w:val="none" w:sz="0" w:space="0" w:color="auto"/>
          </w:divBdr>
        </w:div>
        <w:div w:id="1603563340">
          <w:marLeft w:val="0"/>
          <w:marRight w:val="0"/>
          <w:marTop w:val="0"/>
          <w:marBottom w:val="0"/>
          <w:divBdr>
            <w:top w:val="none" w:sz="0" w:space="0" w:color="auto"/>
            <w:left w:val="none" w:sz="0" w:space="0" w:color="auto"/>
            <w:bottom w:val="none" w:sz="0" w:space="0" w:color="auto"/>
            <w:right w:val="none" w:sz="0" w:space="0" w:color="auto"/>
          </w:divBdr>
        </w:div>
        <w:div w:id="1601254530">
          <w:marLeft w:val="0"/>
          <w:marRight w:val="0"/>
          <w:marTop w:val="0"/>
          <w:marBottom w:val="0"/>
          <w:divBdr>
            <w:top w:val="none" w:sz="0" w:space="0" w:color="auto"/>
            <w:left w:val="none" w:sz="0" w:space="0" w:color="auto"/>
            <w:bottom w:val="none" w:sz="0" w:space="0" w:color="auto"/>
            <w:right w:val="none" w:sz="0" w:space="0" w:color="auto"/>
          </w:divBdr>
        </w:div>
        <w:div w:id="163598099">
          <w:marLeft w:val="0"/>
          <w:marRight w:val="0"/>
          <w:marTop w:val="0"/>
          <w:marBottom w:val="0"/>
          <w:divBdr>
            <w:top w:val="none" w:sz="0" w:space="0" w:color="auto"/>
            <w:left w:val="none" w:sz="0" w:space="0" w:color="auto"/>
            <w:bottom w:val="none" w:sz="0" w:space="0" w:color="auto"/>
            <w:right w:val="none" w:sz="0" w:space="0" w:color="auto"/>
          </w:divBdr>
        </w:div>
        <w:div w:id="469134701">
          <w:marLeft w:val="0"/>
          <w:marRight w:val="0"/>
          <w:marTop w:val="0"/>
          <w:marBottom w:val="0"/>
          <w:divBdr>
            <w:top w:val="none" w:sz="0" w:space="0" w:color="auto"/>
            <w:left w:val="none" w:sz="0" w:space="0" w:color="auto"/>
            <w:bottom w:val="none" w:sz="0" w:space="0" w:color="auto"/>
            <w:right w:val="none" w:sz="0" w:space="0" w:color="auto"/>
          </w:divBdr>
        </w:div>
        <w:div w:id="309021693">
          <w:marLeft w:val="0"/>
          <w:marRight w:val="0"/>
          <w:marTop w:val="0"/>
          <w:marBottom w:val="0"/>
          <w:divBdr>
            <w:top w:val="none" w:sz="0" w:space="0" w:color="auto"/>
            <w:left w:val="none" w:sz="0" w:space="0" w:color="auto"/>
            <w:bottom w:val="none" w:sz="0" w:space="0" w:color="auto"/>
            <w:right w:val="none" w:sz="0" w:space="0" w:color="auto"/>
          </w:divBdr>
        </w:div>
        <w:div w:id="1478834705">
          <w:marLeft w:val="0"/>
          <w:marRight w:val="0"/>
          <w:marTop w:val="0"/>
          <w:marBottom w:val="0"/>
          <w:divBdr>
            <w:top w:val="none" w:sz="0" w:space="0" w:color="auto"/>
            <w:left w:val="none" w:sz="0" w:space="0" w:color="auto"/>
            <w:bottom w:val="none" w:sz="0" w:space="0" w:color="auto"/>
            <w:right w:val="none" w:sz="0" w:space="0" w:color="auto"/>
          </w:divBdr>
        </w:div>
        <w:div w:id="818155113">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49995560">
          <w:marLeft w:val="0"/>
          <w:marRight w:val="0"/>
          <w:marTop w:val="0"/>
          <w:marBottom w:val="0"/>
          <w:divBdr>
            <w:top w:val="none" w:sz="0" w:space="0" w:color="auto"/>
            <w:left w:val="none" w:sz="0" w:space="0" w:color="auto"/>
            <w:bottom w:val="none" w:sz="0" w:space="0" w:color="auto"/>
            <w:right w:val="none" w:sz="0" w:space="0" w:color="auto"/>
          </w:divBdr>
        </w:div>
        <w:div w:id="644972179">
          <w:marLeft w:val="0"/>
          <w:marRight w:val="0"/>
          <w:marTop w:val="0"/>
          <w:marBottom w:val="0"/>
          <w:divBdr>
            <w:top w:val="none" w:sz="0" w:space="0" w:color="auto"/>
            <w:left w:val="none" w:sz="0" w:space="0" w:color="auto"/>
            <w:bottom w:val="none" w:sz="0" w:space="0" w:color="auto"/>
            <w:right w:val="none" w:sz="0" w:space="0" w:color="auto"/>
          </w:divBdr>
        </w:div>
        <w:div w:id="1968584478">
          <w:marLeft w:val="0"/>
          <w:marRight w:val="0"/>
          <w:marTop w:val="0"/>
          <w:marBottom w:val="0"/>
          <w:divBdr>
            <w:top w:val="none" w:sz="0" w:space="0" w:color="auto"/>
            <w:left w:val="none" w:sz="0" w:space="0" w:color="auto"/>
            <w:bottom w:val="none" w:sz="0" w:space="0" w:color="auto"/>
            <w:right w:val="none" w:sz="0" w:space="0" w:color="auto"/>
          </w:divBdr>
        </w:div>
        <w:div w:id="443962744">
          <w:marLeft w:val="0"/>
          <w:marRight w:val="0"/>
          <w:marTop w:val="0"/>
          <w:marBottom w:val="0"/>
          <w:divBdr>
            <w:top w:val="none" w:sz="0" w:space="0" w:color="auto"/>
            <w:left w:val="none" w:sz="0" w:space="0" w:color="auto"/>
            <w:bottom w:val="none" w:sz="0" w:space="0" w:color="auto"/>
            <w:right w:val="none" w:sz="0" w:space="0" w:color="auto"/>
          </w:divBdr>
        </w:div>
        <w:div w:id="2061244687">
          <w:marLeft w:val="0"/>
          <w:marRight w:val="0"/>
          <w:marTop w:val="0"/>
          <w:marBottom w:val="0"/>
          <w:divBdr>
            <w:top w:val="none" w:sz="0" w:space="0" w:color="auto"/>
            <w:left w:val="none" w:sz="0" w:space="0" w:color="auto"/>
            <w:bottom w:val="none" w:sz="0" w:space="0" w:color="auto"/>
            <w:right w:val="none" w:sz="0" w:space="0" w:color="auto"/>
          </w:divBdr>
        </w:div>
        <w:div w:id="1565143061">
          <w:marLeft w:val="0"/>
          <w:marRight w:val="0"/>
          <w:marTop w:val="0"/>
          <w:marBottom w:val="0"/>
          <w:divBdr>
            <w:top w:val="none" w:sz="0" w:space="0" w:color="auto"/>
            <w:left w:val="none" w:sz="0" w:space="0" w:color="auto"/>
            <w:bottom w:val="none" w:sz="0" w:space="0" w:color="auto"/>
            <w:right w:val="none" w:sz="0" w:space="0" w:color="auto"/>
          </w:divBdr>
        </w:div>
        <w:div w:id="1017316973">
          <w:marLeft w:val="0"/>
          <w:marRight w:val="0"/>
          <w:marTop w:val="0"/>
          <w:marBottom w:val="0"/>
          <w:divBdr>
            <w:top w:val="none" w:sz="0" w:space="0" w:color="auto"/>
            <w:left w:val="none" w:sz="0" w:space="0" w:color="auto"/>
            <w:bottom w:val="none" w:sz="0" w:space="0" w:color="auto"/>
            <w:right w:val="none" w:sz="0" w:space="0" w:color="auto"/>
          </w:divBdr>
        </w:div>
        <w:div w:id="85923410">
          <w:marLeft w:val="0"/>
          <w:marRight w:val="0"/>
          <w:marTop w:val="0"/>
          <w:marBottom w:val="0"/>
          <w:divBdr>
            <w:top w:val="none" w:sz="0" w:space="0" w:color="auto"/>
            <w:left w:val="none" w:sz="0" w:space="0" w:color="auto"/>
            <w:bottom w:val="none" w:sz="0" w:space="0" w:color="auto"/>
            <w:right w:val="none" w:sz="0" w:space="0" w:color="auto"/>
          </w:divBdr>
        </w:div>
        <w:div w:id="1508248236">
          <w:marLeft w:val="0"/>
          <w:marRight w:val="0"/>
          <w:marTop w:val="0"/>
          <w:marBottom w:val="0"/>
          <w:divBdr>
            <w:top w:val="none" w:sz="0" w:space="0" w:color="auto"/>
            <w:left w:val="none" w:sz="0" w:space="0" w:color="auto"/>
            <w:bottom w:val="none" w:sz="0" w:space="0" w:color="auto"/>
            <w:right w:val="none" w:sz="0" w:space="0" w:color="auto"/>
          </w:divBdr>
        </w:div>
        <w:div w:id="1941911707">
          <w:marLeft w:val="0"/>
          <w:marRight w:val="0"/>
          <w:marTop w:val="0"/>
          <w:marBottom w:val="0"/>
          <w:divBdr>
            <w:top w:val="none" w:sz="0" w:space="0" w:color="auto"/>
            <w:left w:val="none" w:sz="0" w:space="0" w:color="auto"/>
            <w:bottom w:val="none" w:sz="0" w:space="0" w:color="auto"/>
            <w:right w:val="none" w:sz="0" w:space="0" w:color="auto"/>
          </w:divBdr>
        </w:div>
        <w:div w:id="827794580">
          <w:marLeft w:val="0"/>
          <w:marRight w:val="0"/>
          <w:marTop w:val="0"/>
          <w:marBottom w:val="0"/>
          <w:divBdr>
            <w:top w:val="none" w:sz="0" w:space="0" w:color="auto"/>
            <w:left w:val="none" w:sz="0" w:space="0" w:color="auto"/>
            <w:bottom w:val="none" w:sz="0" w:space="0" w:color="auto"/>
            <w:right w:val="none" w:sz="0" w:space="0" w:color="auto"/>
          </w:divBdr>
        </w:div>
        <w:div w:id="1256400565">
          <w:marLeft w:val="0"/>
          <w:marRight w:val="0"/>
          <w:marTop w:val="0"/>
          <w:marBottom w:val="0"/>
          <w:divBdr>
            <w:top w:val="none" w:sz="0" w:space="0" w:color="auto"/>
            <w:left w:val="none" w:sz="0" w:space="0" w:color="auto"/>
            <w:bottom w:val="none" w:sz="0" w:space="0" w:color="auto"/>
            <w:right w:val="none" w:sz="0" w:space="0" w:color="auto"/>
          </w:divBdr>
        </w:div>
        <w:div w:id="152917560">
          <w:marLeft w:val="0"/>
          <w:marRight w:val="0"/>
          <w:marTop w:val="0"/>
          <w:marBottom w:val="0"/>
          <w:divBdr>
            <w:top w:val="none" w:sz="0" w:space="0" w:color="auto"/>
            <w:left w:val="none" w:sz="0" w:space="0" w:color="auto"/>
            <w:bottom w:val="none" w:sz="0" w:space="0" w:color="auto"/>
            <w:right w:val="none" w:sz="0" w:space="0" w:color="auto"/>
          </w:divBdr>
        </w:div>
        <w:div w:id="1304123251">
          <w:marLeft w:val="0"/>
          <w:marRight w:val="0"/>
          <w:marTop w:val="0"/>
          <w:marBottom w:val="0"/>
          <w:divBdr>
            <w:top w:val="none" w:sz="0" w:space="0" w:color="auto"/>
            <w:left w:val="none" w:sz="0" w:space="0" w:color="auto"/>
            <w:bottom w:val="none" w:sz="0" w:space="0" w:color="auto"/>
            <w:right w:val="none" w:sz="0" w:space="0" w:color="auto"/>
          </w:divBdr>
        </w:div>
        <w:div w:id="1900088104">
          <w:marLeft w:val="0"/>
          <w:marRight w:val="0"/>
          <w:marTop w:val="0"/>
          <w:marBottom w:val="0"/>
          <w:divBdr>
            <w:top w:val="none" w:sz="0" w:space="0" w:color="auto"/>
            <w:left w:val="none" w:sz="0" w:space="0" w:color="auto"/>
            <w:bottom w:val="none" w:sz="0" w:space="0" w:color="auto"/>
            <w:right w:val="none" w:sz="0" w:space="0" w:color="auto"/>
          </w:divBdr>
        </w:div>
        <w:div w:id="185487277">
          <w:marLeft w:val="0"/>
          <w:marRight w:val="0"/>
          <w:marTop w:val="0"/>
          <w:marBottom w:val="0"/>
          <w:divBdr>
            <w:top w:val="none" w:sz="0" w:space="0" w:color="auto"/>
            <w:left w:val="none" w:sz="0" w:space="0" w:color="auto"/>
            <w:bottom w:val="none" w:sz="0" w:space="0" w:color="auto"/>
            <w:right w:val="none" w:sz="0" w:space="0" w:color="auto"/>
          </w:divBdr>
        </w:div>
        <w:div w:id="956371281">
          <w:marLeft w:val="0"/>
          <w:marRight w:val="0"/>
          <w:marTop w:val="0"/>
          <w:marBottom w:val="0"/>
          <w:divBdr>
            <w:top w:val="none" w:sz="0" w:space="0" w:color="auto"/>
            <w:left w:val="none" w:sz="0" w:space="0" w:color="auto"/>
            <w:bottom w:val="none" w:sz="0" w:space="0" w:color="auto"/>
            <w:right w:val="none" w:sz="0" w:space="0" w:color="auto"/>
          </w:divBdr>
        </w:div>
        <w:div w:id="1648852512">
          <w:marLeft w:val="0"/>
          <w:marRight w:val="0"/>
          <w:marTop w:val="0"/>
          <w:marBottom w:val="0"/>
          <w:divBdr>
            <w:top w:val="none" w:sz="0" w:space="0" w:color="auto"/>
            <w:left w:val="none" w:sz="0" w:space="0" w:color="auto"/>
            <w:bottom w:val="none" w:sz="0" w:space="0" w:color="auto"/>
            <w:right w:val="none" w:sz="0" w:space="0" w:color="auto"/>
          </w:divBdr>
        </w:div>
        <w:div w:id="1170681018">
          <w:marLeft w:val="0"/>
          <w:marRight w:val="0"/>
          <w:marTop w:val="0"/>
          <w:marBottom w:val="0"/>
          <w:divBdr>
            <w:top w:val="none" w:sz="0" w:space="0" w:color="auto"/>
            <w:left w:val="none" w:sz="0" w:space="0" w:color="auto"/>
            <w:bottom w:val="none" w:sz="0" w:space="0" w:color="auto"/>
            <w:right w:val="none" w:sz="0" w:space="0" w:color="auto"/>
          </w:divBdr>
        </w:div>
        <w:div w:id="2009671821">
          <w:marLeft w:val="0"/>
          <w:marRight w:val="0"/>
          <w:marTop w:val="0"/>
          <w:marBottom w:val="0"/>
          <w:divBdr>
            <w:top w:val="none" w:sz="0" w:space="0" w:color="auto"/>
            <w:left w:val="none" w:sz="0" w:space="0" w:color="auto"/>
            <w:bottom w:val="none" w:sz="0" w:space="0" w:color="auto"/>
            <w:right w:val="none" w:sz="0" w:space="0" w:color="auto"/>
          </w:divBdr>
        </w:div>
        <w:div w:id="1032880024">
          <w:marLeft w:val="0"/>
          <w:marRight w:val="0"/>
          <w:marTop w:val="0"/>
          <w:marBottom w:val="0"/>
          <w:divBdr>
            <w:top w:val="none" w:sz="0" w:space="0" w:color="auto"/>
            <w:left w:val="none" w:sz="0" w:space="0" w:color="auto"/>
            <w:bottom w:val="none" w:sz="0" w:space="0" w:color="auto"/>
            <w:right w:val="none" w:sz="0" w:space="0" w:color="auto"/>
          </w:divBdr>
        </w:div>
        <w:div w:id="479538957">
          <w:marLeft w:val="0"/>
          <w:marRight w:val="0"/>
          <w:marTop w:val="0"/>
          <w:marBottom w:val="0"/>
          <w:divBdr>
            <w:top w:val="none" w:sz="0" w:space="0" w:color="auto"/>
            <w:left w:val="none" w:sz="0" w:space="0" w:color="auto"/>
            <w:bottom w:val="none" w:sz="0" w:space="0" w:color="auto"/>
            <w:right w:val="none" w:sz="0" w:space="0" w:color="auto"/>
          </w:divBdr>
        </w:div>
        <w:div w:id="697241041">
          <w:marLeft w:val="0"/>
          <w:marRight w:val="0"/>
          <w:marTop w:val="0"/>
          <w:marBottom w:val="0"/>
          <w:divBdr>
            <w:top w:val="none" w:sz="0" w:space="0" w:color="auto"/>
            <w:left w:val="none" w:sz="0" w:space="0" w:color="auto"/>
            <w:bottom w:val="none" w:sz="0" w:space="0" w:color="auto"/>
            <w:right w:val="none" w:sz="0" w:space="0" w:color="auto"/>
          </w:divBdr>
        </w:div>
        <w:div w:id="503931766">
          <w:marLeft w:val="0"/>
          <w:marRight w:val="0"/>
          <w:marTop w:val="0"/>
          <w:marBottom w:val="0"/>
          <w:divBdr>
            <w:top w:val="none" w:sz="0" w:space="0" w:color="auto"/>
            <w:left w:val="none" w:sz="0" w:space="0" w:color="auto"/>
            <w:bottom w:val="none" w:sz="0" w:space="0" w:color="auto"/>
            <w:right w:val="none" w:sz="0" w:space="0" w:color="auto"/>
          </w:divBdr>
        </w:div>
        <w:div w:id="1266117399">
          <w:marLeft w:val="0"/>
          <w:marRight w:val="0"/>
          <w:marTop w:val="0"/>
          <w:marBottom w:val="0"/>
          <w:divBdr>
            <w:top w:val="none" w:sz="0" w:space="0" w:color="auto"/>
            <w:left w:val="none" w:sz="0" w:space="0" w:color="auto"/>
            <w:bottom w:val="none" w:sz="0" w:space="0" w:color="auto"/>
            <w:right w:val="none" w:sz="0" w:space="0" w:color="auto"/>
          </w:divBdr>
        </w:div>
        <w:div w:id="63576040">
          <w:marLeft w:val="0"/>
          <w:marRight w:val="0"/>
          <w:marTop w:val="0"/>
          <w:marBottom w:val="0"/>
          <w:divBdr>
            <w:top w:val="none" w:sz="0" w:space="0" w:color="auto"/>
            <w:left w:val="none" w:sz="0" w:space="0" w:color="auto"/>
            <w:bottom w:val="none" w:sz="0" w:space="0" w:color="auto"/>
            <w:right w:val="none" w:sz="0" w:space="0" w:color="auto"/>
          </w:divBdr>
        </w:div>
        <w:div w:id="958994949">
          <w:marLeft w:val="0"/>
          <w:marRight w:val="0"/>
          <w:marTop w:val="0"/>
          <w:marBottom w:val="0"/>
          <w:divBdr>
            <w:top w:val="none" w:sz="0" w:space="0" w:color="auto"/>
            <w:left w:val="none" w:sz="0" w:space="0" w:color="auto"/>
            <w:bottom w:val="none" w:sz="0" w:space="0" w:color="auto"/>
            <w:right w:val="none" w:sz="0" w:space="0" w:color="auto"/>
          </w:divBdr>
        </w:div>
        <w:div w:id="1204975610">
          <w:marLeft w:val="0"/>
          <w:marRight w:val="0"/>
          <w:marTop w:val="0"/>
          <w:marBottom w:val="0"/>
          <w:divBdr>
            <w:top w:val="none" w:sz="0" w:space="0" w:color="auto"/>
            <w:left w:val="none" w:sz="0" w:space="0" w:color="auto"/>
            <w:bottom w:val="none" w:sz="0" w:space="0" w:color="auto"/>
            <w:right w:val="none" w:sz="0" w:space="0" w:color="auto"/>
          </w:divBdr>
        </w:div>
        <w:div w:id="1495802490">
          <w:marLeft w:val="0"/>
          <w:marRight w:val="0"/>
          <w:marTop w:val="0"/>
          <w:marBottom w:val="0"/>
          <w:divBdr>
            <w:top w:val="none" w:sz="0" w:space="0" w:color="auto"/>
            <w:left w:val="none" w:sz="0" w:space="0" w:color="auto"/>
            <w:bottom w:val="none" w:sz="0" w:space="0" w:color="auto"/>
            <w:right w:val="none" w:sz="0" w:space="0" w:color="auto"/>
          </w:divBdr>
        </w:div>
        <w:div w:id="803351961">
          <w:marLeft w:val="0"/>
          <w:marRight w:val="0"/>
          <w:marTop w:val="0"/>
          <w:marBottom w:val="0"/>
          <w:divBdr>
            <w:top w:val="none" w:sz="0" w:space="0" w:color="auto"/>
            <w:left w:val="none" w:sz="0" w:space="0" w:color="auto"/>
            <w:bottom w:val="none" w:sz="0" w:space="0" w:color="auto"/>
            <w:right w:val="none" w:sz="0" w:space="0" w:color="auto"/>
          </w:divBdr>
        </w:div>
        <w:div w:id="1699046751">
          <w:marLeft w:val="0"/>
          <w:marRight w:val="0"/>
          <w:marTop w:val="0"/>
          <w:marBottom w:val="0"/>
          <w:divBdr>
            <w:top w:val="none" w:sz="0" w:space="0" w:color="auto"/>
            <w:left w:val="none" w:sz="0" w:space="0" w:color="auto"/>
            <w:bottom w:val="none" w:sz="0" w:space="0" w:color="auto"/>
            <w:right w:val="none" w:sz="0" w:space="0" w:color="auto"/>
          </w:divBdr>
        </w:div>
        <w:div w:id="533232536">
          <w:marLeft w:val="0"/>
          <w:marRight w:val="0"/>
          <w:marTop w:val="0"/>
          <w:marBottom w:val="0"/>
          <w:divBdr>
            <w:top w:val="none" w:sz="0" w:space="0" w:color="auto"/>
            <w:left w:val="none" w:sz="0" w:space="0" w:color="auto"/>
            <w:bottom w:val="none" w:sz="0" w:space="0" w:color="auto"/>
            <w:right w:val="none" w:sz="0" w:space="0" w:color="auto"/>
          </w:divBdr>
        </w:div>
        <w:div w:id="458450718">
          <w:marLeft w:val="0"/>
          <w:marRight w:val="0"/>
          <w:marTop w:val="0"/>
          <w:marBottom w:val="0"/>
          <w:divBdr>
            <w:top w:val="none" w:sz="0" w:space="0" w:color="auto"/>
            <w:left w:val="none" w:sz="0" w:space="0" w:color="auto"/>
            <w:bottom w:val="none" w:sz="0" w:space="0" w:color="auto"/>
            <w:right w:val="none" w:sz="0" w:space="0" w:color="auto"/>
          </w:divBdr>
        </w:div>
        <w:div w:id="530190248">
          <w:marLeft w:val="0"/>
          <w:marRight w:val="0"/>
          <w:marTop w:val="0"/>
          <w:marBottom w:val="0"/>
          <w:divBdr>
            <w:top w:val="none" w:sz="0" w:space="0" w:color="auto"/>
            <w:left w:val="none" w:sz="0" w:space="0" w:color="auto"/>
            <w:bottom w:val="none" w:sz="0" w:space="0" w:color="auto"/>
            <w:right w:val="none" w:sz="0" w:space="0" w:color="auto"/>
          </w:divBdr>
        </w:div>
        <w:div w:id="950933760">
          <w:marLeft w:val="0"/>
          <w:marRight w:val="0"/>
          <w:marTop w:val="0"/>
          <w:marBottom w:val="0"/>
          <w:divBdr>
            <w:top w:val="none" w:sz="0" w:space="0" w:color="auto"/>
            <w:left w:val="none" w:sz="0" w:space="0" w:color="auto"/>
            <w:bottom w:val="none" w:sz="0" w:space="0" w:color="auto"/>
            <w:right w:val="none" w:sz="0" w:space="0" w:color="auto"/>
          </w:divBdr>
        </w:div>
        <w:div w:id="891038813">
          <w:marLeft w:val="0"/>
          <w:marRight w:val="0"/>
          <w:marTop w:val="0"/>
          <w:marBottom w:val="0"/>
          <w:divBdr>
            <w:top w:val="none" w:sz="0" w:space="0" w:color="auto"/>
            <w:left w:val="none" w:sz="0" w:space="0" w:color="auto"/>
            <w:bottom w:val="none" w:sz="0" w:space="0" w:color="auto"/>
            <w:right w:val="none" w:sz="0" w:space="0" w:color="auto"/>
          </w:divBdr>
        </w:div>
        <w:div w:id="2080588591">
          <w:marLeft w:val="0"/>
          <w:marRight w:val="0"/>
          <w:marTop w:val="0"/>
          <w:marBottom w:val="0"/>
          <w:divBdr>
            <w:top w:val="none" w:sz="0" w:space="0" w:color="auto"/>
            <w:left w:val="none" w:sz="0" w:space="0" w:color="auto"/>
            <w:bottom w:val="none" w:sz="0" w:space="0" w:color="auto"/>
            <w:right w:val="none" w:sz="0" w:space="0" w:color="auto"/>
          </w:divBdr>
        </w:div>
        <w:div w:id="2018340554">
          <w:marLeft w:val="0"/>
          <w:marRight w:val="0"/>
          <w:marTop w:val="0"/>
          <w:marBottom w:val="0"/>
          <w:divBdr>
            <w:top w:val="none" w:sz="0" w:space="0" w:color="auto"/>
            <w:left w:val="none" w:sz="0" w:space="0" w:color="auto"/>
            <w:bottom w:val="none" w:sz="0" w:space="0" w:color="auto"/>
            <w:right w:val="none" w:sz="0" w:space="0" w:color="auto"/>
          </w:divBdr>
        </w:div>
      </w:divsChild>
    </w:div>
    <w:div w:id="1585916104">
      <w:bodyDiv w:val="1"/>
      <w:marLeft w:val="0"/>
      <w:marRight w:val="0"/>
      <w:marTop w:val="0"/>
      <w:marBottom w:val="0"/>
      <w:divBdr>
        <w:top w:val="none" w:sz="0" w:space="0" w:color="auto"/>
        <w:left w:val="none" w:sz="0" w:space="0" w:color="auto"/>
        <w:bottom w:val="none" w:sz="0" w:space="0" w:color="auto"/>
        <w:right w:val="none" w:sz="0" w:space="0" w:color="auto"/>
      </w:divBdr>
      <w:divsChild>
        <w:div w:id="454326825">
          <w:marLeft w:val="0"/>
          <w:marRight w:val="0"/>
          <w:marTop w:val="0"/>
          <w:marBottom w:val="0"/>
          <w:divBdr>
            <w:top w:val="none" w:sz="0" w:space="0" w:color="auto"/>
            <w:left w:val="none" w:sz="0" w:space="0" w:color="auto"/>
            <w:bottom w:val="none" w:sz="0" w:space="0" w:color="auto"/>
            <w:right w:val="none" w:sz="0" w:space="0" w:color="auto"/>
          </w:divBdr>
        </w:div>
        <w:div w:id="303505561">
          <w:marLeft w:val="0"/>
          <w:marRight w:val="0"/>
          <w:marTop w:val="0"/>
          <w:marBottom w:val="0"/>
          <w:divBdr>
            <w:top w:val="none" w:sz="0" w:space="0" w:color="auto"/>
            <w:left w:val="none" w:sz="0" w:space="0" w:color="auto"/>
            <w:bottom w:val="none" w:sz="0" w:space="0" w:color="auto"/>
            <w:right w:val="none" w:sz="0" w:space="0" w:color="auto"/>
          </w:divBdr>
        </w:div>
        <w:div w:id="416442958">
          <w:marLeft w:val="0"/>
          <w:marRight w:val="0"/>
          <w:marTop w:val="0"/>
          <w:marBottom w:val="0"/>
          <w:divBdr>
            <w:top w:val="none" w:sz="0" w:space="0" w:color="auto"/>
            <w:left w:val="none" w:sz="0" w:space="0" w:color="auto"/>
            <w:bottom w:val="none" w:sz="0" w:space="0" w:color="auto"/>
            <w:right w:val="none" w:sz="0" w:space="0" w:color="auto"/>
          </w:divBdr>
        </w:div>
        <w:div w:id="1570965406">
          <w:marLeft w:val="0"/>
          <w:marRight w:val="0"/>
          <w:marTop w:val="0"/>
          <w:marBottom w:val="0"/>
          <w:divBdr>
            <w:top w:val="none" w:sz="0" w:space="0" w:color="auto"/>
            <w:left w:val="none" w:sz="0" w:space="0" w:color="auto"/>
            <w:bottom w:val="none" w:sz="0" w:space="0" w:color="auto"/>
            <w:right w:val="none" w:sz="0" w:space="0" w:color="auto"/>
          </w:divBdr>
        </w:div>
        <w:div w:id="854344326">
          <w:marLeft w:val="0"/>
          <w:marRight w:val="0"/>
          <w:marTop w:val="0"/>
          <w:marBottom w:val="0"/>
          <w:divBdr>
            <w:top w:val="none" w:sz="0" w:space="0" w:color="auto"/>
            <w:left w:val="none" w:sz="0" w:space="0" w:color="auto"/>
            <w:bottom w:val="none" w:sz="0" w:space="0" w:color="auto"/>
            <w:right w:val="none" w:sz="0" w:space="0" w:color="auto"/>
          </w:divBdr>
        </w:div>
        <w:div w:id="972252993">
          <w:marLeft w:val="0"/>
          <w:marRight w:val="0"/>
          <w:marTop w:val="0"/>
          <w:marBottom w:val="0"/>
          <w:divBdr>
            <w:top w:val="none" w:sz="0" w:space="0" w:color="auto"/>
            <w:left w:val="none" w:sz="0" w:space="0" w:color="auto"/>
            <w:bottom w:val="none" w:sz="0" w:space="0" w:color="auto"/>
            <w:right w:val="none" w:sz="0" w:space="0" w:color="auto"/>
          </w:divBdr>
        </w:div>
        <w:div w:id="1060593204">
          <w:marLeft w:val="0"/>
          <w:marRight w:val="0"/>
          <w:marTop w:val="0"/>
          <w:marBottom w:val="0"/>
          <w:divBdr>
            <w:top w:val="none" w:sz="0" w:space="0" w:color="auto"/>
            <w:left w:val="none" w:sz="0" w:space="0" w:color="auto"/>
            <w:bottom w:val="none" w:sz="0" w:space="0" w:color="auto"/>
            <w:right w:val="none" w:sz="0" w:space="0" w:color="auto"/>
          </w:divBdr>
        </w:div>
        <w:div w:id="431435566">
          <w:marLeft w:val="0"/>
          <w:marRight w:val="0"/>
          <w:marTop w:val="0"/>
          <w:marBottom w:val="0"/>
          <w:divBdr>
            <w:top w:val="none" w:sz="0" w:space="0" w:color="auto"/>
            <w:left w:val="none" w:sz="0" w:space="0" w:color="auto"/>
            <w:bottom w:val="none" w:sz="0" w:space="0" w:color="auto"/>
            <w:right w:val="none" w:sz="0" w:space="0" w:color="auto"/>
          </w:divBdr>
        </w:div>
        <w:div w:id="340088931">
          <w:marLeft w:val="0"/>
          <w:marRight w:val="0"/>
          <w:marTop w:val="0"/>
          <w:marBottom w:val="0"/>
          <w:divBdr>
            <w:top w:val="none" w:sz="0" w:space="0" w:color="auto"/>
            <w:left w:val="none" w:sz="0" w:space="0" w:color="auto"/>
            <w:bottom w:val="none" w:sz="0" w:space="0" w:color="auto"/>
            <w:right w:val="none" w:sz="0" w:space="0" w:color="auto"/>
          </w:divBdr>
        </w:div>
        <w:div w:id="1576429052">
          <w:marLeft w:val="0"/>
          <w:marRight w:val="0"/>
          <w:marTop w:val="0"/>
          <w:marBottom w:val="0"/>
          <w:divBdr>
            <w:top w:val="none" w:sz="0" w:space="0" w:color="auto"/>
            <w:left w:val="none" w:sz="0" w:space="0" w:color="auto"/>
            <w:bottom w:val="none" w:sz="0" w:space="0" w:color="auto"/>
            <w:right w:val="none" w:sz="0" w:space="0" w:color="auto"/>
          </w:divBdr>
        </w:div>
        <w:div w:id="364259911">
          <w:marLeft w:val="0"/>
          <w:marRight w:val="0"/>
          <w:marTop w:val="0"/>
          <w:marBottom w:val="0"/>
          <w:divBdr>
            <w:top w:val="none" w:sz="0" w:space="0" w:color="auto"/>
            <w:left w:val="none" w:sz="0" w:space="0" w:color="auto"/>
            <w:bottom w:val="none" w:sz="0" w:space="0" w:color="auto"/>
            <w:right w:val="none" w:sz="0" w:space="0" w:color="auto"/>
          </w:divBdr>
        </w:div>
        <w:div w:id="14579303">
          <w:marLeft w:val="0"/>
          <w:marRight w:val="0"/>
          <w:marTop w:val="0"/>
          <w:marBottom w:val="0"/>
          <w:divBdr>
            <w:top w:val="none" w:sz="0" w:space="0" w:color="auto"/>
            <w:left w:val="none" w:sz="0" w:space="0" w:color="auto"/>
            <w:bottom w:val="none" w:sz="0" w:space="0" w:color="auto"/>
            <w:right w:val="none" w:sz="0" w:space="0" w:color="auto"/>
          </w:divBdr>
        </w:div>
        <w:div w:id="1984582477">
          <w:marLeft w:val="0"/>
          <w:marRight w:val="0"/>
          <w:marTop w:val="0"/>
          <w:marBottom w:val="0"/>
          <w:divBdr>
            <w:top w:val="none" w:sz="0" w:space="0" w:color="auto"/>
            <w:left w:val="none" w:sz="0" w:space="0" w:color="auto"/>
            <w:bottom w:val="none" w:sz="0" w:space="0" w:color="auto"/>
            <w:right w:val="none" w:sz="0" w:space="0" w:color="auto"/>
          </w:divBdr>
        </w:div>
        <w:div w:id="1230769817">
          <w:marLeft w:val="0"/>
          <w:marRight w:val="0"/>
          <w:marTop w:val="0"/>
          <w:marBottom w:val="0"/>
          <w:divBdr>
            <w:top w:val="none" w:sz="0" w:space="0" w:color="auto"/>
            <w:left w:val="none" w:sz="0" w:space="0" w:color="auto"/>
            <w:bottom w:val="none" w:sz="0" w:space="0" w:color="auto"/>
            <w:right w:val="none" w:sz="0" w:space="0" w:color="auto"/>
          </w:divBdr>
        </w:div>
        <w:div w:id="77218218">
          <w:marLeft w:val="0"/>
          <w:marRight w:val="0"/>
          <w:marTop w:val="0"/>
          <w:marBottom w:val="0"/>
          <w:divBdr>
            <w:top w:val="none" w:sz="0" w:space="0" w:color="auto"/>
            <w:left w:val="none" w:sz="0" w:space="0" w:color="auto"/>
            <w:bottom w:val="none" w:sz="0" w:space="0" w:color="auto"/>
            <w:right w:val="none" w:sz="0" w:space="0" w:color="auto"/>
          </w:divBdr>
        </w:div>
        <w:div w:id="1006711651">
          <w:marLeft w:val="0"/>
          <w:marRight w:val="0"/>
          <w:marTop w:val="0"/>
          <w:marBottom w:val="0"/>
          <w:divBdr>
            <w:top w:val="none" w:sz="0" w:space="0" w:color="auto"/>
            <w:left w:val="none" w:sz="0" w:space="0" w:color="auto"/>
            <w:bottom w:val="none" w:sz="0" w:space="0" w:color="auto"/>
            <w:right w:val="none" w:sz="0" w:space="0" w:color="auto"/>
          </w:divBdr>
        </w:div>
        <w:div w:id="1889098743">
          <w:marLeft w:val="0"/>
          <w:marRight w:val="0"/>
          <w:marTop w:val="0"/>
          <w:marBottom w:val="0"/>
          <w:divBdr>
            <w:top w:val="none" w:sz="0" w:space="0" w:color="auto"/>
            <w:left w:val="none" w:sz="0" w:space="0" w:color="auto"/>
            <w:bottom w:val="none" w:sz="0" w:space="0" w:color="auto"/>
            <w:right w:val="none" w:sz="0" w:space="0" w:color="auto"/>
          </w:divBdr>
        </w:div>
        <w:div w:id="889266319">
          <w:marLeft w:val="0"/>
          <w:marRight w:val="0"/>
          <w:marTop w:val="0"/>
          <w:marBottom w:val="0"/>
          <w:divBdr>
            <w:top w:val="none" w:sz="0" w:space="0" w:color="auto"/>
            <w:left w:val="none" w:sz="0" w:space="0" w:color="auto"/>
            <w:bottom w:val="none" w:sz="0" w:space="0" w:color="auto"/>
            <w:right w:val="none" w:sz="0" w:space="0" w:color="auto"/>
          </w:divBdr>
        </w:div>
        <w:div w:id="617879384">
          <w:marLeft w:val="0"/>
          <w:marRight w:val="0"/>
          <w:marTop w:val="0"/>
          <w:marBottom w:val="0"/>
          <w:divBdr>
            <w:top w:val="none" w:sz="0" w:space="0" w:color="auto"/>
            <w:left w:val="none" w:sz="0" w:space="0" w:color="auto"/>
            <w:bottom w:val="none" w:sz="0" w:space="0" w:color="auto"/>
            <w:right w:val="none" w:sz="0" w:space="0" w:color="auto"/>
          </w:divBdr>
        </w:div>
        <w:div w:id="727076501">
          <w:marLeft w:val="0"/>
          <w:marRight w:val="0"/>
          <w:marTop w:val="0"/>
          <w:marBottom w:val="0"/>
          <w:divBdr>
            <w:top w:val="none" w:sz="0" w:space="0" w:color="auto"/>
            <w:left w:val="none" w:sz="0" w:space="0" w:color="auto"/>
            <w:bottom w:val="none" w:sz="0" w:space="0" w:color="auto"/>
            <w:right w:val="none" w:sz="0" w:space="0" w:color="auto"/>
          </w:divBdr>
        </w:div>
        <w:div w:id="1041982559">
          <w:marLeft w:val="0"/>
          <w:marRight w:val="0"/>
          <w:marTop w:val="0"/>
          <w:marBottom w:val="0"/>
          <w:divBdr>
            <w:top w:val="none" w:sz="0" w:space="0" w:color="auto"/>
            <w:left w:val="none" w:sz="0" w:space="0" w:color="auto"/>
            <w:bottom w:val="none" w:sz="0" w:space="0" w:color="auto"/>
            <w:right w:val="none" w:sz="0" w:space="0" w:color="auto"/>
          </w:divBdr>
        </w:div>
        <w:div w:id="822743737">
          <w:marLeft w:val="0"/>
          <w:marRight w:val="0"/>
          <w:marTop w:val="0"/>
          <w:marBottom w:val="0"/>
          <w:divBdr>
            <w:top w:val="none" w:sz="0" w:space="0" w:color="auto"/>
            <w:left w:val="none" w:sz="0" w:space="0" w:color="auto"/>
            <w:bottom w:val="none" w:sz="0" w:space="0" w:color="auto"/>
            <w:right w:val="none" w:sz="0" w:space="0" w:color="auto"/>
          </w:divBdr>
        </w:div>
        <w:div w:id="1472601094">
          <w:marLeft w:val="0"/>
          <w:marRight w:val="0"/>
          <w:marTop w:val="0"/>
          <w:marBottom w:val="0"/>
          <w:divBdr>
            <w:top w:val="none" w:sz="0" w:space="0" w:color="auto"/>
            <w:left w:val="none" w:sz="0" w:space="0" w:color="auto"/>
            <w:bottom w:val="none" w:sz="0" w:space="0" w:color="auto"/>
            <w:right w:val="none" w:sz="0" w:space="0" w:color="auto"/>
          </w:divBdr>
        </w:div>
        <w:div w:id="696852081">
          <w:marLeft w:val="0"/>
          <w:marRight w:val="0"/>
          <w:marTop w:val="0"/>
          <w:marBottom w:val="0"/>
          <w:divBdr>
            <w:top w:val="none" w:sz="0" w:space="0" w:color="auto"/>
            <w:left w:val="none" w:sz="0" w:space="0" w:color="auto"/>
            <w:bottom w:val="none" w:sz="0" w:space="0" w:color="auto"/>
            <w:right w:val="none" w:sz="0" w:space="0" w:color="auto"/>
          </w:divBdr>
        </w:div>
        <w:div w:id="1807745231">
          <w:marLeft w:val="0"/>
          <w:marRight w:val="0"/>
          <w:marTop w:val="0"/>
          <w:marBottom w:val="0"/>
          <w:divBdr>
            <w:top w:val="none" w:sz="0" w:space="0" w:color="auto"/>
            <w:left w:val="none" w:sz="0" w:space="0" w:color="auto"/>
            <w:bottom w:val="none" w:sz="0" w:space="0" w:color="auto"/>
            <w:right w:val="none" w:sz="0" w:space="0" w:color="auto"/>
          </w:divBdr>
        </w:div>
        <w:div w:id="345987342">
          <w:marLeft w:val="0"/>
          <w:marRight w:val="0"/>
          <w:marTop w:val="0"/>
          <w:marBottom w:val="0"/>
          <w:divBdr>
            <w:top w:val="none" w:sz="0" w:space="0" w:color="auto"/>
            <w:left w:val="none" w:sz="0" w:space="0" w:color="auto"/>
            <w:bottom w:val="none" w:sz="0" w:space="0" w:color="auto"/>
            <w:right w:val="none" w:sz="0" w:space="0" w:color="auto"/>
          </w:divBdr>
        </w:div>
        <w:div w:id="269358707">
          <w:marLeft w:val="0"/>
          <w:marRight w:val="0"/>
          <w:marTop w:val="0"/>
          <w:marBottom w:val="0"/>
          <w:divBdr>
            <w:top w:val="none" w:sz="0" w:space="0" w:color="auto"/>
            <w:left w:val="none" w:sz="0" w:space="0" w:color="auto"/>
            <w:bottom w:val="none" w:sz="0" w:space="0" w:color="auto"/>
            <w:right w:val="none" w:sz="0" w:space="0" w:color="auto"/>
          </w:divBdr>
        </w:div>
        <w:div w:id="1496452576">
          <w:marLeft w:val="0"/>
          <w:marRight w:val="0"/>
          <w:marTop w:val="0"/>
          <w:marBottom w:val="0"/>
          <w:divBdr>
            <w:top w:val="none" w:sz="0" w:space="0" w:color="auto"/>
            <w:left w:val="none" w:sz="0" w:space="0" w:color="auto"/>
            <w:bottom w:val="none" w:sz="0" w:space="0" w:color="auto"/>
            <w:right w:val="none" w:sz="0" w:space="0" w:color="auto"/>
          </w:divBdr>
        </w:div>
        <w:div w:id="1396390565">
          <w:marLeft w:val="0"/>
          <w:marRight w:val="0"/>
          <w:marTop w:val="0"/>
          <w:marBottom w:val="0"/>
          <w:divBdr>
            <w:top w:val="none" w:sz="0" w:space="0" w:color="auto"/>
            <w:left w:val="none" w:sz="0" w:space="0" w:color="auto"/>
            <w:bottom w:val="none" w:sz="0" w:space="0" w:color="auto"/>
            <w:right w:val="none" w:sz="0" w:space="0" w:color="auto"/>
          </w:divBdr>
        </w:div>
        <w:div w:id="1442913601">
          <w:marLeft w:val="0"/>
          <w:marRight w:val="0"/>
          <w:marTop w:val="0"/>
          <w:marBottom w:val="0"/>
          <w:divBdr>
            <w:top w:val="none" w:sz="0" w:space="0" w:color="auto"/>
            <w:left w:val="none" w:sz="0" w:space="0" w:color="auto"/>
            <w:bottom w:val="none" w:sz="0" w:space="0" w:color="auto"/>
            <w:right w:val="none" w:sz="0" w:space="0" w:color="auto"/>
          </w:divBdr>
        </w:div>
        <w:div w:id="1718241969">
          <w:marLeft w:val="0"/>
          <w:marRight w:val="0"/>
          <w:marTop w:val="0"/>
          <w:marBottom w:val="0"/>
          <w:divBdr>
            <w:top w:val="none" w:sz="0" w:space="0" w:color="auto"/>
            <w:left w:val="none" w:sz="0" w:space="0" w:color="auto"/>
            <w:bottom w:val="none" w:sz="0" w:space="0" w:color="auto"/>
            <w:right w:val="none" w:sz="0" w:space="0" w:color="auto"/>
          </w:divBdr>
        </w:div>
        <w:div w:id="192769003">
          <w:marLeft w:val="0"/>
          <w:marRight w:val="0"/>
          <w:marTop w:val="0"/>
          <w:marBottom w:val="0"/>
          <w:divBdr>
            <w:top w:val="none" w:sz="0" w:space="0" w:color="auto"/>
            <w:left w:val="none" w:sz="0" w:space="0" w:color="auto"/>
            <w:bottom w:val="none" w:sz="0" w:space="0" w:color="auto"/>
            <w:right w:val="none" w:sz="0" w:space="0" w:color="auto"/>
          </w:divBdr>
        </w:div>
        <w:div w:id="1057123459">
          <w:marLeft w:val="0"/>
          <w:marRight w:val="0"/>
          <w:marTop w:val="0"/>
          <w:marBottom w:val="0"/>
          <w:divBdr>
            <w:top w:val="none" w:sz="0" w:space="0" w:color="auto"/>
            <w:left w:val="none" w:sz="0" w:space="0" w:color="auto"/>
            <w:bottom w:val="none" w:sz="0" w:space="0" w:color="auto"/>
            <w:right w:val="none" w:sz="0" w:space="0" w:color="auto"/>
          </w:divBdr>
        </w:div>
        <w:div w:id="413015143">
          <w:marLeft w:val="0"/>
          <w:marRight w:val="0"/>
          <w:marTop w:val="0"/>
          <w:marBottom w:val="0"/>
          <w:divBdr>
            <w:top w:val="none" w:sz="0" w:space="0" w:color="auto"/>
            <w:left w:val="none" w:sz="0" w:space="0" w:color="auto"/>
            <w:bottom w:val="none" w:sz="0" w:space="0" w:color="auto"/>
            <w:right w:val="none" w:sz="0" w:space="0" w:color="auto"/>
          </w:divBdr>
        </w:div>
        <w:div w:id="419987040">
          <w:marLeft w:val="0"/>
          <w:marRight w:val="0"/>
          <w:marTop w:val="0"/>
          <w:marBottom w:val="0"/>
          <w:divBdr>
            <w:top w:val="none" w:sz="0" w:space="0" w:color="auto"/>
            <w:left w:val="none" w:sz="0" w:space="0" w:color="auto"/>
            <w:bottom w:val="none" w:sz="0" w:space="0" w:color="auto"/>
            <w:right w:val="none" w:sz="0" w:space="0" w:color="auto"/>
          </w:divBdr>
        </w:div>
        <w:div w:id="1207109331">
          <w:marLeft w:val="0"/>
          <w:marRight w:val="0"/>
          <w:marTop w:val="0"/>
          <w:marBottom w:val="0"/>
          <w:divBdr>
            <w:top w:val="none" w:sz="0" w:space="0" w:color="auto"/>
            <w:left w:val="none" w:sz="0" w:space="0" w:color="auto"/>
            <w:bottom w:val="none" w:sz="0" w:space="0" w:color="auto"/>
            <w:right w:val="none" w:sz="0" w:space="0" w:color="auto"/>
          </w:divBdr>
        </w:div>
      </w:divsChild>
    </w:div>
    <w:div w:id="1602567360">
      <w:bodyDiv w:val="1"/>
      <w:marLeft w:val="0"/>
      <w:marRight w:val="0"/>
      <w:marTop w:val="0"/>
      <w:marBottom w:val="0"/>
      <w:divBdr>
        <w:top w:val="none" w:sz="0" w:space="0" w:color="auto"/>
        <w:left w:val="none" w:sz="0" w:space="0" w:color="auto"/>
        <w:bottom w:val="none" w:sz="0" w:space="0" w:color="auto"/>
        <w:right w:val="none" w:sz="0" w:space="0" w:color="auto"/>
      </w:divBdr>
      <w:divsChild>
        <w:div w:id="341709242">
          <w:marLeft w:val="0"/>
          <w:marRight w:val="0"/>
          <w:marTop w:val="0"/>
          <w:marBottom w:val="0"/>
          <w:divBdr>
            <w:top w:val="none" w:sz="0" w:space="0" w:color="auto"/>
            <w:left w:val="none" w:sz="0" w:space="0" w:color="auto"/>
            <w:bottom w:val="none" w:sz="0" w:space="0" w:color="auto"/>
            <w:right w:val="none" w:sz="0" w:space="0" w:color="auto"/>
          </w:divBdr>
        </w:div>
        <w:div w:id="268781287">
          <w:marLeft w:val="0"/>
          <w:marRight w:val="0"/>
          <w:marTop w:val="0"/>
          <w:marBottom w:val="0"/>
          <w:divBdr>
            <w:top w:val="none" w:sz="0" w:space="0" w:color="auto"/>
            <w:left w:val="none" w:sz="0" w:space="0" w:color="auto"/>
            <w:bottom w:val="none" w:sz="0" w:space="0" w:color="auto"/>
            <w:right w:val="none" w:sz="0" w:space="0" w:color="auto"/>
          </w:divBdr>
        </w:div>
        <w:div w:id="937061575">
          <w:marLeft w:val="0"/>
          <w:marRight w:val="0"/>
          <w:marTop w:val="0"/>
          <w:marBottom w:val="0"/>
          <w:divBdr>
            <w:top w:val="none" w:sz="0" w:space="0" w:color="auto"/>
            <w:left w:val="none" w:sz="0" w:space="0" w:color="auto"/>
            <w:bottom w:val="none" w:sz="0" w:space="0" w:color="auto"/>
            <w:right w:val="none" w:sz="0" w:space="0" w:color="auto"/>
          </w:divBdr>
        </w:div>
        <w:div w:id="872232901">
          <w:marLeft w:val="0"/>
          <w:marRight w:val="0"/>
          <w:marTop w:val="0"/>
          <w:marBottom w:val="0"/>
          <w:divBdr>
            <w:top w:val="none" w:sz="0" w:space="0" w:color="auto"/>
            <w:left w:val="none" w:sz="0" w:space="0" w:color="auto"/>
            <w:bottom w:val="none" w:sz="0" w:space="0" w:color="auto"/>
            <w:right w:val="none" w:sz="0" w:space="0" w:color="auto"/>
          </w:divBdr>
        </w:div>
        <w:div w:id="740177383">
          <w:marLeft w:val="0"/>
          <w:marRight w:val="0"/>
          <w:marTop w:val="0"/>
          <w:marBottom w:val="0"/>
          <w:divBdr>
            <w:top w:val="none" w:sz="0" w:space="0" w:color="auto"/>
            <w:left w:val="none" w:sz="0" w:space="0" w:color="auto"/>
            <w:bottom w:val="none" w:sz="0" w:space="0" w:color="auto"/>
            <w:right w:val="none" w:sz="0" w:space="0" w:color="auto"/>
          </w:divBdr>
        </w:div>
        <w:div w:id="24986150">
          <w:marLeft w:val="0"/>
          <w:marRight w:val="0"/>
          <w:marTop w:val="0"/>
          <w:marBottom w:val="0"/>
          <w:divBdr>
            <w:top w:val="none" w:sz="0" w:space="0" w:color="auto"/>
            <w:left w:val="none" w:sz="0" w:space="0" w:color="auto"/>
            <w:bottom w:val="none" w:sz="0" w:space="0" w:color="auto"/>
            <w:right w:val="none" w:sz="0" w:space="0" w:color="auto"/>
          </w:divBdr>
        </w:div>
        <w:div w:id="1051073979">
          <w:marLeft w:val="0"/>
          <w:marRight w:val="0"/>
          <w:marTop w:val="0"/>
          <w:marBottom w:val="0"/>
          <w:divBdr>
            <w:top w:val="none" w:sz="0" w:space="0" w:color="auto"/>
            <w:left w:val="none" w:sz="0" w:space="0" w:color="auto"/>
            <w:bottom w:val="none" w:sz="0" w:space="0" w:color="auto"/>
            <w:right w:val="none" w:sz="0" w:space="0" w:color="auto"/>
          </w:divBdr>
        </w:div>
        <w:div w:id="589966648">
          <w:marLeft w:val="0"/>
          <w:marRight w:val="0"/>
          <w:marTop w:val="0"/>
          <w:marBottom w:val="0"/>
          <w:divBdr>
            <w:top w:val="none" w:sz="0" w:space="0" w:color="auto"/>
            <w:left w:val="none" w:sz="0" w:space="0" w:color="auto"/>
            <w:bottom w:val="none" w:sz="0" w:space="0" w:color="auto"/>
            <w:right w:val="none" w:sz="0" w:space="0" w:color="auto"/>
          </w:divBdr>
        </w:div>
        <w:div w:id="1312366806">
          <w:marLeft w:val="0"/>
          <w:marRight w:val="0"/>
          <w:marTop w:val="0"/>
          <w:marBottom w:val="0"/>
          <w:divBdr>
            <w:top w:val="none" w:sz="0" w:space="0" w:color="auto"/>
            <w:left w:val="none" w:sz="0" w:space="0" w:color="auto"/>
            <w:bottom w:val="none" w:sz="0" w:space="0" w:color="auto"/>
            <w:right w:val="none" w:sz="0" w:space="0" w:color="auto"/>
          </w:divBdr>
        </w:div>
        <w:div w:id="925728043">
          <w:marLeft w:val="0"/>
          <w:marRight w:val="0"/>
          <w:marTop w:val="0"/>
          <w:marBottom w:val="0"/>
          <w:divBdr>
            <w:top w:val="none" w:sz="0" w:space="0" w:color="auto"/>
            <w:left w:val="none" w:sz="0" w:space="0" w:color="auto"/>
            <w:bottom w:val="none" w:sz="0" w:space="0" w:color="auto"/>
            <w:right w:val="none" w:sz="0" w:space="0" w:color="auto"/>
          </w:divBdr>
        </w:div>
        <w:div w:id="2094277579">
          <w:marLeft w:val="0"/>
          <w:marRight w:val="0"/>
          <w:marTop w:val="0"/>
          <w:marBottom w:val="0"/>
          <w:divBdr>
            <w:top w:val="none" w:sz="0" w:space="0" w:color="auto"/>
            <w:left w:val="none" w:sz="0" w:space="0" w:color="auto"/>
            <w:bottom w:val="none" w:sz="0" w:space="0" w:color="auto"/>
            <w:right w:val="none" w:sz="0" w:space="0" w:color="auto"/>
          </w:divBdr>
        </w:div>
        <w:div w:id="768089595">
          <w:marLeft w:val="0"/>
          <w:marRight w:val="0"/>
          <w:marTop w:val="0"/>
          <w:marBottom w:val="0"/>
          <w:divBdr>
            <w:top w:val="none" w:sz="0" w:space="0" w:color="auto"/>
            <w:left w:val="none" w:sz="0" w:space="0" w:color="auto"/>
            <w:bottom w:val="none" w:sz="0" w:space="0" w:color="auto"/>
            <w:right w:val="none" w:sz="0" w:space="0" w:color="auto"/>
          </w:divBdr>
        </w:div>
        <w:div w:id="757752629">
          <w:marLeft w:val="0"/>
          <w:marRight w:val="0"/>
          <w:marTop w:val="0"/>
          <w:marBottom w:val="0"/>
          <w:divBdr>
            <w:top w:val="none" w:sz="0" w:space="0" w:color="auto"/>
            <w:left w:val="none" w:sz="0" w:space="0" w:color="auto"/>
            <w:bottom w:val="none" w:sz="0" w:space="0" w:color="auto"/>
            <w:right w:val="none" w:sz="0" w:space="0" w:color="auto"/>
          </w:divBdr>
        </w:div>
        <w:div w:id="320355468">
          <w:marLeft w:val="0"/>
          <w:marRight w:val="0"/>
          <w:marTop w:val="0"/>
          <w:marBottom w:val="0"/>
          <w:divBdr>
            <w:top w:val="none" w:sz="0" w:space="0" w:color="auto"/>
            <w:left w:val="none" w:sz="0" w:space="0" w:color="auto"/>
            <w:bottom w:val="none" w:sz="0" w:space="0" w:color="auto"/>
            <w:right w:val="none" w:sz="0" w:space="0" w:color="auto"/>
          </w:divBdr>
        </w:div>
        <w:div w:id="1398166473">
          <w:marLeft w:val="0"/>
          <w:marRight w:val="0"/>
          <w:marTop w:val="0"/>
          <w:marBottom w:val="0"/>
          <w:divBdr>
            <w:top w:val="none" w:sz="0" w:space="0" w:color="auto"/>
            <w:left w:val="none" w:sz="0" w:space="0" w:color="auto"/>
            <w:bottom w:val="none" w:sz="0" w:space="0" w:color="auto"/>
            <w:right w:val="none" w:sz="0" w:space="0" w:color="auto"/>
          </w:divBdr>
        </w:div>
      </w:divsChild>
    </w:div>
    <w:div w:id="1712261418">
      <w:bodyDiv w:val="1"/>
      <w:marLeft w:val="0"/>
      <w:marRight w:val="0"/>
      <w:marTop w:val="0"/>
      <w:marBottom w:val="0"/>
      <w:divBdr>
        <w:top w:val="none" w:sz="0" w:space="0" w:color="auto"/>
        <w:left w:val="none" w:sz="0" w:space="0" w:color="auto"/>
        <w:bottom w:val="none" w:sz="0" w:space="0" w:color="auto"/>
        <w:right w:val="none" w:sz="0" w:space="0" w:color="auto"/>
      </w:divBdr>
      <w:divsChild>
        <w:div w:id="101188146">
          <w:marLeft w:val="0"/>
          <w:marRight w:val="0"/>
          <w:marTop w:val="0"/>
          <w:marBottom w:val="0"/>
          <w:divBdr>
            <w:top w:val="none" w:sz="0" w:space="0" w:color="auto"/>
            <w:left w:val="none" w:sz="0" w:space="0" w:color="auto"/>
            <w:bottom w:val="none" w:sz="0" w:space="0" w:color="auto"/>
            <w:right w:val="none" w:sz="0" w:space="0" w:color="auto"/>
          </w:divBdr>
        </w:div>
        <w:div w:id="1328435569">
          <w:marLeft w:val="0"/>
          <w:marRight w:val="0"/>
          <w:marTop w:val="0"/>
          <w:marBottom w:val="0"/>
          <w:divBdr>
            <w:top w:val="none" w:sz="0" w:space="0" w:color="auto"/>
            <w:left w:val="none" w:sz="0" w:space="0" w:color="auto"/>
            <w:bottom w:val="none" w:sz="0" w:space="0" w:color="auto"/>
            <w:right w:val="none" w:sz="0" w:space="0" w:color="auto"/>
          </w:divBdr>
        </w:div>
        <w:div w:id="1881359431">
          <w:marLeft w:val="0"/>
          <w:marRight w:val="0"/>
          <w:marTop w:val="0"/>
          <w:marBottom w:val="0"/>
          <w:divBdr>
            <w:top w:val="none" w:sz="0" w:space="0" w:color="auto"/>
            <w:left w:val="none" w:sz="0" w:space="0" w:color="auto"/>
            <w:bottom w:val="none" w:sz="0" w:space="0" w:color="auto"/>
            <w:right w:val="none" w:sz="0" w:space="0" w:color="auto"/>
          </w:divBdr>
        </w:div>
        <w:div w:id="2042582411">
          <w:marLeft w:val="0"/>
          <w:marRight w:val="0"/>
          <w:marTop w:val="0"/>
          <w:marBottom w:val="0"/>
          <w:divBdr>
            <w:top w:val="none" w:sz="0" w:space="0" w:color="auto"/>
            <w:left w:val="none" w:sz="0" w:space="0" w:color="auto"/>
            <w:bottom w:val="none" w:sz="0" w:space="0" w:color="auto"/>
            <w:right w:val="none" w:sz="0" w:space="0" w:color="auto"/>
          </w:divBdr>
        </w:div>
        <w:div w:id="1714697312">
          <w:marLeft w:val="0"/>
          <w:marRight w:val="0"/>
          <w:marTop w:val="0"/>
          <w:marBottom w:val="0"/>
          <w:divBdr>
            <w:top w:val="none" w:sz="0" w:space="0" w:color="auto"/>
            <w:left w:val="none" w:sz="0" w:space="0" w:color="auto"/>
            <w:bottom w:val="none" w:sz="0" w:space="0" w:color="auto"/>
            <w:right w:val="none" w:sz="0" w:space="0" w:color="auto"/>
          </w:divBdr>
        </w:div>
        <w:div w:id="1511528330">
          <w:marLeft w:val="0"/>
          <w:marRight w:val="0"/>
          <w:marTop w:val="0"/>
          <w:marBottom w:val="0"/>
          <w:divBdr>
            <w:top w:val="none" w:sz="0" w:space="0" w:color="auto"/>
            <w:left w:val="none" w:sz="0" w:space="0" w:color="auto"/>
            <w:bottom w:val="none" w:sz="0" w:space="0" w:color="auto"/>
            <w:right w:val="none" w:sz="0" w:space="0" w:color="auto"/>
          </w:divBdr>
        </w:div>
        <w:div w:id="442500092">
          <w:marLeft w:val="0"/>
          <w:marRight w:val="0"/>
          <w:marTop w:val="0"/>
          <w:marBottom w:val="0"/>
          <w:divBdr>
            <w:top w:val="none" w:sz="0" w:space="0" w:color="auto"/>
            <w:left w:val="none" w:sz="0" w:space="0" w:color="auto"/>
            <w:bottom w:val="none" w:sz="0" w:space="0" w:color="auto"/>
            <w:right w:val="none" w:sz="0" w:space="0" w:color="auto"/>
          </w:divBdr>
        </w:div>
        <w:div w:id="1448234829">
          <w:marLeft w:val="0"/>
          <w:marRight w:val="0"/>
          <w:marTop w:val="0"/>
          <w:marBottom w:val="0"/>
          <w:divBdr>
            <w:top w:val="none" w:sz="0" w:space="0" w:color="auto"/>
            <w:left w:val="none" w:sz="0" w:space="0" w:color="auto"/>
            <w:bottom w:val="none" w:sz="0" w:space="0" w:color="auto"/>
            <w:right w:val="none" w:sz="0" w:space="0" w:color="auto"/>
          </w:divBdr>
        </w:div>
        <w:div w:id="1416902076">
          <w:marLeft w:val="0"/>
          <w:marRight w:val="0"/>
          <w:marTop w:val="0"/>
          <w:marBottom w:val="0"/>
          <w:divBdr>
            <w:top w:val="none" w:sz="0" w:space="0" w:color="auto"/>
            <w:left w:val="none" w:sz="0" w:space="0" w:color="auto"/>
            <w:bottom w:val="none" w:sz="0" w:space="0" w:color="auto"/>
            <w:right w:val="none" w:sz="0" w:space="0" w:color="auto"/>
          </w:divBdr>
        </w:div>
        <w:div w:id="16927909">
          <w:marLeft w:val="0"/>
          <w:marRight w:val="0"/>
          <w:marTop w:val="0"/>
          <w:marBottom w:val="0"/>
          <w:divBdr>
            <w:top w:val="none" w:sz="0" w:space="0" w:color="auto"/>
            <w:left w:val="none" w:sz="0" w:space="0" w:color="auto"/>
            <w:bottom w:val="none" w:sz="0" w:space="0" w:color="auto"/>
            <w:right w:val="none" w:sz="0" w:space="0" w:color="auto"/>
          </w:divBdr>
        </w:div>
        <w:div w:id="1994796220">
          <w:marLeft w:val="0"/>
          <w:marRight w:val="0"/>
          <w:marTop w:val="0"/>
          <w:marBottom w:val="0"/>
          <w:divBdr>
            <w:top w:val="none" w:sz="0" w:space="0" w:color="auto"/>
            <w:left w:val="none" w:sz="0" w:space="0" w:color="auto"/>
            <w:bottom w:val="none" w:sz="0" w:space="0" w:color="auto"/>
            <w:right w:val="none" w:sz="0" w:space="0" w:color="auto"/>
          </w:divBdr>
        </w:div>
        <w:div w:id="967393856">
          <w:marLeft w:val="0"/>
          <w:marRight w:val="0"/>
          <w:marTop w:val="0"/>
          <w:marBottom w:val="0"/>
          <w:divBdr>
            <w:top w:val="none" w:sz="0" w:space="0" w:color="auto"/>
            <w:left w:val="none" w:sz="0" w:space="0" w:color="auto"/>
            <w:bottom w:val="none" w:sz="0" w:space="0" w:color="auto"/>
            <w:right w:val="none" w:sz="0" w:space="0" w:color="auto"/>
          </w:divBdr>
        </w:div>
        <w:div w:id="868881801">
          <w:marLeft w:val="0"/>
          <w:marRight w:val="0"/>
          <w:marTop w:val="0"/>
          <w:marBottom w:val="0"/>
          <w:divBdr>
            <w:top w:val="none" w:sz="0" w:space="0" w:color="auto"/>
            <w:left w:val="none" w:sz="0" w:space="0" w:color="auto"/>
            <w:bottom w:val="none" w:sz="0" w:space="0" w:color="auto"/>
            <w:right w:val="none" w:sz="0" w:space="0" w:color="auto"/>
          </w:divBdr>
        </w:div>
        <w:div w:id="1173645961">
          <w:marLeft w:val="0"/>
          <w:marRight w:val="0"/>
          <w:marTop w:val="0"/>
          <w:marBottom w:val="0"/>
          <w:divBdr>
            <w:top w:val="none" w:sz="0" w:space="0" w:color="auto"/>
            <w:left w:val="none" w:sz="0" w:space="0" w:color="auto"/>
            <w:bottom w:val="none" w:sz="0" w:space="0" w:color="auto"/>
            <w:right w:val="none" w:sz="0" w:space="0" w:color="auto"/>
          </w:divBdr>
        </w:div>
        <w:div w:id="718670110">
          <w:marLeft w:val="0"/>
          <w:marRight w:val="0"/>
          <w:marTop w:val="0"/>
          <w:marBottom w:val="0"/>
          <w:divBdr>
            <w:top w:val="none" w:sz="0" w:space="0" w:color="auto"/>
            <w:left w:val="none" w:sz="0" w:space="0" w:color="auto"/>
            <w:bottom w:val="none" w:sz="0" w:space="0" w:color="auto"/>
            <w:right w:val="none" w:sz="0" w:space="0" w:color="auto"/>
          </w:divBdr>
        </w:div>
        <w:div w:id="1043213144">
          <w:marLeft w:val="0"/>
          <w:marRight w:val="0"/>
          <w:marTop w:val="0"/>
          <w:marBottom w:val="0"/>
          <w:divBdr>
            <w:top w:val="none" w:sz="0" w:space="0" w:color="auto"/>
            <w:left w:val="none" w:sz="0" w:space="0" w:color="auto"/>
            <w:bottom w:val="none" w:sz="0" w:space="0" w:color="auto"/>
            <w:right w:val="none" w:sz="0" w:space="0" w:color="auto"/>
          </w:divBdr>
        </w:div>
        <w:div w:id="1647856331">
          <w:marLeft w:val="0"/>
          <w:marRight w:val="0"/>
          <w:marTop w:val="0"/>
          <w:marBottom w:val="0"/>
          <w:divBdr>
            <w:top w:val="none" w:sz="0" w:space="0" w:color="auto"/>
            <w:left w:val="none" w:sz="0" w:space="0" w:color="auto"/>
            <w:bottom w:val="none" w:sz="0" w:space="0" w:color="auto"/>
            <w:right w:val="none" w:sz="0" w:space="0" w:color="auto"/>
          </w:divBdr>
        </w:div>
        <w:div w:id="2049647244">
          <w:marLeft w:val="0"/>
          <w:marRight w:val="0"/>
          <w:marTop w:val="0"/>
          <w:marBottom w:val="0"/>
          <w:divBdr>
            <w:top w:val="none" w:sz="0" w:space="0" w:color="auto"/>
            <w:left w:val="none" w:sz="0" w:space="0" w:color="auto"/>
            <w:bottom w:val="none" w:sz="0" w:space="0" w:color="auto"/>
            <w:right w:val="none" w:sz="0" w:space="0" w:color="auto"/>
          </w:divBdr>
        </w:div>
        <w:div w:id="1914775234">
          <w:marLeft w:val="0"/>
          <w:marRight w:val="0"/>
          <w:marTop w:val="0"/>
          <w:marBottom w:val="0"/>
          <w:divBdr>
            <w:top w:val="none" w:sz="0" w:space="0" w:color="auto"/>
            <w:left w:val="none" w:sz="0" w:space="0" w:color="auto"/>
            <w:bottom w:val="none" w:sz="0" w:space="0" w:color="auto"/>
            <w:right w:val="none" w:sz="0" w:space="0" w:color="auto"/>
          </w:divBdr>
        </w:div>
        <w:div w:id="1815372279">
          <w:marLeft w:val="0"/>
          <w:marRight w:val="0"/>
          <w:marTop w:val="0"/>
          <w:marBottom w:val="0"/>
          <w:divBdr>
            <w:top w:val="none" w:sz="0" w:space="0" w:color="auto"/>
            <w:left w:val="none" w:sz="0" w:space="0" w:color="auto"/>
            <w:bottom w:val="none" w:sz="0" w:space="0" w:color="auto"/>
            <w:right w:val="none" w:sz="0" w:space="0" w:color="auto"/>
          </w:divBdr>
        </w:div>
        <w:div w:id="1418793794">
          <w:marLeft w:val="0"/>
          <w:marRight w:val="0"/>
          <w:marTop w:val="0"/>
          <w:marBottom w:val="0"/>
          <w:divBdr>
            <w:top w:val="none" w:sz="0" w:space="0" w:color="auto"/>
            <w:left w:val="none" w:sz="0" w:space="0" w:color="auto"/>
            <w:bottom w:val="none" w:sz="0" w:space="0" w:color="auto"/>
            <w:right w:val="none" w:sz="0" w:space="0" w:color="auto"/>
          </w:divBdr>
        </w:div>
        <w:div w:id="1349913045">
          <w:marLeft w:val="0"/>
          <w:marRight w:val="0"/>
          <w:marTop w:val="0"/>
          <w:marBottom w:val="0"/>
          <w:divBdr>
            <w:top w:val="none" w:sz="0" w:space="0" w:color="auto"/>
            <w:left w:val="none" w:sz="0" w:space="0" w:color="auto"/>
            <w:bottom w:val="none" w:sz="0" w:space="0" w:color="auto"/>
            <w:right w:val="none" w:sz="0" w:space="0" w:color="auto"/>
          </w:divBdr>
        </w:div>
        <w:div w:id="1218669545">
          <w:marLeft w:val="0"/>
          <w:marRight w:val="0"/>
          <w:marTop w:val="0"/>
          <w:marBottom w:val="0"/>
          <w:divBdr>
            <w:top w:val="none" w:sz="0" w:space="0" w:color="auto"/>
            <w:left w:val="none" w:sz="0" w:space="0" w:color="auto"/>
            <w:bottom w:val="none" w:sz="0" w:space="0" w:color="auto"/>
            <w:right w:val="none" w:sz="0" w:space="0" w:color="auto"/>
          </w:divBdr>
        </w:div>
        <w:div w:id="1699694756">
          <w:marLeft w:val="0"/>
          <w:marRight w:val="0"/>
          <w:marTop w:val="0"/>
          <w:marBottom w:val="0"/>
          <w:divBdr>
            <w:top w:val="none" w:sz="0" w:space="0" w:color="auto"/>
            <w:left w:val="none" w:sz="0" w:space="0" w:color="auto"/>
            <w:bottom w:val="none" w:sz="0" w:space="0" w:color="auto"/>
            <w:right w:val="none" w:sz="0" w:space="0" w:color="auto"/>
          </w:divBdr>
        </w:div>
        <w:div w:id="1245607966">
          <w:marLeft w:val="0"/>
          <w:marRight w:val="0"/>
          <w:marTop w:val="0"/>
          <w:marBottom w:val="0"/>
          <w:divBdr>
            <w:top w:val="none" w:sz="0" w:space="0" w:color="auto"/>
            <w:left w:val="none" w:sz="0" w:space="0" w:color="auto"/>
            <w:bottom w:val="none" w:sz="0" w:space="0" w:color="auto"/>
            <w:right w:val="none" w:sz="0" w:space="0" w:color="auto"/>
          </w:divBdr>
        </w:div>
        <w:div w:id="1117945633">
          <w:marLeft w:val="0"/>
          <w:marRight w:val="0"/>
          <w:marTop w:val="0"/>
          <w:marBottom w:val="0"/>
          <w:divBdr>
            <w:top w:val="none" w:sz="0" w:space="0" w:color="auto"/>
            <w:left w:val="none" w:sz="0" w:space="0" w:color="auto"/>
            <w:bottom w:val="none" w:sz="0" w:space="0" w:color="auto"/>
            <w:right w:val="none" w:sz="0" w:space="0" w:color="auto"/>
          </w:divBdr>
        </w:div>
        <w:div w:id="1402798620">
          <w:marLeft w:val="0"/>
          <w:marRight w:val="0"/>
          <w:marTop w:val="0"/>
          <w:marBottom w:val="0"/>
          <w:divBdr>
            <w:top w:val="none" w:sz="0" w:space="0" w:color="auto"/>
            <w:left w:val="none" w:sz="0" w:space="0" w:color="auto"/>
            <w:bottom w:val="none" w:sz="0" w:space="0" w:color="auto"/>
            <w:right w:val="none" w:sz="0" w:space="0" w:color="auto"/>
          </w:divBdr>
        </w:div>
        <w:div w:id="1968465382">
          <w:marLeft w:val="0"/>
          <w:marRight w:val="0"/>
          <w:marTop w:val="0"/>
          <w:marBottom w:val="0"/>
          <w:divBdr>
            <w:top w:val="none" w:sz="0" w:space="0" w:color="auto"/>
            <w:left w:val="none" w:sz="0" w:space="0" w:color="auto"/>
            <w:bottom w:val="none" w:sz="0" w:space="0" w:color="auto"/>
            <w:right w:val="none" w:sz="0" w:space="0" w:color="auto"/>
          </w:divBdr>
        </w:div>
        <w:div w:id="1593003659">
          <w:marLeft w:val="0"/>
          <w:marRight w:val="0"/>
          <w:marTop w:val="0"/>
          <w:marBottom w:val="0"/>
          <w:divBdr>
            <w:top w:val="none" w:sz="0" w:space="0" w:color="auto"/>
            <w:left w:val="none" w:sz="0" w:space="0" w:color="auto"/>
            <w:bottom w:val="none" w:sz="0" w:space="0" w:color="auto"/>
            <w:right w:val="none" w:sz="0" w:space="0" w:color="auto"/>
          </w:divBdr>
        </w:div>
        <w:div w:id="1206216835">
          <w:marLeft w:val="0"/>
          <w:marRight w:val="0"/>
          <w:marTop w:val="0"/>
          <w:marBottom w:val="0"/>
          <w:divBdr>
            <w:top w:val="none" w:sz="0" w:space="0" w:color="auto"/>
            <w:left w:val="none" w:sz="0" w:space="0" w:color="auto"/>
            <w:bottom w:val="none" w:sz="0" w:space="0" w:color="auto"/>
            <w:right w:val="none" w:sz="0" w:space="0" w:color="auto"/>
          </w:divBdr>
        </w:div>
        <w:div w:id="2111388494">
          <w:marLeft w:val="0"/>
          <w:marRight w:val="0"/>
          <w:marTop w:val="0"/>
          <w:marBottom w:val="0"/>
          <w:divBdr>
            <w:top w:val="none" w:sz="0" w:space="0" w:color="auto"/>
            <w:left w:val="none" w:sz="0" w:space="0" w:color="auto"/>
            <w:bottom w:val="none" w:sz="0" w:space="0" w:color="auto"/>
            <w:right w:val="none" w:sz="0" w:space="0" w:color="auto"/>
          </w:divBdr>
        </w:div>
        <w:div w:id="1204903379">
          <w:marLeft w:val="0"/>
          <w:marRight w:val="0"/>
          <w:marTop w:val="0"/>
          <w:marBottom w:val="0"/>
          <w:divBdr>
            <w:top w:val="none" w:sz="0" w:space="0" w:color="auto"/>
            <w:left w:val="none" w:sz="0" w:space="0" w:color="auto"/>
            <w:bottom w:val="none" w:sz="0" w:space="0" w:color="auto"/>
            <w:right w:val="none" w:sz="0" w:space="0" w:color="auto"/>
          </w:divBdr>
        </w:div>
        <w:div w:id="5594797">
          <w:marLeft w:val="0"/>
          <w:marRight w:val="0"/>
          <w:marTop w:val="0"/>
          <w:marBottom w:val="0"/>
          <w:divBdr>
            <w:top w:val="none" w:sz="0" w:space="0" w:color="auto"/>
            <w:left w:val="none" w:sz="0" w:space="0" w:color="auto"/>
            <w:bottom w:val="none" w:sz="0" w:space="0" w:color="auto"/>
            <w:right w:val="none" w:sz="0" w:space="0" w:color="auto"/>
          </w:divBdr>
        </w:div>
        <w:div w:id="1245260553">
          <w:marLeft w:val="0"/>
          <w:marRight w:val="0"/>
          <w:marTop w:val="0"/>
          <w:marBottom w:val="0"/>
          <w:divBdr>
            <w:top w:val="none" w:sz="0" w:space="0" w:color="auto"/>
            <w:left w:val="none" w:sz="0" w:space="0" w:color="auto"/>
            <w:bottom w:val="none" w:sz="0" w:space="0" w:color="auto"/>
            <w:right w:val="none" w:sz="0" w:space="0" w:color="auto"/>
          </w:divBdr>
        </w:div>
        <w:div w:id="2078936568">
          <w:marLeft w:val="0"/>
          <w:marRight w:val="0"/>
          <w:marTop w:val="0"/>
          <w:marBottom w:val="0"/>
          <w:divBdr>
            <w:top w:val="none" w:sz="0" w:space="0" w:color="auto"/>
            <w:left w:val="none" w:sz="0" w:space="0" w:color="auto"/>
            <w:bottom w:val="none" w:sz="0" w:space="0" w:color="auto"/>
            <w:right w:val="none" w:sz="0" w:space="0" w:color="auto"/>
          </w:divBdr>
        </w:div>
        <w:div w:id="1946645432">
          <w:marLeft w:val="0"/>
          <w:marRight w:val="0"/>
          <w:marTop w:val="0"/>
          <w:marBottom w:val="0"/>
          <w:divBdr>
            <w:top w:val="none" w:sz="0" w:space="0" w:color="auto"/>
            <w:left w:val="none" w:sz="0" w:space="0" w:color="auto"/>
            <w:bottom w:val="none" w:sz="0" w:space="0" w:color="auto"/>
            <w:right w:val="none" w:sz="0" w:space="0" w:color="auto"/>
          </w:divBdr>
        </w:div>
        <w:div w:id="2048292271">
          <w:marLeft w:val="0"/>
          <w:marRight w:val="0"/>
          <w:marTop w:val="0"/>
          <w:marBottom w:val="0"/>
          <w:divBdr>
            <w:top w:val="none" w:sz="0" w:space="0" w:color="auto"/>
            <w:left w:val="none" w:sz="0" w:space="0" w:color="auto"/>
            <w:bottom w:val="none" w:sz="0" w:space="0" w:color="auto"/>
            <w:right w:val="none" w:sz="0" w:space="0" w:color="auto"/>
          </w:divBdr>
        </w:div>
        <w:div w:id="1782143736">
          <w:marLeft w:val="0"/>
          <w:marRight w:val="0"/>
          <w:marTop w:val="0"/>
          <w:marBottom w:val="0"/>
          <w:divBdr>
            <w:top w:val="none" w:sz="0" w:space="0" w:color="auto"/>
            <w:left w:val="none" w:sz="0" w:space="0" w:color="auto"/>
            <w:bottom w:val="none" w:sz="0" w:space="0" w:color="auto"/>
            <w:right w:val="none" w:sz="0" w:space="0" w:color="auto"/>
          </w:divBdr>
        </w:div>
        <w:div w:id="260573943">
          <w:marLeft w:val="0"/>
          <w:marRight w:val="0"/>
          <w:marTop w:val="0"/>
          <w:marBottom w:val="0"/>
          <w:divBdr>
            <w:top w:val="none" w:sz="0" w:space="0" w:color="auto"/>
            <w:left w:val="none" w:sz="0" w:space="0" w:color="auto"/>
            <w:bottom w:val="none" w:sz="0" w:space="0" w:color="auto"/>
            <w:right w:val="none" w:sz="0" w:space="0" w:color="auto"/>
          </w:divBdr>
        </w:div>
        <w:div w:id="836842962">
          <w:marLeft w:val="0"/>
          <w:marRight w:val="0"/>
          <w:marTop w:val="0"/>
          <w:marBottom w:val="0"/>
          <w:divBdr>
            <w:top w:val="none" w:sz="0" w:space="0" w:color="auto"/>
            <w:left w:val="none" w:sz="0" w:space="0" w:color="auto"/>
            <w:bottom w:val="none" w:sz="0" w:space="0" w:color="auto"/>
            <w:right w:val="none" w:sz="0" w:space="0" w:color="auto"/>
          </w:divBdr>
        </w:div>
        <w:div w:id="1201821179">
          <w:marLeft w:val="0"/>
          <w:marRight w:val="0"/>
          <w:marTop w:val="0"/>
          <w:marBottom w:val="0"/>
          <w:divBdr>
            <w:top w:val="none" w:sz="0" w:space="0" w:color="auto"/>
            <w:left w:val="none" w:sz="0" w:space="0" w:color="auto"/>
            <w:bottom w:val="none" w:sz="0" w:space="0" w:color="auto"/>
            <w:right w:val="none" w:sz="0" w:space="0" w:color="auto"/>
          </w:divBdr>
        </w:div>
        <w:div w:id="778843083">
          <w:marLeft w:val="0"/>
          <w:marRight w:val="0"/>
          <w:marTop w:val="0"/>
          <w:marBottom w:val="0"/>
          <w:divBdr>
            <w:top w:val="none" w:sz="0" w:space="0" w:color="auto"/>
            <w:left w:val="none" w:sz="0" w:space="0" w:color="auto"/>
            <w:bottom w:val="none" w:sz="0" w:space="0" w:color="auto"/>
            <w:right w:val="none" w:sz="0" w:space="0" w:color="auto"/>
          </w:divBdr>
        </w:div>
        <w:div w:id="470756542">
          <w:marLeft w:val="0"/>
          <w:marRight w:val="0"/>
          <w:marTop w:val="0"/>
          <w:marBottom w:val="0"/>
          <w:divBdr>
            <w:top w:val="none" w:sz="0" w:space="0" w:color="auto"/>
            <w:left w:val="none" w:sz="0" w:space="0" w:color="auto"/>
            <w:bottom w:val="none" w:sz="0" w:space="0" w:color="auto"/>
            <w:right w:val="none" w:sz="0" w:space="0" w:color="auto"/>
          </w:divBdr>
        </w:div>
        <w:div w:id="210701412">
          <w:marLeft w:val="0"/>
          <w:marRight w:val="0"/>
          <w:marTop w:val="0"/>
          <w:marBottom w:val="0"/>
          <w:divBdr>
            <w:top w:val="none" w:sz="0" w:space="0" w:color="auto"/>
            <w:left w:val="none" w:sz="0" w:space="0" w:color="auto"/>
            <w:bottom w:val="none" w:sz="0" w:space="0" w:color="auto"/>
            <w:right w:val="none" w:sz="0" w:space="0" w:color="auto"/>
          </w:divBdr>
        </w:div>
        <w:div w:id="1685664125">
          <w:marLeft w:val="0"/>
          <w:marRight w:val="0"/>
          <w:marTop w:val="0"/>
          <w:marBottom w:val="0"/>
          <w:divBdr>
            <w:top w:val="none" w:sz="0" w:space="0" w:color="auto"/>
            <w:left w:val="none" w:sz="0" w:space="0" w:color="auto"/>
            <w:bottom w:val="none" w:sz="0" w:space="0" w:color="auto"/>
            <w:right w:val="none" w:sz="0" w:space="0" w:color="auto"/>
          </w:divBdr>
        </w:div>
        <w:div w:id="385569766">
          <w:marLeft w:val="0"/>
          <w:marRight w:val="0"/>
          <w:marTop w:val="0"/>
          <w:marBottom w:val="0"/>
          <w:divBdr>
            <w:top w:val="none" w:sz="0" w:space="0" w:color="auto"/>
            <w:left w:val="none" w:sz="0" w:space="0" w:color="auto"/>
            <w:bottom w:val="none" w:sz="0" w:space="0" w:color="auto"/>
            <w:right w:val="none" w:sz="0" w:space="0" w:color="auto"/>
          </w:divBdr>
        </w:div>
        <w:div w:id="778720866">
          <w:marLeft w:val="0"/>
          <w:marRight w:val="0"/>
          <w:marTop w:val="0"/>
          <w:marBottom w:val="0"/>
          <w:divBdr>
            <w:top w:val="none" w:sz="0" w:space="0" w:color="auto"/>
            <w:left w:val="none" w:sz="0" w:space="0" w:color="auto"/>
            <w:bottom w:val="none" w:sz="0" w:space="0" w:color="auto"/>
            <w:right w:val="none" w:sz="0" w:space="0" w:color="auto"/>
          </w:divBdr>
        </w:div>
        <w:div w:id="561913874">
          <w:marLeft w:val="0"/>
          <w:marRight w:val="0"/>
          <w:marTop w:val="0"/>
          <w:marBottom w:val="0"/>
          <w:divBdr>
            <w:top w:val="none" w:sz="0" w:space="0" w:color="auto"/>
            <w:left w:val="none" w:sz="0" w:space="0" w:color="auto"/>
            <w:bottom w:val="none" w:sz="0" w:space="0" w:color="auto"/>
            <w:right w:val="none" w:sz="0" w:space="0" w:color="auto"/>
          </w:divBdr>
        </w:div>
        <w:div w:id="1621647525">
          <w:marLeft w:val="0"/>
          <w:marRight w:val="0"/>
          <w:marTop w:val="0"/>
          <w:marBottom w:val="0"/>
          <w:divBdr>
            <w:top w:val="none" w:sz="0" w:space="0" w:color="auto"/>
            <w:left w:val="none" w:sz="0" w:space="0" w:color="auto"/>
            <w:bottom w:val="none" w:sz="0" w:space="0" w:color="auto"/>
            <w:right w:val="none" w:sz="0" w:space="0" w:color="auto"/>
          </w:divBdr>
        </w:div>
        <w:div w:id="865631480">
          <w:marLeft w:val="0"/>
          <w:marRight w:val="0"/>
          <w:marTop w:val="0"/>
          <w:marBottom w:val="0"/>
          <w:divBdr>
            <w:top w:val="none" w:sz="0" w:space="0" w:color="auto"/>
            <w:left w:val="none" w:sz="0" w:space="0" w:color="auto"/>
            <w:bottom w:val="none" w:sz="0" w:space="0" w:color="auto"/>
            <w:right w:val="none" w:sz="0" w:space="0" w:color="auto"/>
          </w:divBdr>
        </w:div>
        <w:div w:id="1688174071">
          <w:marLeft w:val="0"/>
          <w:marRight w:val="0"/>
          <w:marTop w:val="0"/>
          <w:marBottom w:val="0"/>
          <w:divBdr>
            <w:top w:val="none" w:sz="0" w:space="0" w:color="auto"/>
            <w:left w:val="none" w:sz="0" w:space="0" w:color="auto"/>
            <w:bottom w:val="none" w:sz="0" w:space="0" w:color="auto"/>
            <w:right w:val="none" w:sz="0" w:space="0" w:color="auto"/>
          </w:divBdr>
        </w:div>
        <w:div w:id="622467493">
          <w:marLeft w:val="0"/>
          <w:marRight w:val="0"/>
          <w:marTop w:val="0"/>
          <w:marBottom w:val="0"/>
          <w:divBdr>
            <w:top w:val="none" w:sz="0" w:space="0" w:color="auto"/>
            <w:left w:val="none" w:sz="0" w:space="0" w:color="auto"/>
            <w:bottom w:val="none" w:sz="0" w:space="0" w:color="auto"/>
            <w:right w:val="none" w:sz="0" w:space="0" w:color="auto"/>
          </w:divBdr>
        </w:div>
        <w:div w:id="1528062721">
          <w:marLeft w:val="0"/>
          <w:marRight w:val="0"/>
          <w:marTop w:val="0"/>
          <w:marBottom w:val="0"/>
          <w:divBdr>
            <w:top w:val="none" w:sz="0" w:space="0" w:color="auto"/>
            <w:left w:val="none" w:sz="0" w:space="0" w:color="auto"/>
            <w:bottom w:val="none" w:sz="0" w:space="0" w:color="auto"/>
            <w:right w:val="none" w:sz="0" w:space="0" w:color="auto"/>
          </w:divBdr>
        </w:div>
        <w:div w:id="1263415625">
          <w:marLeft w:val="0"/>
          <w:marRight w:val="0"/>
          <w:marTop w:val="0"/>
          <w:marBottom w:val="0"/>
          <w:divBdr>
            <w:top w:val="none" w:sz="0" w:space="0" w:color="auto"/>
            <w:left w:val="none" w:sz="0" w:space="0" w:color="auto"/>
            <w:bottom w:val="none" w:sz="0" w:space="0" w:color="auto"/>
            <w:right w:val="none" w:sz="0" w:space="0" w:color="auto"/>
          </w:divBdr>
        </w:div>
        <w:div w:id="1694722308">
          <w:marLeft w:val="0"/>
          <w:marRight w:val="0"/>
          <w:marTop w:val="0"/>
          <w:marBottom w:val="0"/>
          <w:divBdr>
            <w:top w:val="none" w:sz="0" w:space="0" w:color="auto"/>
            <w:left w:val="none" w:sz="0" w:space="0" w:color="auto"/>
            <w:bottom w:val="none" w:sz="0" w:space="0" w:color="auto"/>
            <w:right w:val="none" w:sz="0" w:space="0" w:color="auto"/>
          </w:divBdr>
        </w:div>
        <w:div w:id="1861161220">
          <w:marLeft w:val="0"/>
          <w:marRight w:val="0"/>
          <w:marTop w:val="0"/>
          <w:marBottom w:val="0"/>
          <w:divBdr>
            <w:top w:val="none" w:sz="0" w:space="0" w:color="auto"/>
            <w:left w:val="none" w:sz="0" w:space="0" w:color="auto"/>
            <w:bottom w:val="none" w:sz="0" w:space="0" w:color="auto"/>
            <w:right w:val="none" w:sz="0" w:space="0" w:color="auto"/>
          </w:divBdr>
        </w:div>
        <w:div w:id="1350523932">
          <w:marLeft w:val="0"/>
          <w:marRight w:val="0"/>
          <w:marTop w:val="0"/>
          <w:marBottom w:val="0"/>
          <w:divBdr>
            <w:top w:val="none" w:sz="0" w:space="0" w:color="auto"/>
            <w:left w:val="none" w:sz="0" w:space="0" w:color="auto"/>
            <w:bottom w:val="none" w:sz="0" w:space="0" w:color="auto"/>
            <w:right w:val="none" w:sz="0" w:space="0" w:color="auto"/>
          </w:divBdr>
        </w:div>
        <w:div w:id="1124346126">
          <w:marLeft w:val="0"/>
          <w:marRight w:val="0"/>
          <w:marTop w:val="0"/>
          <w:marBottom w:val="0"/>
          <w:divBdr>
            <w:top w:val="none" w:sz="0" w:space="0" w:color="auto"/>
            <w:left w:val="none" w:sz="0" w:space="0" w:color="auto"/>
            <w:bottom w:val="none" w:sz="0" w:space="0" w:color="auto"/>
            <w:right w:val="none" w:sz="0" w:space="0" w:color="auto"/>
          </w:divBdr>
        </w:div>
        <w:div w:id="76246403">
          <w:marLeft w:val="0"/>
          <w:marRight w:val="0"/>
          <w:marTop w:val="0"/>
          <w:marBottom w:val="0"/>
          <w:divBdr>
            <w:top w:val="none" w:sz="0" w:space="0" w:color="auto"/>
            <w:left w:val="none" w:sz="0" w:space="0" w:color="auto"/>
            <w:bottom w:val="none" w:sz="0" w:space="0" w:color="auto"/>
            <w:right w:val="none" w:sz="0" w:space="0" w:color="auto"/>
          </w:divBdr>
        </w:div>
        <w:div w:id="1830513834">
          <w:marLeft w:val="0"/>
          <w:marRight w:val="0"/>
          <w:marTop w:val="0"/>
          <w:marBottom w:val="0"/>
          <w:divBdr>
            <w:top w:val="none" w:sz="0" w:space="0" w:color="auto"/>
            <w:left w:val="none" w:sz="0" w:space="0" w:color="auto"/>
            <w:bottom w:val="none" w:sz="0" w:space="0" w:color="auto"/>
            <w:right w:val="none" w:sz="0" w:space="0" w:color="auto"/>
          </w:divBdr>
        </w:div>
        <w:div w:id="1544559240">
          <w:marLeft w:val="0"/>
          <w:marRight w:val="0"/>
          <w:marTop w:val="0"/>
          <w:marBottom w:val="0"/>
          <w:divBdr>
            <w:top w:val="none" w:sz="0" w:space="0" w:color="auto"/>
            <w:left w:val="none" w:sz="0" w:space="0" w:color="auto"/>
            <w:bottom w:val="none" w:sz="0" w:space="0" w:color="auto"/>
            <w:right w:val="none" w:sz="0" w:space="0" w:color="auto"/>
          </w:divBdr>
        </w:div>
        <w:div w:id="1670333137">
          <w:marLeft w:val="0"/>
          <w:marRight w:val="0"/>
          <w:marTop w:val="0"/>
          <w:marBottom w:val="0"/>
          <w:divBdr>
            <w:top w:val="none" w:sz="0" w:space="0" w:color="auto"/>
            <w:left w:val="none" w:sz="0" w:space="0" w:color="auto"/>
            <w:bottom w:val="none" w:sz="0" w:space="0" w:color="auto"/>
            <w:right w:val="none" w:sz="0" w:space="0" w:color="auto"/>
          </w:divBdr>
        </w:div>
        <w:div w:id="1733193199">
          <w:marLeft w:val="0"/>
          <w:marRight w:val="0"/>
          <w:marTop w:val="0"/>
          <w:marBottom w:val="0"/>
          <w:divBdr>
            <w:top w:val="none" w:sz="0" w:space="0" w:color="auto"/>
            <w:left w:val="none" w:sz="0" w:space="0" w:color="auto"/>
            <w:bottom w:val="none" w:sz="0" w:space="0" w:color="auto"/>
            <w:right w:val="none" w:sz="0" w:space="0" w:color="auto"/>
          </w:divBdr>
        </w:div>
        <w:div w:id="567762878">
          <w:marLeft w:val="0"/>
          <w:marRight w:val="0"/>
          <w:marTop w:val="0"/>
          <w:marBottom w:val="0"/>
          <w:divBdr>
            <w:top w:val="none" w:sz="0" w:space="0" w:color="auto"/>
            <w:left w:val="none" w:sz="0" w:space="0" w:color="auto"/>
            <w:bottom w:val="none" w:sz="0" w:space="0" w:color="auto"/>
            <w:right w:val="none" w:sz="0" w:space="0" w:color="auto"/>
          </w:divBdr>
        </w:div>
        <w:div w:id="407307210">
          <w:marLeft w:val="0"/>
          <w:marRight w:val="0"/>
          <w:marTop w:val="0"/>
          <w:marBottom w:val="0"/>
          <w:divBdr>
            <w:top w:val="none" w:sz="0" w:space="0" w:color="auto"/>
            <w:left w:val="none" w:sz="0" w:space="0" w:color="auto"/>
            <w:bottom w:val="none" w:sz="0" w:space="0" w:color="auto"/>
            <w:right w:val="none" w:sz="0" w:space="0" w:color="auto"/>
          </w:divBdr>
        </w:div>
        <w:div w:id="1713386911">
          <w:marLeft w:val="0"/>
          <w:marRight w:val="0"/>
          <w:marTop w:val="0"/>
          <w:marBottom w:val="0"/>
          <w:divBdr>
            <w:top w:val="none" w:sz="0" w:space="0" w:color="auto"/>
            <w:left w:val="none" w:sz="0" w:space="0" w:color="auto"/>
            <w:bottom w:val="none" w:sz="0" w:space="0" w:color="auto"/>
            <w:right w:val="none" w:sz="0" w:space="0" w:color="auto"/>
          </w:divBdr>
        </w:div>
        <w:div w:id="448941081">
          <w:marLeft w:val="0"/>
          <w:marRight w:val="0"/>
          <w:marTop w:val="0"/>
          <w:marBottom w:val="0"/>
          <w:divBdr>
            <w:top w:val="none" w:sz="0" w:space="0" w:color="auto"/>
            <w:left w:val="none" w:sz="0" w:space="0" w:color="auto"/>
            <w:bottom w:val="none" w:sz="0" w:space="0" w:color="auto"/>
            <w:right w:val="none" w:sz="0" w:space="0" w:color="auto"/>
          </w:divBdr>
        </w:div>
        <w:div w:id="58015890">
          <w:marLeft w:val="0"/>
          <w:marRight w:val="0"/>
          <w:marTop w:val="0"/>
          <w:marBottom w:val="0"/>
          <w:divBdr>
            <w:top w:val="none" w:sz="0" w:space="0" w:color="auto"/>
            <w:left w:val="none" w:sz="0" w:space="0" w:color="auto"/>
            <w:bottom w:val="none" w:sz="0" w:space="0" w:color="auto"/>
            <w:right w:val="none" w:sz="0" w:space="0" w:color="auto"/>
          </w:divBdr>
        </w:div>
        <w:div w:id="1231505480">
          <w:marLeft w:val="0"/>
          <w:marRight w:val="0"/>
          <w:marTop w:val="0"/>
          <w:marBottom w:val="0"/>
          <w:divBdr>
            <w:top w:val="none" w:sz="0" w:space="0" w:color="auto"/>
            <w:left w:val="none" w:sz="0" w:space="0" w:color="auto"/>
            <w:bottom w:val="none" w:sz="0" w:space="0" w:color="auto"/>
            <w:right w:val="none" w:sz="0" w:space="0" w:color="auto"/>
          </w:divBdr>
        </w:div>
        <w:div w:id="214976807">
          <w:marLeft w:val="0"/>
          <w:marRight w:val="0"/>
          <w:marTop w:val="0"/>
          <w:marBottom w:val="0"/>
          <w:divBdr>
            <w:top w:val="none" w:sz="0" w:space="0" w:color="auto"/>
            <w:left w:val="none" w:sz="0" w:space="0" w:color="auto"/>
            <w:bottom w:val="none" w:sz="0" w:space="0" w:color="auto"/>
            <w:right w:val="none" w:sz="0" w:space="0" w:color="auto"/>
          </w:divBdr>
        </w:div>
        <w:div w:id="2067995052">
          <w:marLeft w:val="0"/>
          <w:marRight w:val="0"/>
          <w:marTop w:val="0"/>
          <w:marBottom w:val="0"/>
          <w:divBdr>
            <w:top w:val="none" w:sz="0" w:space="0" w:color="auto"/>
            <w:left w:val="none" w:sz="0" w:space="0" w:color="auto"/>
            <w:bottom w:val="none" w:sz="0" w:space="0" w:color="auto"/>
            <w:right w:val="none" w:sz="0" w:space="0" w:color="auto"/>
          </w:divBdr>
        </w:div>
      </w:divsChild>
    </w:div>
    <w:div w:id="1749885389">
      <w:bodyDiv w:val="1"/>
      <w:marLeft w:val="0"/>
      <w:marRight w:val="0"/>
      <w:marTop w:val="0"/>
      <w:marBottom w:val="0"/>
      <w:divBdr>
        <w:top w:val="none" w:sz="0" w:space="0" w:color="auto"/>
        <w:left w:val="none" w:sz="0" w:space="0" w:color="auto"/>
        <w:bottom w:val="none" w:sz="0" w:space="0" w:color="auto"/>
        <w:right w:val="none" w:sz="0" w:space="0" w:color="auto"/>
      </w:divBdr>
      <w:divsChild>
        <w:div w:id="1966303707">
          <w:marLeft w:val="0"/>
          <w:marRight w:val="0"/>
          <w:marTop w:val="0"/>
          <w:marBottom w:val="0"/>
          <w:divBdr>
            <w:top w:val="none" w:sz="0" w:space="0" w:color="auto"/>
            <w:left w:val="none" w:sz="0" w:space="0" w:color="auto"/>
            <w:bottom w:val="none" w:sz="0" w:space="0" w:color="auto"/>
            <w:right w:val="none" w:sz="0" w:space="0" w:color="auto"/>
          </w:divBdr>
        </w:div>
        <w:div w:id="391463381">
          <w:marLeft w:val="0"/>
          <w:marRight w:val="0"/>
          <w:marTop w:val="0"/>
          <w:marBottom w:val="0"/>
          <w:divBdr>
            <w:top w:val="none" w:sz="0" w:space="0" w:color="auto"/>
            <w:left w:val="none" w:sz="0" w:space="0" w:color="auto"/>
            <w:bottom w:val="none" w:sz="0" w:space="0" w:color="auto"/>
            <w:right w:val="none" w:sz="0" w:space="0" w:color="auto"/>
          </w:divBdr>
        </w:div>
        <w:div w:id="503857100">
          <w:marLeft w:val="0"/>
          <w:marRight w:val="0"/>
          <w:marTop w:val="0"/>
          <w:marBottom w:val="0"/>
          <w:divBdr>
            <w:top w:val="none" w:sz="0" w:space="0" w:color="auto"/>
            <w:left w:val="none" w:sz="0" w:space="0" w:color="auto"/>
            <w:bottom w:val="none" w:sz="0" w:space="0" w:color="auto"/>
            <w:right w:val="none" w:sz="0" w:space="0" w:color="auto"/>
          </w:divBdr>
        </w:div>
        <w:div w:id="49577045">
          <w:marLeft w:val="0"/>
          <w:marRight w:val="0"/>
          <w:marTop w:val="0"/>
          <w:marBottom w:val="0"/>
          <w:divBdr>
            <w:top w:val="none" w:sz="0" w:space="0" w:color="auto"/>
            <w:left w:val="none" w:sz="0" w:space="0" w:color="auto"/>
            <w:bottom w:val="none" w:sz="0" w:space="0" w:color="auto"/>
            <w:right w:val="none" w:sz="0" w:space="0" w:color="auto"/>
          </w:divBdr>
        </w:div>
        <w:div w:id="1795170909">
          <w:marLeft w:val="0"/>
          <w:marRight w:val="0"/>
          <w:marTop w:val="0"/>
          <w:marBottom w:val="0"/>
          <w:divBdr>
            <w:top w:val="none" w:sz="0" w:space="0" w:color="auto"/>
            <w:left w:val="none" w:sz="0" w:space="0" w:color="auto"/>
            <w:bottom w:val="none" w:sz="0" w:space="0" w:color="auto"/>
            <w:right w:val="none" w:sz="0" w:space="0" w:color="auto"/>
          </w:divBdr>
        </w:div>
        <w:div w:id="1426265997">
          <w:marLeft w:val="0"/>
          <w:marRight w:val="0"/>
          <w:marTop w:val="0"/>
          <w:marBottom w:val="0"/>
          <w:divBdr>
            <w:top w:val="none" w:sz="0" w:space="0" w:color="auto"/>
            <w:left w:val="none" w:sz="0" w:space="0" w:color="auto"/>
            <w:bottom w:val="none" w:sz="0" w:space="0" w:color="auto"/>
            <w:right w:val="none" w:sz="0" w:space="0" w:color="auto"/>
          </w:divBdr>
        </w:div>
        <w:div w:id="2088574162">
          <w:marLeft w:val="0"/>
          <w:marRight w:val="0"/>
          <w:marTop w:val="0"/>
          <w:marBottom w:val="0"/>
          <w:divBdr>
            <w:top w:val="none" w:sz="0" w:space="0" w:color="auto"/>
            <w:left w:val="none" w:sz="0" w:space="0" w:color="auto"/>
            <w:bottom w:val="none" w:sz="0" w:space="0" w:color="auto"/>
            <w:right w:val="none" w:sz="0" w:space="0" w:color="auto"/>
          </w:divBdr>
        </w:div>
        <w:div w:id="668219433">
          <w:marLeft w:val="0"/>
          <w:marRight w:val="0"/>
          <w:marTop w:val="0"/>
          <w:marBottom w:val="0"/>
          <w:divBdr>
            <w:top w:val="none" w:sz="0" w:space="0" w:color="auto"/>
            <w:left w:val="none" w:sz="0" w:space="0" w:color="auto"/>
            <w:bottom w:val="none" w:sz="0" w:space="0" w:color="auto"/>
            <w:right w:val="none" w:sz="0" w:space="0" w:color="auto"/>
          </w:divBdr>
        </w:div>
        <w:div w:id="626858083">
          <w:marLeft w:val="0"/>
          <w:marRight w:val="0"/>
          <w:marTop w:val="0"/>
          <w:marBottom w:val="0"/>
          <w:divBdr>
            <w:top w:val="none" w:sz="0" w:space="0" w:color="auto"/>
            <w:left w:val="none" w:sz="0" w:space="0" w:color="auto"/>
            <w:bottom w:val="none" w:sz="0" w:space="0" w:color="auto"/>
            <w:right w:val="none" w:sz="0" w:space="0" w:color="auto"/>
          </w:divBdr>
        </w:div>
        <w:div w:id="227619362">
          <w:marLeft w:val="0"/>
          <w:marRight w:val="0"/>
          <w:marTop w:val="0"/>
          <w:marBottom w:val="0"/>
          <w:divBdr>
            <w:top w:val="none" w:sz="0" w:space="0" w:color="auto"/>
            <w:left w:val="none" w:sz="0" w:space="0" w:color="auto"/>
            <w:bottom w:val="none" w:sz="0" w:space="0" w:color="auto"/>
            <w:right w:val="none" w:sz="0" w:space="0" w:color="auto"/>
          </w:divBdr>
        </w:div>
        <w:div w:id="1624265528">
          <w:marLeft w:val="0"/>
          <w:marRight w:val="0"/>
          <w:marTop w:val="0"/>
          <w:marBottom w:val="0"/>
          <w:divBdr>
            <w:top w:val="none" w:sz="0" w:space="0" w:color="auto"/>
            <w:left w:val="none" w:sz="0" w:space="0" w:color="auto"/>
            <w:bottom w:val="none" w:sz="0" w:space="0" w:color="auto"/>
            <w:right w:val="none" w:sz="0" w:space="0" w:color="auto"/>
          </w:divBdr>
        </w:div>
        <w:div w:id="684097166">
          <w:marLeft w:val="0"/>
          <w:marRight w:val="0"/>
          <w:marTop w:val="0"/>
          <w:marBottom w:val="0"/>
          <w:divBdr>
            <w:top w:val="none" w:sz="0" w:space="0" w:color="auto"/>
            <w:left w:val="none" w:sz="0" w:space="0" w:color="auto"/>
            <w:bottom w:val="none" w:sz="0" w:space="0" w:color="auto"/>
            <w:right w:val="none" w:sz="0" w:space="0" w:color="auto"/>
          </w:divBdr>
        </w:div>
        <w:div w:id="901404791">
          <w:marLeft w:val="0"/>
          <w:marRight w:val="0"/>
          <w:marTop w:val="0"/>
          <w:marBottom w:val="0"/>
          <w:divBdr>
            <w:top w:val="none" w:sz="0" w:space="0" w:color="auto"/>
            <w:left w:val="none" w:sz="0" w:space="0" w:color="auto"/>
            <w:bottom w:val="none" w:sz="0" w:space="0" w:color="auto"/>
            <w:right w:val="none" w:sz="0" w:space="0" w:color="auto"/>
          </w:divBdr>
        </w:div>
        <w:div w:id="1913662221">
          <w:marLeft w:val="0"/>
          <w:marRight w:val="0"/>
          <w:marTop w:val="0"/>
          <w:marBottom w:val="0"/>
          <w:divBdr>
            <w:top w:val="none" w:sz="0" w:space="0" w:color="auto"/>
            <w:left w:val="none" w:sz="0" w:space="0" w:color="auto"/>
            <w:bottom w:val="none" w:sz="0" w:space="0" w:color="auto"/>
            <w:right w:val="none" w:sz="0" w:space="0" w:color="auto"/>
          </w:divBdr>
        </w:div>
        <w:div w:id="563102193">
          <w:marLeft w:val="0"/>
          <w:marRight w:val="0"/>
          <w:marTop w:val="0"/>
          <w:marBottom w:val="0"/>
          <w:divBdr>
            <w:top w:val="none" w:sz="0" w:space="0" w:color="auto"/>
            <w:left w:val="none" w:sz="0" w:space="0" w:color="auto"/>
            <w:bottom w:val="none" w:sz="0" w:space="0" w:color="auto"/>
            <w:right w:val="none" w:sz="0" w:space="0" w:color="auto"/>
          </w:divBdr>
        </w:div>
        <w:div w:id="1274359483">
          <w:marLeft w:val="0"/>
          <w:marRight w:val="0"/>
          <w:marTop w:val="0"/>
          <w:marBottom w:val="0"/>
          <w:divBdr>
            <w:top w:val="none" w:sz="0" w:space="0" w:color="auto"/>
            <w:left w:val="none" w:sz="0" w:space="0" w:color="auto"/>
            <w:bottom w:val="none" w:sz="0" w:space="0" w:color="auto"/>
            <w:right w:val="none" w:sz="0" w:space="0" w:color="auto"/>
          </w:divBdr>
        </w:div>
        <w:div w:id="1465850917">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257760399">
          <w:marLeft w:val="0"/>
          <w:marRight w:val="0"/>
          <w:marTop w:val="0"/>
          <w:marBottom w:val="0"/>
          <w:divBdr>
            <w:top w:val="none" w:sz="0" w:space="0" w:color="auto"/>
            <w:left w:val="none" w:sz="0" w:space="0" w:color="auto"/>
            <w:bottom w:val="none" w:sz="0" w:space="0" w:color="auto"/>
            <w:right w:val="none" w:sz="0" w:space="0" w:color="auto"/>
          </w:divBdr>
        </w:div>
        <w:div w:id="580214965">
          <w:marLeft w:val="0"/>
          <w:marRight w:val="0"/>
          <w:marTop w:val="0"/>
          <w:marBottom w:val="0"/>
          <w:divBdr>
            <w:top w:val="none" w:sz="0" w:space="0" w:color="auto"/>
            <w:left w:val="none" w:sz="0" w:space="0" w:color="auto"/>
            <w:bottom w:val="none" w:sz="0" w:space="0" w:color="auto"/>
            <w:right w:val="none" w:sz="0" w:space="0" w:color="auto"/>
          </w:divBdr>
        </w:div>
        <w:div w:id="367460815">
          <w:marLeft w:val="0"/>
          <w:marRight w:val="0"/>
          <w:marTop w:val="0"/>
          <w:marBottom w:val="0"/>
          <w:divBdr>
            <w:top w:val="none" w:sz="0" w:space="0" w:color="auto"/>
            <w:left w:val="none" w:sz="0" w:space="0" w:color="auto"/>
            <w:bottom w:val="none" w:sz="0" w:space="0" w:color="auto"/>
            <w:right w:val="none" w:sz="0" w:space="0" w:color="auto"/>
          </w:divBdr>
        </w:div>
        <w:div w:id="2065568287">
          <w:marLeft w:val="0"/>
          <w:marRight w:val="0"/>
          <w:marTop w:val="0"/>
          <w:marBottom w:val="0"/>
          <w:divBdr>
            <w:top w:val="none" w:sz="0" w:space="0" w:color="auto"/>
            <w:left w:val="none" w:sz="0" w:space="0" w:color="auto"/>
            <w:bottom w:val="none" w:sz="0" w:space="0" w:color="auto"/>
            <w:right w:val="none" w:sz="0" w:space="0" w:color="auto"/>
          </w:divBdr>
        </w:div>
        <w:div w:id="901983781">
          <w:marLeft w:val="0"/>
          <w:marRight w:val="0"/>
          <w:marTop w:val="0"/>
          <w:marBottom w:val="0"/>
          <w:divBdr>
            <w:top w:val="none" w:sz="0" w:space="0" w:color="auto"/>
            <w:left w:val="none" w:sz="0" w:space="0" w:color="auto"/>
            <w:bottom w:val="none" w:sz="0" w:space="0" w:color="auto"/>
            <w:right w:val="none" w:sz="0" w:space="0" w:color="auto"/>
          </w:divBdr>
        </w:div>
        <w:div w:id="1511867316">
          <w:marLeft w:val="0"/>
          <w:marRight w:val="0"/>
          <w:marTop w:val="0"/>
          <w:marBottom w:val="0"/>
          <w:divBdr>
            <w:top w:val="none" w:sz="0" w:space="0" w:color="auto"/>
            <w:left w:val="none" w:sz="0" w:space="0" w:color="auto"/>
            <w:bottom w:val="none" w:sz="0" w:space="0" w:color="auto"/>
            <w:right w:val="none" w:sz="0" w:space="0" w:color="auto"/>
          </w:divBdr>
        </w:div>
        <w:div w:id="1891959658">
          <w:marLeft w:val="0"/>
          <w:marRight w:val="0"/>
          <w:marTop w:val="0"/>
          <w:marBottom w:val="0"/>
          <w:divBdr>
            <w:top w:val="none" w:sz="0" w:space="0" w:color="auto"/>
            <w:left w:val="none" w:sz="0" w:space="0" w:color="auto"/>
            <w:bottom w:val="none" w:sz="0" w:space="0" w:color="auto"/>
            <w:right w:val="none" w:sz="0" w:space="0" w:color="auto"/>
          </w:divBdr>
        </w:div>
        <w:div w:id="68118262">
          <w:marLeft w:val="0"/>
          <w:marRight w:val="0"/>
          <w:marTop w:val="0"/>
          <w:marBottom w:val="0"/>
          <w:divBdr>
            <w:top w:val="none" w:sz="0" w:space="0" w:color="auto"/>
            <w:left w:val="none" w:sz="0" w:space="0" w:color="auto"/>
            <w:bottom w:val="none" w:sz="0" w:space="0" w:color="auto"/>
            <w:right w:val="none" w:sz="0" w:space="0" w:color="auto"/>
          </w:divBdr>
        </w:div>
        <w:div w:id="182673991">
          <w:marLeft w:val="0"/>
          <w:marRight w:val="0"/>
          <w:marTop w:val="0"/>
          <w:marBottom w:val="0"/>
          <w:divBdr>
            <w:top w:val="none" w:sz="0" w:space="0" w:color="auto"/>
            <w:left w:val="none" w:sz="0" w:space="0" w:color="auto"/>
            <w:bottom w:val="none" w:sz="0" w:space="0" w:color="auto"/>
            <w:right w:val="none" w:sz="0" w:space="0" w:color="auto"/>
          </w:divBdr>
        </w:div>
        <w:div w:id="1715887748">
          <w:marLeft w:val="0"/>
          <w:marRight w:val="0"/>
          <w:marTop w:val="0"/>
          <w:marBottom w:val="0"/>
          <w:divBdr>
            <w:top w:val="none" w:sz="0" w:space="0" w:color="auto"/>
            <w:left w:val="none" w:sz="0" w:space="0" w:color="auto"/>
            <w:bottom w:val="none" w:sz="0" w:space="0" w:color="auto"/>
            <w:right w:val="none" w:sz="0" w:space="0" w:color="auto"/>
          </w:divBdr>
        </w:div>
        <w:div w:id="549993954">
          <w:marLeft w:val="0"/>
          <w:marRight w:val="0"/>
          <w:marTop w:val="0"/>
          <w:marBottom w:val="0"/>
          <w:divBdr>
            <w:top w:val="none" w:sz="0" w:space="0" w:color="auto"/>
            <w:left w:val="none" w:sz="0" w:space="0" w:color="auto"/>
            <w:bottom w:val="none" w:sz="0" w:space="0" w:color="auto"/>
            <w:right w:val="none" w:sz="0" w:space="0" w:color="auto"/>
          </w:divBdr>
        </w:div>
        <w:div w:id="747729016">
          <w:marLeft w:val="0"/>
          <w:marRight w:val="0"/>
          <w:marTop w:val="0"/>
          <w:marBottom w:val="0"/>
          <w:divBdr>
            <w:top w:val="none" w:sz="0" w:space="0" w:color="auto"/>
            <w:left w:val="none" w:sz="0" w:space="0" w:color="auto"/>
            <w:bottom w:val="none" w:sz="0" w:space="0" w:color="auto"/>
            <w:right w:val="none" w:sz="0" w:space="0" w:color="auto"/>
          </w:divBdr>
        </w:div>
        <w:div w:id="1652519667">
          <w:marLeft w:val="0"/>
          <w:marRight w:val="0"/>
          <w:marTop w:val="0"/>
          <w:marBottom w:val="0"/>
          <w:divBdr>
            <w:top w:val="none" w:sz="0" w:space="0" w:color="auto"/>
            <w:left w:val="none" w:sz="0" w:space="0" w:color="auto"/>
            <w:bottom w:val="none" w:sz="0" w:space="0" w:color="auto"/>
            <w:right w:val="none" w:sz="0" w:space="0" w:color="auto"/>
          </w:divBdr>
        </w:div>
        <w:div w:id="104934248">
          <w:marLeft w:val="0"/>
          <w:marRight w:val="0"/>
          <w:marTop w:val="0"/>
          <w:marBottom w:val="0"/>
          <w:divBdr>
            <w:top w:val="none" w:sz="0" w:space="0" w:color="auto"/>
            <w:left w:val="none" w:sz="0" w:space="0" w:color="auto"/>
            <w:bottom w:val="none" w:sz="0" w:space="0" w:color="auto"/>
            <w:right w:val="none" w:sz="0" w:space="0" w:color="auto"/>
          </w:divBdr>
        </w:div>
        <w:div w:id="1318919359">
          <w:marLeft w:val="0"/>
          <w:marRight w:val="0"/>
          <w:marTop w:val="0"/>
          <w:marBottom w:val="0"/>
          <w:divBdr>
            <w:top w:val="none" w:sz="0" w:space="0" w:color="auto"/>
            <w:left w:val="none" w:sz="0" w:space="0" w:color="auto"/>
            <w:bottom w:val="none" w:sz="0" w:space="0" w:color="auto"/>
            <w:right w:val="none" w:sz="0" w:space="0" w:color="auto"/>
          </w:divBdr>
        </w:div>
        <w:div w:id="178226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PDF/?uri=CELEX:32019D0708&amp;qid=1557932467408&amp;fro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AB37-1B91-4F0C-B20F-A85B4F81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55</Pages>
  <Words>10294</Words>
  <Characters>58682</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Smažáková Janette</cp:lastModifiedBy>
  <cp:revision>12</cp:revision>
  <dcterms:created xsi:type="dcterms:W3CDTF">2019-11-11T09:19:00Z</dcterms:created>
  <dcterms:modified xsi:type="dcterms:W3CDTF">2022-09-30T07:49:00Z</dcterms:modified>
</cp:coreProperties>
</file>