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CA4" w:rsidRPr="00AA5817" w:rsidRDefault="00E74CA4" w:rsidP="00E74CA4">
      <w:pPr>
        <w:spacing w:after="0" w:line="240" w:lineRule="auto"/>
        <w:jc w:val="center"/>
        <w:rPr>
          <w:rFonts w:ascii="Times New Roman" w:hAnsi="Times New Roman"/>
          <w:b/>
          <w:caps/>
          <w:spacing w:val="20"/>
        </w:rPr>
      </w:pPr>
      <w:r w:rsidRPr="00AA5817">
        <w:rPr>
          <w:rFonts w:ascii="Times New Roman" w:hAnsi="Times New Roman"/>
          <w:b/>
          <w:caps/>
          <w:spacing w:val="20"/>
        </w:rPr>
        <w:t>Tabuľka zhody</w:t>
      </w:r>
    </w:p>
    <w:p w:rsidR="00E74CA4" w:rsidRPr="00AA5817" w:rsidRDefault="00E74CA4" w:rsidP="00E74CA4">
      <w:pPr>
        <w:spacing w:after="0" w:line="240" w:lineRule="auto"/>
        <w:jc w:val="center"/>
        <w:rPr>
          <w:rFonts w:ascii="Times New Roman" w:hAnsi="Times New Roman"/>
          <w:b/>
          <w:caps/>
          <w:spacing w:val="20"/>
        </w:rPr>
      </w:pPr>
      <w:r w:rsidRPr="00AA5817">
        <w:rPr>
          <w:rFonts w:ascii="Times New Roman" w:hAnsi="Times New Roman"/>
          <w:b/>
          <w:caps/>
          <w:spacing w:val="20"/>
        </w:rPr>
        <w:t>právneho predpisu</w:t>
      </w:r>
    </w:p>
    <w:p w:rsidR="00E74CA4" w:rsidRPr="00AA5817" w:rsidRDefault="00E74CA4" w:rsidP="00E74CA4">
      <w:pPr>
        <w:spacing w:after="0" w:line="240" w:lineRule="auto"/>
        <w:jc w:val="center"/>
        <w:rPr>
          <w:rFonts w:ascii="Times New Roman" w:hAnsi="Times New Roman"/>
          <w:b/>
          <w:caps/>
          <w:spacing w:val="20"/>
        </w:rPr>
      </w:pPr>
      <w:r w:rsidRPr="00AA5817">
        <w:rPr>
          <w:rFonts w:ascii="Times New Roman" w:hAnsi="Times New Roman"/>
          <w:b/>
          <w:caps/>
          <w:spacing w:val="20"/>
        </w:rPr>
        <w:t>s  právom Európskej únie</w:t>
      </w:r>
    </w:p>
    <w:tbl>
      <w:tblPr>
        <w:tblStyle w:val="Mriekatabuky"/>
        <w:tblW w:w="14220" w:type="dxa"/>
        <w:tblLayout w:type="fixed"/>
        <w:tblLook w:val="04A0" w:firstRow="1" w:lastRow="0" w:firstColumn="1" w:lastColumn="0" w:noHBand="0" w:noVBand="1"/>
      </w:tblPr>
      <w:tblGrid>
        <w:gridCol w:w="1074"/>
        <w:gridCol w:w="3712"/>
        <w:gridCol w:w="1418"/>
        <w:gridCol w:w="850"/>
        <w:gridCol w:w="1050"/>
        <w:gridCol w:w="3657"/>
        <w:gridCol w:w="830"/>
        <w:gridCol w:w="1629"/>
      </w:tblGrid>
      <w:tr w:rsidR="00E74CA4" w:rsidRPr="00AA5817" w:rsidTr="006D3227">
        <w:tc>
          <w:tcPr>
            <w:tcW w:w="6204" w:type="dxa"/>
            <w:gridSpan w:val="3"/>
          </w:tcPr>
          <w:p w:rsidR="00E74CA4" w:rsidRPr="00AA5817" w:rsidRDefault="00E74CA4" w:rsidP="006D3227">
            <w:pPr>
              <w:rPr>
                <w:rFonts w:ascii="Times New Roman" w:hAnsi="Times New Roman" w:cs="Times New Roman"/>
              </w:rPr>
            </w:pPr>
            <w:r w:rsidRPr="00AA5817">
              <w:rPr>
                <w:rFonts w:ascii="Times New Roman" w:hAnsi="Times New Roman" w:cs="Times New Roman"/>
              </w:rPr>
              <w:t>Smernica 2003/87/ES Európskeho parlamentu a Rady z 13. októbra 2003, o vytvorení systému obchodovania s emisnými kvótami skleníkových plynov v Únii, a ktorou sa mení a dopĺňa smernica Rady 96/61/ES</w:t>
            </w:r>
            <w:r w:rsidR="00440981" w:rsidRPr="00AA5817">
              <w:rPr>
                <w:rFonts w:ascii="Times New Roman" w:hAnsi="Times New Roman" w:cs="Times New Roman"/>
              </w:rPr>
              <w:t xml:space="preserve"> (Ú. v. EÚ L 275, 25.10.2003; Mimoriadne vydanie Ú. v. EÚ, kap. 15/zv. 7) v platnom znení</w:t>
            </w:r>
          </w:p>
        </w:tc>
        <w:tc>
          <w:tcPr>
            <w:tcW w:w="8016" w:type="dxa"/>
            <w:gridSpan w:val="5"/>
          </w:tcPr>
          <w:p w:rsidR="00CC5980" w:rsidRPr="00AA5817" w:rsidRDefault="00CC5980" w:rsidP="00CC5980">
            <w:pPr>
              <w:rPr>
                <w:rFonts w:ascii="Times New Roman" w:hAnsi="Times New Roman" w:cs="Times New Roman"/>
              </w:rPr>
            </w:pPr>
            <w:r w:rsidRPr="00AA5817">
              <w:rPr>
                <w:rFonts w:ascii="Times New Roman" w:hAnsi="Times New Roman" w:cs="Times New Roman"/>
              </w:rPr>
              <w:t>Návrh zákona, ktorým sa mení a dopĺňa zákon č. 414/2012 Z. z. o obchodovaní s emisnými kvótami a o zmene a doplnení niektorých zákonov v znení neskorších predpisov (ďalej len „</w:t>
            </w:r>
            <w:r w:rsidR="002776B3" w:rsidRPr="00AA5817">
              <w:rPr>
                <w:rFonts w:ascii="Times New Roman" w:hAnsi="Times New Roman" w:cs="Times New Roman"/>
              </w:rPr>
              <w:t>návrh zákona</w:t>
            </w:r>
            <w:r w:rsidRPr="00AA5817">
              <w:rPr>
                <w:rFonts w:ascii="Times New Roman" w:hAnsi="Times New Roman" w:cs="Times New Roman"/>
              </w:rPr>
              <w:t>“)</w:t>
            </w:r>
          </w:p>
          <w:p w:rsidR="00E74CA4" w:rsidRPr="00AA5817" w:rsidRDefault="00E74CA4" w:rsidP="006D3227">
            <w:pPr>
              <w:rPr>
                <w:rFonts w:ascii="Times New Roman" w:hAnsi="Times New Roman" w:cs="Times New Roman"/>
              </w:rPr>
            </w:pPr>
          </w:p>
        </w:tc>
      </w:tr>
      <w:tr w:rsidR="00E74CA4" w:rsidRPr="00AA5817" w:rsidTr="006D3227">
        <w:tc>
          <w:tcPr>
            <w:tcW w:w="1074"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1</w:t>
            </w:r>
          </w:p>
        </w:tc>
        <w:tc>
          <w:tcPr>
            <w:tcW w:w="3712"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2</w:t>
            </w:r>
          </w:p>
        </w:tc>
        <w:tc>
          <w:tcPr>
            <w:tcW w:w="1418"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3</w:t>
            </w:r>
          </w:p>
        </w:tc>
        <w:tc>
          <w:tcPr>
            <w:tcW w:w="850"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4</w:t>
            </w:r>
          </w:p>
        </w:tc>
        <w:tc>
          <w:tcPr>
            <w:tcW w:w="1050"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5</w:t>
            </w:r>
          </w:p>
        </w:tc>
        <w:tc>
          <w:tcPr>
            <w:tcW w:w="3657"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6</w:t>
            </w:r>
          </w:p>
        </w:tc>
        <w:tc>
          <w:tcPr>
            <w:tcW w:w="830"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7</w:t>
            </w:r>
          </w:p>
        </w:tc>
        <w:tc>
          <w:tcPr>
            <w:tcW w:w="1629"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8</w:t>
            </w:r>
          </w:p>
        </w:tc>
      </w:tr>
      <w:tr w:rsidR="00E74CA4" w:rsidRPr="00AA5817" w:rsidTr="006D3227">
        <w:tc>
          <w:tcPr>
            <w:tcW w:w="1074"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Článok</w:t>
            </w:r>
          </w:p>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(Č, O, V, P)</w:t>
            </w:r>
          </w:p>
        </w:tc>
        <w:tc>
          <w:tcPr>
            <w:tcW w:w="3712"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Text</w:t>
            </w:r>
          </w:p>
        </w:tc>
        <w:tc>
          <w:tcPr>
            <w:tcW w:w="1418"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Spôsob transpozície</w:t>
            </w:r>
          </w:p>
        </w:tc>
        <w:tc>
          <w:tcPr>
            <w:tcW w:w="850"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Číslo</w:t>
            </w:r>
          </w:p>
        </w:tc>
        <w:tc>
          <w:tcPr>
            <w:tcW w:w="1050"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Článok</w:t>
            </w:r>
          </w:p>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(Č, §, O, V, P)</w:t>
            </w:r>
          </w:p>
        </w:tc>
        <w:tc>
          <w:tcPr>
            <w:tcW w:w="3657"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Text</w:t>
            </w:r>
          </w:p>
        </w:tc>
        <w:tc>
          <w:tcPr>
            <w:tcW w:w="830"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Zhoda</w:t>
            </w:r>
          </w:p>
        </w:tc>
        <w:tc>
          <w:tcPr>
            <w:tcW w:w="1629" w:type="dxa"/>
          </w:tcPr>
          <w:p w:rsidR="00E74CA4" w:rsidRPr="00AA5817" w:rsidRDefault="00E74CA4" w:rsidP="006D3227">
            <w:pPr>
              <w:jc w:val="center"/>
              <w:rPr>
                <w:rFonts w:ascii="Times New Roman" w:hAnsi="Times New Roman" w:cs="Times New Roman"/>
              </w:rPr>
            </w:pPr>
            <w:r w:rsidRPr="00AA5817">
              <w:rPr>
                <w:rFonts w:ascii="Times New Roman" w:hAnsi="Times New Roman" w:cs="Times New Roman"/>
              </w:rPr>
              <w:t>Poznámky</w:t>
            </w:r>
          </w:p>
        </w:tc>
      </w:tr>
      <w:tr w:rsidR="00E74CA4" w:rsidRPr="00AA5817" w:rsidTr="006D3227">
        <w:tc>
          <w:tcPr>
            <w:tcW w:w="1074"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Č: 3</w:t>
            </w:r>
          </w:p>
          <w:p w:rsidR="00E74CA4" w:rsidRPr="00AA5817" w:rsidRDefault="00E74CA4" w:rsidP="006D3227">
            <w:pPr>
              <w:rPr>
                <w:rFonts w:ascii="Times New Roman" w:hAnsi="Times New Roman" w:cs="Times New Roman"/>
              </w:rPr>
            </w:pPr>
            <w:r w:rsidRPr="00AA5817">
              <w:rPr>
                <w:rFonts w:ascii="Times New Roman" w:hAnsi="Times New Roman" w:cs="Times New Roman"/>
              </w:rPr>
              <w:t>O: a)</w:t>
            </w:r>
          </w:p>
        </w:tc>
        <w:tc>
          <w:tcPr>
            <w:tcW w:w="3712"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„kvóta“ znamená kvótu oprávňujúcu vypustiť jednu tonu ekvivalentu oxidu uhličitého počas určitej doby, ktoré je platné len na</w:t>
            </w:r>
          </w:p>
          <w:p w:rsidR="00E74CA4" w:rsidRPr="00AA5817" w:rsidRDefault="00E74CA4" w:rsidP="006D3227">
            <w:pPr>
              <w:rPr>
                <w:rFonts w:ascii="Times New Roman" w:hAnsi="Times New Roman" w:cs="Times New Roman"/>
              </w:rPr>
            </w:pPr>
            <w:r w:rsidRPr="00AA5817">
              <w:rPr>
                <w:rFonts w:ascii="Times New Roman" w:hAnsi="Times New Roman" w:cs="Times New Roman"/>
              </w:rPr>
              <w:t>účely plnenia požiadaviek tejto smernice a ktoré je prenosné v súlade s ustanoveniami tejto smernice;</w:t>
            </w:r>
          </w:p>
        </w:tc>
        <w:tc>
          <w:tcPr>
            <w:tcW w:w="1418"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N</w:t>
            </w:r>
          </w:p>
        </w:tc>
        <w:tc>
          <w:tcPr>
            <w:tcW w:w="850" w:type="dxa"/>
          </w:tcPr>
          <w:p w:rsidR="00E74CA4"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E74EEC" w:rsidRPr="00AA5817" w:rsidRDefault="00E74EEC" w:rsidP="00E74EEC">
            <w:pPr>
              <w:rPr>
                <w:rFonts w:ascii="Times New Roman" w:hAnsi="Times New Roman" w:cs="Times New Roman"/>
              </w:rPr>
            </w:pPr>
            <w:r w:rsidRPr="00AA5817">
              <w:rPr>
                <w:rFonts w:ascii="Times New Roman" w:hAnsi="Times New Roman" w:cs="Times New Roman"/>
              </w:rPr>
              <w:t>Č: 1</w:t>
            </w:r>
          </w:p>
          <w:p w:rsidR="00E74EEC" w:rsidRPr="00AA5817" w:rsidRDefault="00E74EEC" w:rsidP="00E74EEC">
            <w:pPr>
              <w:rPr>
                <w:rFonts w:ascii="Times New Roman" w:hAnsi="Times New Roman" w:cs="Times New Roman"/>
              </w:rPr>
            </w:pPr>
            <w:r w:rsidRPr="00AA5817">
              <w:rPr>
                <w:rFonts w:ascii="Times New Roman" w:hAnsi="Times New Roman" w:cs="Times New Roman"/>
              </w:rPr>
              <w:t>§: 2</w:t>
            </w:r>
          </w:p>
          <w:p w:rsidR="00E74CA4" w:rsidRPr="00AA5817" w:rsidRDefault="00E74EEC" w:rsidP="00E74EEC">
            <w:pPr>
              <w:rPr>
                <w:rFonts w:ascii="Times New Roman" w:hAnsi="Times New Roman" w:cs="Times New Roman"/>
              </w:rPr>
            </w:pPr>
            <w:r w:rsidRPr="00AA5817">
              <w:rPr>
                <w:rFonts w:ascii="Times New Roman" w:hAnsi="Times New Roman" w:cs="Times New Roman"/>
              </w:rPr>
              <w:t>P: a</w:t>
            </w:r>
          </w:p>
          <w:p w:rsidR="00E74EEC" w:rsidRPr="00AA5817" w:rsidRDefault="00E74EEC" w:rsidP="00E74EEC">
            <w:pPr>
              <w:rPr>
                <w:rFonts w:ascii="Times New Roman" w:hAnsi="Times New Roman" w:cs="Times New Roman"/>
              </w:rPr>
            </w:pPr>
          </w:p>
          <w:p w:rsidR="00E74EEC" w:rsidRPr="00AA5817" w:rsidRDefault="00E74EEC" w:rsidP="00E74EEC">
            <w:pPr>
              <w:rPr>
                <w:rFonts w:ascii="Times New Roman" w:hAnsi="Times New Roman" w:cs="Times New Roman"/>
              </w:rPr>
            </w:pPr>
          </w:p>
          <w:p w:rsidR="00E74EEC" w:rsidRPr="00AA5817" w:rsidRDefault="00E74EEC" w:rsidP="00E74EEC">
            <w:pPr>
              <w:rPr>
                <w:rFonts w:ascii="Times New Roman" w:hAnsi="Times New Roman" w:cs="Times New Roman"/>
              </w:rPr>
            </w:pPr>
          </w:p>
          <w:p w:rsidR="00E74EEC" w:rsidRPr="00AA5817" w:rsidRDefault="00E74EEC" w:rsidP="00E74EEC">
            <w:pPr>
              <w:rPr>
                <w:rFonts w:ascii="Times New Roman" w:hAnsi="Times New Roman" w:cs="Times New Roman"/>
              </w:rPr>
            </w:pPr>
            <w:r w:rsidRPr="00AA5817">
              <w:rPr>
                <w:rFonts w:ascii="Times New Roman" w:hAnsi="Times New Roman" w:cs="Times New Roman"/>
              </w:rPr>
              <w:t>Č: 1</w:t>
            </w:r>
          </w:p>
          <w:p w:rsidR="00E74EEC" w:rsidRPr="00AA5817" w:rsidRDefault="00E74EEC" w:rsidP="00E74EEC">
            <w:pPr>
              <w:rPr>
                <w:rFonts w:ascii="Times New Roman" w:hAnsi="Times New Roman" w:cs="Times New Roman"/>
              </w:rPr>
            </w:pPr>
            <w:r w:rsidRPr="00AA5817">
              <w:rPr>
                <w:rFonts w:ascii="Times New Roman" w:hAnsi="Times New Roman" w:cs="Times New Roman"/>
              </w:rPr>
              <w:t>§: 2</w:t>
            </w:r>
          </w:p>
          <w:p w:rsidR="00E74EEC" w:rsidRPr="00AA5817" w:rsidRDefault="00E74EEC" w:rsidP="00E74EEC">
            <w:pPr>
              <w:rPr>
                <w:rFonts w:ascii="Times New Roman" w:hAnsi="Times New Roman" w:cs="Times New Roman"/>
              </w:rPr>
            </w:pPr>
            <w:r w:rsidRPr="00AA5817">
              <w:rPr>
                <w:rFonts w:ascii="Times New Roman" w:hAnsi="Times New Roman" w:cs="Times New Roman"/>
              </w:rPr>
              <w:t>P: k</w:t>
            </w:r>
          </w:p>
        </w:tc>
        <w:tc>
          <w:tcPr>
            <w:tcW w:w="3657"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kvótou jedna tona emisie povolená vypustiť počas určitej doby; ak ide o emisie skleníkových plynov, jedna tona ekvivalentu oxidu uhličitého</w:t>
            </w:r>
            <w:r w:rsidR="0075555C" w:rsidRPr="00AA5817">
              <w:rPr>
                <w:rFonts w:ascii="Times New Roman" w:hAnsi="Times New Roman" w:cs="Times New Roman"/>
              </w:rPr>
              <w:t xml:space="preserve"> </w:t>
            </w:r>
            <w:r w:rsidR="0075555C" w:rsidRPr="00AA5817">
              <w:rPr>
                <w:rFonts w:ascii="Times New Roman" w:hAnsi="Times New Roman" w:cs="Times New Roman"/>
                <w:b/>
                <w:strike/>
              </w:rPr>
              <w:t>(EUA)</w:t>
            </w:r>
          </w:p>
          <w:p w:rsidR="00E74EEC" w:rsidRPr="00AA5817" w:rsidRDefault="00E74EEC" w:rsidP="006D3227">
            <w:pPr>
              <w:rPr>
                <w:rFonts w:ascii="Times New Roman" w:hAnsi="Times New Roman" w:cs="Times New Roman"/>
              </w:rPr>
            </w:pPr>
          </w:p>
          <w:p w:rsidR="00E74EEC" w:rsidRPr="00AA5817" w:rsidRDefault="00E74EEC" w:rsidP="006D3227">
            <w:pPr>
              <w:rPr>
                <w:rFonts w:ascii="Times New Roman" w:hAnsi="Times New Roman" w:cs="Times New Roman"/>
              </w:rPr>
            </w:pPr>
            <w:r w:rsidRPr="00AA5817">
              <w:rPr>
                <w:rFonts w:ascii="Times New Roman" w:hAnsi="Times New Roman" w:cs="Times New Roman"/>
              </w:rPr>
              <w:t xml:space="preserve">kvótou z leteckej dopravy </w:t>
            </w:r>
            <w:r w:rsidR="0075555C" w:rsidRPr="00AA5817">
              <w:rPr>
                <w:rFonts w:ascii="Times New Roman" w:hAnsi="Times New Roman" w:cs="Times New Roman"/>
                <w:b/>
                <w:strike/>
              </w:rPr>
              <w:t>(aEUA alebo EUAA)</w:t>
            </w:r>
            <w:r w:rsidR="0075555C" w:rsidRPr="00AA5817">
              <w:rPr>
                <w:rFonts w:ascii="Times New Roman" w:hAnsi="Times New Roman" w:cs="Times New Roman"/>
              </w:rPr>
              <w:t xml:space="preserve"> </w:t>
            </w:r>
            <w:r w:rsidRPr="00AA5817">
              <w:rPr>
                <w:rFonts w:ascii="Times New Roman" w:hAnsi="Times New Roman" w:cs="Times New Roman"/>
              </w:rPr>
              <w:t>kvóta oprávňujúca prevádzkovateľa lietadla vypustiť jednu tonu ekvivalentu oxidu uhličitého počas určitej doby</w:t>
            </w:r>
          </w:p>
        </w:tc>
        <w:tc>
          <w:tcPr>
            <w:tcW w:w="830"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Ú</w:t>
            </w:r>
          </w:p>
        </w:tc>
        <w:tc>
          <w:tcPr>
            <w:tcW w:w="1629" w:type="dxa"/>
          </w:tcPr>
          <w:p w:rsidR="00E74CA4" w:rsidRPr="00AA5817" w:rsidRDefault="00E74CA4" w:rsidP="006D3227">
            <w:pPr>
              <w:rPr>
                <w:rFonts w:ascii="Times New Roman" w:hAnsi="Times New Roman" w:cs="Times New Roman"/>
              </w:rPr>
            </w:pPr>
          </w:p>
        </w:tc>
      </w:tr>
      <w:tr w:rsidR="00736BB6" w:rsidRPr="00AA5817" w:rsidTr="006D3227">
        <w:tc>
          <w:tcPr>
            <w:tcW w:w="1074" w:type="dxa"/>
          </w:tcPr>
          <w:p w:rsidR="00736BB6" w:rsidRPr="00AA5817" w:rsidRDefault="00736BB6" w:rsidP="006D3227">
            <w:pPr>
              <w:rPr>
                <w:rFonts w:ascii="Times New Roman" w:hAnsi="Times New Roman" w:cs="Times New Roman"/>
              </w:rPr>
            </w:pPr>
            <w:r w:rsidRPr="00AA5817">
              <w:rPr>
                <w:rFonts w:ascii="Times New Roman" w:hAnsi="Times New Roman" w:cs="Times New Roman"/>
              </w:rPr>
              <w:t>Č: 7</w:t>
            </w:r>
          </w:p>
        </w:tc>
        <w:tc>
          <w:tcPr>
            <w:tcW w:w="3712" w:type="dxa"/>
          </w:tcPr>
          <w:p w:rsidR="00736BB6" w:rsidRPr="00AA5817" w:rsidRDefault="00736BB6" w:rsidP="006D3227">
            <w:pPr>
              <w:rPr>
                <w:rFonts w:ascii="Times New Roman" w:hAnsi="Times New Roman" w:cs="Times New Roman"/>
              </w:rPr>
            </w:pPr>
            <w:r w:rsidRPr="00AA5817">
              <w:rPr>
                <w:rFonts w:ascii="Times New Roman" w:hAnsi="Times New Roman" w:cs="Times New Roman"/>
              </w:rPr>
              <w:t xml:space="preserve">Prevádzkovateľ informuje príslušný orgán o každej pripravovanej zmene charakteru fungovania zariadenia, o každom jeho rozšírení alebo významnom znížení jeho kapacity, ktoré si môže vyžadovať aktualizáciu povolenia na emisie skleníkových plynov. Príslušný orgán aktualizuje povolenie, ak je to vhodné. Ak dôjde k zmene identity prevádzkovateľa zariadenia, príslušný orgán aktualizuje povolenie tak, aby obsahovalo meno a </w:t>
            </w:r>
            <w:r w:rsidRPr="00AA5817">
              <w:rPr>
                <w:rFonts w:ascii="Times New Roman" w:hAnsi="Times New Roman" w:cs="Times New Roman"/>
              </w:rPr>
              <w:lastRenderedPageBreak/>
              <w:t>adresu nového prevádzkovateľa.</w:t>
            </w:r>
          </w:p>
        </w:tc>
        <w:tc>
          <w:tcPr>
            <w:tcW w:w="1418" w:type="dxa"/>
          </w:tcPr>
          <w:p w:rsidR="00736BB6" w:rsidRPr="00AA5817" w:rsidRDefault="00736BB6" w:rsidP="006D3227">
            <w:pPr>
              <w:rPr>
                <w:rFonts w:ascii="Times New Roman" w:hAnsi="Times New Roman" w:cs="Times New Roman"/>
              </w:rPr>
            </w:pPr>
            <w:r w:rsidRPr="00AA5817">
              <w:rPr>
                <w:rFonts w:ascii="Times New Roman" w:hAnsi="Times New Roman" w:cs="Times New Roman"/>
              </w:rPr>
              <w:lastRenderedPageBreak/>
              <w:t>N</w:t>
            </w:r>
          </w:p>
        </w:tc>
        <w:tc>
          <w:tcPr>
            <w:tcW w:w="850" w:type="dxa"/>
          </w:tcPr>
          <w:p w:rsidR="00736BB6"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736BB6" w:rsidRPr="00AA5817" w:rsidRDefault="00736BB6" w:rsidP="00E74EEC">
            <w:pPr>
              <w:rPr>
                <w:rFonts w:ascii="Times New Roman" w:hAnsi="Times New Roman" w:cs="Times New Roman"/>
              </w:rPr>
            </w:pPr>
            <w:r w:rsidRPr="00AA5817">
              <w:rPr>
                <w:rFonts w:ascii="Times New Roman" w:hAnsi="Times New Roman" w:cs="Times New Roman"/>
              </w:rPr>
              <w:t>§: 6</w:t>
            </w:r>
          </w:p>
          <w:p w:rsidR="00736BB6" w:rsidRPr="00AA5817" w:rsidRDefault="00736BB6" w:rsidP="00E74EEC">
            <w:pPr>
              <w:rPr>
                <w:rFonts w:ascii="Times New Roman" w:hAnsi="Times New Roman" w:cs="Times New Roman"/>
              </w:rPr>
            </w:pPr>
            <w:r w:rsidRPr="00AA5817">
              <w:rPr>
                <w:rFonts w:ascii="Times New Roman" w:hAnsi="Times New Roman" w:cs="Times New Roman"/>
              </w:rPr>
              <w:t>O: 1</w:t>
            </w:r>
          </w:p>
        </w:tc>
        <w:tc>
          <w:tcPr>
            <w:tcW w:w="3657" w:type="dxa"/>
          </w:tcPr>
          <w:p w:rsidR="00736BB6" w:rsidRPr="00AA5817" w:rsidRDefault="00736BB6" w:rsidP="00736BB6">
            <w:pPr>
              <w:rPr>
                <w:rFonts w:ascii="Times New Roman" w:hAnsi="Times New Roman" w:cs="Times New Roman"/>
              </w:rPr>
            </w:pPr>
            <w:r w:rsidRPr="00AA5817">
              <w:rPr>
                <w:rFonts w:ascii="Times New Roman" w:hAnsi="Times New Roman" w:cs="Times New Roman"/>
              </w:rPr>
              <w:t xml:space="preserve">Prevádzkovateľ je povinný bezodkladne oznámiť okresnému úradu každú plánovanú zmenu činnosti prevádzky, ktorá môže byť dôvodom na zmenu povolenia na vypúšťanie emisií skleníkových plynov alebo na vyradenie zo systému obchodovania. Okresný úrad zmení povolenie na vypúšťanie emisií skleníkových plynov, ak je to potrebné, alebo vydá rozhodnutie o vyradení prevádzky zo systému </w:t>
            </w:r>
            <w:r w:rsidRPr="00AA5817">
              <w:rPr>
                <w:rFonts w:ascii="Times New Roman" w:hAnsi="Times New Roman" w:cs="Times New Roman"/>
              </w:rPr>
              <w:lastRenderedPageBreak/>
              <w:t xml:space="preserve">obchodovania. Na konanie o zmene povolenia na vypúšťanie emisií skleníkových plynov </w:t>
            </w:r>
            <w:r w:rsidR="00397351" w:rsidRPr="00AA5817">
              <w:rPr>
                <w:rFonts w:ascii="Times New Roman" w:hAnsi="Times New Roman" w:cs="Times New Roman"/>
              </w:rPr>
              <w:t xml:space="preserve">sa primerane vzťahujú </w:t>
            </w:r>
            <w:r w:rsidR="00397351" w:rsidRPr="00AA5817">
              <w:rPr>
                <w:rFonts w:ascii="Times New Roman" w:hAnsi="Times New Roman" w:cs="Times New Roman"/>
                <w:b/>
              </w:rPr>
              <w:t>§ 3 ods. 3</w:t>
            </w:r>
            <w:r w:rsidRPr="00AA5817">
              <w:rPr>
                <w:rFonts w:ascii="Times New Roman" w:hAnsi="Times New Roman" w:cs="Times New Roman"/>
              </w:rPr>
              <w:t xml:space="preserve"> a § 5.</w:t>
            </w:r>
          </w:p>
        </w:tc>
        <w:tc>
          <w:tcPr>
            <w:tcW w:w="830" w:type="dxa"/>
          </w:tcPr>
          <w:p w:rsidR="00736BB6" w:rsidRPr="00AA5817" w:rsidRDefault="00736BB6" w:rsidP="006D3227">
            <w:pPr>
              <w:rPr>
                <w:rFonts w:ascii="Times New Roman" w:hAnsi="Times New Roman" w:cs="Times New Roman"/>
              </w:rPr>
            </w:pPr>
            <w:r w:rsidRPr="00AA5817">
              <w:rPr>
                <w:rFonts w:ascii="Times New Roman" w:hAnsi="Times New Roman" w:cs="Times New Roman"/>
              </w:rPr>
              <w:lastRenderedPageBreak/>
              <w:t>Ú</w:t>
            </w:r>
          </w:p>
        </w:tc>
        <w:tc>
          <w:tcPr>
            <w:tcW w:w="1629" w:type="dxa"/>
          </w:tcPr>
          <w:p w:rsidR="00736BB6" w:rsidRPr="00AA5817" w:rsidRDefault="00736BB6" w:rsidP="006D3227">
            <w:pPr>
              <w:rPr>
                <w:rFonts w:ascii="Times New Roman" w:hAnsi="Times New Roman" w:cs="Times New Roman"/>
              </w:rPr>
            </w:pPr>
          </w:p>
        </w:tc>
      </w:tr>
      <w:tr w:rsidR="00E74CA4" w:rsidRPr="00AA5817" w:rsidTr="006D3227">
        <w:tc>
          <w:tcPr>
            <w:tcW w:w="1074"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Č: 10a</w:t>
            </w:r>
          </w:p>
          <w:p w:rsidR="00E74CA4" w:rsidRPr="00AA5817" w:rsidRDefault="00E74CA4" w:rsidP="006D3227">
            <w:pPr>
              <w:rPr>
                <w:rFonts w:ascii="Times New Roman" w:hAnsi="Times New Roman" w:cs="Times New Roman"/>
              </w:rPr>
            </w:pPr>
            <w:r w:rsidRPr="00AA5817">
              <w:rPr>
                <w:rFonts w:ascii="Times New Roman" w:hAnsi="Times New Roman" w:cs="Times New Roman"/>
              </w:rPr>
              <w:t>O: 20</w:t>
            </w:r>
          </w:p>
        </w:tc>
        <w:tc>
          <w:tcPr>
            <w:tcW w:w="3712"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Úroveň bezodplatného prideľovania zariadeniam, ktorých</w:t>
            </w:r>
          </w:p>
          <w:p w:rsidR="00E74CA4" w:rsidRPr="00AA5817" w:rsidRDefault="00E74CA4" w:rsidP="006D3227">
            <w:pPr>
              <w:rPr>
                <w:rFonts w:ascii="Times New Roman" w:hAnsi="Times New Roman" w:cs="Times New Roman"/>
              </w:rPr>
            </w:pPr>
            <w:r w:rsidRPr="00AA5817">
              <w:rPr>
                <w:rFonts w:ascii="Times New Roman" w:hAnsi="Times New Roman" w:cs="Times New Roman"/>
              </w:rPr>
              <w:t>činnosti sa z hľadiska dvojročného kĺzavého priemeru zvýšili alebo</w:t>
            </w:r>
          </w:p>
          <w:p w:rsidR="00E74CA4" w:rsidRPr="00AA5817" w:rsidRDefault="00E74CA4" w:rsidP="006D3227">
            <w:pPr>
              <w:rPr>
                <w:rFonts w:ascii="Times New Roman" w:hAnsi="Times New Roman" w:cs="Times New Roman"/>
              </w:rPr>
            </w:pPr>
            <w:r w:rsidRPr="00AA5817">
              <w:rPr>
                <w:rFonts w:ascii="Times New Roman" w:hAnsi="Times New Roman" w:cs="Times New Roman"/>
              </w:rPr>
              <w:t>znížili o viac ako 15 % v porovnaní s úrovňou, ktorá sa pôvodne</w:t>
            </w:r>
          </w:p>
          <w:p w:rsidR="00E74CA4" w:rsidRPr="00AA5817" w:rsidRDefault="00E74CA4" w:rsidP="006D3227">
            <w:pPr>
              <w:rPr>
                <w:rFonts w:ascii="Times New Roman" w:hAnsi="Times New Roman" w:cs="Times New Roman"/>
              </w:rPr>
            </w:pPr>
            <w:r w:rsidRPr="00AA5817">
              <w:rPr>
                <w:rFonts w:ascii="Times New Roman" w:hAnsi="Times New Roman" w:cs="Times New Roman"/>
              </w:rPr>
              <w:t>použila na určenie bezodplatného prideľovania kvót na príslušné</w:t>
            </w:r>
          </w:p>
          <w:p w:rsidR="00E74CA4" w:rsidRPr="00AA5817" w:rsidRDefault="00E74CA4" w:rsidP="006D3227">
            <w:pPr>
              <w:rPr>
                <w:rFonts w:ascii="Times New Roman" w:hAnsi="Times New Roman" w:cs="Times New Roman"/>
              </w:rPr>
            </w:pPr>
            <w:r w:rsidRPr="00AA5817">
              <w:rPr>
                <w:rFonts w:ascii="Times New Roman" w:hAnsi="Times New Roman" w:cs="Times New Roman"/>
              </w:rPr>
              <w:t>obdobie uvedené v článku 11 ods. 1, sa podľa potreby upraví. Takéto</w:t>
            </w:r>
          </w:p>
          <w:p w:rsidR="00E74CA4" w:rsidRPr="00AA5817" w:rsidRDefault="00E74CA4" w:rsidP="006D3227">
            <w:pPr>
              <w:rPr>
                <w:rFonts w:ascii="Times New Roman" w:hAnsi="Times New Roman" w:cs="Times New Roman"/>
              </w:rPr>
            </w:pPr>
            <w:r w:rsidRPr="00AA5817">
              <w:rPr>
                <w:rFonts w:ascii="Times New Roman" w:hAnsi="Times New Roman" w:cs="Times New Roman"/>
              </w:rPr>
              <w:t>úpravy sa vykonajú pomocou kvót, ktoré sa vyčlenili v súlade</w:t>
            </w:r>
          </w:p>
          <w:p w:rsidR="00E74CA4" w:rsidRPr="00AA5817" w:rsidRDefault="00E74CA4" w:rsidP="006D3227">
            <w:pPr>
              <w:rPr>
                <w:rFonts w:ascii="Times New Roman" w:hAnsi="Times New Roman" w:cs="Times New Roman"/>
              </w:rPr>
            </w:pPr>
            <w:r w:rsidRPr="00AA5817">
              <w:rPr>
                <w:rFonts w:ascii="Times New Roman" w:hAnsi="Times New Roman" w:cs="Times New Roman"/>
              </w:rPr>
              <w:t>s odsekom 7 tohto článku, alebo doplnením kvót k týmto vyčleneným</w:t>
            </w:r>
          </w:p>
          <w:p w:rsidR="00E74CA4" w:rsidRPr="00AA5817" w:rsidRDefault="00E74CA4" w:rsidP="006D3227">
            <w:pPr>
              <w:rPr>
                <w:rFonts w:ascii="Times New Roman" w:hAnsi="Times New Roman" w:cs="Times New Roman"/>
              </w:rPr>
            </w:pPr>
            <w:r w:rsidRPr="00AA5817">
              <w:rPr>
                <w:rFonts w:ascii="Times New Roman" w:hAnsi="Times New Roman" w:cs="Times New Roman"/>
              </w:rPr>
              <w:t>kvótam.</w:t>
            </w:r>
          </w:p>
        </w:tc>
        <w:tc>
          <w:tcPr>
            <w:tcW w:w="1418"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N</w:t>
            </w:r>
          </w:p>
        </w:tc>
        <w:tc>
          <w:tcPr>
            <w:tcW w:w="850" w:type="dxa"/>
          </w:tcPr>
          <w:p w:rsidR="00E74CA4"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E74EEC" w:rsidRPr="00AA5817" w:rsidRDefault="00E74EEC" w:rsidP="00E74EEC">
            <w:pPr>
              <w:rPr>
                <w:rFonts w:ascii="Times New Roman" w:hAnsi="Times New Roman" w:cs="Times New Roman"/>
              </w:rPr>
            </w:pPr>
            <w:r w:rsidRPr="00AA5817">
              <w:rPr>
                <w:rFonts w:ascii="Times New Roman" w:hAnsi="Times New Roman" w:cs="Times New Roman"/>
              </w:rPr>
              <w:t>Č: 1</w:t>
            </w:r>
          </w:p>
          <w:p w:rsidR="00E74EEC" w:rsidRPr="00AA5817" w:rsidRDefault="00E74EEC" w:rsidP="00E74EEC">
            <w:pPr>
              <w:rPr>
                <w:rFonts w:ascii="Times New Roman" w:hAnsi="Times New Roman" w:cs="Times New Roman"/>
              </w:rPr>
            </w:pPr>
            <w:r w:rsidRPr="00AA5817">
              <w:rPr>
                <w:rFonts w:ascii="Times New Roman" w:hAnsi="Times New Roman" w:cs="Times New Roman"/>
              </w:rPr>
              <w:t>§: 10</w:t>
            </w:r>
          </w:p>
          <w:p w:rsidR="00E74CA4" w:rsidRPr="00AA5817" w:rsidRDefault="00E74EEC" w:rsidP="00E74EEC">
            <w:pPr>
              <w:rPr>
                <w:rFonts w:ascii="Times New Roman" w:hAnsi="Times New Roman" w:cs="Times New Roman"/>
              </w:rPr>
            </w:pPr>
            <w:r w:rsidRPr="00AA5817">
              <w:rPr>
                <w:rFonts w:ascii="Times New Roman" w:hAnsi="Times New Roman" w:cs="Times New Roman"/>
              </w:rPr>
              <w:t>O: 2</w:t>
            </w:r>
          </w:p>
        </w:tc>
        <w:tc>
          <w:tcPr>
            <w:tcW w:w="3657" w:type="dxa"/>
          </w:tcPr>
          <w:p w:rsidR="00E74CA4" w:rsidRPr="00AA5817" w:rsidRDefault="00E74EEC" w:rsidP="006D3227">
            <w:pPr>
              <w:rPr>
                <w:rFonts w:ascii="Times New Roman" w:hAnsi="Times New Roman" w:cs="Times New Roman"/>
                <w:b/>
                <w:color w:val="000000"/>
              </w:rPr>
            </w:pPr>
            <w:r w:rsidRPr="00AA5817">
              <w:rPr>
                <w:rFonts w:ascii="Times New Roman" w:hAnsi="Times New Roman" w:cs="Times New Roman"/>
                <w:b/>
                <w:color w:val="000000"/>
              </w:rPr>
              <w:t>Pri zvýšení priemernej úrovne činnosti prevádzky, pri znížení priemernej úrovne činnosti prevádzky a pri ukončení činnosti prevádzky sa množstvo bezodplatne pridelených kvót podľa odseku 1 upraví podľa osobitného predpisu.</w:t>
            </w:r>
            <w:r w:rsidRPr="00AA5817">
              <w:rPr>
                <w:rFonts w:ascii="Times New Roman" w:hAnsi="Times New Roman" w:cs="Times New Roman"/>
                <w:b/>
                <w:color w:val="000000"/>
                <w:vertAlign w:val="superscript"/>
              </w:rPr>
              <w:t>10b</w:t>
            </w:r>
            <w:r w:rsidRPr="00AA5817">
              <w:rPr>
                <w:rFonts w:ascii="Times New Roman" w:hAnsi="Times New Roman" w:cs="Times New Roman"/>
                <w:b/>
                <w:color w:val="000000"/>
              </w:rPr>
              <w:t>)“.</w:t>
            </w:r>
          </w:p>
          <w:p w:rsidR="00E74EEC" w:rsidRPr="00AA5817" w:rsidRDefault="00E74EEC" w:rsidP="006D3227">
            <w:pPr>
              <w:rPr>
                <w:rFonts w:ascii="Times New Roman" w:hAnsi="Times New Roman" w:cs="Times New Roman"/>
                <w:b/>
                <w:color w:val="000000"/>
              </w:rPr>
            </w:pPr>
          </w:p>
          <w:p w:rsidR="00E74EEC" w:rsidRPr="00AA5817" w:rsidRDefault="00E74EEC" w:rsidP="006D3227">
            <w:pPr>
              <w:rPr>
                <w:rFonts w:ascii="Times New Roman" w:hAnsi="Times New Roman" w:cs="Times New Roman"/>
              </w:rPr>
            </w:pPr>
            <w:r w:rsidRPr="00AA5817">
              <w:rPr>
                <w:rFonts w:ascii="Times New Roman" w:hAnsi="Times New Roman" w:cs="Times New Roman"/>
                <w:b/>
                <w:color w:val="000000"/>
                <w:vertAlign w:val="superscript"/>
              </w:rPr>
              <w:t>10b</w:t>
            </w:r>
            <w:r w:rsidRPr="00AA5817">
              <w:rPr>
                <w:rFonts w:ascii="Times New Roman" w:hAnsi="Times New Roman" w:cs="Times New Roman"/>
                <w:b/>
                <w:color w:val="000000"/>
              </w:rPr>
              <w:t>) Vykonávacie nariadenie Komisie (EÚ) 2019/1842 z 31. októbra 2019, ktorým sa stanovujú pravidlá uplatňovania smernice Európskeho parlamentu a Rady 2003/87/ES, pokiaľ ide o ďalšie ustanovenia týkajúce sa úprav súvisiacich s bezodplatným prideľovaním emisných kvót v dôsledku zmien na úrovni činnosti (Ú. v. EÚ L 282, 4.11.2019).”.</w:t>
            </w:r>
          </w:p>
        </w:tc>
        <w:tc>
          <w:tcPr>
            <w:tcW w:w="830"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Ú</w:t>
            </w:r>
          </w:p>
        </w:tc>
        <w:tc>
          <w:tcPr>
            <w:tcW w:w="1629" w:type="dxa"/>
          </w:tcPr>
          <w:p w:rsidR="00E74CA4" w:rsidRPr="00AA5817" w:rsidRDefault="00E74CA4" w:rsidP="006D3227">
            <w:pPr>
              <w:rPr>
                <w:rFonts w:ascii="Times New Roman" w:hAnsi="Times New Roman" w:cs="Times New Roman"/>
              </w:rPr>
            </w:pPr>
          </w:p>
        </w:tc>
      </w:tr>
      <w:tr w:rsidR="00E74CA4" w:rsidRPr="00AA5817" w:rsidTr="006D3227">
        <w:tc>
          <w:tcPr>
            <w:tcW w:w="1074"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Č: 12</w:t>
            </w:r>
          </w:p>
          <w:p w:rsidR="00E74CA4" w:rsidRPr="00AA5817" w:rsidRDefault="00E74CA4" w:rsidP="006D3227">
            <w:pPr>
              <w:rPr>
                <w:rFonts w:ascii="Times New Roman" w:hAnsi="Times New Roman" w:cs="Times New Roman"/>
              </w:rPr>
            </w:pPr>
            <w:r w:rsidRPr="00AA5817">
              <w:rPr>
                <w:rFonts w:ascii="Times New Roman" w:hAnsi="Times New Roman" w:cs="Times New Roman"/>
              </w:rPr>
              <w:t>O: 1</w:t>
            </w:r>
          </w:p>
          <w:p w:rsidR="00E74CA4" w:rsidRPr="00AA5817" w:rsidRDefault="00E74CA4" w:rsidP="006D3227">
            <w:pPr>
              <w:rPr>
                <w:rFonts w:ascii="Times New Roman" w:hAnsi="Times New Roman" w:cs="Times New Roman"/>
              </w:rPr>
            </w:pPr>
            <w:r w:rsidRPr="00AA5817">
              <w:rPr>
                <w:rFonts w:ascii="Times New Roman" w:hAnsi="Times New Roman" w:cs="Times New Roman"/>
              </w:rPr>
              <w:t>P: b)</w:t>
            </w:r>
          </w:p>
        </w:tc>
        <w:tc>
          <w:tcPr>
            <w:tcW w:w="3712"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osobami v Únii a osobami z tretích krajín, kde sú takéto</w:t>
            </w:r>
          </w:p>
          <w:p w:rsidR="00E74CA4" w:rsidRPr="00AA5817" w:rsidRDefault="00E74CA4" w:rsidP="006D3227">
            <w:pPr>
              <w:rPr>
                <w:rFonts w:ascii="Times New Roman" w:hAnsi="Times New Roman" w:cs="Times New Roman"/>
              </w:rPr>
            </w:pPr>
            <w:r w:rsidRPr="00AA5817">
              <w:rPr>
                <w:rFonts w:ascii="Times New Roman" w:hAnsi="Times New Roman" w:cs="Times New Roman"/>
              </w:rPr>
              <w:t>kvóty uznané v súlade s postupom podľa článku 25 bez</w:t>
            </w:r>
          </w:p>
          <w:p w:rsidR="00E74CA4" w:rsidRPr="00AA5817" w:rsidRDefault="00E74CA4" w:rsidP="006D3227">
            <w:pPr>
              <w:rPr>
                <w:rFonts w:ascii="Times New Roman" w:hAnsi="Times New Roman" w:cs="Times New Roman"/>
              </w:rPr>
            </w:pPr>
            <w:r w:rsidRPr="00AA5817">
              <w:rPr>
                <w:rFonts w:ascii="Times New Roman" w:hAnsi="Times New Roman" w:cs="Times New Roman"/>
              </w:rPr>
              <w:t>akýchkoľvek obmedzení, okrem tých, ktoré obsahuje táto smernica</w:t>
            </w:r>
          </w:p>
          <w:p w:rsidR="00E74CA4" w:rsidRPr="00AA5817" w:rsidRDefault="00E74CA4" w:rsidP="006D3227">
            <w:pPr>
              <w:rPr>
                <w:rFonts w:ascii="Times New Roman" w:hAnsi="Times New Roman" w:cs="Times New Roman"/>
              </w:rPr>
            </w:pPr>
            <w:r w:rsidRPr="00AA5817">
              <w:rPr>
                <w:rFonts w:ascii="Times New Roman" w:hAnsi="Times New Roman" w:cs="Times New Roman"/>
              </w:rPr>
              <w:t>alebo ktoré sú prijaté podľa tejto smernice</w:t>
            </w:r>
          </w:p>
        </w:tc>
        <w:tc>
          <w:tcPr>
            <w:tcW w:w="1418"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N</w:t>
            </w:r>
          </w:p>
        </w:tc>
        <w:tc>
          <w:tcPr>
            <w:tcW w:w="850" w:type="dxa"/>
          </w:tcPr>
          <w:p w:rsidR="00E74CA4"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E74EEC" w:rsidRPr="00AA5817" w:rsidRDefault="00E74EEC" w:rsidP="00E74EEC">
            <w:pPr>
              <w:rPr>
                <w:rFonts w:ascii="Times New Roman" w:hAnsi="Times New Roman" w:cs="Times New Roman"/>
              </w:rPr>
            </w:pPr>
            <w:r w:rsidRPr="00AA5817">
              <w:rPr>
                <w:rFonts w:ascii="Times New Roman" w:hAnsi="Times New Roman" w:cs="Times New Roman"/>
              </w:rPr>
              <w:t>Č: 1</w:t>
            </w:r>
          </w:p>
          <w:p w:rsidR="00E74EEC" w:rsidRPr="00AA5817" w:rsidRDefault="00E74EEC" w:rsidP="00E74EEC">
            <w:pPr>
              <w:rPr>
                <w:rFonts w:ascii="Times New Roman" w:hAnsi="Times New Roman" w:cs="Times New Roman"/>
              </w:rPr>
            </w:pPr>
            <w:r w:rsidRPr="00AA5817">
              <w:rPr>
                <w:rFonts w:ascii="Times New Roman" w:hAnsi="Times New Roman" w:cs="Times New Roman"/>
              </w:rPr>
              <w:t>§: 20</w:t>
            </w:r>
          </w:p>
          <w:p w:rsidR="00E74CA4" w:rsidRPr="00AA5817" w:rsidRDefault="00E74EEC" w:rsidP="00E74EEC">
            <w:pPr>
              <w:rPr>
                <w:rFonts w:ascii="Times New Roman" w:hAnsi="Times New Roman" w:cs="Times New Roman"/>
              </w:rPr>
            </w:pPr>
            <w:r w:rsidRPr="00AA5817">
              <w:rPr>
                <w:rFonts w:ascii="Times New Roman" w:hAnsi="Times New Roman" w:cs="Times New Roman"/>
              </w:rPr>
              <w:t>O: 1</w:t>
            </w:r>
          </w:p>
          <w:p w:rsidR="00E74EEC" w:rsidRPr="00AA5817" w:rsidRDefault="00E74EEC" w:rsidP="00E74EEC">
            <w:pPr>
              <w:rPr>
                <w:rFonts w:ascii="Times New Roman" w:hAnsi="Times New Roman" w:cs="Times New Roman"/>
              </w:rPr>
            </w:pPr>
            <w:r w:rsidRPr="00AA5817">
              <w:rPr>
                <w:rFonts w:ascii="Times New Roman" w:hAnsi="Times New Roman" w:cs="Times New Roman"/>
              </w:rPr>
              <w:t>P: b)</w:t>
            </w:r>
          </w:p>
        </w:tc>
        <w:tc>
          <w:tcPr>
            <w:tcW w:w="3657"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 xml:space="preserve">účastníkmi systému obchodovania podľa písmena a) a zahraničnými účastníkmi systému obchodovania s emisnými kvótami skleníkových plynov v Európskej únii </w:t>
            </w:r>
            <w:r w:rsidRPr="00AA5817">
              <w:rPr>
                <w:rFonts w:ascii="Times New Roman" w:hAnsi="Times New Roman" w:cs="Times New Roman"/>
                <w:b/>
              </w:rPr>
              <w:t>alebo inými prepojenými systémami obchodovania</w:t>
            </w:r>
          </w:p>
        </w:tc>
        <w:tc>
          <w:tcPr>
            <w:tcW w:w="830"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Ú</w:t>
            </w:r>
          </w:p>
        </w:tc>
        <w:tc>
          <w:tcPr>
            <w:tcW w:w="1629" w:type="dxa"/>
          </w:tcPr>
          <w:p w:rsidR="00E74CA4" w:rsidRPr="00AA5817" w:rsidRDefault="00E74CA4" w:rsidP="006D3227">
            <w:pPr>
              <w:rPr>
                <w:rFonts w:ascii="Times New Roman" w:hAnsi="Times New Roman" w:cs="Times New Roman"/>
              </w:rPr>
            </w:pPr>
          </w:p>
        </w:tc>
      </w:tr>
      <w:tr w:rsidR="00E74CA4" w:rsidRPr="00AA5817" w:rsidTr="006D3227">
        <w:tc>
          <w:tcPr>
            <w:tcW w:w="1074"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Č: 12</w:t>
            </w:r>
          </w:p>
          <w:p w:rsidR="00E74CA4" w:rsidRPr="00AA5817" w:rsidRDefault="00E74CA4" w:rsidP="006D3227">
            <w:pPr>
              <w:rPr>
                <w:rFonts w:ascii="Times New Roman" w:hAnsi="Times New Roman" w:cs="Times New Roman"/>
              </w:rPr>
            </w:pPr>
            <w:r w:rsidRPr="00AA5817">
              <w:rPr>
                <w:rFonts w:ascii="Times New Roman" w:hAnsi="Times New Roman" w:cs="Times New Roman"/>
              </w:rPr>
              <w:t>O: 3</w:t>
            </w:r>
          </w:p>
        </w:tc>
        <w:tc>
          <w:tcPr>
            <w:tcW w:w="3712"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V období do 31. decembra 2020 členské štáty zabezpečia, aby do</w:t>
            </w:r>
          </w:p>
          <w:p w:rsidR="00E74CA4" w:rsidRPr="00AA5817" w:rsidRDefault="00E74CA4" w:rsidP="006D3227">
            <w:pPr>
              <w:rPr>
                <w:rFonts w:ascii="Times New Roman" w:hAnsi="Times New Roman" w:cs="Times New Roman"/>
              </w:rPr>
            </w:pPr>
            <w:r w:rsidRPr="00AA5817">
              <w:rPr>
                <w:rFonts w:ascii="Times New Roman" w:hAnsi="Times New Roman" w:cs="Times New Roman"/>
              </w:rPr>
              <w:t xml:space="preserve">30. apríla každého roku </w:t>
            </w:r>
            <w:r w:rsidRPr="00AA5817">
              <w:rPr>
                <w:rFonts w:ascii="Times New Roman" w:hAnsi="Times New Roman" w:cs="Times New Roman"/>
              </w:rPr>
              <w:lastRenderedPageBreak/>
              <w:t>prevádzkovateľ každého zariadenia odovzdal množstvo iných kvót ako kvót vydaných podľa kapitoly II rovnajúce sa celkovým emisiám z tohto zariadenia počas predchádzajúceho kalendárneho roku, ktoré bolo overené v súlade s článkom 15, a aby uvedené</w:t>
            </w:r>
          </w:p>
          <w:p w:rsidR="00E74CA4" w:rsidRPr="00AA5817" w:rsidRDefault="00E74CA4" w:rsidP="006D3227">
            <w:pPr>
              <w:rPr>
                <w:rFonts w:ascii="Times New Roman" w:hAnsi="Times New Roman" w:cs="Times New Roman"/>
              </w:rPr>
            </w:pPr>
            <w:r w:rsidRPr="00AA5817">
              <w:rPr>
                <w:rFonts w:ascii="Times New Roman" w:hAnsi="Times New Roman" w:cs="Times New Roman"/>
              </w:rPr>
              <w:t>kvóty boli následne zrušené. V období začínajúcom od 1. januára 2021 členské štáty zabezpečia, aby do 30. apríla každého roku prevádzkovateľ každého zariadenia odovzdal množstvo kvót rovnajúce sa celkovým emisiám z tohto zariadenia počas predchádzajúceho kalendárneho roku, ktoré bolo overené v súlade s článkom 15, a aby uvedené kvóty boli následne zrušené, s výhradou preskúmania uvedenéhov článku 28b.</w:t>
            </w:r>
          </w:p>
        </w:tc>
        <w:tc>
          <w:tcPr>
            <w:tcW w:w="1418"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lastRenderedPageBreak/>
              <w:t>N</w:t>
            </w:r>
          </w:p>
        </w:tc>
        <w:tc>
          <w:tcPr>
            <w:tcW w:w="850" w:type="dxa"/>
          </w:tcPr>
          <w:p w:rsidR="00E74CA4"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E74EEC" w:rsidRPr="00AA5817" w:rsidRDefault="00E74EEC" w:rsidP="00E74EEC">
            <w:pPr>
              <w:rPr>
                <w:rFonts w:ascii="Times New Roman" w:hAnsi="Times New Roman" w:cs="Times New Roman"/>
              </w:rPr>
            </w:pPr>
            <w:r w:rsidRPr="00AA5817">
              <w:rPr>
                <w:rFonts w:ascii="Times New Roman" w:hAnsi="Times New Roman" w:cs="Times New Roman"/>
              </w:rPr>
              <w:t>Č: 1</w:t>
            </w:r>
          </w:p>
          <w:p w:rsidR="00E74EEC" w:rsidRPr="00AA5817" w:rsidRDefault="00E74EEC" w:rsidP="00E74EEC">
            <w:pPr>
              <w:rPr>
                <w:rFonts w:ascii="Times New Roman" w:hAnsi="Times New Roman" w:cs="Times New Roman"/>
              </w:rPr>
            </w:pPr>
            <w:r w:rsidRPr="00AA5817">
              <w:rPr>
                <w:rFonts w:ascii="Times New Roman" w:hAnsi="Times New Roman" w:cs="Times New Roman"/>
              </w:rPr>
              <w:t>§: 20</w:t>
            </w:r>
          </w:p>
          <w:p w:rsidR="00E74EEC" w:rsidRPr="00AA5817" w:rsidRDefault="00E74EEC" w:rsidP="00E74EEC">
            <w:pPr>
              <w:rPr>
                <w:rFonts w:ascii="Times New Roman" w:hAnsi="Times New Roman" w:cs="Times New Roman"/>
              </w:rPr>
            </w:pPr>
            <w:r w:rsidRPr="00AA5817">
              <w:rPr>
                <w:rFonts w:ascii="Times New Roman" w:hAnsi="Times New Roman" w:cs="Times New Roman"/>
              </w:rPr>
              <w:t>O: 8</w:t>
            </w:r>
          </w:p>
          <w:p w:rsidR="00E74CA4" w:rsidRPr="00AA5817" w:rsidRDefault="00E74CA4" w:rsidP="006D3227">
            <w:pPr>
              <w:rPr>
                <w:rFonts w:ascii="Times New Roman" w:hAnsi="Times New Roman" w:cs="Times New Roman"/>
              </w:rPr>
            </w:pPr>
          </w:p>
        </w:tc>
        <w:tc>
          <w:tcPr>
            <w:tcW w:w="3657" w:type="dxa"/>
          </w:tcPr>
          <w:p w:rsidR="00E74CA4" w:rsidRPr="00AA5817" w:rsidRDefault="00E74EEC" w:rsidP="00E74EEC">
            <w:pPr>
              <w:rPr>
                <w:rFonts w:ascii="Times New Roman" w:hAnsi="Times New Roman" w:cs="Times New Roman"/>
              </w:rPr>
            </w:pPr>
            <w:r w:rsidRPr="00AA5817">
              <w:rPr>
                <w:rFonts w:ascii="Times New Roman" w:hAnsi="Times New Roman" w:cs="Times New Roman"/>
              </w:rPr>
              <w:lastRenderedPageBreak/>
              <w:t xml:space="preserve">Prevádzkovateľ odovzdá do 30. apríla kalendárneho roka množstvo </w:t>
            </w:r>
            <w:r w:rsidRPr="00AA5817">
              <w:rPr>
                <w:rFonts w:ascii="Times New Roman" w:hAnsi="Times New Roman" w:cs="Times New Roman"/>
                <w:b/>
              </w:rPr>
              <w:t>kvót</w:t>
            </w:r>
            <w:r w:rsidRPr="00AA5817">
              <w:rPr>
                <w:rFonts w:ascii="Times New Roman" w:hAnsi="Times New Roman" w:cs="Times New Roman"/>
              </w:rPr>
              <w:t xml:space="preserve"> rovnajúce sa celkovým emisiám z </w:t>
            </w:r>
            <w:r w:rsidRPr="00AA5817">
              <w:rPr>
                <w:rFonts w:ascii="Times New Roman" w:hAnsi="Times New Roman" w:cs="Times New Roman"/>
              </w:rPr>
              <w:lastRenderedPageBreak/>
              <w:t>prevádzky počas predchádzajúceho kalendárneho roka, ktoré boli overené v súlade s kritériami podľa osobitného predpisu</w:t>
            </w:r>
            <w:r w:rsidRPr="00AA5817">
              <w:rPr>
                <w:rFonts w:ascii="Times New Roman" w:hAnsi="Times New Roman" w:cs="Times New Roman"/>
                <w:vertAlign w:val="superscript"/>
              </w:rPr>
              <w:t>19</w:t>
            </w:r>
            <w:r w:rsidRPr="00AA5817">
              <w:rPr>
                <w:rFonts w:ascii="Times New Roman" w:hAnsi="Times New Roman" w:cs="Times New Roman"/>
              </w:rPr>
              <w:t>) a prílohyč.3b.</w:t>
            </w:r>
          </w:p>
          <w:p w:rsidR="00A75F89" w:rsidRPr="00AA5817" w:rsidRDefault="00A75F89" w:rsidP="00E74EEC">
            <w:pPr>
              <w:rPr>
                <w:rFonts w:ascii="Times New Roman" w:hAnsi="Times New Roman" w:cs="Times New Roman"/>
              </w:rPr>
            </w:pPr>
          </w:p>
          <w:p w:rsidR="00A75F89" w:rsidRPr="00AA5817" w:rsidRDefault="00A75F89" w:rsidP="00E74EEC">
            <w:pPr>
              <w:rPr>
                <w:rFonts w:ascii="Times New Roman" w:hAnsi="Times New Roman" w:cs="Times New Roman"/>
              </w:rPr>
            </w:pPr>
            <w:r w:rsidRPr="00AA5817">
              <w:rPr>
                <w:rFonts w:ascii="Times New Roman" w:hAnsi="Times New Roman" w:cs="Times New Roman"/>
                <w:vertAlign w:val="superscript"/>
              </w:rPr>
              <w:t>19</w:t>
            </w:r>
            <w:r w:rsidRPr="00AA5817">
              <w:rPr>
                <w:rFonts w:ascii="Times New Roman" w:hAnsi="Times New Roman" w:cs="Times New Roman"/>
              </w:rPr>
              <w:t>) Vykonávacie nariadenie Komisie (EÚ) 2018/2067 z 19. decembra 2018 o overovaní údajov a o akreditácii overovateľov podľa smernice Európskeho parlamentu a Rady 2003/87/ES (Ú. v. EÚ L 334, 31. 12. 2018).</w:t>
            </w:r>
          </w:p>
        </w:tc>
        <w:tc>
          <w:tcPr>
            <w:tcW w:w="830"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lastRenderedPageBreak/>
              <w:t>Ú</w:t>
            </w:r>
          </w:p>
        </w:tc>
        <w:tc>
          <w:tcPr>
            <w:tcW w:w="1629" w:type="dxa"/>
          </w:tcPr>
          <w:p w:rsidR="00E74CA4" w:rsidRPr="00AA5817" w:rsidRDefault="00E74CA4" w:rsidP="006D3227">
            <w:pPr>
              <w:rPr>
                <w:rFonts w:ascii="Times New Roman" w:hAnsi="Times New Roman" w:cs="Times New Roman"/>
              </w:rPr>
            </w:pPr>
          </w:p>
        </w:tc>
      </w:tr>
      <w:tr w:rsidR="00E74CA4" w:rsidRPr="00AA5817" w:rsidTr="006D3227">
        <w:tc>
          <w:tcPr>
            <w:tcW w:w="1074"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Príloha I</w:t>
            </w:r>
          </w:p>
        </w:tc>
        <w:tc>
          <w:tcPr>
            <w:tcW w:w="3712"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Letecká doprava</w:t>
            </w:r>
          </w:p>
          <w:p w:rsidR="00E74CA4" w:rsidRPr="00AA5817" w:rsidRDefault="00E74CA4" w:rsidP="006D3227">
            <w:pPr>
              <w:rPr>
                <w:rFonts w:ascii="Times New Roman" w:hAnsi="Times New Roman" w:cs="Times New Roman"/>
              </w:rPr>
            </w:pPr>
            <w:r w:rsidRPr="00AA5817">
              <w:rPr>
                <w:rFonts w:ascii="Times New Roman" w:hAnsi="Times New Roman" w:cs="Times New Roman"/>
              </w:rPr>
              <w:t>Lety s odletom z letiska alebo príletom na letisko, ktoré sa nachádza na území členského</w:t>
            </w:r>
          </w:p>
          <w:p w:rsidR="00E74CA4" w:rsidRPr="00AA5817" w:rsidRDefault="00E74CA4" w:rsidP="006D3227">
            <w:pPr>
              <w:rPr>
                <w:rFonts w:ascii="Times New Roman" w:hAnsi="Times New Roman" w:cs="Times New Roman"/>
              </w:rPr>
            </w:pPr>
            <w:r w:rsidRPr="00AA5817">
              <w:rPr>
                <w:rFonts w:ascii="Times New Roman" w:hAnsi="Times New Roman" w:cs="Times New Roman"/>
              </w:rPr>
              <w:t>štátu, na ktorý sa vzťahuje zmluva</w:t>
            </w:r>
          </w:p>
        </w:tc>
        <w:tc>
          <w:tcPr>
            <w:tcW w:w="1418"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N</w:t>
            </w:r>
          </w:p>
        </w:tc>
        <w:tc>
          <w:tcPr>
            <w:tcW w:w="850" w:type="dxa"/>
          </w:tcPr>
          <w:p w:rsidR="00E74CA4"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Príloha č.1 Tabuľka D</w:t>
            </w:r>
          </w:p>
        </w:tc>
        <w:tc>
          <w:tcPr>
            <w:tcW w:w="3657" w:type="dxa"/>
          </w:tcPr>
          <w:p w:rsidR="00E74CA4" w:rsidRPr="00AA5817" w:rsidRDefault="00E74EEC" w:rsidP="006D3227">
            <w:pPr>
              <w:rPr>
                <w:rFonts w:ascii="Times New Roman" w:hAnsi="Times New Roman" w:cs="Times New Roman"/>
                <w:b/>
              </w:rPr>
            </w:pPr>
            <w:r w:rsidRPr="00AA5817">
              <w:rPr>
                <w:rFonts w:ascii="Times New Roman" w:hAnsi="Times New Roman" w:cs="Times New Roman"/>
                <w:b/>
              </w:rPr>
              <w:t>Lety s odletom z letiska alebo príletom na letisko, ktoré sa nachádza na území členské</w:t>
            </w:r>
            <w:r w:rsidR="000F2EF4" w:rsidRPr="00AA5817">
              <w:rPr>
                <w:rFonts w:ascii="Times New Roman" w:hAnsi="Times New Roman" w:cs="Times New Roman"/>
                <w:b/>
              </w:rPr>
              <w:t>ho štátu, na ktorý sa vzťahuje Z</w:t>
            </w:r>
            <w:r w:rsidRPr="00AA5817">
              <w:rPr>
                <w:rFonts w:ascii="Times New Roman" w:hAnsi="Times New Roman" w:cs="Times New Roman"/>
                <w:b/>
              </w:rPr>
              <w:t>mluva</w:t>
            </w:r>
            <w:r w:rsidR="000F2EF4" w:rsidRPr="00AA5817">
              <w:rPr>
                <w:rFonts w:ascii="Times New Roman" w:hAnsi="Times New Roman" w:cs="Times New Roman"/>
                <w:b/>
              </w:rPr>
              <w:t xml:space="preserve"> o fungovaní Európskej únie</w:t>
            </w:r>
            <w:r w:rsidRPr="00AA5817">
              <w:rPr>
                <w:rFonts w:ascii="Times New Roman" w:hAnsi="Times New Roman" w:cs="Times New Roman"/>
                <w:b/>
              </w:rPr>
              <w:t>.</w:t>
            </w:r>
          </w:p>
        </w:tc>
        <w:tc>
          <w:tcPr>
            <w:tcW w:w="830"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Ú</w:t>
            </w:r>
          </w:p>
        </w:tc>
        <w:tc>
          <w:tcPr>
            <w:tcW w:w="1629" w:type="dxa"/>
          </w:tcPr>
          <w:p w:rsidR="00E74CA4" w:rsidRPr="00AA5817" w:rsidRDefault="00E74CA4" w:rsidP="006D3227">
            <w:pPr>
              <w:rPr>
                <w:rFonts w:ascii="Times New Roman" w:hAnsi="Times New Roman" w:cs="Times New Roman"/>
              </w:rPr>
            </w:pPr>
          </w:p>
        </w:tc>
      </w:tr>
      <w:tr w:rsidR="00E74CA4" w:rsidRPr="00AA5817" w:rsidTr="006D3227">
        <w:tc>
          <w:tcPr>
            <w:tcW w:w="1074"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Príloha I</w:t>
            </w:r>
          </w:p>
          <w:p w:rsidR="00E74CA4" w:rsidRPr="00AA5817" w:rsidRDefault="00E74CA4" w:rsidP="006D3227">
            <w:pPr>
              <w:rPr>
                <w:rFonts w:ascii="Times New Roman" w:hAnsi="Times New Roman" w:cs="Times New Roman"/>
              </w:rPr>
            </w:pPr>
            <w:r w:rsidRPr="00AA5817">
              <w:rPr>
                <w:rFonts w:ascii="Times New Roman" w:hAnsi="Times New Roman" w:cs="Times New Roman"/>
              </w:rPr>
              <w:t>P: j)</w:t>
            </w:r>
          </w:p>
        </w:tc>
        <w:tc>
          <w:tcPr>
            <w:tcW w:w="3712"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lety, ktoré by inak spadali pod túto</w:t>
            </w:r>
          </w:p>
          <w:p w:rsidR="00E74CA4" w:rsidRPr="00AA5817" w:rsidRDefault="00E74CA4" w:rsidP="006D3227">
            <w:pPr>
              <w:rPr>
                <w:rFonts w:ascii="Times New Roman" w:hAnsi="Times New Roman" w:cs="Times New Roman"/>
              </w:rPr>
            </w:pPr>
            <w:r w:rsidRPr="00AA5817">
              <w:rPr>
                <w:rFonts w:ascii="Times New Roman" w:hAnsi="Times New Roman" w:cs="Times New Roman"/>
              </w:rPr>
              <w:t>činnosť, uskutočňované prevádzkovateľom komerčnej leteckej dopravy, ktorý uskutočňuje buď:</w:t>
            </w:r>
          </w:p>
          <w:p w:rsidR="00E74CA4" w:rsidRPr="00AA5817" w:rsidRDefault="00E74CA4" w:rsidP="006D3227">
            <w:pPr>
              <w:rPr>
                <w:rFonts w:ascii="Times New Roman" w:hAnsi="Times New Roman" w:cs="Times New Roman"/>
              </w:rPr>
            </w:pPr>
            <w:r w:rsidRPr="00AA5817">
              <w:rPr>
                <w:rFonts w:ascii="Times New Roman" w:hAnsi="Times New Roman" w:cs="Times New Roman"/>
              </w:rPr>
              <w:t>— menej ako 243 letov počas troch po sebe nasledujúcich štvormesačných období alebo</w:t>
            </w:r>
          </w:p>
          <w:p w:rsidR="00E74CA4" w:rsidRPr="00AA5817" w:rsidRDefault="00E74CA4" w:rsidP="006D3227">
            <w:pPr>
              <w:rPr>
                <w:rFonts w:ascii="Times New Roman" w:hAnsi="Times New Roman" w:cs="Times New Roman"/>
              </w:rPr>
            </w:pPr>
            <w:r w:rsidRPr="00AA5817">
              <w:rPr>
                <w:rFonts w:ascii="Times New Roman" w:hAnsi="Times New Roman" w:cs="Times New Roman"/>
              </w:rPr>
              <w:t>— lety s celkovými ročnými emisiami nižšími ako 10 000 ton za rok.</w:t>
            </w:r>
          </w:p>
          <w:p w:rsidR="00E74CA4" w:rsidRPr="00AA5817" w:rsidRDefault="00E74CA4" w:rsidP="006D3227">
            <w:pPr>
              <w:rPr>
                <w:rFonts w:ascii="Times New Roman" w:hAnsi="Times New Roman" w:cs="Times New Roman"/>
              </w:rPr>
            </w:pPr>
            <w:r w:rsidRPr="00AA5817">
              <w:rPr>
                <w:rFonts w:ascii="Times New Roman" w:hAnsi="Times New Roman" w:cs="Times New Roman"/>
              </w:rPr>
              <w:t>lety uvedené v písmenách l) a m)</w:t>
            </w:r>
          </w:p>
          <w:p w:rsidR="00E74CA4" w:rsidRPr="00AA5817" w:rsidRDefault="00E74CA4" w:rsidP="006D3227">
            <w:pPr>
              <w:rPr>
                <w:rFonts w:ascii="Times New Roman" w:hAnsi="Times New Roman" w:cs="Times New Roman"/>
              </w:rPr>
            </w:pPr>
            <w:r w:rsidRPr="00AA5817">
              <w:rPr>
                <w:rFonts w:ascii="Times New Roman" w:hAnsi="Times New Roman" w:cs="Times New Roman"/>
              </w:rPr>
              <w:t xml:space="preserve">alebo uskutočňované z úradného </w:t>
            </w:r>
            <w:r w:rsidRPr="00AA5817">
              <w:rPr>
                <w:rFonts w:ascii="Times New Roman" w:hAnsi="Times New Roman" w:cs="Times New Roman"/>
              </w:rPr>
              <w:lastRenderedPageBreak/>
              <w:t>poverenia výhradne na účely dopravy vládnucich monarchov a ich najbližšej rodiny, hláv štátov, hláv vlád a ministrov vlád členských štátov nemôžu byť na základe tohto bodu vylúčené</w:t>
            </w:r>
          </w:p>
        </w:tc>
        <w:tc>
          <w:tcPr>
            <w:tcW w:w="1418"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lastRenderedPageBreak/>
              <w:t>N</w:t>
            </w:r>
          </w:p>
        </w:tc>
        <w:tc>
          <w:tcPr>
            <w:tcW w:w="850" w:type="dxa"/>
          </w:tcPr>
          <w:p w:rsidR="00E74CA4"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E74CA4" w:rsidRPr="00AA5817" w:rsidRDefault="00E74EEC" w:rsidP="006D3227">
            <w:pPr>
              <w:rPr>
                <w:rFonts w:ascii="Times New Roman" w:hAnsi="Times New Roman" w:cs="Times New Roman"/>
              </w:rPr>
            </w:pPr>
            <w:r w:rsidRPr="00AA5817">
              <w:rPr>
                <w:rFonts w:ascii="Times New Roman" w:hAnsi="Times New Roman" w:cs="Times New Roman"/>
              </w:rPr>
              <w:t>Príloha č.1 Tabuľka D</w:t>
            </w:r>
          </w:p>
          <w:p w:rsidR="00E74EEC" w:rsidRPr="00AA5817" w:rsidRDefault="00E74EEC" w:rsidP="006D3227">
            <w:pPr>
              <w:rPr>
                <w:rFonts w:ascii="Times New Roman" w:hAnsi="Times New Roman" w:cs="Times New Roman"/>
              </w:rPr>
            </w:pPr>
            <w:r w:rsidRPr="00AA5817">
              <w:rPr>
                <w:rFonts w:ascii="Times New Roman" w:hAnsi="Times New Roman" w:cs="Times New Roman"/>
              </w:rPr>
              <w:t>P: j)</w:t>
            </w:r>
          </w:p>
        </w:tc>
        <w:tc>
          <w:tcPr>
            <w:tcW w:w="3657" w:type="dxa"/>
          </w:tcPr>
          <w:p w:rsidR="00E74CA4" w:rsidRPr="00AA5817" w:rsidRDefault="002F726B" w:rsidP="006D3227">
            <w:pPr>
              <w:rPr>
                <w:rFonts w:ascii="Times New Roman" w:hAnsi="Times New Roman" w:cs="Times New Roman"/>
              </w:rPr>
            </w:pPr>
            <w:r w:rsidRPr="00AA5817">
              <w:rPr>
                <w:rFonts w:ascii="Times New Roman" w:hAnsi="Times New Roman" w:cs="Times New Roman"/>
              </w:rPr>
              <w:t xml:space="preserve">lety, ktoré by inak spadali pod túto činnosť, uskutočňované prevádzkovateľom komerčnej leteckej dopravy, ktorý uskutočňuje buď menej ako 243 letov počas troch po sebe nasledujúcich štvormesačných obdobiach, alebo lety s celkovými ročnými emisiami nižšími ako 10 000 ton za rok; </w:t>
            </w:r>
            <w:r w:rsidRPr="00AA5817">
              <w:rPr>
                <w:rFonts w:ascii="Times New Roman" w:hAnsi="Times New Roman" w:cs="Times New Roman"/>
                <w:b/>
              </w:rPr>
              <w:t xml:space="preserve">to neplatí pre lety uvedené v písmene l)  a m) alebo uskutočňované z úradného </w:t>
            </w:r>
            <w:r w:rsidRPr="00AA5817">
              <w:rPr>
                <w:rFonts w:ascii="Times New Roman" w:hAnsi="Times New Roman" w:cs="Times New Roman"/>
                <w:b/>
              </w:rPr>
              <w:lastRenderedPageBreak/>
              <w:t>poverenia výhradne na účely dopravy vládnuceho monarchu a jeho najbližšej rodiny, hláv štátov, hláv vlád a ministrov vlád členských štátov, ktoré nemôžu byť na základe tohto bodu vylúčené,</w:t>
            </w:r>
          </w:p>
        </w:tc>
        <w:tc>
          <w:tcPr>
            <w:tcW w:w="830" w:type="dxa"/>
          </w:tcPr>
          <w:p w:rsidR="00E74CA4" w:rsidRPr="00AA5817" w:rsidRDefault="00D75B3A" w:rsidP="006D3227">
            <w:pPr>
              <w:rPr>
                <w:rFonts w:ascii="Times New Roman" w:hAnsi="Times New Roman" w:cs="Times New Roman"/>
              </w:rPr>
            </w:pPr>
            <w:r w:rsidRPr="00AA5817">
              <w:rPr>
                <w:rFonts w:ascii="Times New Roman" w:hAnsi="Times New Roman" w:cs="Times New Roman"/>
              </w:rPr>
              <w:lastRenderedPageBreak/>
              <w:t>Ú</w:t>
            </w:r>
          </w:p>
        </w:tc>
        <w:tc>
          <w:tcPr>
            <w:tcW w:w="1629" w:type="dxa"/>
          </w:tcPr>
          <w:p w:rsidR="00E74CA4" w:rsidRPr="00AA5817" w:rsidRDefault="00E74CA4" w:rsidP="006D3227">
            <w:pPr>
              <w:rPr>
                <w:rFonts w:ascii="Times New Roman" w:hAnsi="Times New Roman" w:cs="Times New Roman"/>
              </w:rPr>
            </w:pPr>
          </w:p>
        </w:tc>
      </w:tr>
      <w:tr w:rsidR="00E74CA4" w:rsidRPr="00AA5817" w:rsidTr="006D3227">
        <w:tc>
          <w:tcPr>
            <w:tcW w:w="1074"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Príloha I</w:t>
            </w:r>
          </w:p>
          <w:p w:rsidR="00E74CA4" w:rsidRPr="00AA5817" w:rsidRDefault="00E74CA4" w:rsidP="006D3227">
            <w:pPr>
              <w:rPr>
                <w:rFonts w:ascii="Times New Roman" w:hAnsi="Times New Roman" w:cs="Times New Roman"/>
              </w:rPr>
            </w:pPr>
            <w:r w:rsidRPr="00AA5817">
              <w:rPr>
                <w:rFonts w:ascii="Times New Roman" w:hAnsi="Times New Roman" w:cs="Times New Roman"/>
              </w:rPr>
              <w:t>P: k)</w:t>
            </w:r>
          </w:p>
        </w:tc>
        <w:tc>
          <w:tcPr>
            <w:tcW w:w="3712"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od 1. januára 2013 do 31. decembra</w:t>
            </w:r>
          </w:p>
          <w:p w:rsidR="00E74CA4" w:rsidRPr="00AA5817" w:rsidRDefault="00E74CA4" w:rsidP="006D3227">
            <w:pPr>
              <w:rPr>
                <w:rFonts w:ascii="Times New Roman" w:hAnsi="Times New Roman" w:cs="Times New Roman"/>
              </w:rPr>
            </w:pPr>
            <w:r w:rsidRPr="00AA5817">
              <w:rPr>
                <w:rFonts w:ascii="Times New Roman" w:hAnsi="Times New Roman" w:cs="Times New Roman"/>
              </w:rPr>
              <w:t>2030 lety, ktoré by s výnimkou</w:t>
            </w:r>
          </w:p>
          <w:p w:rsidR="00E74CA4" w:rsidRPr="00AA5817" w:rsidRDefault="00E74CA4" w:rsidP="006D3227">
            <w:pPr>
              <w:rPr>
                <w:rFonts w:ascii="Times New Roman" w:hAnsi="Times New Roman" w:cs="Times New Roman"/>
              </w:rPr>
            </w:pPr>
            <w:r w:rsidRPr="00AA5817">
              <w:rPr>
                <w:rFonts w:ascii="Times New Roman" w:hAnsi="Times New Roman" w:cs="Times New Roman"/>
              </w:rPr>
              <w:t>tohto písmena patrili pod túto</w:t>
            </w:r>
          </w:p>
          <w:p w:rsidR="00E74CA4" w:rsidRPr="00AA5817" w:rsidRDefault="00E74CA4" w:rsidP="006D3227">
            <w:pPr>
              <w:rPr>
                <w:rFonts w:ascii="Times New Roman" w:hAnsi="Times New Roman" w:cs="Times New Roman"/>
              </w:rPr>
            </w:pPr>
            <w:r w:rsidRPr="00AA5817">
              <w:rPr>
                <w:rFonts w:ascii="Times New Roman" w:hAnsi="Times New Roman" w:cs="Times New Roman"/>
              </w:rPr>
              <w:t>činnosť a ktoré vykonáva nekomerčný prevádzkovateľ lietadla prevádzkujúci lety s celkovými ročnými emisiami nižšími ako 1 000 ton za rok [vrátane emisií z letov uvedených v písmene l) a m)]</w:t>
            </w:r>
          </w:p>
        </w:tc>
        <w:tc>
          <w:tcPr>
            <w:tcW w:w="1418" w:type="dxa"/>
          </w:tcPr>
          <w:p w:rsidR="00E74CA4" w:rsidRPr="00AA5817" w:rsidRDefault="00D75B3A" w:rsidP="006D3227">
            <w:pPr>
              <w:rPr>
                <w:rFonts w:ascii="Times New Roman" w:hAnsi="Times New Roman" w:cs="Times New Roman"/>
              </w:rPr>
            </w:pPr>
            <w:r w:rsidRPr="00AA5817">
              <w:rPr>
                <w:rFonts w:ascii="Times New Roman" w:hAnsi="Times New Roman" w:cs="Times New Roman"/>
              </w:rPr>
              <w:t>N</w:t>
            </w:r>
          </w:p>
        </w:tc>
        <w:tc>
          <w:tcPr>
            <w:tcW w:w="850" w:type="dxa"/>
          </w:tcPr>
          <w:p w:rsidR="00E74CA4"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D75B3A" w:rsidRPr="00AA5817" w:rsidRDefault="00D75B3A" w:rsidP="00D75B3A">
            <w:pPr>
              <w:rPr>
                <w:rFonts w:ascii="Times New Roman" w:hAnsi="Times New Roman" w:cs="Times New Roman"/>
              </w:rPr>
            </w:pPr>
            <w:r w:rsidRPr="00AA5817">
              <w:rPr>
                <w:rFonts w:ascii="Times New Roman" w:hAnsi="Times New Roman" w:cs="Times New Roman"/>
              </w:rPr>
              <w:t>Príloha č.1 Tabuľka D</w:t>
            </w:r>
          </w:p>
          <w:p w:rsidR="00E74CA4" w:rsidRPr="00AA5817" w:rsidRDefault="00D75B3A" w:rsidP="00D75B3A">
            <w:pPr>
              <w:rPr>
                <w:rFonts w:ascii="Times New Roman" w:hAnsi="Times New Roman" w:cs="Times New Roman"/>
              </w:rPr>
            </w:pPr>
            <w:r w:rsidRPr="00AA5817">
              <w:rPr>
                <w:rFonts w:ascii="Times New Roman" w:hAnsi="Times New Roman" w:cs="Times New Roman"/>
              </w:rPr>
              <w:t>P: k)</w:t>
            </w:r>
          </w:p>
        </w:tc>
        <w:tc>
          <w:tcPr>
            <w:tcW w:w="3657" w:type="dxa"/>
          </w:tcPr>
          <w:p w:rsidR="00E74CA4" w:rsidRPr="00AA5817" w:rsidRDefault="00D75B3A" w:rsidP="006D3227">
            <w:pPr>
              <w:rPr>
                <w:rFonts w:ascii="Times New Roman" w:hAnsi="Times New Roman" w:cs="Times New Roman"/>
                <w:b/>
              </w:rPr>
            </w:pPr>
            <w:r w:rsidRPr="00AA5817">
              <w:rPr>
                <w:rFonts w:ascii="Times New Roman" w:hAnsi="Times New Roman" w:cs="Times New Roman"/>
                <w:b/>
              </w:rPr>
              <w:t>od 1. januára 2013 do 31. decembra 2030 lety, ktoré by s výnimkou tohto písmena patrili pod túto činnosť a ktoré vykonáva nekomerčný prevádzkovateľ lietadla prevádzkujúci lety s celkovými ročnými emisiami nižšími ako 1 000 ton za rok [vrátane emisií z letov uvedených v písmene l)</w:t>
            </w:r>
            <w:r w:rsidR="00A75F89" w:rsidRPr="00AA5817">
              <w:rPr>
                <w:rFonts w:ascii="Times New Roman" w:hAnsi="Times New Roman" w:cs="Times New Roman"/>
                <w:b/>
              </w:rPr>
              <w:t xml:space="preserve"> a m)</w:t>
            </w:r>
            <w:r w:rsidRPr="00AA5817">
              <w:rPr>
                <w:rFonts w:ascii="Times New Roman" w:hAnsi="Times New Roman" w:cs="Times New Roman"/>
                <w:b/>
              </w:rPr>
              <w:t>]</w:t>
            </w:r>
          </w:p>
        </w:tc>
        <w:tc>
          <w:tcPr>
            <w:tcW w:w="830" w:type="dxa"/>
          </w:tcPr>
          <w:p w:rsidR="00E74CA4" w:rsidRPr="00AA5817" w:rsidRDefault="00D75B3A" w:rsidP="006D3227">
            <w:pPr>
              <w:rPr>
                <w:rFonts w:ascii="Times New Roman" w:hAnsi="Times New Roman" w:cs="Times New Roman"/>
              </w:rPr>
            </w:pPr>
            <w:r w:rsidRPr="00AA5817">
              <w:rPr>
                <w:rFonts w:ascii="Times New Roman" w:hAnsi="Times New Roman" w:cs="Times New Roman"/>
              </w:rPr>
              <w:t>Ú</w:t>
            </w:r>
          </w:p>
        </w:tc>
        <w:tc>
          <w:tcPr>
            <w:tcW w:w="1629" w:type="dxa"/>
          </w:tcPr>
          <w:p w:rsidR="00E74CA4" w:rsidRPr="00AA5817" w:rsidRDefault="00E74CA4" w:rsidP="006D3227">
            <w:pPr>
              <w:rPr>
                <w:rFonts w:ascii="Times New Roman" w:hAnsi="Times New Roman" w:cs="Times New Roman"/>
              </w:rPr>
            </w:pPr>
          </w:p>
        </w:tc>
      </w:tr>
      <w:tr w:rsidR="00E74CA4" w:rsidRPr="00AA5817" w:rsidTr="006D3227">
        <w:tc>
          <w:tcPr>
            <w:tcW w:w="1074"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Príloha I</w:t>
            </w:r>
          </w:p>
          <w:p w:rsidR="00E74CA4" w:rsidRPr="00AA5817" w:rsidRDefault="00E74CA4" w:rsidP="006D3227">
            <w:pPr>
              <w:rPr>
                <w:rFonts w:ascii="Times New Roman" w:hAnsi="Times New Roman" w:cs="Times New Roman"/>
              </w:rPr>
            </w:pPr>
            <w:r w:rsidRPr="00AA5817">
              <w:rPr>
                <w:rFonts w:ascii="Times New Roman" w:hAnsi="Times New Roman" w:cs="Times New Roman"/>
              </w:rPr>
              <w:t>P: l)</w:t>
            </w:r>
          </w:p>
        </w:tc>
        <w:tc>
          <w:tcPr>
            <w:tcW w:w="3712"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lety z letísk, ktoré sa nachádzajú</w:t>
            </w:r>
          </w:p>
          <w:p w:rsidR="00E74CA4" w:rsidRPr="00AA5817" w:rsidRDefault="00E74CA4" w:rsidP="006D3227">
            <w:pPr>
              <w:rPr>
                <w:rFonts w:ascii="Times New Roman" w:hAnsi="Times New Roman" w:cs="Times New Roman"/>
              </w:rPr>
            </w:pPr>
            <w:r w:rsidRPr="00AA5817">
              <w:rPr>
                <w:rFonts w:ascii="Times New Roman" w:hAnsi="Times New Roman" w:cs="Times New Roman"/>
              </w:rPr>
              <w:t>vo Švajčiarsku, na letiská nachádzajúce sa v EHP</w:t>
            </w:r>
          </w:p>
        </w:tc>
        <w:tc>
          <w:tcPr>
            <w:tcW w:w="1418" w:type="dxa"/>
          </w:tcPr>
          <w:p w:rsidR="00E74CA4" w:rsidRPr="00AA5817" w:rsidRDefault="00D75B3A" w:rsidP="006D3227">
            <w:pPr>
              <w:rPr>
                <w:rFonts w:ascii="Times New Roman" w:hAnsi="Times New Roman" w:cs="Times New Roman"/>
              </w:rPr>
            </w:pPr>
            <w:r w:rsidRPr="00AA5817">
              <w:rPr>
                <w:rFonts w:ascii="Times New Roman" w:hAnsi="Times New Roman" w:cs="Times New Roman"/>
              </w:rPr>
              <w:t>N</w:t>
            </w:r>
          </w:p>
        </w:tc>
        <w:tc>
          <w:tcPr>
            <w:tcW w:w="850" w:type="dxa"/>
          </w:tcPr>
          <w:p w:rsidR="00E74CA4"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D75B3A" w:rsidRPr="00AA5817" w:rsidRDefault="00D75B3A" w:rsidP="00D75B3A">
            <w:pPr>
              <w:rPr>
                <w:rFonts w:ascii="Times New Roman" w:hAnsi="Times New Roman" w:cs="Times New Roman"/>
              </w:rPr>
            </w:pPr>
            <w:r w:rsidRPr="00AA5817">
              <w:rPr>
                <w:rFonts w:ascii="Times New Roman" w:hAnsi="Times New Roman" w:cs="Times New Roman"/>
              </w:rPr>
              <w:t>Príloha č.1 Tabuľka D</w:t>
            </w:r>
          </w:p>
          <w:p w:rsidR="00E74CA4" w:rsidRPr="00AA5817" w:rsidRDefault="00D75B3A" w:rsidP="00D75B3A">
            <w:pPr>
              <w:rPr>
                <w:rFonts w:ascii="Times New Roman" w:hAnsi="Times New Roman" w:cs="Times New Roman"/>
              </w:rPr>
            </w:pPr>
            <w:r w:rsidRPr="00AA5817">
              <w:rPr>
                <w:rFonts w:ascii="Times New Roman" w:hAnsi="Times New Roman" w:cs="Times New Roman"/>
              </w:rPr>
              <w:t>P: l)</w:t>
            </w:r>
          </w:p>
        </w:tc>
        <w:tc>
          <w:tcPr>
            <w:tcW w:w="3657" w:type="dxa"/>
          </w:tcPr>
          <w:p w:rsidR="00E74CA4" w:rsidRPr="00AA5817" w:rsidRDefault="00D75B3A" w:rsidP="006D3227">
            <w:pPr>
              <w:rPr>
                <w:rFonts w:ascii="Times New Roman" w:hAnsi="Times New Roman" w:cs="Times New Roman"/>
                <w:b/>
              </w:rPr>
            </w:pPr>
            <w:r w:rsidRPr="00AA5817">
              <w:rPr>
                <w:rFonts w:ascii="Times New Roman" w:hAnsi="Times New Roman" w:cs="Times New Roman"/>
                <w:b/>
              </w:rPr>
              <w:t>lety z letísk, ktoré sa nachádzajú vo Švajčiarsku, na letiská nachádzajúce sa v Európskom hospodárskom priestore</w:t>
            </w:r>
          </w:p>
        </w:tc>
        <w:tc>
          <w:tcPr>
            <w:tcW w:w="830" w:type="dxa"/>
          </w:tcPr>
          <w:p w:rsidR="00E74CA4" w:rsidRPr="00AA5817" w:rsidRDefault="00D75B3A" w:rsidP="006D3227">
            <w:pPr>
              <w:rPr>
                <w:rFonts w:ascii="Times New Roman" w:hAnsi="Times New Roman" w:cs="Times New Roman"/>
              </w:rPr>
            </w:pPr>
            <w:r w:rsidRPr="00AA5817">
              <w:rPr>
                <w:rFonts w:ascii="Times New Roman" w:hAnsi="Times New Roman" w:cs="Times New Roman"/>
              </w:rPr>
              <w:t>Ú</w:t>
            </w:r>
          </w:p>
        </w:tc>
        <w:tc>
          <w:tcPr>
            <w:tcW w:w="1629" w:type="dxa"/>
          </w:tcPr>
          <w:p w:rsidR="00E74CA4" w:rsidRPr="00AA5817" w:rsidRDefault="00E74CA4" w:rsidP="006D3227">
            <w:pPr>
              <w:rPr>
                <w:rFonts w:ascii="Times New Roman" w:hAnsi="Times New Roman" w:cs="Times New Roman"/>
              </w:rPr>
            </w:pPr>
          </w:p>
        </w:tc>
      </w:tr>
      <w:tr w:rsidR="00E74CA4" w:rsidRPr="00AA5817" w:rsidTr="006D3227">
        <w:tc>
          <w:tcPr>
            <w:tcW w:w="1074"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Príloha I</w:t>
            </w:r>
          </w:p>
          <w:p w:rsidR="00E74CA4" w:rsidRPr="00AA5817" w:rsidRDefault="00E74CA4" w:rsidP="006D3227">
            <w:pPr>
              <w:rPr>
                <w:rFonts w:ascii="Times New Roman" w:hAnsi="Times New Roman" w:cs="Times New Roman"/>
              </w:rPr>
            </w:pPr>
            <w:r w:rsidRPr="00AA5817">
              <w:rPr>
                <w:rFonts w:ascii="Times New Roman" w:hAnsi="Times New Roman" w:cs="Times New Roman"/>
              </w:rPr>
              <w:t>P: m)</w:t>
            </w:r>
          </w:p>
        </w:tc>
        <w:tc>
          <w:tcPr>
            <w:tcW w:w="3712" w:type="dxa"/>
          </w:tcPr>
          <w:p w:rsidR="00E74CA4" w:rsidRPr="00AA5817" w:rsidRDefault="00E74CA4" w:rsidP="006D3227">
            <w:pPr>
              <w:rPr>
                <w:rFonts w:ascii="Times New Roman" w:hAnsi="Times New Roman" w:cs="Times New Roman"/>
              </w:rPr>
            </w:pPr>
            <w:r w:rsidRPr="00AA5817">
              <w:rPr>
                <w:rFonts w:ascii="Times New Roman" w:hAnsi="Times New Roman" w:cs="Times New Roman"/>
              </w:rPr>
              <w:t>lety z letísk, ktoré sa nachádzajú</w:t>
            </w:r>
          </w:p>
          <w:p w:rsidR="00E74CA4" w:rsidRPr="00AA5817" w:rsidRDefault="00E74CA4" w:rsidP="006D3227">
            <w:pPr>
              <w:rPr>
                <w:rFonts w:ascii="Times New Roman" w:hAnsi="Times New Roman" w:cs="Times New Roman"/>
              </w:rPr>
            </w:pPr>
            <w:r w:rsidRPr="00AA5817">
              <w:rPr>
                <w:rFonts w:ascii="Times New Roman" w:hAnsi="Times New Roman" w:cs="Times New Roman"/>
              </w:rPr>
              <w:t>v Spojenom kráľovstve, na letiská</w:t>
            </w:r>
          </w:p>
          <w:p w:rsidR="00E74CA4" w:rsidRPr="00AA5817" w:rsidRDefault="00E74CA4" w:rsidP="006D3227">
            <w:pPr>
              <w:rPr>
                <w:rFonts w:ascii="Times New Roman" w:hAnsi="Times New Roman" w:cs="Times New Roman"/>
              </w:rPr>
            </w:pPr>
            <w:r w:rsidRPr="00AA5817">
              <w:rPr>
                <w:rFonts w:ascii="Times New Roman" w:hAnsi="Times New Roman" w:cs="Times New Roman"/>
              </w:rPr>
              <w:t>nachádzajúce sa v EHP</w:t>
            </w:r>
          </w:p>
        </w:tc>
        <w:tc>
          <w:tcPr>
            <w:tcW w:w="1418" w:type="dxa"/>
          </w:tcPr>
          <w:p w:rsidR="00E74CA4" w:rsidRPr="00AA5817" w:rsidRDefault="00D75B3A" w:rsidP="006D3227">
            <w:pPr>
              <w:rPr>
                <w:rFonts w:ascii="Times New Roman" w:hAnsi="Times New Roman" w:cs="Times New Roman"/>
              </w:rPr>
            </w:pPr>
            <w:r w:rsidRPr="00AA5817">
              <w:rPr>
                <w:rFonts w:ascii="Times New Roman" w:hAnsi="Times New Roman" w:cs="Times New Roman"/>
              </w:rPr>
              <w:t>N</w:t>
            </w:r>
          </w:p>
        </w:tc>
        <w:tc>
          <w:tcPr>
            <w:tcW w:w="850" w:type="dxa"/>
          </w:tcPr>
          <w:p w:rsidR="00E74CA4" w:rsidRPr="00AA5817" w:rsidRDefault="00397351" w:rsidP="006D3227">
            <w:pPr>
              <w:rPr>
                <w:rFonts w:ascii="Times New Roman" w:hAnsi="Times New Roman" w:cs="Times New Roman"/>
              </w:rPr>
            </w:pPr>
            <w:r w:rsidRPr="00AA5817">
              <w:rPr>
                <w:rFonts w:ascii="Times New Roman" w:hAnsi="Times New Roman" w:cs="Times New Roman"/>
              </w:rPr>
              <w:t>návrh zákona</w:t>
            </w:r>
          </w:p>
        </w:tc>
        <w:tc>
          <w:tcPr>
            <w:tcW w:w="1050" w:type="dxa"/>
          </w:tcPr>
          <w:p w:rsidR="00D75B3A" w:rsidRPr="00AA5817" w:rsidRDefault="00D75B3A" w:rsidP="00D75B3A">
            <w:pPr>
              <w:rPr>
                <w:rFonts w:ascii="Times New Roman" w:hAnsi="Times New Roman" w:cs="Times New Roman"/>
              </w:rPr>
            </w:pPr>
            <w:r w:rsidRPr="00AA5817">
              <w:rPr>
                <w:rFonts w:ascii="Times New Roman" w:hAnsi="Times New Roman" w:cs="Times New Roman"/>
              </w:rPr>
              <w:t>Príloha č.1 Tabuľka D</w:t>
            </w:r>
          </w:p>
          <w:p w:rsidR="00E74CA4" w:rsidRPr="00AA5817" w:rsidRDefault="00D75B3A" w:rsidP="00D75B3A">
            <w:pPr>
              <w:rPr>
                <w:rFonts w:ascii="Times New Roman" w:hAnsi="Times New Roman" w:cs="Times New Roman"/>
              </w:rPr>
            </w:pPr>
            <w:r w:rsidRPr="00AA5817">
              <w:rPr>
                <w:rFonts w:ascii="Times New Roman" w:hAnsi="Times New Roman" w:cs="Times New Roman"/>
              </w:rPr>
              <w:t>P: m)</w:t>
            </w:r>
          </w:p>
        </w:tc>
        <w:tc>
          <w:tcPr>
            <w:tcW w:w="3657" w:type="dxa"/>
          </w:tcPr>
          <w:p w:rsidR="00E74CA4" w:rsidRPr="00AA5817" w:rsidRDefault="00D75B3A" w:rsidP="006D3227">
            <w:pPr>
              <w:rPr>
                <w:rFonts w:ascii="Times New Roman" w:hAnsi="Times New Roman" w:cs="Times New Roman"/>
                <w:b/>
              </w:rPr>
            </w:pPr>
            <w:r w:rsidRPr="00AA5817">
              <w:rPr>
                <w:rFonts w:ascii="Times New Roman" w:hAnsi="Times New Roman" w:cs="Times New Roman"/>
                <w:b/>
              </w:rPr>
              <w:t>lety z letísk, ktoré sa nachádzajú v Spojenom kráľovstve</w:t>
            </w:r>
            <w:r w:rsidR="000F2EF4" w:rsidRPr="00AA5817">
              <w:rPr>
                <w:rFonts w:ascii="Times New Roman" w:hAnsi="Times New Roman" w:cs="Times New Roman"/>
                <w:b/>
              </w:rPr>
              <w:t xml:space="preserve"> Veľkej Británie a Severného Írska</w:t>
            </w:r>
            <w:r w:rsidRPr="00AA5817">
              <w:rPr>
                <w:rFonts w:ascii="Times New Roman" w:hAnsi="Times New Roman" w:cs="Times New Roman"/>
                <w:b/>
              </w:rPr>
              <w:t>, na letiská nachádzajúce sa v Európskom hospodárskom priestor</w:t>
            </w:r>
            <w:r w:rsidR="000F2EF4" w:rsidRPr="00AA5817">
              <w:rPr>
                <w:rFonts w:ascii="Times New Roman" w:hAnsi="Times New Roman" w:cs="Times New Roman"/>
                <w:b/>
              </w:rPr>
              <w:t>e</w:t>
            </w:r>
          </w:p>
        </w:tc>
        <w:tc>
          <w:tcPr>
            <w:tcW w:w="830" w:type="dxa"/>
          </w:tcPr>
          <w:p w:rsidR="00E74CA4" w:rsidRPr="00AA5817" w:rsidRDefault="00D75B3A" w:rsidP="006D3227">
            <w:pPr>
              <w:rPr>
                <w:rFonts w:ascii="Times New Roman" w:hAnsi="Times New Roman" w:cs="Times New Roman"/>
              </w:rPr>
            </w:pPr>
            <w:r w:rsidRPr="00AA5817">
              <w:rPr>
                <w:rFonts w:ascii="Times New Roman" w:hAnsi="Times New Roman" w:cs="Times New Roman"/>
              </w:rPr>
              <w:t>Ú</w:t>
            </w:r>
          </w:p>
        </w:tc>
        <w:tc>
          <w:tcPr>
            <w:tcW w:w="1629" w:type="dxa"/>
          </w:tcPr>
          <w:p w:rsidR="00E74CA4" w:rsidRPr="00AA5817" w:rsidRDefault="00E74CA4" w:rsidP="006D3227">
            <w:pPr>
              <w:rPr>
                <w:rFonts w:ascii="Times New Roman" w:hAnsi="Times New Roman" w:cs="Times New Roman"/>
              </w:rPr>
            </w:pPr>
          </w:p>
        </w:tc>
      </w:tr>
    </w:tbl>
    <w:p w:rsidR="00E74CA4" w:rsidRPr="00AA5817" w:rsidRDefault="00E74CA4" w:rsidP="00E74CA4">
      <w:pPr>
        <w:spacing w:after="0" w:line="240" w:lineRule="auto"/>
        <w:jc w:val="both"/>
        <w:rPr>
          <w:rFonts w:ascii="Times New Roman" w:hAnsi="Times New Roman"/>
        </w:rPr>
      </w:pPr>
      <w:r w:rsidRPr="00AA5817">
        <w:rPr>
          <w:rFonts w:ascii="Times New Roman" w:hAnsi="Times New Roman"/>
        </w:rPr>
        <w:t>LEGENDA:</w:t>
      </w:r>
    </w:p>
    <w:p w:rsidR="00E74CA4" w:rsidRPr="00AA5817" w:rsidRDefault="00E74CA4" w:rsidP="00E74CA4">
      <w:pPr>
        <w:spacing w:after="0" w:line="240" w:lineRule="auto"/>
        <w:jc w:val="both"/>
        <w:rPr>
          <w:rFonts w:ascii="Times New Roman" w:hAnsi="Times New Roman"/>
          <w:u w:val="single"/>
        </w:rPr>
      </w:pPr>
      <w:r w:rsidRPr="00AA5817">
        <w:rPr>
          <w:rFonts w:ascii="Times New Roman" w:hAnsi="Times New Roman"/>
          <w:u w:val="single"/>
        </w:rPr>
        <w:t>V stĺpci (1):</w:t>
      </w:r>
      <w:r w:rsidRPr="00AA5817">
        <w:rPr>
          <w:rFonts w:ascii="Times New Roman" w:hAnsi="Times New Roman"/>
        </w:rPr>
        <w:tab/>
      </w:r>
      <w:r w:rsidRPr="00AA5817">
        <w:rPr>
          <w:rFonts w:ascii="Times New Roman" w:hAnsi="Times New Roman"/>
        </w:rPr>
        <w:tab/>
      </w:r>
      <w:r w:rsidRPr="00AA5817">
        <w:rPr>
          <w:rFonts w:ascii="Times New Roman" w:hAnsi="Times New Roman"/>
        </w:rPr>
        <w:tab/>
      </w:r>
      <w:r w:rsidRPr="00AA5817">
        <w:rPr>
          <w:rFonts w:ascii="Times New Roman" w:hAnsi="Times New Roman"/>
          <w:u w:val="single"/>
        </w:rPr>
        <w:t>V stĺpci (3):</w:t>
      </w:r>
      <w:r w:rsidRPr="00AA5817">
        <w:rPr>
          <w:rFonts w:ascii="Times New Roman" w:hAnsi="Times New Roman"/>
        </w:rPr>
        <w:tab/>
      </w:r>
      <w:r w:rsidRPr="00AA5817">
        <w:rPr>
          <w:rFonts w:ascii="Times New Roman" w:hAnsi="Times New Roman"/>
        </w:rPr>
        <w:tab/>
      </w:r>
      <w:r w:rsidRPr="00AA5817">
        <w:rPr>
          <w:rFonts w:ascii="Times New Roman" w:hAnsi="Times New Roman"/>
        </w:rPr>
        <w:tab/>
      </w:r>
      <w:r w:rsidRPr="00AA5817">
        <w:rPr>
          <w:rFonts w:ascii="Times New Roman" w:hAnsi="Times New Roman"/>
        </w:rPr>
        <w:tab/>
      </w:r>
      <w:r w:rsidRPr="00AA5817">
        <w:rPr>
          <w:rFonts w:ascii="Times New Roman" w:hAnsi="Times New Roman"/>
        </w:rPr>
        <w:tab/>
      </w:r>
      <w:r w:rsidRPr="00AA5817">
        <w:rPr>
          <w:rFonts w:ascii="Times New Roman" w:hAnsi="Times New Roman"/>
          <w:u w:val="single"/>
        </w:rPr>
        <w:t>V stĺpci (5):</w:t>
      </w:r>
      <w:r w:rsidRPr="00AA5817">
        <w:rPr>
          <w:rFonts w:ascii="Times New Roman" w:hAnsi="Times New Roman"/>
        </w:rPr>
        <w:tab/>
      </w:r>
      <w:r w:rsidRPr="00AA5817">
        <w:rPr>
          <w:rFonts w:ascii="Times New Roman" w:hAnsi="Times New Roman"/>
        </w:rPr>
        <w:tab/>
      </w:r>
      <w:r w:rsidRPr="00AA5817">
        <w:rPr>
          <w:rFonts w:ascii="Times New Roman" w:hAnsi="Times New Roman"/>
          <w:u w:val="single"/>
        </w:rPr>
        <w:t>V stĺpci (7):</w:t>
      </w:r>
    </w:p>
    <w:p w:rsidR="00E74CA4" w:rsidRPr="00AA5817" w:rsidRDefault="00E74CA4" w:rsidP="00E74CA4">
      <w:pPr>
        <w:spacing w:after="0" w:line="240" w:lineRule="auto"/>
        <w:jc w:val="both"/>
        <w:rPr>
          <w:rFonts w:ascii="Times New Roman" w:hAnsi="Times New Roman"/>
        </w:rPr>
      </w:pPr>
      <w:r w:rsidRPr="00AA5817">
        <w:rPr>
          <w:rFonts w:ascii="Times New Roman" w:hAnsi="Times New Roman"/>
        </w:rPr>
        <w:t>Č – článok</w:t>
      </w:r>
      <w:r w:rsidRPr="00AA5817">
        <w:rPr>
          <w:rFonts w:ascii="Times New Roman" w:hAnsi="Times New Roman"/>
        </w:rPr>
        <w:tab/>
      </w:r>
      <w:r w:rsidRPr="00AA5817">
        <w:rPr>
          <w:rFonts w:ascii="Times New Roman" w:hAnsi="Times New Roman"/>
        </w:rPr>
        <w:tab/>
      </w:r>
      <w:r w:rsidRPr="00AA5817">
        <w:rPr>
          <w:rFonts w:ascii="Times New Roman" w:hAnsi="Times New Roman"/>
        </w:rPr>
        <w:tab/>
        <w:t>N – bežná transpozícia</w:t>
      </w:r>
      <w:r w:rsidRPr="00AA5817">
        <w:rPr>
          <w:rFonts w:ascii="Times New Roman" w:hAnsi="Times New Roman"/>
        </w:rPr>
        <w:tab/>
      </w:r>
      <w:r w:rsidRPr="00AA5817">
        <w:rPr>
          <w:rFonts w:ascii="Times New Roman" w:hAnsi="Times New Roman"/>
        </w:rPr>
        <w:tab/>
      </w:r>
      <w:r w:rsidRPr="00AA5817">
        <w:rPr>
          <w:rFonts w:ascii="Times New Roman" w:hAnsi="Times New Roman"/>
        </w:rPr>
        <w:tab/>
      </w:r>
      <w:r w:rsidRPr="00AA5817">
        <w:rPr>
          <w:rFonts w:ascii="Times New Roman" w:hAnsi="Times New Roman"/>
        </w:rPr>
        <w:tab/>
        <w:t>Č – článok</w:t>
      </w:r>
      <w:r w:rsidRPr="00AA5817">
        <w:rPr>
          <w:rFonts w:ascii="Times New Roman" w:hAnsi="Times New Roman"/>
        </w:rPr>
        <w:tab/>
      </w:r>
      <w:r w:rsidRPr="00AA5817">
        <w:rPr>
          <w:rFonts w:ascii="Times New Roman" w:hAnsi="Times New Roman"/>
        </w:rPr>
        <w:tab/>
        <w:t>Ú – úplná zhoda</w:t>
      </w:r>
    </w:p>
    <w:p w:rsidR="00E74CA4" w:rsidRPr="00AA5817" w:rsidRDefault="00E74CA4" w:rsidP="00E74CA4">
      <w:pPr>
        <w:spacing w:after="0" w:line="240" w:lineRule="auto"/>
        <w:jc w:val="both"/>
        <w:rPr>
          <w:rFonts w:ascii="Times New Roman" w:hAnsi="Times New Roman"/>
        </w:rPr>
      </w:pPr>
      <w:r w:rsidRPr="00AA5817">
        <w:rPr>
          <w:rFonts w:ascii="Times New Roman" w:hAnsi="Times New Roman"/>
        </w:rPr>
        <w:t>O – odsek</w:t>
      </w:r>
      <w:r w:rsidRPr="00AA5817">
        <w:rPr>
          <w:rFonts w:ascii="Times New Roman" w:hAnsi="Times New Roman"/>
        </w:rPr>
        <w:tab/>
      </w:r>
      <w:r w:rsidRPr="00AA5817">
        <w:rPr>
          <w:rFonts w:ascii="Times New Roman" w:hAnsi="Times New Roman"/>
        </w:rPr>
        <w:tab/>
      </w:r>
      <w:r w:rsidRPr="00AA5817">
        <w:rPr>
          <w:rFonts w:ascii="Times New Roman" w:hAnsi="Times New Roman"/>
        </w:rPr>
        <w:tab/>
        <w:t>O – transpozícia s možnosťou voľby</w:t>
      </w:r>
      <w:r w:rsidRPr="00AA5817">
        <w:rPr>
          <w:rFonts w:ascii="Times New Roman" w:hAnsi="Times New Roman"/>
        </w:rPr>
        <w:tab/>
      </w:r>
      <w:r w:rsidRPr="00AA5817">
        <w:rPr>
          <w:rFonts w:ascii="Times New Roman" w:hAnsi="Times New Roman"/>
        </w:rPr>
        <w:tab/>
        <w:t>§ - paragraf</w:t>
      </w:r>
      <w:r w:rsidRPr="00AA5817">
        <w:rPr>
          <w:rFonts w:ascii="Times New Roman" w:hAnsi="Times New Roman"/>
        </w:rPr>
        <w:tab/>
      </w:r>
      <w:r w:rsidRPr="00AA5817">
        <w:rPr>
          <w:rFonts w:ascii="Times New Roman" w:hAnsi="Times New Roman"/>
        </w:rPr>
        <w:tab/>
        <w:t>Č – čiastočná zhoda</w:t>
      </w:r>
    </w:p>
    <w:p w:rsidR="00E74CA4" w:rsidRPr="00AA5817" w:rsidRDefault="00E74CA4" w:rsidP="00E74CA4">
      <w:pPr>
        <w:spacing w:after="0" w:line="240" w:lineRule="auto"/>
        <w:jc w:val="both"/>
        <w:rPr>
          <w:rFonts w:ascii="Times New Roman" w:hAnsi="Times New Roman"/>
        </w:rPr>
      </w:pPr>
      <w:r w:rsidRPr="00AA5817">
        <w:rPr>
          <w:rFonts w:ascii="Times New Roman" w:hAnsi="Times New Roman"/>
        </w:rPr>
        <w:t>V – veta</w:t>
      </w:r>
      <w:r w:rsidRPr="00AA5817">
        <w:rPr>
          <w:rFonts w:ascii="Times New Roman" w:hAnsi="Times New Roman"/>
        </w:rPr>
        <w:tab/>
      </w:r>
      <w:r w:rsidRPr="00AA5817">
        <w:rPr>
          <w:rFonts w:ascii="Times New Roman" w:hAnsi="Times New Roman"/>
        </w:rPr>
        <w:tab/>
      </w:r>
      <w:r w:rsidRPr="00AA5817">
        <w:rPr>
          <w:rFonts w:ascii="Times New Roman" w:hAnsi="Times New Roman"/>
        </w:rPr>
        <w:tab/>
      </w:r>
      <w:r w:rsidRPr="00AA5817">
        <w:rPr>
          <w:rFonts w:ascii="Times New Roman" w:hAnsi="Times New Roman"/>
        </w:rPr>
        <w:tab/>
        <w:t>D – transpozícia podľa úvahy (dobrovoľná)</w:t>
      </w:r>
      <w:r w:rsidRPr="00AA5817">
        <w:rPr>
          <w:rFonts w:ascii="Times New Roman" w:hAnsi="Times New Roman"/>
        </w:rPr>
        <w:tab/>
      </w:r>
      <w:r w:rsidRPr="00AA5817">
        <w:rPr>
          <w:rFonts w:ascii="Times New Roman" w:hAnsi="Times New Roman"/>
        </w:rPr>
        <w:tab/>
        <w:t>O – odsek</w:t>
      </w:r>
      <w:r w:rsidRPr="00AA5817">
        <w:rPr>
          <w:rFonts w:ascii="Times New Roman" w:hAnsi="Times New Roman"/>
        </w:rPr>
        <w:tab/>
      </w:r>
      <w:r w:rsidRPr="00AA5817">
        <w:rPr>
          <w:rFonts w:ascii="Times New Roman" w:hAnsi="Times New Roman"/>
        </w:rPr>
        <w:tab/>
        <w:t xml:space="preserve">Ž – žiadna zhoda (ak nebola dosiahnutá ani čast. ani úplná </w:t>
      </w:r>
    </w:p>
    <w:p w:rsidR="00E74CA4" w:rsidRPr="00AA5817" w:rsidRDefault="00E74CA4" w:rsidP="00E74CA4">
      <w:pPr>
        <w:spacing w:after="0" w:line="240" w:lineRule="auto"/>
        <w:jc w:val="both"/>
        <w:rPr>
          <w:rFonts w:ascii="Times New Roman" w:hAnsi="Times New Roman"/>
        </w:rPr>
      </w:pPr>
      <w:r w:rsidRPr="00AA5817">
        <w:rPr>
          <w:rFonts w:ascii="Times New Roman" w:hAnsi="Times New Roman"/>
        </w:rPr>
        <w:t>P – písmeno (číslo)</w:t>
      </w:r>
      <w:r w:rsidRPr="00AA5817">
        <w:rPr>
          <w:rFonts w:ascii="Times New Roman" w:hAnsi="Times New Roman"/>
        </w:rPr>
        <w:tab/>
      </w:r>
      <w:r w:rsidRPr="00AA5817">
        <w:rPr>
          <w:rFonts w:ascii="Times New Roman" w:hAnsi="Times New Roman"/>
        </w:rPr>
        <w:tab/>
        <w:t>n.a. – transpozícia sa neuskutočňuje</w:t>
      </w:r>
      <w:r w:rsidRPr="00AA5817">
        <w:rPr>
          <w:rFonts w:ascii="Times New Roman" w:hAnsi="Times New Roman"/>
        </w:rPr>
        <w:tab/>
      </w:r>
      <w:r w:rsidRPr="00AA5817">
        <w:rPr>
          <w:rFonts w:ascii="Times New Roman" w:hAnsi="Times New Roman"/>
        </w:rPr>
        <w:tab/>
        <w:t>V – veta</w:t>
      </w:r>
      <w:r w:rsidRPr="00AA5817">
        <w:rPr>
          <w:rFonts w:ascii="Times New Roman" w:hAnsi="Times New Roman"/>
        </w:rPr>
        <w:tab/>
      </w:r>
      <w:r w:rsidRPr="00AA5817">
        <w:rPr>
          <w:rFonts w:ascii="Times New Roman" w:hAnsi="Times New Roman"/>
        </w:rPr>
        <w:tab/>
      </w:r>
      <w:r w:rsidRPr="00AA5817">
        <w:rPr>
          <w:rFonts w:ascii="Times New Roman" w:hAnsi="Times New Roman"/>
        </w:rPr>
        <w:tab/>
        <w:t>zhoda alebo k prebratiu dôjde v budúcnosti)</w:t>
      </w:r>
    </w:p>
    <w:p w:rsidR="00E74CA4" w:rsidRPr="00AA5817" w:rsidRDefault="00E74CA4" w:rsidP="00E74CA4">
      <w:pPr>
        <w:spacing w:after="0" w:line="240" w:lineRule="auto"/>
        <w:ind w:left="9180" w:hanging="2100"/>
        <w:jc w:val="both"/>
        <w:rPr>
          <w:rFonts w:ascii="Times New Roman" w:hAnsi="Times New Roman"/>
        </w:rPr>
      </w:pPr>
      <w:r w:rsidRPr="00AA5817">
        <w:rPr>
          <w:rFonts w:ascii="Times New Roman" w:hAnsi="Times New Roman"/>
        </w:rPr>
        <w:t>P – písmeno (číslo)</w:t>
      </w:r>
      <w:r w:rsidRPr="00AA5817">
        <w:rPr>
          <w:rFonts w:ascii="Times New Roman" w:hAnsi="Times New Roman"/>
        </w:rPr>
        <w:tab/>
        <w:t>n.a. – neaplikovateľnosť (ak sa ustanovenie smernice netýka SR alebo nie je potrebné ho prebrať)</w:t>
      </w:r>
    </w:p>
    <w:p w:rsidR="00E105D0" w:rsidRPr="00AA5817" w:rsidRDefault="00E105D0" w:rsidP="00E74CA4">
      <w:bookmarkStart w:id="0" w:name="_GoBack"/>
      <w:bookmarkEnd w:id="0"/>
    </w:p>
    <w:sectPr w:rsidR="00E105D0" w:rsidRPr="00AA5817" w:rsidSect="00E74CA4">
      <w:foot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8ED" w:rsidRDefault="00D638ED" w:rsidP="002B43E7">
      <w:pPr>
        <w:spacing w:after="0" w:line="240" w:lineRule="auto"/>
      </w:pPr>
      <w:r>
        <w:separator/>
      </w:r>
    </w:p>
  </w:endnote>
  <w:endnote w:type="continuationSeparator" w:id="0">
    <w:p w:rsidR="00D638ED" w:rsidRDefault="00D638ED" w:rsidP="002B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748912"/>
      <w:docPartObj>
        <w:docPartGallery w:val="Page Numbers (Bottom of Page)"/>
        <w:docPartUnique/>
      </w:docPartObj>
    </w:sdtPr>
    <w:sdtEndPr/>
    <w:sdtContent>
      <w:p w:rsidR="00C47B79" w:rsidRDefault="00C47B79">
        <w:pPr>
          <w:pStyle w:val="Pta"/>
          <w:jc w:val="center"/>
        </w:pPr>
        <w:r>
          <w:fldChar w:fldCharType="begin"/>
        </w:r>
        <w:r>
          <w:instrText>PAGE   \* MERGEFORMAT</w:instrText>
        </w:r>
        <w:r>
          <w:fldChar w:fldCharType="separate"/>
        </w:r>
        <w:r w:rsidR="00AA5817">
          <w:rPr>
            <w:noProof/>
          </w:rPr>
          <w:t>3</w:t>
        </w:r>
        <w:r>
          <w:fldChar w:fldCharType="end"/>
        </w:r>
      </w:p>
    </w:sdtContent>
  </w:sdt>
  <w:p w:rsidR="002B43E7" w:rsidRDefault="002B43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8ED" w:rsidRDefault="00D638ED" w:rsidP="002B43E7">
      <w:pPr>
        <w:spacing w:after="0" w:line="240" w:lineRule="auto"/>
      </w:pPr>
      <w:r>
        <w:separator/>
      </w:r>
    </w:p>
  </w:footnote>
  <w:footnote w:type="continuationSeparator" w:id="0">
    <w:p w:rsidR="00D638ED" w:rsidRDefault="00D638ED" w:rsidP="002B4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4"/>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05D0"/>
    <w:rsid w:val="000F2EF4"/>
    <w:rsid w:val="00105998"/>
    <w:rsid w:val="00183AB1"/>
    <w:rsid w:val="002776B3"/>
    <w:rsid w:val="002B43E7"/>
    <w:rsid w:val="002F726B"/>
    <w:rsid w:val="00321988"/>
    <w:rsid w:val="00397351"/>
    <w:rsid w:val="00440981"/>
    <w:rsid w:val="00533C57"/>
    <w:rsid w:val="00736BB6"/>
    <w:rsid w:val="0075555C"/>
    <w:rsid w:val="00772777"/>
    <w:rsid w:val="00856E83"/>
    <w:rsid w:val="009D647A"/>
    <w:rsid w:val="00A75F89"/>
    <w:rsid w:val="00AA5817"/>
    <w:rsid w:val="00AD6A38"/>
    <w:rsid w:val="00B53D76"/>
    <w:rsid w:val="00C47B79"/>
    <w:rsid w:val="00CC5980"/>
    <w:rsid w:val="00D638ED"/>
    <w:rsid w:val="00D75B3A"/>
    <w:rsid w:val="00E105D0"/>
    <w:rsid w:val="00E74CA4"/>
    <w:rsid w:val="00E74E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37218-4547-4A22-BFC9-347F468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56E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E105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basedOn w:val="Predvolenpsmoodseku"/>
    <w:uiPriority w:val="99"/>
    <w:semiHidden/>
    <w:unhideWhenUsed/>
    <w:rsid w:val="00E105D0"/>
    <w:rPr>
      <w:color w:val="0000FF"/>
      <w:u w:val="single"/>
    </w:rPr>
  </w:style>
  <w:style w:type="paragraph" w:styleId="Textbubliny">
    <w:name w:val="Balloon Text"/>
    <w:basedOn w:val="Normlny"/>
    <w:link w:val="TextbublinyChar"/>
    <w:uiPriority w:val="99"/>
    <w:semiHidden/>
    <w:unhideWhenUsed/>
    <w:rsid w:val="002B43E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43E7"/>
    <w:rPr>
      <w:rFonts w:ascii="Segoe UI" w:hAnsi="Segoe UI" w:cs="Segoe UI"/>
      <w:sz w:val="18"/>
      <w:szCs w:val="18"/>
    </w:rPr>
  </w:style>
  <w:style w:type="paragraph" w:styleId="Hlavika">
    <w:name w:val="header"/>
    <w:basedOn w:val="Normlny"/>
    <w:link w:val="HlavikaChar"/>
    <w:uiPriority w:val="99"/>
    <w:unhideWhenUsed/>
    <w:rsid w:val="002B43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43E7"/>
  </w:style>
  <w:style w:type="paragraph" w:styleId="Pta">
    <w:name w:val="footer"/>
    <w:basedOn w:val="Normlny"/>
    <w:link w:val="PtaChar"/>
    <w:uiPriority w:val="99"/>
    <w:unhideWhenUsed/>
    <w:rsid w:val="002B43E7"/>
    <w:pPr>
      <w:tabs>
        <w:tab w:val="center" w:pos="4536"/>
        <w:tab w:val="right" w:pos="9072"/>
      </w:tabs>
      <w:spacing w:after="0" w:line="240" w:lineRule="auto"/>
    </w:pPr>
  </w:style>
  <w:style w:type="character" w:customStyle="1" w:styleId="PtaChar">
    <w:name w:val="Päta Char"/>
    <w:basedOn w:val="Predvolenpsmoodseku"/>
    <w:link w:val="Pta"/>
    <w:uiPriority w:val="99"/>
    <w:rsid w:val="002B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4009">
      <w:bodyDiv w:val="1"/>
      <w:marLeft w:val="0"/>
      <w:marRight w:val="0"/>
      <w:marTop w:val="0"/>
      <w:marBottom w:val="0"/>
      <w:divBdr>
        <w:top w:val="none" w:sz="0" w:space="0" w:color="auto"/>
        <w:left w:val="none" w:sz="0" w:space="0" w:color="auto"/>
        <w:bottom w:val="none" w:sz="0" w:space="0" w:color="auto"/>
        <w:right w:val="none" w:sz="0" w:space="0" w:color="auto"/>
      </w:divBdr>
      <w:divsChild>
        <w:div w:id="1986464922">
          <w:marLeft w:val="0"/>
          <w:marRight w:val="0"/>
          <w:marTop w:val="0"/>
          <w:marBottom w:val="0"/>
          <w:divBdr>
            <w:top w:val="none" w:sz="0" w:space="0" w:color="auto"/>
            <w:left w:val="none" w:sz="0" w:space="0" w:color="auto"/>
            <w:bottom w:val="none" w:sz="0" w:space="0" w:color="auto"/>
            <w:right w:val="none" w:sz="0" w:space="0" w:color="auto"/>
          </w:divBdr>
        </w:div>
      </w:divsChild>
    </w:div>
    <w:div w:id="177956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1232</Words>
  <Characters>7023</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Natália Broošová</dc:creator>
  <cp:keywords/>
  <dc:description/>
  <cp:lastModifiedBy>Smažáková Janette</cp:lastModifiedBy>
  <cp:revision>12</cp:revision>
  <cp:lastPrinted>2022-04-12T11:55:00Z</cp:lastPrinted>
  <dcterms:created xsi:type="dcterms:W3CDTF">2022-03-21T15:07:00Z</dcterms:created>
  <dcterms:modified xsi:type="dcterms:W3CDTF">2022-09-30T08:03:00Z</dcterms:modified>
</cp:coreProperties>
</file>