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7FC" w:rsidRPr="00387384" w:rsidRDefault="00C65FF6" w:rsidP="00C65FF6">
      <w:pPr>
        <w:jc w:val="center"/>
        <w:rPr>
          <w:rFonts w:ascii="Times New Roman" w:hAnsi="Times New Roman" w:cs="Times New Roman"/>
          <w:b/>
          <w:sz w:val="24"/>
          <w:szCs w:val="24"/>
        </w:rPr>
      </w:pPr>
      <w:r w:rsidRPr="00387384">
        <w:rPr>
          <w:rFonts w:ascii="Times New Roman" w:hAnsi="Times New Roman" w:cs="Times New Roman"/>
          <w:b/>
          <w:sz w:val="24"/>
          <w:szCs w:val="24"/>
        </w:rPr>
        <w:t>Dôvodová správa</w:t>
      </w:r>
      <w:r w:rsidR="00D866E7" w:rsidRPr="00AF61C7">
        <w:rPr>
          <w:rFonts w:ascii="Times New Roman" w:hAnsi="Times New Roman" w:cs="Times New Roman"/>
          <w:sz w:val="24"/>
          <w:szCs w:val="24"/>
        </w:rPr>
        <w:t xml:space="preserve"> </w:t>
      </w:r>
    </w:p>
    <w:p w:rsidR="005F77FC" w:rsidRPr="00387384" w:rsidRDefault="005F77FC" w:rsidP="005F77FC">
      <w:pPr>
        <w:rPr>
          <w:rFonts w:ascii="Times New Roman" w:hAnsi="Times New Roman" w:cs="Times New Roman"/>
          <w:b/>
          <w:sz w:val="24"/>
          <w:szCs w:val="24"/>
        </w:rPr>
      </w:pPr>
      <w:r w:rsidRPr="00387384">
        <w:rPr>
          <w:rFonts w:ascii="Times New Roman" w:hAnsi="Times New Roman" w:cs="Times New Roman"/>
          <w:b/>
          <w:sz w:val="24"/>
          <w:szCs w:val="24"/>
        </w:rPr>
        <w:t>B. Osobitná časť</w:t>
      </w:r>
    </w:p>
    <w:p w:rsidR="005F77FC" w:rsidRPr="00387384" w:rsidRDefault="005F77FC" w:rsidP="005F77FC">
      <w:pPr>
        <w:spacing w:after="0" w:line="240" w:lineRule="auto"/>
        <w:rPr>
          <w:rFonts w:ascii="Times New Roman" w:hAnsi="Times New Roman" w:cs="Times New Roman"/>
          <w:b/>
          <w:sz w:val="24"/>
          <w:szCs w:val="24"/>
        </w:rPr>
      </w:pPr>
      <w:r w:rsidRPr="00387384">
        <w:rPr>
          <w:rFonts w:ascii="Times New Roman" w:hAnsi="Times New Roman" w:cs="Times New Roman"/>
          <w:b/>
          <w:sz w:val="24"/>
          <w:szCs w:val="24"/>
        </w:rPr>
        <w:t>Čl. I</w:t>
      </w:r>
    </w:p>
    <w:p w:rsidR="005F77FC" w:rsidRPr="00387384" w:rsidRDefault="005F77FC" w:rsidP="005F77FC">
      <w:pPr>
        <w:spacing w:after="0" w:line="240" w:lineRule="auto"/>
        <w:rPr>
          <w:rFonts w:ascii="Times New Roman" w:hAnsi="Times New Roman" w:cs="Times New Roman"/>
          <w:b/>
          <w:sz w:val="24"/>
          <w:szCs w:val="24"/>
        </w:rPr>
      </w:pPr>
      <w:r w:rsidRPr="00387384">
        <w:rPr>
          <w:rFonts w:ascii="Times New Roman" w:hAnsi="Times New Roman" w:cs="Times New Roman"/>
          <w:b/>
          <w:sz w:val="24"/>
          <w:szCs w:val="24"/>
        </w:rPr>
        <w:t>K bod</w:t>
      </w:r>
      <w:r w:rsidR="00F84EED" w:rsidRPr="00387384">
        <w:rPr>
          <w:rFonts w:ascii="Times New Roman" w:hAnsi="Times New Roman" w:cs="Times New Roman"/>
          <w:b/>
          <w:sz w:val="24"/>
          <w:szCs w:val="24"/>
        </w:rPr>
        <w:t>om</w:t>
      </w:r>
      <w:r w:rsidRPr="00387384">
        <w:rPr>
          <w:rFonts w:ascii="Times New Roman" w:hAnsi="Times New Roman" w:cs="Times New Roman"/>
          <w:b/>
          <w:sz w:val="24"/>
          <w:szCs w:val="24"/>
        </w:rPr>
        <w:t xml:space="preserve"> 1</w:t>
      </w:r>
      <w:r w:rsidR="00A51229" w:rsidRPr="00387384">
        <w:rPr>
          <w:rFonts w:ascii="Times New Roman" w:hAnsi="Times New Roman" w:cs="Times New Roman"/>
          <w:b/>
          <w:sz w:val="24"/>
          <w:szCs w:val="24"/>
        </w:rPr>
        <w:t xml:space="preserve"> a 2</w:t>
      </w:r>
    </w:p>
    <w:p w:rsidR="009267E4" w:rsidRPr="00387384" w:rsidRDefault="00A51229" w:rsidP="009267E4">
      <w:pPr>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Z</w:t>
      </w:r>
      <w:r w:rsidR="00C5770C" w:rsidRPr="00387384">
        <w:rPr>
          <w:rFonts w:ascii="Times New Roman" w:hAnsi="Times New Roman" w:cs="Times New Roman"/>
          <w:sz w:val="24"/>
          <w:szCs w:val="24"/>
        </w:rPr>
        <w:t> </w:t>
      </w:r>
      <w:r w:rsidRPr="00387384">
        <w:rPr>
          <w:rFonts w:ascii="Times New Roman" w:hAnsi="Times New Roman" w:cs="Times New Roman"/>
          <w:sz w:val="24"/>
          <w:szCs w:val="24"/>
        </w:rPr>
        <w:t>defin</w:t>
      </w:r>
      <w:r w:rsidR="00C5770C" w:rsidRPr="00387384">
        <w:rPr>
          <w:rFonts w:ascii="Times New Roman" w:hAnsi="Times New Roman" w:cs="Times New Roman"/>
          <w:sz w:val="24"/>
          <w:szCs w:val="24"/>
        </w:rPr>
        <w:t>ícií kvóty a kvóty z leteckej dopravy boli vypustené skratky EAU, aEUA a</w:t>
      </w:r>
      <w:r w:rsidR="00126F7A" w:rsidRPr="00387384">
        <w:rPr>
          <w:rFonts w:ascii="Times New Roman" w:hAnsi="Times New Roman" w:cs="Times New Roman"/>
          <w:sz w:val="24"/>
          <w:szCs w:val="24"/>
        </w:rPr>
        <w:t> </w:t>
      </w:r>
      <w:r w:rsidR="00C5770C" w:rsidRPr="00387384">
        <w:rPr>
          <w:rFonts w:ascii="Times New Roman" w:hAnsi="Times New Roman" w:cs="Times New Roman"/>
          <w:sz w:val="24"/>
          <w:szCs w:val="24"/>
        </w:rPr>
        <w:t>EUAA</w:t>
      </w:r>
      <w:r w:rsidR="00126F7A" w:rsidRPr="00387384">
        <w:rPr>
          <w:rFonts w:ascii="Times New Roman" w:hAnsi="Times New Roman" w:cs="Times New Roman"/>
          <w:sz w:val="24"/>
          <w:szCs w:val="24"/>
        </w:rPr>
        <w:t>, ktoré zahŕňajú len emisné kvóty z európskeho systému obchodovania s emisnými kvótami. Navrhovaná definícia zahŕňa aj emisné kvóty vydané v švajčiarskom systéme obchodovania.</w:t>
      </w:r>
    </w:p>
    <w:p w:rsidR="00A51229" w:rsidRPr="00387384" w:rsidRDefault="00A51229" w:rsidP="009267E4">
      <w:pPr>
        <w:spacing w:after="0" w:line="240" w:lineRule="auto"/>
        <w:jc w:val="both"/>
        <w:rPr>
          <w:rFonts w:ascii="Times New Roman" w:hAnsi="Times New Roman" w:cs="Times New Roman"/>
          <w:b/>
          <w:sz w:val="24"/>
          <w:szCs w:val="24"/>
        </w:rPr>
      </w:pPr>
    </w:p>
    <w:p w:rsidR="005F77FC" w:rsidRPr="00387384" w:rsidRDefault="00A51229" w:rsidP="005F77FC">
      <w:pPr>
        <w:spacing w:after="0" w:line="240" w:lineRule="auto"/>
        <w:rPr>
          <w:rFonts w:ascii="Times New Roman" w:hAnsi="Times New Roman" w:cs="Times New Roman"/>
          <w:b/>
          <w:sz w:val="24"/>
          <w:szCs w:val="24"/>
        </w:rPr>
      </w:pPr>
      <w:r w:rsidRPr="00387384">
        <w:rPr>
          <w:rFonts w:ascii="Times New Roman" w:hAnsi="Times New Roman" w:cs="Times New Roman"/>
          <w:b/>
          <w:sz w:val="24"/>
          <w:szCs w:val="24"/>
        </w:rPr>
        <w:t>K bodu 3</w:t>
      </w:r>
    </w:p>
    <w:p w:rsidR="005F77FC" w:rsidRPr="00387384" w:rsidRDefault="005F77FC" w:rsidP="005F77FC">
      <w:pPr>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 xml:space="preserve">Pridáva sa obdobie rokov 2021 až 2030 podľa nariadenia Európskeho </w:t>
      </w:r>
      <w:r w:rsidR="000B793D" w:rsidRPr="00387384">
        <w:rPr>
          <w:rFonts w:ascii="Times New Roman" w:hAnsi="Times New Roman" w:cs="Times New Roman"/>
          <w:sz w:val="24"/>
          <w:szCs w:val="24"/>
        </w:rPr>
        <w:t xml:space="preserve">parlamentu a Rady (EÚ) 2018/842 z 30. mája 2018 o </w:t>
      </w:r>
      <w:r w:rsidRPr="00387384">
        <w:rPr>
          <w:rFonts w:ascii="Times New Roman" w:hAnsi="Times New Roman" w:cs="Times New Roman"/>
          <w:sz w:val="24"/>
          <w:szCs w:val="24"/>
        </w:rPr>
        <w:t>záväznom ročnom znižovaní emisií skleníkových plynov členskými štátmi v rokoch 2021 až 2030, ktorým sa prispieva k opatreniam v oblasti klímy zameraným na splnenie záväzkov podľa Parížskej dohody, a o zm</w:t>
      </w:r>
      <w:r w:rsidR="000B793D" w:rsidRPr="00387384">
        <w:rPr>
          <w:rFonts w:ascii="Times New Roman" w:hAnsi="Times New Roman" w:cs="Times New Roman"/>
          <w:sz w:val="24"/>
          <w:szCs w:val="24"/>
        </w:rPr>
        <w:t>ene nariadenia (EÚ) č. </w:t>
      </w:r>
      <w:r w:rsidRPr="00387384">
        <w:rPr>
          <w:rFonts w:ascii="Times New Roman" w:hAnsi="Times New Roman" w:cs="Times New Roman"/>
          <w:sz w:val="24"/>
          <w:szCs w:val="24"/>
        </w:rPr>
        <w:t xml:space="preserve">525/2013. </w:t>
      </w:r>
    </w:p>
    <w:p w:rsidR="005F77FC" w:rsidRPr="00387384" w:rsidRDefault="005F77FC" w:rsidP="005F77FC">
      <w:pPr>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Doplnenie poznámky pod čiarou pre obdobie rokov 2021 – 2030.</w:t>
      </w:r>
    </w:p>
    <w:p w:rsidR="005F77FC" w:rsidRPr="00387384" w:rsidRDefault="005F77FC" w:rsidP="005F77FC">
      <w:pPr>
        <w:spacing w:after="0" w:line="240" w:lineRule="auto"/>
        <w:rPr>
          <w:rFonts w:ascii="Times New Roman" w:hAnsi="Times New Roman" w:cs="Times New Roman"/>
          <w:b/>
          <w:sz w:val="24"/>
          <w:szCs w:val="24"/>
        </w:rPr>
      </w:pPr>
    </w:p>
    <w:p w:rsidR="005F77FC" w:rsidRPr="00387384" w:rsidRDefault="005F77FC" w:rsidP="005F77FC">
      <w:pPr>
        <w:spacing w:after="0" w:line="240" w:lineRule="auto"/>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A51229" w:rsidRPr="00387384">
        <w:rPr>
          <w:rFonts w:ascii="Times New Roman" w:hAnsi="Times New Roman" w:cs="Times New Roman"/>
          <w:b/>
          <w:sz w:val="24"/>
          <w:szCs w:val="24"/>
        </w:rPr>
        <w:t>4</w:t>
      </w:r>
    </w:p>
    <w:p w:rsidR="005F77FC" w:rsidRPr="00387384" w:rsidRDefault="005F77FC" w:rsidP="005F77FC">
      <w:pPr>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Vypúšťa sa definícia dobrovoľného účastníka systému obchodovania. Možnosť stať sa dobrovoľným účastníkom systému obchodovania reálne v praxi nebola využívaná a v 4. fáze obchodovania nie je potrebná. Na trhu existuje viacero možností ako sa môžu prevádzky, ktoré nie sú povinnými účastníkmi systému obchodovania, vysporiadať s emisiami skleníkových plynov (napr. otvorenie obchodného účtu v registri Únie v rámci EÚ ETS).</w:t>
      </w:r>
    </w:p>
    <w:p w:rsidR="005F77FC" w:rsidRPr="00387384" w:rsidRDefault="005F77FC" w:rsidP="005F77FC">
      <w:pPr>
        <w:spacing w:after="0" w:line="240" w:lineRule="auto"/>
        <w:rPr>
          <w:rFonts w:ascii="Times New Roman" w:hAnsi="Times New Roman" w:cs="Times New Roman"/>
          <w:b/>
          <w:sz w:val="24"/>
          <w:szCs w:val="24"/>
        </w:rPr>
      </w:pPr>
    </w:p>
    <w:p w:rsidR="00A51229" w:rsidRPr="00387384" w:rsidRDefault="00A51229" w:rsidP="00C24103">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w:t>
      </w:r>
      <w:r w:rsidR="00387384">
        <w:rPr>
          <w:rFonts w:ascii="Times New Roman" w:hAnsi="Times New Roman" w:cs="Times New Roman"/>
          <w:b/>
          <w:sz w:val="24"/>
          <w:szCs w:val="24"/>
        </w:rPr>
        <w:t> </w:t>
      </w:r>
      <w:r w:rsidR="00126F7A" w:rsidRPr="00387384">
        <w:rPr>
          <w:rFonts w:ascii="Times New Roman" w:hAnsi="Times New Roman" w:cs="Times New Roman"/>
          <w:b/>
          <w:sz w:val="24"/>
          <w:szCs w:val="24"/>
        </w:rPr>
        <w:t>bodom</w:t>
      </w:r>
      <w:r w:rsidR="00387384">
        <w:rPr>
          <w:rFonts w:ascii="Times New Roman" w:hAnsi="Times New Roman" w:cs="Times New Roman"/>
          <w:b/>
          <w:sz w:val="24"/>
          <w:szCs w:val="24"/>
        </w:rPr>
        <w:t xml:space="preserve"> </w:t>
      </w:r>
      <w:r w:rsidR="00170CDE" w:rsidRPr="00387384">
        <w:rPr>
          <w:rFonts w:ascii="Times New Roman" w:hAnsi="Times New Roman" w:cs="Times New Roman"/>
          <w:b/>
          <w:sz w:val="24"/>
          <w:szCs w:val="24"/>
        </w:rPr>
        <w:t>5 a 6</w:t>
      </w:r>
    </w:p>
    <w:p w:rsidR="00126F7A" w:rsidRPr="00387384" w:rsidRDefault="00126F7A" w:rsidP="00C24103">
      <w:pPr>
        <w:tabs>
          <w:tab w:val="left" w:pos="284"/>
        </w:tabs>
        <w:spacing w:after="0" w:line="240" w:lineRule="auto"/>
        <w:jc w:val="both"/>
        <w:rPr>
          <w:rFonts w:ascii="Times" w:hAnsi="Times" w:cs="Times"/>
          <w:sz w:val="24"/>
          <w:szCs w:val="24"/>
        </w:rPr>
      </w:pPr>
      <w:r w:rsidRPr="00387384">
        <w:rPr>
          <w:rFonts w:ascii="Times" w:hAnsi="Times" w:cs="Times"/>
          <w:sz w:val="24"/>
          <w:szCs w:val="24"/>
        </w:rPr>
        <w:t>Upravuje sa názov identifikátora "identifikačné číslo organizácie" ustanoveného zákonom č. 272/2015 Z. z. v znení neskorších predpisov. Od právnickej osoby - podnikateľa sa nevyžaduje predloženie údaja "miesto podnikania", pretože tento údaj sa podľa Obchodného zákonníka a zákona č. 530/2003 Z. z. o obchodnom registri a o zmene a doplnení niektorých zákonov v znení neskorších predpisov týka len fyzickej osoby – podnikateľa.</w:t>
      </w:r>
    </w:p>
    <w:p w:rsidR="00170CDE" w:rsidRPr="00387384" w:rsidRDefault="00170CDE" w:rsidP="00C24103">
      <w:pPr>
        <w:tabs>
          <w:tab w:val="left" w:pos="284"/>
        </w:tabs>
        <w:spacing w:after="0" w:line="240" w:lineRule="auto"/>
        <w:jc w:val="both"/>
        <w:rPr>
          <w:rFonts w:ascii="Times" w:hAnsi="Times" w:cs="Times"/>
          <w:sz w:val="24"/>
          <w:szCs w:val="24"/>
        </w:rPr>
      </w:pPr>
    </w:p>
    <w:p w:rsidR="00170CDE" w:rsidRPr="00387384" w:rsidRDefault="00170CDE" w:rsidP="00170CDE">
      <w:pPr>
        <w:spacing w:after="0" w:line="240" w:lineRule="auto"/>
        <w:rPr>
          <w:rFonts w:ascii="Times New Roman" w:hAnsi="Times New Roman" w:cs="Times New Roman"/>
          <w:b/>
          <w:sz w:val="24"/>
          <w:szCs w:val="24"/>
        </w:rPr>
      </w:pPr>
      <w:r w:rsidRPr="00387384">
        <w:rPr>
          <w:rFonts w:ascii="Times New Roman" w:hAnsi="Times New Roman" w:cs="Times New Roman"/>
          <w:b/>
          <w:sz w:val="24"/>
          <w:szCs w:val="24"/>
        </w:rPr>
        <w:t>K bodu 7</w:t>
      </w:r>
    </w:p>
    <w:p w:rsidR="00170CDE" w:rsidRPr="00387384" w:rsidRDefault="00170CDE" w:rsidP="00170CDE">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Legislatívno-technická úprava z dôvodu aktualizácie poznámky pod čiarou.</w:t>
      </w:r>
    </w:p>
    <w:p w:rsidR="00170CDE" w:rsidRPr="00387384" w:rsidRDefault="00170CDE" w:rsidP="00170CDE">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Nariadenie Komisie (EÚ) č. 601/2012 z 21. júna 2012 o monitorovaní a nahlasovaní emisií skleníkových plynov podľa smernice Európskeho parlamentu a Rady 2003/87/ES (Ú. v. EÚ L 181, 12. 7. 2012) sa nahrádza vykonávacím nariadením Komisie (EÚ) 2018/2066 z 19. decembra 2018 o monitorovaní a nahlasovaní emisií skleníkových plynov podľa smernice Európskeho parlamentu a Rady 2003/87/ES, ktorým sa mení nariadenie Komisie (EÚ) č. 601/2012 (Ú. v. EÚ L 334, 31.12.2018).</w:t>
      </w:r>
    </w:p>
    <w:p w:rsidR="00170CDE" w:rsidRPr="00387384" w:rsidRDefault="00170CDE" w:rsidP="00C24103">
      <w:pPr>
        <w:tabs>
          <w:tab w:val="left" w:pos="284"/>
        </w:tabs>
        <w:spacing w:after="0" w:line="240" w:lineRule="auto"/>
        <w:jc w:val="both"/>
        <w:rPr>
          <w:rFonts w:ascii="Times New Roman" w:hAnsi="Times New Roman" w:cs="Times New Roman"/>
          <w:b/>
          <w:sz w:val="24"/>
          <w:szCs w:val="24"/>
        </w:rPr>
      </w:pPr>
    </w:p>
    <w:p w:rsidR="0006644B" w:rsidRPr="00387384" w:rsidRDefault="0006644B" w:rsidP="005F77FC">
      <w:pPr>
        <w:spacing w:after="0" w:line="240" w:lineRule="auto"/>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A51229" w:rsidRPr="00387384">
        <w:rPr>
          <w:rFonts w:ascii="Times New Roman" w:hAnsi="Times New Roman" w:cs="Times New Roman"/>
          <w:b/>
          <w:sz w:val="24"/>
          <w:szCs w:val="24"/>
        </w:rPr>
        <w:t>8</w:t>
      </w:r>
    </w:p>
    <w:p w:rsidR="005F77FC" w:rsidRPr="00387384" w:rsidRDefault="005F77FC" w:rsidP="005F77FC">
      <w:pPr>
        <w:tabs>
          <w:tab w:val="left" w:pos="284"/>
        </w:tabs>
        <w:spacing w:after="0" w:line="240" w:lineRule="auto"/>
        <w:jc w:val="both"/>
        <w:rPr>
          <w:rFonts w:ascii="Times New Roman" w:hAnsi="Times New Roman" w:cs="Times New Roman"/>
          <w:sz w:val="24"/>
        </w:rPr>
      </w:pPr>
      <w:r w:rsidRPr="00387384">
        <w:rPr>
          <w:rFonts w:ascii="Times New Roman" w:hAnsi="Times New Roman" w:cs="Times New Roman"/>
          <w:sz w:val="24"/>
        </w:rPr>
        <w:t>Vypúšťa sa povinnosť uvádzať emisie skleníkových plynov pri projektovaných kapacitách upravených o relevantný faktor využitia kapacity v prípade nových účastníkov systému obchodovania. Odhadované ročné emisie uvádza každý prevádzkovateľ v monitorovacom pláne v súlade s čl. 19 vykonávacieho nariadenia Komisie (EÚ) 2018/2066 z 19. decembra 2018 o monitorovaní a nahlasovaní emisií skleníkových plynov podľa smernice Európskeho parlamentu a Rady 2003/87/ES, ktorým sa mení nariadenie Komisie (EÚ) č. 601/2012.</w:t>
      </w:r>
    </w:p>
    <w:p w:rsidR="005F77FC" w:rsidRPr="00387384" w:rsidRDefault="005F77FC" w:rsidP="005F77FC">
      <w:pPr>
        <w:tabs>
          <w:tab w:val="left" w:pos="284"/>
        </w:tabs>
        <w:spacing w:after="0" w:line="240" w:lineRule="auto"/>
        <w:jc w:val="both"/>
        <w:rPr>
          <w:rFonts w:ascii="Times New Roman" w:hAnsi="Times New Roman" w:cs="Times New Roman"/>
          <w:sz w:val="24"/>
        </w:rPr>
      </w:pPr>
    </w:p>
    <w:p w:rsidR="00F84EED" w:rsidRPr="00387384" w:rsidRDefault="00F84EED" w:rsidP="005F77FC">
      <w:pPr>
        <w:tabs>
          <w:tab w:val="left" w:pos="284"/>
        </w:tabs>
        <w:spacing w:after="0" w:line="240" w:lineRule="auto"/>
        <w:jc w:val="both"/>
        <w:rPr>
          <w:rFonts w:ascii="Times New Roman" w:hAnsi="Times New Roman" w:cs="Times New Roman"/>
          <w:sz w:val="24"/>
        </w:rPr>
      </w:pPr>
    </w:p>
    <w:p w:rsidR="005F77FC" w:rsidRPr="00387384" w:rsidRDefault="0006644B" w:rsidP="005F77FC">
      <w:pPr>
        <w:tabs>
          <w:tab w:val="left" w:pos="284"/>
        </w:tabs>
        <w:spacing w:after="0" w:line="240" w:lineRule="auto"/>
        <w:jc w:val="both"/>
        <w:rPr>
          <w:rFonts w:ascii="Times New Roman" w:hAnsi="Times New Roman" w:cs="Times New Roman"/>
          <w:b/>
          <w:sz w:val="24"/>
        </w:rPr>
      </w:pPr>
      <w:r w:rsidRPr="00387384">
        <w:rPr>
          <w:rFonts w:ascii="Times New Roman" w:hAnsi="Times New Roman" w:cs="Times New Roman"/>
          <w:b/>
          <w:sz w:val="24"/>
        </w:rPr>
        <w:lastRenderedPageBreak/>
        <w:t xml:space="preserve">K bodu </w:t>
      </w:r>
      <w:r w:rsidR="00A51229" w:rsidRPr="00387384">
        <w:rPr>
          <w:rFonts w:ascii="Times New Roman" w:hAnsi="Times New Roman" w:cs="Times New Roman"/>
          <w:b/>
          <w:sz w:val="24"/>
        </w:rPr>
        <w:t>9</w:t>
      </w:r>
    </w:p>
    <w:p w:rsidR="005F77FC" w:rsidRPr="00387384" w:rsidRDefault="005F77FC" w:rsidP="005F77FC">
      <w:pPr>
        <w:tabs>
          <w:tab w:val="left" w:pos="284"/>
        </w:tabs>
        <w:spacing w:after="0" w:line="240" w:lineRule="auto"/>
        <w:jc w:val="both"/>
        <w:rPr>
          <w:rFonts w:ascii="Times New Roman" w:hAnsi="Times New Roman" w:cs="Times New Roman"/>
          <w:sz w:val="24"/>
        </w:rPr>
      </w:pPr>
      <w:r w:rsidRPr="00387384">
        <w:rPr>
          <w:rFonts w:ascii="Times New Roman" w:hAnsi="Times New Roman" w:cs="Times New Roman"/>
          <w:sz w:val="24"/>
        </w:rPr>
        <w:t>Vypúšťa sa žiadosť o povolenie na vypúšťanie emisií skleníkových plynov pre dobrovoľného</w:t>
      </w:r>
      <w:r w:rsidR="00C55C53" w:rsidRPr="00387384">
        <w:rPr>
          <w:rFonts w:ascii="Times New Roman" w:hAnsi="Times New Roman" w:cs="Times New Roman"/>
          <w:sz w:val="24"/>
        </w:rPr>
        <w:t xml:space="preserve"> účastníka systému obchodovania v nadväznosti na bod 3.</w:t>
      </w:r>
    </w:p>
    <w:p w:rsidR="00C65FF6" w:rsidRPr="00387384" w:rsidRDefault="00C65FF6" w:rsidP="005F77FC">
      <w:pPr>
        <w:tabs>
          <w:tab w:val="left" w:pos="284"/>
        </w:tabs>
        <w:spacing w:after="0" w:line="240" w:lineRule="auto"/>
        <w:jc w:val="both"/>
        <w:rPr>
          <w:rFonts w:ascii="Times New Roman" w:hAnsi="Times New Roman" w:cs="Times New Roman"/>
          <w:b/>
          <w:sz w:val="24"/>
          <w:szCs w:val="24"/>
        </w:rPr>
      </w:pPr>
    </w:p>
    <w:p w:rsidR="005F77FC" w:rsidRPr="00387384" w:rsidRDefault="0006644B"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A51229" w:rsidRPr="00387384">
        <w:rPr>
          <w:rFonts w:ascii="Times New Roman" w:hAnsi="Times New Roman" w:cs="Times New Roman"/>
          <w:b/>
          <w:sz w:val="24"/>
          <w:szCs w:val="24"/>
        </w:rPr>
        <w:t>10</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Legislatívno-technická úprava vnútorných odkazov z dôvodu vypustenia predchádzajúceho odseku.</w:t>
      </w:r>
    </w:p>
    <w:p w:rsidR="00126F7A" w:rsidRPr="00387384" w:rsidRDefault="00126F7A" w:rsidP="005F77FC">
      <w:pPr>
        <w:tabs>
          <w:tab w:val="left" w:pos="284"/>
        </w:tabs>
        <w:spacing w:after="0" w:line="240" w:lineRule="auto"/>
        <w:jc w:val="both"/>
        <w:rPr>
          <w:rFonts w:ascii="Times New Roman" w:hAnsi="Times New Roman" w:cs="Times New Roman"/>
          <w:sz w:val="24"/>
          <w:szCs w:val="24"/>
        </w:rPr>
      </w:pPr>
    </w:p>
    <w:p w:rsidR="005F77FC" w:rsidRPr="00387384" w:rsidRDefault="0006644B"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A51229" w:rsidRPr="00387384">
        <w:rPr>
          <w:rFonts w:ascii="Times New Roman" w:hAnsi="Times New Roman" w:cs="Times New Roman"/>
          <w:b/>
          <w:sz w:val="24"/>
          <w:szCs w:val="24"/>
        </w:rPr>
        <w:t>11</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Vypúšťa sa záväzok odovzdávať iné kvóty ako kvóty vyda</w:t>
      </w:r>
      <w:r w:rsidR="000B793D" w:rsidRPr="00387384">
        <w:rPr>
          <w:rFonts w:ascii="Times New Roman" w:hAnsi="Times New Roman" w:cs="Times New Roman"/>
          <w:sz w:val="24"/>
          <w:szCs w:val="24"/>
        </w:rPr>
        <w:t>né podľa § 14 a 15 (= kvóty pre </w:t>
      </w:r>
      <w:r w:rsidRPr="00387384">
        <w:rPr>
          <w:rFonts w:ascii="Times New Roman" w:hAnsi="Times New Roman" w:cs="Times New Roman"/>
          <w:sz w:val="24"/>
          <w:szCs w:val="24"/>
        </w:rPr>
        <w:t>leteckú dopravu). Prevádzkovateľ stacionárnej prevádzky aj prevád</w:t>
      </w:r>
      <w:r w:rsidR="000B793D" w:rsidRPr="00387384">
        <w:rPr>
          <w:rFonts w:ascii="Times New Roman" w:hAnsi="Times New Roman" w:cs="Times New Roman"/>
          <w:sz w:val="24"/>
          <w:szCs w:val="24"/>
        </w:rPr>
        <w:t xml:space="preserve">zkovateľ lietadla môže odovzdať </w:t>
      </w:r>
      <w:r w:rsidRPr="00387384">
        <w:rPr>
          <w:rFonts w:ascii="Times New Roman" w:hAnsi="Times New Roman" w:cs="Times New Roman"/>
          <w:sz w:val="24"/>
          <w:szCs w:val="24"/>
        </w:rPr>
        <w:t>všeobecné kvóty aj kvóty pre leteckú dopravu v zmysle čl. 33 delegovaného nariadenia Komisie (EÚ) 2019/1122 z 12. marca 2019, ktorým sa dopĺňa smernica Európskeho parlamentu a Rady 2003/87/ES, pokiaľ ide o fungovanie registra Únie.</w:t>
      </w:r>
    </w:p>
    <w:p w:rsidR="000B793D" w:rsidRPr="00387384" w:rsidRDefault="000B793D" w:rsidP="005F77FC">
      <w:pPr>
        <w:tabs>
          <w:tab w:val="left" w:pos="284"/>
        </w:tabs>
        <w:spacing w:after="0" w:line="240" w:lineRule="auto"/>
        <w:jc w:val="both"/>
        <w:rPr>
          <w:rFonts w:ascii="Times New Roman" w:hAnsi="Times New Roman" w:cs="Times New Roman"/>
          <w:sz w:val="24"/>
          <w:szCs w:val="24"/>
        </w:rPr>
      </w:pPr>
    </w:p>
    <w:p w:rsidR="005F77FC" w:rsidRPr="00387384" w:rsidRDefault="0006644B"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A51229" w:rsidRPr="00387384">
        <w:rPr>
          <w:rFonts w:ascii="Times New Roman" w:hAnsi="Times New Roman" w:cs="Times New Roman"/>
          <w:b/>
          <w:sz w:val="24"/>
          <w:szCs w:val="24"/>
        </w:rPr>
        <w:t>12</w:t>
      </w:r>
    </w:p>
    <w:p w:rsidR="00127A22" w:rsidRPr="00387384" w:rsidRDefault="005F77FC" w:rsidP="006C5D7E">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Okresný úrad zašle kópiu povolenia na vypúšťanie emisií skleníkových plynov do 10 dní odo dňa nadobudnutie právoplatnosti okrem ministerstva aj vnútro</w:t>
      </w:r>
      <w:r w:rsidR="000B793D" w:rsidRPr="00387384">
        <w:rPr>
          <w:rFonts w:ascii="Times New Roman" w:hAnsi="Times New Roman" w:cs="Times New Roman"/>
          <w:sz w:val="24"/>
          <w:szCs w:val="24"/>
        </w:rPr>
        <w:t>štátnemu správcovi registra pre </w:t>
      </w:r>
      <w:r w:rsidRPr="00387384">
        <w:rPr>
          <w:rFonts w:ascii="Times New Roman" w:hAnsi="Times New Roman" w:cs="Times New Roman"/>
          <w:sz w:val="24"/>
          <w:szCs w:val="24"/>
        </w:rPr>
        <w:t>kvóty skleníkových plynov.</w:t>
      </w:r>
      <w:r w:rsidR="00581610" w:rsidRPr="00387384">
        <w:rPr>
          <w:rFonts w:ascii="Times New Roman" w:hAnsi="Times New Roman" w:cs="Times New Roman"/>
          <w:sz w:val="24"/>
          <w:szCs w:val="24"/>
        </w:rPr>
        <w:t xml:space="preserve"> </w:t>
      </w:r>
      <w:r w:rsidR="00127A22" w:rsidRPr="00387384">
        <w:rPr>
          <w:rFonts w:ascii="Times New Roman" w:hAnsi="Times New Roman" w:cs="Times New Roman"/>
          <w:sz w:val="24"/>
          <w:szCs w:val="24"/>
        </w:rPr>
        <w:t>Vnútroštátny správca zriaďuje a vedie v registri Únie holdingový účet prevádzkovateľa pre každú prevádzku, ktorá má povolenie na vypúšťanie emisií skleníkových plynov do ovzdušia vydané okresným úradom. Z tohto dôvodu je dôležité, aby mal aj vnútroštátny správca informáciu o vydaných povoleniach na vypúšťanie emisií skleníkových plynov.</w:t>
      </w:r>
    </w:p>
    <w:p w:rsidR="006C5D7E" w:rsidRPr="00387384" w:rsidRDefault="006C5D7E" w:rsidP="006C5D7E">
      <w:pPr>
        <w:tabs>
          <w:tab w:val="left" w:pos="284"/>
        </w:tabs>
        <w:spacing w:after="0" w:line="240" w:lineRule="auto"/>
        <w:jc w:val="both"/>
        <w:rPr>
          <w:rFonts w:ascii="Times New Roman" w:hAnsi="Times New Roman" w:cs="Times New Roman"/>
          <w:color w:val="000000"/>
          <w:sz w:val="24"/>
          <w:szCs w:val="24"/>
        </w:rPr>
      </w:pPr>
      <w:r w:rsidRPr="00387384">
        <w:rPr>
          <w:rFonts w:ascii="Times New Roman" w:hAnsi="Times New Roman" w:cs="Times New Roman"/>
          <w:sz w:val="24"/>
          <w:szCs w:val="24"/>
        </w:rPr>
        <w:t xml:space="preserve">Legislatívno-technická úprava. Posledná veta </w:t>
      </w:r>
      <w:r w:rsidRPr="00387384">
        <w:rPr>
          <w:rStyle w:val="Odkaznakomentr"/>
          <w:rFonts w:ascii="Times New Roman" w:hAnsi="Times New Roman" w:cs="Times New Roman"/>
          <w:sz w:val="24"/>
          <w:szCs w:val="24"/>
        </w:rPr>
        <w:t xml:space="preserve">§ 6 ods. 4 bola </w:t>
      </w:r>
      <w:r w:rsidRPr="00387384">
        <w:rPr>
          <w:rFonts w:ascii="Times New Roman" w:hAnsi="Times New Roman" w:cs="Times New Roman"/>
          <w:sz w:val="24"/>
          <w:szCs w:val="24"/>
        </w:rPr>
        <w:t xml:space="preserve">presunutá do </w:t>
      </w:r>
      <w:r w:rsidRPr="00387384">
        <w:rPr>
          <w:rFonts w:ascii="Times New Roman" w:hAnsi="Times New Roman" w:cs="Times New Roman"/>
          <w:color w:val="000000"/>
          <w:sz w:val="24"/>
          <w:szCs w:val="24"/>
        </w:rPr>
        <w:t>§ 5 ods. 5.</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06644B" w:rsidP="005F77FC">
      <w:pPr>
        <w:tabs>
          <w:tab w:val="left" w:pos="284"/>
          <w:tab w:val="left" w:pos="1560"/>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w:t>
      </w:r>
      <w:r w:rsidR="00387384">
        <w:rPr>
          <w:rFonts w:ascii="Times New Roman" w:hAnsi="Times New Roman" w:cs="Times New Roman"/>
          <w:b/>
          <w:sz w:val="24"/>
          <w:szCs w:val="24"/>
        </w:rPr>
        <w:t> </w:t>
      </w:r>
      <w:r w:rsidRPr="00387384">
        <w:rPr>
          <w:rFonts w:ascii="Times New Roman" w:hAnsi="Times New Roman" w:cs="Times New Roman"/>
          <w:b/>
          <w:sz w:val="24"/>
          <w:szCs w:val="24"/>
        </w:rPr>
        <w:t>bod</w:t>
      </w:r>
      <w:r w:rsidR="00A51229" w:rsidRPr="00387384">
        <w:rPr>
          <w:rFonts w:ascii="Times New Roman" w:hAnsi="Times New Roman" w:cs="Times New Roman"/>
          <w:b/>
          <w:sz w:val="24"/>
          <w:szCs w:val="24"/>
        </w:rPr>
        <w:t>u</w:t>
      </w:r>
      <w:r w:rsidR="00387384">
        <w:rPr>
          <w:rFonts w:ascii="Times New Roman" w:hAnsi="Times New Roman" w:cs="Times New Roman"/>
          <w:b/>
          <w:sz w:val="24"/>
          <w:szCs w:val="24"/>
        </w:rPr>
        <w:t xml:space="preserve"> </w:t>
      </w:r>
      <w:r w:rsidR="00A51229" w:rsidRPr="00387384">
        <w:rPr>
          <w:rFonts w:ascii="Times New Roman" w:hAnsi="Times New Roman" w:cs="Times New Roman"/>
          <w:b/>
          <w:sz w:val="24"/>
          <w:szCs w:val="24"/>
        </w:rPr>
        <w:t>13</w:t>
      </w:r>
      <w:r w:rsidR="005F77FC" w:rsidRPr="00387384">
        <w:rPr>
          <w:rFonts w:ascii="Times New Roman" w:hAnsi="Times New Roman" w:cs="Times New Roman"/>
          <w:b/>
          <w:sz w:val="24"/>
          <w:szCs w:val="24"/>
        </w:rPr>
        <w:tab/>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 porovnaní s 3. obchodovateľným obdobím (2013 – 2020) nie je z dôvodu zavedenia úprav prideľovania emisných kvót v súlade s článkom 10a ods. 20 smernice 2003/87/ES potrebné zachovávať koncepciu významnej zmeny kapacity.</w:t>
      </w:r>
    </w:p>
    <w:p w:rsidR="00A51229" w:rsidRPr="00387384" w:rsidRDefault="00A51229" w:rsidP="005F77FC">
      <w:pPr>
        <w:tabs>
          <w:tab w:val="left" w:pos="284"/>
        </w:tabs>
        <w:spacing w:after="0" w:line="240" w:lineRule="auto"/>
        <w:jc w:val="both"/>
        <w:rPr>
          <w:rFonts w:ascii="Times New Roman" w:hAnsi="Times New Roman" w:cs="Times New Roman"/>
          <w:sz w:val="24"/>
          <w:szCs w:val="24"/>
        </w:rPr>
      </w:pPr>
    </w:p>
    <w:p w:rsidR="00A51229" w:rsidRPr="00387384" w:rsidRDefault="00A51229"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bodu 14</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Vypúšťa sa možnosť zostať dobrovoľným účastníkom systému obchodovania.</w:t>
      </w:r>
      <w:r w:rsidR="00581610" w:rsidRPr="00387384">
        <w:rPr>
          <w:rFonts w:ascii="Times New Roman" w:hAnsi="Times New Roman" w:cs="Times New Roman"/>
          <w:sz w:val="24"/>
          <w:szCs w:val="24"/>
        </w:rPr>
        <w:t xml:space="preserve"> </w:t>
      </w:r>
      <w:r w:rsidR="00127A22" w:rsidRPr="00387384">
        <w:rPr>
          <w:rFonts w:ascii="Times New Roman" w:hAnsi="Times New Roman" w:cs="Times New Roman"/>
          <w:sz w:val="24"/>
          <w:szCs w:val="24"/>
        </w:rPr>
        <w:t>Dôvod vypustenia dobrovoľného účastníka systému obchodovania je uvedený v bode 4.</w:t>
      </w:r>
    </w:p>
    <w:p w:rsidR="00A51229" w:rsidRPr="00387384" w:rsidRDefault="00A51229" w:rsidP="005F77FC">
      <w:pPr>
        <w:tabs>
          <w:tab w:val="left" w:pos="284"/>
        </w:tabs>
        <w:spacing w:after="0" w:line="240" w:lineRule="auto"/>
        <w:jc w:val="both"/>
        <w:rPr>
          <w:rFonts w:ascii="Times New Roman" w:hAnsi="Times New Roman" w:cs="Times New Roman"/>
          <w:sz w:val="24"/>
          <w:szCs w:val="24"/>
        </w:rPr>
      </w:pPr>
    </w:p>
    <w:p w:rsidR="00A51229" w:rsidRPr="00387384" w:rsidRDefault="00A51229"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bodu 15</w:t>
      </w:r>
    </w:p>
    <w:p w:rsidR="00A51229" w:rsidRPr="00387384" w:rsidRDefault="00A51229" w:rsidP="00A51229">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Legislatívno-technická úprava.</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06644B"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bodu 1</w:t>
      </w:r>
      <w:r w:rsidR="00A51229" w:rsidRPr="00387384">
        <w:rPr>
          <w:rFonts w:ascii="Times New Roman" w:hAnsi="Times New Roman" w:cs="Times New Roman"/>
          <w:b/>
          <w:sz w:val="24"/>
          <w:szCs w:val="24"/>
        </w:rPr>
        <w:t>6</w:t>
      </w:r>
    </w:p>
    <w:p w:rsidR="003874A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Úprava zrušenia vydaného povolenia na vypúšťanie emisií skleníkových plynov a vyradenie prevádzky zo systému obchodovania okresným úradom</w:t>
      </w:r>
      <w:r w:rsidR="003874AC" w:rsidRPr="00387384">
        <w:rPr>
          <w:rFonts w:ascii="Times New Roman" w:hAnsi="Times New Roman" w:cs="Times New Roman"/>
          <w:sz w:val="24"/>
          <w:szCs w:val="24"/>
        </w:rPr>
        <w:t xml:space="preserve"> s cieľom zjednodušenia a sprehľadnenia </w:t>
      </w:r>
      <w:r w:rsidR="00126F7A" w:rsidRPr="00387384">
        <w:rPr>
          <w:rFonts w:ascii="Times New Roman" w:hAnsi="Times New Roman" w:cs="Times New Roman"/>
          <w:sz w:val="24"/>
          <w:szCs w:val="24"/>
        </w:rPr>
        <w:t>právneho textu</w:t>
      </w:r>
      <w:r w:rsidR="0006644B" w:rsidRPr="00387384">
        <w:rPr>
          <w:rFonts w:ascii="Times New Roman" w:hAnsi="Times New Roman" w:cs="Times New Roman"/>
          <w:sz w:val="24"/>
          <w:szCs w:val="24"/>
        </w:rPr>
        <w:t>.</w:t>
      </w:r>
      <w:r w:rsidR="00581610" w:rsidRPr="00387384">
        <w:rPr>
          <w:rFonts w:ascii="Times New Roman" w:hAnsi="Times New Roman" w:cs="Times New Roman"/>
          <w:sz w:val="24"/>
          <w:szCs w:val="24"/>
        </w:rPr>
        <w:t xml:space="preserve"> </w:t>
      </w:r>
      <w:r w:rsidR="0022371B" w:rsidRPr="00387384">
        <w:rPr>
          <w:rFonts w:ascii="Times New Roman" w:hAnsi="Times New Roman" w:cs="Times New Roman"/>
          <w:sz w:val="24"/>
          <w:szCs w:val="24"/>
        </w:rPr>
        <w:t>Na zabezpečenie toho, aby sa bezodplatne nepridelili emisné kvóty prevádzke</w:t>
      </w:r>
      <w:r w:rsidR="000E06CD" w:rsidRPr="00387384">
        <w:rPr>
          <w:rFonts w:ascii="Times New Roman" w:hAnsi="Times New Roman" w:cs="Times New Roman"/>
          <w:sz w:val="24"/>
          <w:szCs w:val="24"/>
        </w:rPr>
        <w:t>, ktorej</w:t>
      </w:r>
      <w:r w:rsidR="0022371B" w:rsidRPr="00387384">
        <w:rPr>
          <w:rFonts w:ascii="Times New Roman" w:hAnsi="Times New Roman" w:cs="Times New Roman"/>
          <w:sz w:val="24"/>
          <w:szCs w:val="24"/>
        </w:rPr>
        <w:t xml:space="preserve"> prevádzka bola ukončená, je potrebné stanoviť podmienky, v prípade ktorých sa bude </w:t>
      </w:r>
      <w:r w:rsidR="000E06CD" w:rsidRPr="00387384">
        <w:rPr>
          <w:rFonts w:ascii="Times New Roman" w:hAnsi="Times New Roman" w:cs="Times New Roman"/>
          <w:sz w:val="24"/>
          <w:szCs w:val="24"/>
        </w:rPr>
        <w:t>prevádzka považovať za prevádzku, ktorej</w:t>
      </w:r>
      <w:r w:rsidR="0022371B" w:rsidRPr="00387384">
        <w:rPr>
          <w:rFonts w:ascii="Times New Roman" w:hAnsi="Times New Roman" w:cs="Times New Roman"/>
          <w:sz w:val="24"/>
          <w:szCs w:val="24"/>
        </w:rPr>
        <w:t xml:space="preserve"> prevádzka bola ukončená.</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06644B"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bodu 1</w:t>
      </w:r>
      <w:r w:rsidR="00A51229" w:rsidRPr="00387384">
        <w:rPr>
          <w:rFonts w:ascii="Times New Roman" w:hAnsi="Times New Roman" w:cs="Times New Roman"/>
          <w:b/>
          <w:sz w:val="24"/>
          <w:szCs w:val="24"/>
        </w:rPr>
        <w:t>7</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 prípade pochybností o správnosti overenej správy o emisiách skleníkových plynov môže okresný úrad požiadať okresný úrad o odborné stanovisko Slovenskú inšpekciu životného prostredia (</w:t>
      </w:r>
      <w:r w:rsidRPr="00387384">
        <w:rPr>
          <w:rFonts w:ascii="Times New Roman" w:hAnsi="Times New Roman" w:cs="Times New Roman"/>
          <w:color w:val="000000"/>
          <w:sz w:val="24"/>
          <w:szCs w:val="24"/>
        </w:rPr>
        <w:t>§ 22).</w:t>
      </w:r>
      <w:r w:rsidRPr="00387384">
        <w:rPr>
          <w:rFonts w:ascii="Times New Roman" w:hAnsi="Times New Roman" w:cs="Times New Roman"/>
          <w:sz w:val="24"/>
          <w:szCs w:val="24"/>
        </w:rPr>
        <w:t xml:space="preserve"> Táto možnosť sa rozširuje aj na vyradenie prevádzky zo systému obchodovania.</w:t>
      </w:r>
      <w:r w:rsidR="00581610" w:rsidRPr="00387384">
        <w:rPr>
          <w:rFonts w:ascii="Times New Roman" w:hAnsi="Times New Roman" w:cs="Times New Roman"/>
          <w:sz w:val="24"/>
          <w:szCs w:val="24"/>
        </w:rPr>
        <w:t xml:space="preserve"> </w:t>
      </w:r>
      <w:r w:rsidR="000E06CD" w:rsidRPr="00387384">
        <w:rPr>
          <w:rFonts w:ascii="Times New Roman" w:hAnsi="Times New Roman" w:cs="Times New Roman"/>
          <w:sz w:val="24"/>
          <w:szCs w:val="24"/>
        </w:rPr>
        <w:t xml:space="preserve">Ide hlavne o situácie, kedy okresný úrad posudzuje menovitý tepelný príkon </w:t>
      </w:r>
      <w:r w:rsidR="000E06CD" w:rsidRPr="00387384">
        <w:rPr>
          <w:rFonts w:ascii="Times New Roman" w:hAnsi="Times New Roman" w:cs="Times New Roman"/>
          <w:sz w:val="24"/>
          <w:szCs w:val="24"/>
        </w:rPr>
        <w:lastRenderedPageBreak/>
        <w:t>spaľovací zariadení, ktorých prahová hodnota na zaradenie do systému obchodovania je 20 MW.</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610AE0" w:rsidRPr="00387384" w:rsidRDefault="00610AE0" w:rsidP="00610AE0">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bodu 18</w:t>
      </w:r>
    </w:p>
    <w:p w:rsidR="00610AE0" w:rsidRPr="00387384" w:rsidRDefault="00610AE0" w:rsidP="00610AE0">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 xml:space="preserve">Legislatívno-technická úprava  v nadväznosti na novelizačný bod č. 12. </w:t>
      </w:r>
    </w:p>
    <w:p w:rsidR="00610AE0" w:rsidRPr="00387384" w:rsidRDefault="00610AE0" w:rsidP="00610AE0">
      <w:pPr>
        <w:tabs>
          <w:tab w:val="left" w:pos="284"/>
        </w:tabs>
        <w:spacing w:after="0" w:line="240" w:lineRule="auto"/>
        <w:jc w:val="both"/>
        <w:rPr>
          <w:rFonts w:ascii="Times New Roman" w:hAnsi="Times New Roman" w:cs="Times New Roman"/>
          <w:b/>
          <w:sz w:val="24"/>
          <w:szCs w:val="24"/>
        </w:rPr>
      </w:pPr>
    </w:p>
    <w:p w:rsidR="005F77FC" w:rsidRPr="00387384" w:rsidRDefault="0006644B"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bodu 1</w:t>
      </w:r>
      <w:r w:rsidR="00610AE0" w:rsidRPr="00387384">
        <w:rPr>
          <w:rFonts w:ascii="Times New Roman" w:hAnsi="Times New Roman" w:cs="Times New Roman"/>
          <w:b/>
          <w:sz w:val="24"/>
          <w:szCs w:val="24"/>
        </w:rPr>
        <w:t>9</w:t>
      </w:r>
    </w:p>
    <w:p w:rsidR="005F77FC" w:rsidRPr="00387384" w:rsidRDefault="005F77FC" w:rsidP="005F77FC">
      <w:pPr>
        <w:tabs>
          <w:tab w:val="left" w:pos="284"/>
        </w:tabs>
        <w:spacing w:after="0" w:line="240" w:lineRule="auto"/>
        <w:jc w:val="both"/>
        <w:rPr>
          <w:rFonts w:ascii="Times New Roman" w:hAnsi="Times New Roman" w:cs="Times New Roman"/>
          <w:color w:val="000000"/>
          <w:sz w:val="24"/>
          <w:szCs w:val="24"/>
        </w:rPr>
      </w:pPr>
      <w:r w:rsidRPr="00387384">
        <w:rPr>
          <w:rFonts w:ascii="Times New Roman" w:hAnsi="Times New Roman" w:cs="Times New Roman"/>
          <w:sz w:val="24"/>
          <w:szCs w:val="24"/>
        </w:rPr>
        <w:t xml:space="preserve">Legislatívno-technická úprava. Posledná veta </w:t>
      </w:r>
      <w:r w:rsidR="00C46804" w:rsidRPr="00387384">
        <w:rPr>
          <w:rStyle w:val="Odkaznakomentr"/>
          <w:rFonts w:ascii="Times New Roman" w:hAnsi="Times New Roman" w:cs="Times New Roman"/>
          <w:sz w:val="24"/>
          <w:szCs w:val="24"/>
        </w:rPr>
        <w:t>§ 6 ods.</w:t>
      </w:r>
      <w:r w:rsidRPr="00387384">
        <w:rPr>
          <w:rStyle w:val="Odkaznakomentr"/>
          <w:rFonts w:ascii="Times New Roman" w:hAnsi="Times New Roman" w:cs="Times New Roman"/>
          <w:sz w:val="24"/>
          <w:szCs w:val="24"/>
        </w:rPr>
        <w:t xml:space="preserve"> 4 bola </w:t>
      </w:r>
      <w:r w:rsidRPr="00387384">
        <w:rPr>
          <w:rFonts w:ascii="Times New Roman" w:hAnsi="Times New Roman" w:cs="Times New Roman"/>
          <w:sz w:val="24"/>
          <w:szCs w:val="24"/>
        </w:rPr>
        <w:t xml:space="preserve">presunutá do </w:t>
      </w:r>
      <w:r w:rsidRPr="00387384">
        <w:rPr>
          <w:rFonts w:ascii="Times New Roman" w:hAnsi="Times New Roman" w:cs="Times New Roman"/>
          <w:color w:val="000000"/>
          <w:sz w:val="24"/>
          <w:szCs w:val="24"/>
        </w:rPr>
        <w:t>§ 5 ods. 5.</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F84EED" w:rsidRPr="00387384" w:rsidRDefault="00F84EED" w:rsidP="005F77FC">
      <w:pPr>
        <w:tabs>
          <w:tab w:val="left" w:pos="284"/>
        </w:tabs>
        <w:spacing w:after="0" w:line="240" w:lineRule="auto"/>
        <w:jc w:val="both"/>
        <w:rPr>
          <w:rFonts w:ascii="Times New Roman" w:hAnsi="Times New Roman" w:cs="Times New Roman"/>
          <w:sz w:val="24"/>
          <w:szCs w:val="24"/>
        </w:rPr>
      </w:pPr>
    </w:p>
    <w:p w:rsidR="005F77FC" w:rsidRPr="00387384" w:rsidRDefault="00610AE0"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bodu 20</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Vypúšťa sa dobrovoľný účastník systému obchodovania.</w:t>
      </w:r>
    </w:p>
    <w:p w:rsidR="00F84EED" w:rsidRPr="00387384" w:rsidRDefault="00F84EED" w:rsidP="005F77FC">
      <w:pPr>
        <w:tabs>
          <w:tab w:val="left" w:pos="284"/>
        </w:tabs>
        <w:spacing w:after="0" w:line="240" w:lineRule="auto"/>
        <w:jc w:val="both"/>
        <w:rPr>
          <w:rFonts w:ascii="Times New Roman" w:hAnsi="Times New Roman" w:cs="Times New Roman"/>
          <w:sz w:val="24"/>
          <w:szCs w:val="24"/>
        </w:rPr>
      </w:pPr>
    </w:p>
    <w:p w:rsidR="006F0371" w:rsidRPr="00387384" w:rsidRDefault="006F0371" w:rsidP="006F0371">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bodu 21</w:t>
      </w:r>
    </w:p>
    <w:p w:rsidR="00C24103" w:rsidRPr="00387384" w:rsidRDefault="00C24103" w:rsidP="00C24103">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Legislatívno-technická úprava z dôvodu aktualizácie poznám</w:t>
      </w:r>
      <w:r w:rsidR="00421464" w:rsidRPr="00387384">
        <w:rPr>
          <w:rFonts w:ascii="Times New Roman" w:hAnsi="Times New Roman" w:cs="Times New Roman"/>
          <w:sz w:val="24"/>
          <w:szCs w:val="24"/>
        </w:rPr>
        <w:t>ok</w:t>
      </w:r>
      <w:r w:rsidRPr="00387384">
        <w:rPr>
          <w:rFonts w:ascii="Times New Roman" w:hAnsi="Times New Roman" w:cs="Times New Roman"/>
          <w:sz w:val="24"/>
          <w:szCs w:val="24"/>
        </w:rPr>
        <w:t xml:space="preserve"> pod čiarou.</w:t>
      </w:r>
    </w:p>
    <w:p w:rsidR="00C65FF6" w:rsidRPr="00387384" w:rsidRDefault="00C24103"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Nariadenie Komisie (EÚ) č. 389/2013, ktorým sa zriaďuje register Únie podľa smernice Európskeho parlamentu a Rady 2003/87/ES a rozhodnutí Európskeho parlamentu a Rady č. 280/2004/ES a č. 406/2009/ES a ktorým sa zrušujú nariadenia Komisie (EÚ) č. 920/2010 a č. 1193/2011 (Ú. v. EÚ L 122, 3. 5. 2013) sa nahrádza delegovaným nariadením Komisie (EÚ) 2019/1122 z 12. marca 2019, ktorým sa dopĺňa smernica Európskeho parlamentu a Rady 2003/87/ES, pokiaľ ide o fungovanie registra Únie (Ú. v. EÚ L 177, 2. 7. 2019).</w:t>
      </w:r>
    </w:p>
    <w:p w:rsidR="0006644B" w:rsidRPr="00387384" w:rsidRDefault="00421464" w:rsidP="0006644B">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P</w:t>
      </w:r>
      <w:r w:rsidR="00C24103" w:rsidRPr="00387384">
        <w:rPr>
          <w:rFonts w:ascii="Times New Roman" w:hAnsi="Times New Roman" w:cs="Times New Roman"/>
          <w:sz w:val="24"/>
          <w:szCs w:val="24"/>
        </w:rPr>
        <w:t>oznámk</w:t>
      </w:r>
      <w:r w:rsidRPr="00387384">
        <w:rPr>
          <w:rFonts w:ascii="Times New Roman" w:hAnsi="Times New Roman" w:cs="Times New Roman"/>
          <w:sz w:val="24"/>
          <w:szCs w:val="24"/>
        </w:rPr>
        <w:t>a</w:t>
      </w:r>
      <w:r w:rsidR="00C24103" w:rsidRPr="00387384">
        <w:rPr>
          <w:rFonts w:ascii="Times New Roman" w:hAnsi="Times New Roman" w:cs="Times New Roman"/>
          <w:sz w:val="24"/>
          <w:szCs w:val="24"/>
        </w:rPr>
        <w:t xml:space="preserve"> pod čiarou</w:t>
      </w:r>
      <w:r w:rsidRPr="00387384">
        <w:rPr>
          <w:rFonts w:ascii="Times New Roman" w:hAnsi="Times New Roman" w:cs="Times New Roman"/>
          <w:sz w:val="24"/>
          <w:szCs w:val="24"/>
        </w:rPr>
        <w:t xml:space="preserve"> k odkazu 10 je aktualizovaná </w:t>
      </w:r>
      <w:r w:rsidR="00C24103" w:rsidRPr="00387384">
        <w:rPr>
          <w:rFonts w:ascii="Times New Roman" w:hAnsi="Times New Roman" w:cs="Times New Roman"/>
          <w:sz w:val="24"/>
          <w:szCs w:val="24"/>
        </w:rPr>
        <w:t>príloh</w:t>
      </w:r>
      <w:r w:rsidRPr="00387384">
        <w:rPr>
          <w:rFonts w:ascii="Times New Roman" w:hAnsi="Times New Roman" w:cs="Times New Roman"/>
          <w:sz w:val="24"/>
          <w:szCs w:val="24"/>
        </w:rPr>
        <w:t>ami</w:t>
      </w:r>
      <w:r w:rsidR="00C24103" w:rsidRPr="00387384">
        <w:rPr>
          <w:rFonts w:ascii="Times New Roman" w:hAnsi="Times New Roman" w:cs="Times New Roman"/>
          <w:sz w:val="24"/>
          <w:szCs w:val="24"/>
        </w:rPr>
        <w:t xml:space="preserve"> III až VIII delegovaného nariadenia Komisie (EÚ) 2019/1122</w:t>
      </w:r>
      <w:r w:rsidRPr="00387384">
        <w:rPr>
          <w:rFonts w:ascii="Times New Roman" w:hAnsi="Times New Roman" w:cs="Times New Roman"/>
          <w:sz w:val="24"/>
          <w:szCs w:val="24"/>
        </w:rPr>
        <w:t xml:space="preserve"> a </w:t>
      </w:r>
      <w:r w:rsidR="00C24103" w:rsidRPr="00387384">
        <w:rPr>
          <w:rFonts w:ascii="Times New Roman" w:hAnsi="Times New Roman" w:cs="Times New Roman"/>
          <w:sz w:val="24"/>
          <w:szCs w:val="24"/>
        </w:rPr>
        <w:t>poznámk</w:t>
      </w:r>
      <w:r w:rsidRPr="00387384">
        <w:rPr>
          <w:rFonts w:ascii="Times New Roman" w:hAnsi="Times New Roman" w:cs="Times New Roman"/>
          <w:sz w:val="24"/>
          <w:szCs w:val="24"/>
        </w:rPr>
        <w:t>a</w:t>
      </w:r>
      <w:r w:rsidR="00C24103" w:rsidRPr="00387384">
        <w:rPr>
          <w:rFonts w:ascii="Times New Roman" w:hAnsi="Times New Roman" w:cs="Times New Roman"/>
          <w:sz w:val="24"/>
          <w:szCs w:val="24"/>
        </w:rPr>
        <w:t xml:space="preserve"> pod čiarou</w:t>
      </w:r>
      <w:r w:rsidR="00126F7A" w:rsidRPr="00387384">
        <w:rPr>
          <w:rFonts w:ascii="Times New Roman" w:hAnsi="Times New Roman" w:cs="Times New Roman"/>
          <w:sz w:val="24"/>
          <w:szCs w:val="24"/>
        </w:rPr>
        <w:t xml:space="preserve"> 10a</w:t>
      </w:r>
      <w:r w:rsidRPr="00387384">
        <w:rPr>
          <w:rFonts w:ascii="Times New Roman" w:hAnsi="Times New Roman" w:cs="Times New Roman"/>
          <w:sz w:val="24"/>
          <w:szCs w:val="24"/>
        </w:rPr>
        <w:t xml:space="preserve"> o</w:t>
      </w:r>
      <w:r w:rsidR="00126F7A" w:rsidRPr="00387384">
        <w:rPr>
          <w:rFonts w:ascii="Times New Roman" w:hAnsi="Times New Roman" w:cs="Times New Roman"/>
          <w:sz w:val="24"/>
          <w:szCs w:val="24"/>
        </w:rPr>
        <w:t>dkazuje na prílohy VI a VII</w:t>
      </w:r>
      <w:r w:rsidR="00C24103" w:rsidRPr="00387384">
        <w:rPr>
          <w:rFonts w:ascii="Times New Roman" w:hAnsi="Times New Roman" w:cs="Times New Roman"/>
          <w:sz w:val="24"/>
          <w:szCs w:val="24"/>
        </w:rPr>
        <w:t xml:space="preserve"> delegovaného nariadenia Komisie (EÚ) 2019/1122.</w:t>
      </w:r>
    </w:p>
    <w:p w:rsidR="00A51229" w:rsidRPr="00387384" w:rsidRDefault="00A51229" w:rsidP="0006644B">
      <w:pPr>
        <w:tabs>
          <w:tab w:val="left" w:pos="284"/>
        </w:tabs>
        <w:spacing w:after="0" w:line="240" w:lineRule="auto"/>
        <w:jc w:val="both"/>
        <w:rPr>
          <w:rFonts w:ascii="Times New Roman" w:hAnsi="Times New Roman" w:cs="Times New Roman"/>
          <w:b/>
          <w:sz w:val="24"/>
          <w:szCs w:val="24"/>
        </w:rPr>
      </w:pPr>
    </w:p>
    <w:p w:rsidR="00A51229" w:rsidRPr="00387384" w:rsidRDefault="00A51229" w:rsidP="0006644B">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w:t>
      </w:r>
      <w:r w:rsidR="00126F7A" w:rsidRPr="00387384">
        <w:rPr>
          <w:rFonts w:ascii="Times New Roman" w:hAnsi="Times New Roman" w:cs="Times New Roman"/>
          <w:b/>
          <w:sz w:val="24"/>
          <w:szCs w:val="24"/>
        </w:rPr>
        <w:t>bodu 2</w:t>
      </w:r>
      <w:r w:rsidR="00610AE0" w:rsidRPr="00387384">
        <w:rPr>
          <w:rFonts w:ascii="Times New Roman" w:hAnsi="Times New Roman" w:cs="Times New Roman"/>
          <w:b/>
          <w:sz w:val="24"/>
          <w:szCs w:val="24"/>
        </w:rPr>
        <w:t>2</w:t>
      </w:r>
    </w:p>
    <w:p w:rsidR="00126F7A" w:rsidRPr="00387384" w:rsidRDefault="00126F7A" w:rsidP="0006644B">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Úprava žiadosti o otvorenie účtu v registri podľa delegovaného nariadenia Komisie (EÚ) 2019/1122 z 12. marca 2019, ktorým sa dopĺňa smernica Európskeho parlamentu a Rady 2003/87/ES, pokiaľ ide o fungovanie registra Únie.</w:t>
      </w:r>
    </w:p>
    <w:p w:rsidR="00A51229" w:rsidRPr="00387384" w:rsidRDefault="00A51229" w:rsidP="0006644B">
      <w:pPr>
        <w:tabs>
          <w:tab w:val="left" w:pos="284"/>
        </w:tabs>
        <w:spacing w:after="0" w:line="240" w:lineRule="auto"/>
        <w:jc w:val="both"/>
        <w:rPr>
          <w:rFonts w:ascii="Times New Roman" w:hAnsi="Times New Roman" w:cs="Times New Roman"/>
          <w:b/>
          <w:sz w:val="24"/>
          <w:szCs w:val="24"/>
        </w:rPr>
      </w:pPr>
    </w:p>
    <w:p w:rsidR="0006644B" w:rsidRPr="00387384" w:rsidRDefault="0006644B" w:rsidP="0006644B">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bod</w:t>
      </w:r>
      <w:r w:rsidR="00610AE0" w:rsidRPr="00387384">
        <w:rPr>
          <w:rFonts w:ascii="Times New Roman" w:hAnsi="Times New Roman" w:cs="Times New Roman"/>
          <w:b/>
          <w:sz w:val="24"/>
          <w:szCs w:val="24"/>
        </w:rPr>
        <w:t>u 23</w:t>
      </w:r>
    </w:p>
    <w:p w:rsidR="00126F7A" w:rsidRPr="00387384" w:rsidRDefault="00126F7A" w:rsidP="00126F7A">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Vypúšťa sa dobrovoľný účastník systému obchodovania a slovo „informácie“</w:t>
      </w:r>
      <w:r w:rsidR="00854EF4" w:rsidRPr="00387384">
        <w:rPr>
          <w:rFonts w:ascii="Times New Roman" w:hAnsi="Times New Roman" w:cs="Times New Roman"/>
          <w:sz w:val="24"/>
          <w:szCs w:val="24"/>
        </w:rPr>
        <w:t>, keďže žiadosť pokrýva aj predložené informácie.</w:t>
      </w:r>
    </w:p>
    <w:p w:rsidR="00A51229" w:rsidRPr="00387384" w:rsidRDefault="00A51229" w:rsidP="0006644B">
      <w:pPr>
        <w:tabs>
          <w:tab w:val="left" w:pos="284"/>
        </w:tabs>
        <w:spacing w:after="0" w:line="240" w:lineRule="auto"/>
        <w:jc w:val="both"/>
        <w:rPr>
          <w:rFonts w:ascii="Times New Roman" w:hAnsi="Times New Roman" w:cs="Times New Roman"/>
          <w:sz w:val="24"/>
          <w:szCs w:val="24"/>
        </w:rPr>
      </w:pPr>
    </w:p>
    <w:p w:rsidR="00A51229" w:rsidRPr="00387384" w:rsidRDefault="00A51229" w:rsidP="00A51229">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bodu 24</w:t>
      </w:r>
    </w:p>
    <w:p w:rsidR="00A51229" w:rsidRPr="00387384" w:rsidRDefault="00854EF4" w:rsidP="00854EF4">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Delegované nariadenie Komisie (EÚ) 2019/1122 z 12. marca 2019, ktorým sa dopĺňa smernica Európskeho parlamentu a Rady 2003/87/ES, pokiaľ ide o fungovanie registra Únie definuje iba pojem „účet“ a nie pojem „účet kvót“.</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A51229" w:rsidRPr="00387384" w:rsidRDefault="00A51229" w:rsidP="00A51229">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w:t>
      </w:r>
      <w:r w:rsidR="00713B95" w:rsidRPr="00387384">
        <w:rPr>
          <w:rFonts w:ascii="Times New Roman" w:hAnsi="Times New Roman" w:cs="Times New Roman"/>
          <w:b/>
          <w:sz w:val="24"/>
          <w:szCs w:val="24"/>
        </w:rPr>
        <w:t> </w:t>
      </w:r>
      <w:r w:rsidRPr="00387384">
        <w:rPr>
          <w:rFonts w:ascii="Times New Roman" w:hAnsi="Times New Roman" w:cs="Times New Roman"/>
          <w:b/>
          <w:sz w:val="24"/>
          <w:szCs w:val="24"/>
        </w:rPr>
        <w:t>bod</w:t>
      </w:r>
      <w:r w:rsidR="00713B95" w:rsidRPr="00387384">
        <w:rPr>
          <w:rFonts w:ascii="Times New Roman" w:hAnsi="Times New Roman" w:cs="Times New Roman"/>
          <w:b/>
          <w:sz w:val="24"/>
          <w:szCs w:val="24"/>
        </w:rPr>
        <w:t xml:space="preserve">om </w:t>
      </w:r>
      <w:r w:rsidRPr="00387384">
        <w:rPr>
          <w:rFonts w:ascii="Times New Roman" w:hAnsi="Times New Roman" w:cs="Times New Roman"/>
          <w:b/>
          <w:sz w:val="24"/>
          <w:szCs w:val="24"/>
        </w:rPr>
        <w:t>25</w:t>
      </w:r>
      <w:r w:rsidR="00713B95" w:rsidRPr="00387384">
        <w:rPr>
          <w:rFonts w:ascii="Times New Roman" w:hAnsi="Times New Roman" w:cs="Times New Roman"/>
          <w:b/>
          <w:sz w:val="24"/>
          <w:szCs w:val="24"/>
        </w:rPr>
        <w:t xml:space="preserve"> a</w:t>
      </w:r>
      <w:r w:rsidR="00161585">
        <w:rPr>
          <w:rFonts w:ascii="Times New Roman" w:hAnsi="Times New Roman" w:cs="Times New Roman"/>
          <w:b/>
          <w:sz w:val="24"/>
          <w:szCs w:val="24"/>
        </w:rPr>
        <w:t>ž</w:t>
      </w:r>
      <w:r w:rsidR="00713B95" w:rsidRPr="00387384">
        <w:rPr>
          <w:rFonts w:ascii="Times New Roman" w:hAnsi="Times New Roman" w:cs="Times New Roman"/>
          <w:b/>
          <w:sz w:val="24"/>
          <w:szCs w:val="24"/>
        </w:rPr>
        <w:t xml:space="preserve"> </w:t>
      </w:r>
      <w:r w:rsidR="00161585" w:rsidRPr="00387384">
        <w:rPr>
          <w:rFonts w:ascii="Times New Roman" w:hAnsi="Times New Roman" w:cs="Times New Roman"/>
          <w:b/>
          <w:sz w:val="24"/>
          <w:szCs w:val="24"/>
        </w:rPr>
        <w:t>2</w:t>
      </w:r>
      <w:r w:rsidR="00161585">
        <w:rPr>
          <w:rFonts w:ascii="Times New Roman" w:hAnsi="Times New Roman" w:cs="Times New Roman"/>
          <w:b/>
          <w:sz w:val="24"/>
          <w:szCs w:val="24"/>
        </w:rPr>
        <w:t>8</w:t>
      </w:r>
    </w:p>
    <w:p w:rsidR="00610AE0" w:rsidRPr="00387384" w:rsidRDefault="00610AE0" w:rsidP="00A51229">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Nové znenia ustanovenia z dôvodu vypustenia slov „kvót“, „informácii“ a „dobrovoľného účastníka obchodovania“.</w:t>
      </w:r>
    </w:p>
    <w:p w:rsidR="00610AE0" w:rsidRPr="00387384" w:rsidRDefault="00610AE0" w:rsidP="00A51229">
      <w:pPr>
        <w:tabs>
          <w:tab w:val="left" w:pos="284"/>
        </w:tabs>
        <w:spacing w:after="0" w:line="240" w:lineRule="auto"/>
        <w:jc w:val="both"/>
        <w:rPr>
          <w:rFonts w:ascii="Times New Roman" w:hAnsi="Times New Roman" w:cs="Times New Roman"/>
          <w:b/>
          <w:sz w:val="24"/>
          <w:szCs w:val="24"/>
        </w:rPr>
      </w:pPr>
    </w:p>
    <w:p w:rsidR="00610AE0" w:rsidRPr="00387384" w:rsidRDefault="00610AE0" w:rsidP="00610AE0">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161585" w:rsidRPr="00387384">
        <w:rPr>
          <w:rFonts w:ascii="Times New Roman" w:hAnsi="Times New Roman" w:cs="Times New Roman"/>
          <w:b/>
          <w:sz w:val="24"/>
          <w:szCs w:val="24"/>
        </w:rPr>
        <w:t>2</w:t>
      </w:r>
      <w:r w:rsidR="00161585">
        <w:rPr>
          <w:rFonts w:ascii="Times New Roman" w:hAnsi="Times New Roman" w:cs="Times New Roman"/>
          <w:b/>
          <w:sz w:val="24"/>
          <w:szCs w:val="24"/>
        </w:rPr>
        <w:t>9</w:t>
      </w:r>
    </w:p>
    <w:p w:rsidR="00A51229" w:rsidRPr="00387384" w:rsidRDefault="00854EF4" w:rsidP="00A51229">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Úprava nadpisu § 10 z dôvodu zosúladenia s § 14.</w:t>
      </w:r>
    </w:p>
    <w:p w:rsidR="00A51229" w:rsidRPr="00387384" w:rsidRDefault="00A51229" w:rsidP="005F77FC">
      <w:pPr>
        <w:tabs>
          <w:tab w:val="left" w:pos="284"/>
        </w:tabs>
        <w:spacing w:after="0" w:line="240" w:lineRule="auto"/>
        <w:jc w:val="both"/>
        <w:rPr>
          <w:rFonts w:ascii="Times New Roman" w:hAnsi="Times New Roman" w:cs="Times New Roman"/>
          <w:sz w:val="24"/>
          <w:szCs w:val="24"/>
        </w:rPr>
      </w:pPr>
    </w:p>
    <w:p w:rsidR="005F77FC" w:rsidRPr="00387384" w:rsidRDefault="005F77FC"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w:t>
      </w:r>
      <w:r w:rsidR="0034102A" w:rsidRPr="00387384">
        <w:rPr>
          <w:rFonts w:ascii="Times New Roman" w:hAnsi="Times New Roman" w:cs="Times New Roman"/>
          <w:b/>
          <w:sz w:val="24"/>
          <w:szCs w:val="24"/>
        </w:rPr>
        <w:t xml:space="preserve">bodu </w:t>
      </w:r>
      <w:r w:rsidR="00161585">
        <w:rPr>
          <w:rFonts w:ascii="Times New Roman" w:hAnsi="Times New Roman" w:cs="Times New Roman"/>
          <w:b/>
          <w:sz w:val="24"/>
          <w:szCs w:val="24"/>
        </w:rPr>
        <w:t>30</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 xml:space="preserve">Vypúšťa sa významná zmena kapacity. Bezodplatne pridelené kvóty sa upravujú podľa vykonávacieho nariadenie Komisie (EÚ) 2019/1842 z 31. októbra 2019, ktorým sa stanovujú pravidlá uplatňovania smernice Európskeho parlamentu a Rady 2003/87/ES, pokiaľ ide o </w:t>
      </w:r>
      <w:r w:rsidRPr="00387384">
        <w:rPr>
          <w:rFonts w:ascii="Times New Roman" w:hAnsi="Times New Roman" w:cs="Times New Roman"/>
          <w:sz w:val="24"/>
          <w:szCs w:val="24"/>
        </w:rPr>
        <w:lastRenderedPageBreak/>
        <w:t>ďalšie ustanovenia týkajúce sa úprav súvisiacich s bezodplatn</w:t>
      </w:r>
      <w:r w:rsidR="00C46804" w:rsidRPr="00387384">
        <w:rPr>
          <w:rFonts w:ascii="Times New Roman" w:hAnsi="Times New Roman" w:cs="Times New Roman"/>
          <w:sz w:val="24"/>
          <w:szCs w:val="24"/>
        </w:rPr>
        <w:t>ým prideľovaním emisných kvót v </w:t>
      </w:r>
      <w:r w:rsidRPr="00387384">
        <w:rPr>
          <w:rFonts w:ascii="Times New Roman" w:hAnsi="Times New Roman" w:cs="Times New Roman"/>
          <w:sz w:val="24"/>
          <w:szCs w:val="24"/>
        </w:rPr>
        <w:t xml:space="preserve">dôsledku zmien na úrovni činnosti. </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06644B"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161585">
        <w:rPr>
          <w:rFonts w:ascii="Times New Roman" w:hAnsi="Times New Roman" w:cs="Times New Roman"/>
          <w:b/>
          <w:sz w:val="24"/>
          <w:szCs w:val="24"/>
        </w:rPr>
        <w:t>31</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 xml:space="preserve">Úprava žiadosti nového účastníka systému obchodovania o bezodplatné pridelenie emisných kvót. Žiadosť sa predkladá </w:t>
      </w:r>
      <w:r w:rsidR="00C46804" w:rsidRPr="00387384">
        <w:rPr>
          <w:rFonts w:ascii="Times New Roman" w:hAnsi="Times New Roman" w:cs="Times New Roman"/>
          <w:sz w:val="24"/>
          <w:szCs w:val="24"/>
        </w:rPr>
        <w:t xml:space="preserve">za prvý kalendárny rok </w:t>
      </w:r>
      <w:r w:rsidRPr="00387384">
        <w:rPr>
          <w:rFonts w:ascii="Times New Roman" w:hAnsi="Times New Roman" w:cs="Times New Roman"/>
          <w:sz w:val="24"/>
          <w:szCs w:val="24"/>
        </w:rPr>
        <w:t>po určení začiatku bežnej prevádzky (prvý deň prevádzky). Súčasťou žiadosti je plán metodiky monitorovania a správa o overení. Žiadosť sa vypracováva podľa delegovaného nariadenia Komisie (EÚ) 2019/331 z 19. decembra 2018, ktorým sa ustanovujú prechodné pravidlá harmonizácie bezodplatného prideľovania emisných kvót podľa článku 10a smernice Európskeho parlamentu a Rady 2003/87/ES, platné v celej Únii.</w:t>
      </w:r>
    </w:p>
    <w:p w:rsidR="00A51229" w:rsidRPr="00387384" w:rsidRDefault="00A51229" w:rsidP="005F77FC">
      <w:pPr>
        <w:tabs>
          <w:tab w:val="left" w:pos="284"/>
        </w:tabs>
        <w:spacing w:after="0" w:line="240" w:lineRule="auto"/>
        <w:jc w:val="both"/>
        <w:rPr>
          <w:rFonts w:ascii="Times New Roman" w:hAnsi="Times New Roman" w:cs="Times New Roman"/>
          <w:sz w:val="24"/>
          <w:szCs w:val="24"/>
        </w:rPr>
      </w:pPr>
    </w:p>
    <w:p w:rsidR="00A51229" w:rsidRPr="00387384" w:rsidRDefault="00717E65"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161585" w:rsidRPr="00387384">
        <w:rPr>
          <w:rFonts w:ascii="Times New Roman" w:hAnsi="Times New Roman" w:cs="Times New Roman"/>
          <w:b/>
          <w:sz w:val="24"/>
          <w:szCs w:val="24"/>
        </w:rPr>
        <w:t>3</w:t>
      </w:r>
      <w:r w:rsidR="00161585">
        <w:rPr>
          <w:rFonts w:ascii="Times New Roman" w:hAnsi="Times New Roman" w:cs="Times New Roman"/>
          <w:b/>
          <w:sz w:val="24"/>
          <w:szCs w:val="24"/>
        </w:rPr>
        <w:t>2</w:t>
      </w:r>
    </w:p>
    <w:p w:rsidR="00A51229" w:rsidRPr="00387384" w:rsidRDefault="00854EF4"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 xml:space="preserve">Úprava ustanovenia, že </w:t>
      </w:r>
      <w:r w:rsidR="00717E65" w:rsidRPr="00387384">
        <w:rPr>
          <w:rFonts w:ascii="Times New Roman" w:hAnsi="Times New Roman" w:cs="Times New Roman"/>
          <w:color w:val="000000"/>
          <w:sz w:val="24"/>
          <w:szCs w:val="24"/>
        </w:rPr>
        <w:t xml:space="preserve">bezodplatné kvóty nemožno prideliť </w:t>
      </w:r>
      <w:r w:rsidRPr="00387384">
        <w:rPr>
          <w:rFonts w:ascii="Times New Roman" w:hAnsi="Times New Roman" w:cs="Times New Roman"/>
          <w:sz w:val="24"/>
          <w:szCs w:val="24"/>
        </w:rPr>
        <w:t>v roku nasledujúcom po kalendárnom roku, v ktorom bola prevádzka vyradená zo systému obchodovania, a v ďalších rokoch obchodovateľného obdobia</w:t>
      </w:r>
      <w:r w:rsidR="00717E65" w:rsidRPr="00387384">
        <w:rPr>
          <w:rFonts w:ascii="Times New Roman" w:hAnsi="Times New Roman" w:cs="Times New Roman"/>
          <w:sz w:val="24"/>
          <w:szCs w:val="24"/>
        </w:rPr>
        <w:t>.</w:t>
      </w:r>
    </w:p>
    <w:p w:rsidR="00717E65" w:rsidRPr="00387384" w:rsidRDefault="00717E65" w:rsidP="00A51229">
      <w:pPr>
        <w:tabs>
          <w:tab w:val="left" w:pos="284"/>
        </w:tabs>
        <w:spacing w:after="0" w:line="240" w:lineRule="auto"/>
        <w:jc w:val="both"/>
        <w:rPr>
          <w:rFonts w:ascii="Times New Roman" w:hAnsi="Times New Roman" w:cs="Times New Roman"/>
          <w:b/>
          <w:sz w:val="24"/>
          <w:szCs w:val="24"/>
        </w:rPr>
      </w:pPr>
    </w:p>
    <w:p w:rsidR="00A51229" w:rsidRPr="00387384" w:rsidRDefault="00A51229" w:rsidP="00A51229">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161585" w:rsidRPr="00387384">
        <w:rPr>
          <w:rFonts w:ascii="Times New Roman" w:hAnsi="Times New Roman" w:cs="Times New Roman"/>
          <w:b/>
          <w:sz w:val="24"/>
          <w:szCs w:val="24"/>
        </w:rPr>
        <w:t>3</w:t>
      </w:r>
      <w:r w:rsidR="00161585">
        <w:rPr>
          <w:rFonts w:ascii="Times New Roman" w:hAnsi="Times New Roman" w:cs="Times New Roman"/>
          <w:b/>
          <w:sz w:val="24"/>
          <w:szCs w:val="24"/>
        </w:rPr>
        <w:t>3</w:t>
      </w:r>
    </w:p>
    <w:p w:rsidR="00A51229" w:rsidRPr="00387384" w:rsidRDefault="00854EF4" w:rsidP="00A51229">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Úprava ustanovenia týkajúca sa prideľovania kvót pre prevádzkovateľov lietadla.</w:t>
      </w:r>
    </w:p>
    <w:p w:rsidR="00A51229" w:rsidRPr="00387384" w:rsidRDefault="00A51229" w:rsidP="00A51229">
      <w:pPr>
        <w:tabs>
          <w:tab w:val="left" w:pos="284"/>
        </w:tabs>
        <w:spacing w:after="0" w:line="240" w:lineRule="auto"/>
        <w:jc w:val="both"/>
        <w:rPr>
          <w:rFonts w:ascii="Times New Roman" w:hAnsi="Times New Roman" w:cs="Times New Roman"/>
          <w:sz w:val="24"/>
          <w:szCs w:val="24"/>
        </w:rPr>
      </w:pPr>
    </w:p>
    <w:p w:rsidR="00A51229" w:rsidRPr="00387384" w:rsidRDefault="00A51229" w:rsidP="00A51229">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w:t>
      </w:r>
      <w:r w:rsidR="00717E65" w:rsidRPr="00387384">
        <w:rPr>
          <w:rFonts w:ascii="Times New Roman" w:hAnsi="Times New Roman" w:cs="Times New Roman"/>
          <w:b/>
          <w:sz w:val="24"/>
          <w:szCs w:val="24"/>
        </w:rPr>
        <w:t xml:space="preserve">bodu </w:t>
      </w:r>
      <w:r w:rsidR="00D820C6" w:rsidRPr="00387384">
        <w:rPr>
          <w:rFonts w:ascii="Times New Roman" w:hAnsi="Times New Roman" w:cs="Times New Roman"/>
          <w:b/>
          <w:sz w:val="24"/>
          <w:szCs w:val="24"/>
        </w:rPr>
        <w:t>3</w:t>
      </w:r>
      <w:r w:rsidR="00D820C6">
        <w:rPr>
          <w:rFonts w:ascii="Times New Roman" w:hAnsi="Times New Roman" w:cs="Times New Roman"/>
          <w:b/>
          <w:sz w:val="24"/>
          <w:szCs w:val="24"/>
        </w:rPr>
        <w:t>4</w:t>
      </w:r>
    </w:p>
    <w:p w:rsidR="00A51229" w:rsidRPr="00387384" w:rsidRDefault="00854EF4" w:rsidP="00A51229">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Delegované nariadenie Komisie (EÚ) 2019/1122 z 12. marca 2019, ktorým sa dopĺňa smernica Európskeho parlamentu a Rady 2003/87/ES, pokiaľ ide o fungovanie registra Únie definuje iba pojem „účet“ a nie pojem „účet kvót“.</w:t>
      </w:r>
    </w:p>
    <w:p w:rsidR="00A51229" w:rsidRPr="00387384" w:rsidRDefault="00A51229" w:rsidP="00A51229">
      <w:pPr>
        <w:tabs>
          <w:tab w:val="left" w:pos="284"/>
        </w:tabs>
        <w:spacing w:after="0" w:line="240" w:lineRule="auto"/>
        <w:jc w:val="both"/>
        <w:rPr>
          <w:rFonts w:ascii="Times New Roman" w:hAnsi="Times New Roman" w:cs="Times New Roman"/>
          <w:sz w:val="24"/>
          <w:szCs w:val="24"/>
        </w:rPr>
      </w:pPr>
    </w:p>
    <w:p w:rsidR="00A51229" w:rsidRPr="00387384" w:rsidRDefault="00A51229" w:rsidP="00A51229">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w:t>
      </w:r>
      <w:r w:rsidR="00717E65" w:rsidRPr="00387384">
        <w:rPr>
          <w:rFonts w:ascii="Times New Roman" w:hAnsi="Times New Roman" w:cs="Times New Roman"/>
          <w:b/>
          <w:sz w:val="24"/>
          <w:szCs w:val="24"/>
        </w:rPr>
        <w:t xml:space="preserve">bodu </w:t>
      </w:r>
      <w:r w:rsidR="00D820C6" w:rsidRPr="00387384">
        <w:rPr>
          <w:rFonts w:ascii="Times New Roman" w:hAnsi="Times New Roman" w:cs="Times New Roman"/>
          <w:b/>
          <w:sz w:val="24"/>
          <w:szCs w:val="24"/>
        </w:rPr>
        <w:t>3</w:t>
      </w:r>
      <w:r w:rsidR="00D820C6">
        <w:rPr>
          <w:rFonts w:ascii="Times New Roman" w:hAnsi="Times New Roman" w:cs="Times New Roman"/>
          <w:b/>
          <w:sz w:val="24"/>
          <w:szCs w:val="24"/>
        </w:rPr>
        <w:t>5</w:t>
      </w:r>
    </w:p>
    <w:p w:rsidR="00A51229" w:rsidRPr="00387384" w:rsidRDefault="00A51229" w:rsidP="00A51229">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 xml:space="preserve">Povinnosť ministerstva predložiť každoročne do 31. marca vnútroštátnemu správcovi potvrdenie o správnosti správy podľa </w:t>
      </w:r>
      <w:r w:rsidRPr="00387384">
        <w:rPr>
          <w:rFonts w:ascii="Times New Roman" w:hAnsi="Times New Roman" w:cs="Times New Roman"/>
          <w:color w:val="000000"/>
          <w:sz w:val="24"/>
          <w:szCs w:val="24"/>
        </w:rPr>
        <w:t>§ 21 ods. 2 písm. a)</w:t>
      </w:r>
      <w:r w:rsidR="00D820C6">
        <w:rPr>
          <w:rFonts w:ascii="Times New Roman" w:hAnsi="Times New Roman" w:cs="Times New Roman"/>
          <w:color w:val="000000"/>
          <w:sz w:val="24"/>
          <w:szCs w:val="24"/>
        </w:rPr>
        <w:t xml:space="preserve"> </w:t>
      </w:r>
      <w:r w:rsidRPr="00387384">
        <w:rPr>
          <w:rFonts w:ascii="Times New Roman" w:hAnsi="Times New Roman" w:cs="Times New Roman"/>
          <w:color w:val="000000"/>
          <w:sz w:val="24"/>
          <w:szCs w:val="24"/>
        </w:rPr>
        <w:t>sa vypúšťa, preto vnútroštátny správca nebude potvrdzovať ročné overené emisie v tabuľke overených emisií v registri na základe údajov predložených podľa § 26 ods. 1 písm. m).</w:t>
      </w:r>
    </w:p>
    <w:p w:rsidR="005F77FC" w:rsidRPr="00387384" w:rsidRDefault="005F77FC" w:rsidP="005F77FC">
      <w:pPr>
        <w:tabs>
          <w:tab w:val="left" w:pos="284"/>
        </w:tabs>
        <w:spacing w:after="0" w:line="240" w:lineRule="auto"/>
        <w:jc w:val="both"/>
        <w:rPr>
          <w:rFonts w:ascii="Times New Roman" w:hAnsi="Times New Roman" w:cs="Times New Roman"/>
          <w:b/>
          <w:sz w:val="24"/>
          <w:szCs w:val="24"/>
        </w:rPr>
      </w:pPr>
    </w:p>
    <w:p w:rsidR="005F77FC" w:rsidRPr="00387384" w:rsidRDefault="00A51229"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D820C6" w:rsidRPr="00387384">
        <w:rPr>
          <w:rFonts w:ascii="Times New Roman" w:hAnsi="Times New Roman" w:cs="Times New Roman"/>
          <w:b/>
          <w:sz w:val="24"/>
          <w:szCs w:val="24"/>
        </w:rPr>
        <w:t>3</w:t>
      </w:r>
      <w:r w:rsidR="00D820C6">
        <w:rPr>
          <w:rFonts w:ascii="Times New Roman" w:hAnsi="Times New Roman" w:cs="Times New Roman"/>
          <w:b/>
          <w:sz w:val="24"/>
          <w:szCs w:val="24"/>
        </w:rPr>
        <w:t>6</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Vypúšťa sa povinnosť overovateľa vkladať do tabuľky overených emisií v registri ročné overené emisie prevádzkovateľa lietadla.</w:t>
      </w:r>
      <w:r w:rsidR="000219E2" w:rsidRPr="00387384">
        <w:rPr>
          <w:rFonts w:ascii="Times New Roman" w:hAnsi="Times New Roman" w:cs="Times New Roman"/>
          <w:sz w:val="24"/>
          <w:szCs w:val="24"/>
        </w:rPr>
        <w:t xml:space="preserve"> Tieto údaje poskytne vnútroštátnemu správcovi ministerstv</w:t>
      </w:r>
      <w:r w:rsidR="00854EF4" w:rsidRPr="00387384">
        <w:rPr>
          <w:rFonts w:ascii="Times New Roman" w:hAnsi="Times New Roman" w:cs="Times New Roman"/>
          <w:sz w:val="24"/>
          <w:szCs w:val="24"/>
        </w:rPr>
        <w:t>o.</w:t>
      </w:r>
    </w:p>
    <w:p w:rsidR="0006644B" w:rsidRPr="00387384" w:rsidRDefault="0006644B" w:rsidP="005F77FC">
      <w:pPr>
        <w:tabs>
          <w:tab w:val="left" w:pos="284"/>
        </w:tabs>
        <w:spacing w:after="0" w:line="240" w:lineRule="auto"/>
        <w:jc w:val="both"/>
        <w:rPr>
          <w:rFonts w:ascii="Times New Roman" w:hAnsi="Times New Roman" w:cs="Times New Roman"/>
          <w:sz w:val="24"/>
          <w:szCs w:val="24"/>
        </w:rPr>
      </w:pPr>
    </w:p>
    <w:p w:rsidR="0006644B" w:rsidRPr="00387384" w:rsidRDefault="00A51229"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D820C6" w:rsidRPr="00387384">
        <w:rPr>
          <w:rFonts w:ascii="Times New Roman" w:hAnsi="Times New Roman" w:cs="Times New Roman"/>
          <w:b/>
          <w:sz w:val="24"/>
          <w:szCs w:val="24"/>
        </w:rPr>
        <w:t>3</w:t>
      </w:r>
      <w:r w:rsidR="00D820C6">
        <w:rPr>
          <w:rFonts w:ascii="Times New Roman" w:hAnsi="Times New Roman" w:cs="Times New Roman"/>
          <w:b/>
          <w:sz w:val="24"/>
          <w:szCs w:val="24"/>
        </w:rPr>
        <w:t>7</w:t>
      </w:r>
    </w:p>
    <w:p w:rsidR="0006644B" w:rsidRPr="00387384" w:rsidRDefault="00450A1C" w:rsidP="0006644B">
      <w:pPr>
        <w:spacing w:after="0"/>
        <w:jc w:val="both"/>
        <w:rPr>
          <w:rFonts w:ascii="Times New Roman" w:hAnsi="Times New Roman" w:cs="Times New Roman"/>
          <w:sz w:val="24"/>
          <w:szCs w:val="24"/>
        </w:rPr>
      </w:pPr>
      <w:r w:rsidRPr="00387384">
        <w:rPr>
          <w:rFonts w:ascii="Times New Roman" w:hAnsi="Times New Roman" w:cs="Times New Roman"/>
          <w:sz w:val="24"/>
          <w:szCs w:val="24"/>
        </w:rPr>
        <w:t>Legislatívno-technická úprava z dôvodu aktualizácie poznámky pod čiarou, ktorá odkazuje na č</w:t>
      </w:r>
      <w:r w:rsidR="00C24103" w:rsidRPr="00387384">
        <w:rPr>
          <w:rFonts w:ascii="Times New Roman" w:hAnsi="Times New Roman" w:cs="Times New Roman"/>
          <w:sz w:val="24"/>
          <w:szCs w:val="24"/>
        </w:rPr>
        <w:t>l. 32 delegovaného nariadenia Komisie (EÚ) 2019/1122.</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B22B81"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747C6B">
        <w:rPr>
          <w:rFonts w:ascii="Times New Roman" w:hAnsi="Times New Roman" w:cs="Times New Roman"/>
          <w:b/>
          <w:sz w:val="24"/>
          <w:szCs w:val="24"/>
        </w:rPr>
        <w:t>38</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 xml:space="preserve">Doplnenie možnosti prenášať vydané kvóty skleníkových plynov aj medzi inými systémami obchodovania (napr. so Švajčiarskom). Prepojenie EU ETS s inými systémami obchodovania s emisiami rozvíja príležitosti pre znižovanie emisií, čím sa znižujú náklady na boj proti zmene klímy. Zmena je vyžadovaná z dôvodu sfunkčnenia dohôd o prepojení podľa článku 25 smernice 2003/87/ES. </w:t>
      </w:r>
    </w:p>
    <w:p w:rsidR="00C5770C" w:rsidRPr="00387384" w:rsidRDefault="00C5770C" w:rsidP="005F77FC">
      <w:pPr>
        <w:tabs>
          <w:tab w:val="left" w:pos="284"/>
        </w:tabs>
        <w:spacing w:after="0" w:line="240" w:lineRule="auto"/>
        <w:jc w:val="both"/>
        <w:rPr>
          <w:rFonts w:ascii="Times New Roman" w:hAnsi="Times New Roman" w:cs="Times New Roman"/>
          <w:sz w:val="24"/>
          <w:szCs w:val="24"/>
        </w:rPr>
      </w:pPr>
    </w:p>
    <w:p w:rsidR="00C5770C" w:rsidRPr="00387384" w:rsidRDefault="00A31387"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747C6B">
        <w:rPr>
          <w:rFonts w:ascii="Times New Roman" w:hAnsi="Times New Roman" w:cs="Times New Roman"/>
          <w:b/>
          <w:sz w:val="24"/>
          <w:szCs w:val="24"/>
        </w:rPr>
        <w:t>39</w:t>
      </w:r>
    </w:p>
    <w:p w:rsidR="00C5770C" w:rsidRPr="00387384" w:rsidRDefault="00854EF4" w:rsidP="000E06CD">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Úprava ustanovenia, že odovzdané kvóty nie sú automaticky zrušené, ale nie je ich možné odovzdať znovu.</w:t>
      </w:r>
      <w:r w:rsidR="00581610" w:rsidRPr="00387384">
        <w:rPr>
          <w:rFonts w:ascii="Times New Roman" w:hAnsi="Times New Roman" w:cs="Times New Roman"/>
          <w:sz w:val="24"/>
          <w:szCs w:val="24"/>
        </w:rPr>
        <w:t xml:space="preserve"> </w:t>
      </w:r>
      <w:r w:rsidR="000E06CD" w:rsidRPr="00387384">
        <w:rPr>
          <w:rFonts w:ascii="Times New Roman" w:hAnsi="Times New Roman" w:cs="Times New Roman"/>
          <w:sz w:val="24"/>
          <w:szCs w:val="24"/>
        </w:rPr>
        <w:t xml:space="preserve">Zosúladenie s čl. 56 ods. 3 delegovaného nariadenia Komisie (EÚ) </w:t>
      </w:r>
      <w:r w:rsidR="000E06CD" w:rsidRPr="00387384">
        <w:rPr>
          <w:rFonts w:ascii="Times New Roman" w:hAnsi="Times New Roman" w:cs="Times New Roman"/>
          <w:sz w:val="24"/>
          <w:szCs w:val="24"/>
        </w:rPr>
        <w:lastRenderedPageBreak/>
        <w:t>2019/1122 z 12. marca 2019, ktorým sa dopĺňa smernica Európskeho parlamentu a Rady 2003/87/ES, pokiaľ ide o fungovanie registra Únie, ktorý ustanovuje, že už odovzdaná kvóta sa nesmie odovzdať znovu.</w:t>
      </w:r>
    </w:p>
    <w:p w:rsidR="00C5770C" w:rsidRPr="00387384" w:rsidRDefault="00C5770C" w:rsidP="005F77FC">
      <w:pPr>
        <w:tabs>
          <w:tab w:val="left" w:pos="284"/>
        </w:tabs>
        <w:spacing w:after="0" w:line="240" w:lineRule="auto"/>
        <w:jc w:val="both"/>
        <w:rPr>
          <w:rFonts w:ascii="Times New Roman" w:hAnsi="Times New Roman" w:cs="Times New Roman"/>
          <w:sz w:val="24"/>
          <w:szCs w:val="24"/>
        </w:rPr>
      </w:pPr>
    </w:p>
    <w:p w:rsidR="00C5770C" w:rsidRPr="00387384" w:rsidRDefault="00C5770C" w:rsidP="00C5770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4</w:t>
      </w:r>
      <w:r w:rsidR="00747C6B">
        <w:rPr>
          <w:rFonts w:ascii="Times New Roman" w:hAnsi="Times New Roman" w:cs="Times New Roman"/>
          <w:b/>
          <w:sz w:val="24"/>
          <w:szCs w:val="24"/>
        </w:rPr>
        <w:t>0</w:t>
      </w:r>
    </w:p>
    <w:p w:rsidR="00C5770C" w:rsidRPr="00387384" w:rsidRDefault="00854EF4" w:rsidP="00C5770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Delegované nariadenie Komisie (EÚ) 2019/1122 z 12. marca 2019, ktorým sa dopĺňa smernica Európskeho parlamentu a Rady 2003/87/ES, pokiaľ ide o fungovanie registra Únie definuje iba pojem „účet“ a nie pojem „účet kvót“.</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B22B81"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4</w:t>
      </w:r>
      <w:r w:rsidR="00747C6B">
        <w:rPr>
          <w:rFonts w:ascii="Times New Roman" w:hAnsi="Times New Roman" w:cs="Times New Roman"/>
          <w:b/>
          <w:sz w:val="24"/>
          <w:szCs w:val="24"/>
        </w:rPr>
        <w:t>1</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Vypúšťa sa záväzok odovzdávať iné kvóty ako kvóty vydané podľa § 14 a 15 (= kvóty pre leteckú dopravu). Prevádzkovateľ stacionárnej prevádzky aj prevádzkovateľ lietadla môže odovzdať všeobecné kvóty aj kvóty pre leteckú dopravu v zmysle čl. 33 delegovaného nariadenia Komisie (EÚ) 2019/1122 z 12. marca 2019, ktorým sa dopĺňa smernica Európskeho parlamentu a Rady 2003/87/ES, pokiaľ ide o fungovanie registra Únie.</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C5770C" w:rsidRPr="00387384" w:rsidRDefault="00B22B81"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4</w:t>
      </w:r>
      <w:r w:rsidR="00747C6B">
        <w:rPr>
          <w:rFonts w:ascii="Times New Roman" w:hAnsi="Times New Roman" w:cs="Times New Roman"/>
          <w:b/>
          <w:sz w:val="24"/>
          <w:szCs w:val="24"/>
        </w:rPr>
        <w:t>2</w:t>
      </w:r>
    </w:p>
    <w:p w:rsidR="00854EF4" w:rsidRPr="00387384" w:rsidRDefault="00854EF4"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Vypustenie ustanovenia</w:t>
      </w:r>
      <w:r w:rsidR="00E520D6" w:rsidRPr="00387384">
        <w:rPr>
          <w:rFonts w:ascii="Times New Roman" w:hAnsi="Times New Roman" w:cs="Times New Roman"/>
          <w:sz w:val="24"/>
          <w:szCs w:val="24"/>
        </w:rPr>
        <w:t xml:space="preserve"> o vydávaní kvót príslušným orgánom iného členského štátu, ktoré už nie je aktuálne.</w:t>
      </w:r>
      <w:r w:rsidR="00581610" w:rsidRPr="00387384">
        <w:rPr>
          <w:rFonts w:ascii="Times New Roman" w:hAnsi="Times New Roman" w:cs="Times New Roman"/>
          <w:sz w:val="24"/>
          <w:szCs w:val="24"/>
        </w:rPr>
        <w:t xml:space="preserve"> </w:t>
      </w:r>
      <w:r w:rsidR="00C00567" w:rsidRPr="00387384">
        <w:rPr>
          <w:rFonts w:ascii="Times New Roman" w:hAnsi="Times New Roman" w:cs="Times New Roman"/>
          <w:sz w:val="24"/>
          <w:szCs w:val="24"/>
        </w:rPr>
        <w:t>Všeobecné kvóty sú definované ako všetky ostatné kvóty vytvorené pod</w:t>
      </w:r>
      <w:r w:rsidR="00C9322F" w:rsidRPr="00387384">
        <w:rPr>
          <w:rFonts w:ascii="Times New Roman" w:hAnsi="Times New Roman" w:cs="Times New Roman"/>
          <w:sz w:val="24"/>
          <w:szCs w:val="24"/>
        </w:rPr>
        <w:t>ľa smernice 2003/87/ES, nie sú vydávané členskými štátmi.</w:t>
      </w:r>
    </w:p>
    <w:p w:rsidR="00C5770C" w:rsidRPr="00387384" w:rsidRDefault="00C5770C" w:rsidP="005F77FC">
      <w:pPr>
        <w:tabs>
          <w:tab w:val="left" w:pos="284"/>
        </w:tabs>
        <w:spacing w:after="0" w:line="240" w:lineRule="auto"/>
        <w:jc w:val="both"/>
        <w:rPr>
          <w:rFonts w:ascii="Times New Roman" w:hAnsi="Times New Roman" w:cs="Times New Roman"/>
          <w:b/>
          <w:sz w:val="24"/>
          <w:szCs w:val="24"/>
        </w:rPr>
      </w:pPr>
    </w:p>
    <w:p w:rsidR="00C5770C" w:rsidRPr="00387384" w:rsidRDefault="00A31387"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4</w:t>
      </w:r>
      <w:r w:rsidR="00747C6B">
        <w:rPr>
          <w:rFonts w:ascii="Times New Roman" w:hAnsi="Times New Roman" w:cs="Times New Roman"/>
          <w:b/>
          <w:sz w:val="24"/>
          <w:szCs w:val="24"/>
        </w:rPr>
        <w:t>3</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Vypúšťa sa dobrovoľný účastník systému obchodovania.</w:t>
      </w:r>
    </w:p>
    <w:p w:rsidR="00A31387" w:rsidRPr="00387384" w:rsidRDefault="00A31387" w:rsidP="005F77FC">
      <w:pPr>
        <w:tabs>
          <w:tab w:val="left" w:pos="284"/>
        </w:tabs>
        <w:spacing w:after="0" w:line="240" w:lineRule="auto"/>
        <w:jc w:val="both"/>
        <w:rPr>
          <w:rFonts w:ascii="Times New Roman" w:hAnsi="Times New Roman" w:cs="Times New Roman"/>
          <w:sz w:val="24"/>
          <w:szCs w:val="24"/>
        </w:rPr>
      </w:pPr>
    </w:p>
    <w:p w:rsidR="005F77FC" w:rsidRPr="00387384" w:rsidRDefault="00C5770C"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4</w:t>
      </w:r>
      <w:r w:rsidR="00747C6B">
        <w:rPr>
          <w:rFonts w:ascii="Times New Roman" w:hAnsi="Times New Roman" w:cs="Times New Roman"/>
          <w:b/>
          <w:sz w:val="24"/>
          <w:szCs w:val="24"/>
        </w:rPr>
        <w:t>4</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Register Únie nedovoľuje odovzdať priznané jednotky</w:t>
      </w:r>
      <w:r w:rsidR="00A90FF4" w:rsidRPr="00387384">
        <w:rPr>
          <w:rFonts w:ascii="Times New Roman" w:hAnsi="Times New Roman" w:cs="Times New Roman"/>
          <w:sz w:val="24"/>
          <w:szCs w:val="24"/>
        </w:rPr>
        <w:t xml:space="preserve"> podľa Kjótskeho protokolu</w:t>
      </w:r>
      <w:r w:rsidRPr="00387384">
        <w:rPr>
          <w:rFonts w:ascii="Times New Roman" w:hAnsi="Times New Roman" w:cs="Times New Roman"/>
          <w:sz w:val="24"/>
          <w:szCs w:val="24"/>
        </w:rPr>
        <w:t>,</w:t>
      </w:r>
      <w:r w:rsidR="00955F40" w:rsidRPr="00387384">
        <w:rPr>
          <w:rFonts w:ascii="Times New Roman" w:hAnsi="Times New Roman" w:cs="Times New Roman"/>
          <w:sz w:val="24"/>
          <w:szCs w:val="24"/>
        </w:rPr>
        <w:t xml:space="preserve"> ale len kvóty vytvorené podľa smernice 2003/87/ES,</w:t>
      </w:r>
      <w:r w:rsidRPr="00387384">
        <w:rPr>
          <w:rFonts w:ascii="Times New Roman" w:hAnsi="Times New Roman" w:cs="Times New Roman"/>
          <w:sz w:val="24"/>
          <w:szCs w:val="24"/>
        </w:rPr>
        <w:t xml:space="preserve"> preto toto ustanovenie nie je v zákone potrebné.</w:t>
      </w:r>
      <w:r w:rsidR="00560FA7" w:rsidRPr="00387384">
        <w:rPr>
          <w:rFonts w:ascii="Times New Roman" w:hAnsi="Times New Roman" w:cs="Times New Roman"/>
          <w:sz w:val="24"/>
          <w:szCs w:val="24"/>
        </w:rPr>
        <w:t xml:space="preserve"> Priznané jednotky (AAU) sú jednotky z priznaného množstva podľa čl. 3 ods. 7 Kjótskeho protokolu.</w:t>
      </w:r>
      <w:r w:rsidR="00955F40" w:rsidRPr="00387384">
        <w:rPr>
          <w:rFonts w:ascii="Times New Roman" w:hAnsi="Times New Roman" w:cs="Times New Roman"/>
          <w:sz w:val="24"/>
          <w:szCs w:val="24"/>
        </w:rPr>
        <w:t xml:space="preserve"> Odovzdanie znamená zúčtovanie emisných kvót prevádzkovateľom alebo prevádzkovateľom lietadla oproti množstvu overených emisií jeho zariadenia alebo lietadla.</w:t>
      </w:r>
    </w:p>
    <w:p w:rsidR="00A31387" w:rsidRPr="00387384" w:rsidRDefault="00A31387" w:rsidP="005F77FC">
      <w:pPr>
        <w:tabs>
          <w:tab w:val="left" w:pos="284"/>
        </w:tabs>
        <w:spacing w:after="0" w:line="240" w:lineRule="auto"/>
        <w:jc w:val="both"/>
        <w:rPr>
          <w:rFonts w:ascii="Times New Roman" w:hAnsi="Times New Roman" w:cs="Times New Roman"/>
          <w:sz w:val="24"/>
          <w:szCs w:val="24"/>
        </w:rPr>
      </w:pPr>
    </w:p>
    <w:p w:rsidR="005F77FC" w:rsidRPr="00387384" w:rsidRDefault="00A31387"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4</w:t>
      </w:r>
      <w:r w:rsidR="00747C6B">
        <w:rPr>
          <w:rFonts w:ascii="Times New Roman" w:hAnsi="Times New Roman" w:cs="Times New Roman"/>
          <w:b/>
          <w:sz w:val="24"/>
          <w:szCs w:val="24"/>
        </w:rPr>
        <w:t>5</w:t>
      </w:r>
    </w:p>
    <w:p w:rsidR="005F77FC" w:rsidRPr="00387384" w:rsidRDefault="005F77FC" w:rsidP="00576F29">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Všetci prevádzkovatelia majú povinnosť oznámiť okresnému úradu každú významnú zmenu monitorovacieho plánu do 30 dní od tejto zmeny. Zmeny, ktoré nie sú významné</w:t>
      </w:r>
      <w:r w:rsidR="00D2694A" w:rsidRPr="00387384">
        <w:rPr>
          <w:rFonts w:ascii="Times New Roman" w:hAnsi="Times New Roman" w:cs="Times New Roman"/>
          <w:sz w:val="24"/>
          <w:szCs w:val="24"/>
        </w:rPr>
        <w:t xml:space="preserve"> sa oznamujú</w:t>
      </w:r>
      <w:r w:rsidRPr="00387384">
        <w:rPr>
          <w:rFonts w:ascii="Times New Roman" w:hAnsi="Times New Roman" w:cs="Times New Roman"/>
          <w:sz w:val="24"/>
          <w:szCs w:val="24"/>
        </w:rPr>
        <w:t xml:space="preserve"> naraz do 31. decembra príslušného kalendárneho roka.</w:t>
      </w:r>
      <w:r w:rsidR="00576F29" w:rsidRPr="00387384">
        <w:rPr>
          <w:rFonts w:ascii="Times New Roman" w:hAnsi="Times New Roman" w:cs="Times New Roman"/>
          <w:sz w:val="24"/>
          <w:szCs w:val="24"/>
        </w:rPr>
        <w:t xml:space="preserve"> Ministerstvo nepovažuje za nevyhnutné ustanoviť striktne formu pre oznamovaciu povinnosť. Objektívne ide o písomnú komunikáciu, či už listinnú alebo elektronickú.</w:t>
      </w:r>
    </w:p>
    <w:p w:rsidR="00C5770C" w:rsidRPr="00387384" w:rsidRDefault="00C5770C" w:rsidP="005F77FC">
      <w:pPr>
        <w:tabs>
          <w:tab w:val="left" w:pos="284"/>
        </w:tabs>
        <w:spacing w:after="0" w:line="240" w:lineRule="auto"/>
        <w:jc w:val="both"/>
        <w:rPr>
          <w:rFonts w:ascii="Times New Roman" w:hAnsi="Times New Roman" w:cs="Times New Roman"/>
          <w:sz w:val="24"/>
          <w:szCs w:val="24"/>
        </w:rPr>
      </w:pPr>
    </w:p>
    <w:p w:rsidR="00C5770C" w:rsidRPr="00387384" w:rsidRDefault="00A31387"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4</w:t>
      </w:r>
      <w:r w:rsidR="00747C6B">
        <w:rPr>
          <w:rFonts w:ascii="Times New Roman" w:hAnsi="Times New Roman" w:cs="Times New Roman"/>
          <w:b/>
          <w:sz w:val="24"/>
          <w:szCs w:val="24"/>
        </w:rPr>
        <w:t>6</w:t>
      </w:r>
    </w:p>
    <w:p w:rsidR="00E520D6" w:rsidRPr="00387384" w:rsidRDefault="00E520D6"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Vypustenia ustanovenia, ktoré v delegovanom nariadení Komisie (EÚ) 2019/1122 z 12. marca 2019, ktorým sa dopĺňa smernica Európskeho parlamentu a Rady 2003/87/ES, pokiaľ ide o fungovanie registra Únie nie je definované</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A31387"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747C6B">
        <w:rPr>
          <w:rFonts w:ascii="Times New Roman" w:hAnsi="Times New Roman" w:cs="Times New Roman"/>
          <w:b/>
          <w:sz w:val="24"/>
          <w:szCs w:val="24"/>
        </w:rPr>
        <w:t>47</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 xml:space="preserve">Predkladať plán metodiky monitorovania a správu o úrovni činnosti sú povinní len prevádzkovatelia, ktorým boli pridelene bezodplatné kvóty. Títo prevádzkovatelia majú povinnosť oznámiť ministerstvu každú významnú zmenu plánu metodiky monitorovania do 30 dní od tejto zmeny. Zmeny, ktoré nie sú významné </w:t>
      </w:r>
      <w:r w:rsidR="00D2694A" w:rsidRPr="00387384">
        <w:rPr>
          <w:rFonts w:ascii="Times New Roman" w:hAnsi="Times New Roman" w:cs="Times New Roman"/>
          <w:sz w:val="24"/>
          <w:szCs w:val="24"/>
        </w:rPr>
        <w:t>sa oznamujú</w:t>
      </w:r>
      <w:r w:rsidRPr="00387384">
        <w:rPr>
          <w:rFonts w:ascii="Times New Roman" w:hAnsi="Times New Roman" w:cs="Times New Roman"/>
          <w:sz w:val="24"/>
          <w:szCs w:val="24"/>
        </w:rPr>
        <w:t xml:space="preserve"> naraz do 31. decembra príslušného kalendárneho roka. Takisto sú títo prevádzkovatelia </w:t>
      </w:r>
      <w:r w:rsidR="000219E2" w:rsidRPr="00387384">
        <w:rPr>
          <w:rFonts w:ascii="Times New Roman" w:hAnsi="Times New Roman" w:cs="Times New Roman"/>
          <w:sz w:val="24"/>
          <w:szCs w:val="24"/>
        </w:rPr>
        <w:t xml:space="preserve">povinní </w:t>
      </w:r>
      <w:r w:rsidRPr="00387384">
        <w:rPr>
          <w:rFonts w:ascii="Times New Roman" w:hAnsi="Times New Roman" w:cs="Times New Roman"/>
          <w:sz w:val="24"/>
          <w:szCs w:val="24"/>
        </w:rPr>
        <w:t xml:space="preserve">predložiť ministerstvu každoročne do 31. januára prostredníctvom elektronického systému overenú </w:t>
      </w:r>
      <w:r w:rsidRPr="00387384">
        <w:rPr>
          <w:rFonts w:ascii="Times New Roman" w:hAnsi="Times New Roman" w:cs="Times New Roman"/>
          <w:sz w:val="24"/>
          <w:szCs w:val="24"/>
        </w:rPr>
        <w:lastRenderedPageBreak/>
        <w:t>správu o úrovni činnosti častí prevádzky za predchádzajúci kalendárny rok. Plán metodiky monitorovania sa predkladá podľa delegované</w:t>
      </w:r>
      <w:r w:rsidR="00A90FF4" w:rsidRPr="00387384">
        <w:rPr>
          <w:rFonts w:ascii="Times New Roman" w:hAnsi="Times New Roman" w:cs="Times New Roman"/>
          <w:sz w:val="24"/>
          <w:szCs w:val="24"/>
        </w:rPr>
        <w:t>ho</w:t>
      </w:r>
      <w:r w:rsidRPr="00387384">
        <w:rPr>
          <w:rFonts w:ascii="Times New Roman" w:hAnsi="Times New Roman" w:cs="Times New Roman"/>
          <w:sz w:val="24"/>
          <w:szCs w:val="24"/>
        </w:rPr>
        <w:t xml:space="preserve"> nariadeni</w:t>
      </w:r>
      <w:r w:rsidR="00A90FF4" w:rsidRPr="00387384">
        <w:rPr>
          <w:rFonts w:ascii="Times New Roman" w:hAnsi="Times New Roman" w:cs="Times New Roman"/>
          <w:sz w:val="24"/>
          <w:szCs w:val="24"/>
        </w:rPr>
        <w:t>a</w:t>
      </w:r>
      <w:r w:rsidRPr="00387384">
        <w:rPr>
          <w:rFonts w:ascii="Times New Roman" w:hAnsi="Times New Roman" w:cs="Times New Roman"/>
          <w:sz w:val="24"/>
          <w:szCs w:val="24"/>
        </w:rPr>
        <w:t xml:space="preserve"> Komisie (EÚ) 2019/331 z 19. decembra 2018, ktorým sa ustanovujú prechodné pravidlá harmonizácie bezodplatného prideľovania emisných kvót podľa článku 10a smernice Európskeho parlamentu a Rady 2003/87/ES, platné v celej Únii. Správa o úrovni činnosti sa predkladá podľa vykonávacieho nariadeni</w:t>
      </w:r>
      <w:r w:rsidR="00A90FF4" w:rsidRPr="00387384">
        <w:rPr>
          <w:rFonts w:ascii="Times New Roman" w:hAnsi="Times New Roman" w:cs="Times New Roman"/>
          <w:sz w:val="24"/>
          <w:szCs w:val="24"/>
        </w:rPr>
        <w:t>a</w:t>
      </w:r>
      <w:r w:rsidRPr="00387384">
        <w:rPr>
          <w:rFonts w:ascii="Times New Roman" w:hAnsi="Times New Roman" w:cs="Times New Roman"/>
          <w:sz w:val="24"/>
          <w:szCs w:val="24"/>
        </w:rPr>
        <w:t xml:space="preserve"> Komisie (EÚ) 2019/1842 z 31. októbra 2019, ktorým sa stanovujú pravidlá uplatňovania smernice Európskeho parlamentu a Rady 2003/87/ES, pokiaľ ide o ďalšie ustanovenia týkajúce sa úprav súvisiacich s bezodplatným prideľovaním emisných kvót v dôsledku zmien na úrovni činnosti.</w:t>
      </w:r>
    </w:p>
    <w:p w:rsidR="00C5770C" w:rsidRPr="00387384" w:rsidRDefault="00C5770C" w:rsidP="005F77FC">
      <w:pPr>
        <w:tabs>
          <w:tab w:val="left" w:pos="284"/>
        </w:tabs>
        <w:spacing w:after="0" w:line="240" w:lineRule="auto"/>
        <w:jc w:val="both"/>
        <w:rPr>
          <w:rFonts w:ascii="Times New Roman" w:hAnsi="Times New Roman" w:cs="Times New Roman"/>
          <w:sz w:val="24"/>
          <w:szCs w:val="24"/>
        </w:rPr>
      </w:pPr>
    </w:p>
    <w:p w:rsidR="00C5770C" w:rsidRPr="00387384" w:rsidRDefault="00A31387"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747C6B">
        <w:rPr>
          <w:rFonts w:ascii="Times New Roman" w:hAnsi="Times New Roman" w:cs="Times New Roman"/>
          <w:b/>
          <w:sz w:val="24"/>
          <w:szCs w:val="24"/>
        </w:rPr>
        <w:t>48</w:t>
      </w:r>
    </w:p>
    <w:p w:rsidR="00E520D6" w:rsidRPr="00387384" w:rsidRDefault="00E520D6"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Úprava, že okresný úrad nezasiela potvrdenie o správnosti správy o emisiách vnútroštátnemu správcovi.</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5F77FC"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747C6B">
        <w:rPr>
          <w:rFonts w:ascii="Times New Roman" w:hAnsi="Times New Roman" w:cs="Times New Roman"/>
          <w:b/>
          <w:sz w:val="24"/>
          <w:szCs w:val="24"/>
        </w:rPr>
        <w:t>49</w:t>
      </w:r>
    </w:p>
    <w:p w:rsidR="005F77FC" w:rsidRPr="00387384" w:rsidRDefault="005F77FC" w:rsidP="009E65B9">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Vypúšťa sa overenie údajov potrebných na výpočet pridelenia emisných kvót podľa § 21 ods. 4 písm. a), pretože</w:t>
      </w:r>
      <w:r w:rsidR="00200AC8" w:rsidRPr="00387384">
        <w:rPr>
          <w:rFonts w:ascii="Times New Roman" w:hAnsi="Times New Roman" w:cs="Times New Roman"/>
          <w:sz w:val="24"/>
          <w:szCs w:val="24"/>
        </w:rPr>
        <w:t xml:space="preserve"> p</w:t>
      </w:r>
      <w:r w:rsidR="009E65B9" w:rsidRPr="00387384">
        <w:rPr>
          <w:rFonts w:ascii="Times New Roman" w:hAnsi="Times New Roman" w:cs="Times New Roman"/>
          <w:sz w:val="24"/>
          <w:szCs w:val="24"/>
        </w:rPr>
        <w:t>revádzkovateľ nemá povinnosť ministerstvu zasielať žiadosť o pridelenie bezodplatných emisných kvót. V zmysle čl. 4 ods. 1 delegovaného nariadenia Komisie (EÚ) 2019/331, ktorým sa ustanovujú prechodné pravidlá harmonizácie bezodplatného prideľovania emisných kvót podľa článku 10a smernice Európskeho parlamentu a Rady 2003/87/ES, platné v celej Únii prevádzkovateľ zariadenia oprávneného na bezodplatné pridelenie emisných kvót podľa článku 10a smernice 2003/87/ES môže príslušnému orgánu podať žiadosť o bezodplatné pridelenie emisných kvót.</w:t>
      </w:r>
    </w:p>
    <w:p w:rsidR="00FC1E36" w:rsidRPr="00387384" w:rsidRDefault="00FC1E36" w:rsidP="005F77FC">
      <w:pPr>
        <w:tabs>
          <w:tab w:val="left" w:pos="284"/>
        </w:tabs>
        <w:spacing w:after="0" w:line="240" w:lineRule="auto"/>
        <w:jc w:val="both"/>
        <w:rPr>
          <w:rFonts w:ascii="Times New Roman" w:hAnsi="Times New Roman" w:cs="Times New Roman"/>
          <w:sz w:val="24"/>
          <w:szCs w:val="24"/>
        </w:rPr>
      </w:pPr>
    </w:p>
    <w:p w:rsidR="005F77FC" w:rsidRPr="00387384" w:rsidRDefault="00A31387"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5</w:t>
      </w:r>
      <w:r w:rsidR="00747C6B">
        <w:rPr>
          <w:rFonts w:ascii="Times New Roman" w:hAnsi="Times New Roman" w:cs="Times New Roman"/>
          <w:b/>
          <w:sz w:val="24"/>
          <w:szCs w:val="24"/>
        </w:rPr>
        <w:t>0</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 xml:space="preserve">Vypúšťa sa povinnosť overovateľa vkladať do tabuľky overených emisií v registri ročné overené emisie prevádzkovateľa lietadla. Ministerstvo bude vnútroštátnemu správcovi predkladať údaje o ročných emisiách za prevádzkovateľov aj prevádzkovateľov lietadiel </w:t>
      </w:r>
      <w:r w:rsidR="00D2694A" w:rsidRPr="00387384">
        <w:rPr>
          <w:rFonts w:ascii="Times New Roman" w:hAnsi="Times New Roman" w:cs="Times New Roman"/>
          <w:sz w:val="24"/>
          <w:szCs w:val="24"/>
        </w:rPr>
        <w:t>v zmysle novelizačného bodu 39</w:t>
      </w:r>
      <w:r w:rsidR="000219E2" w:rsidRPr="00387384">
        <w:rPr>
          <w:rFonts w:ascii="Times New Roman" w:hAnsi="Times New Roman" w:cs="Times New Roman"/>
          <w:sz w:val="24"/>
          <w:szCs w:val="24"/>
        </w:rPr>
        <w:t>.</w:t>
      </w:r>
    </w:p>
    <w:p w:rsidR="000219E2" w:rsidRPr="00387384" w:rsidRDefault="000219E2" w:rsidP="005F77FC">
      <w:pPr>
        <w:tabs>
          <w:tab w:val="left" w:pos="284"/>
        </w:tabs>
        <w:spacing w:after="0" w:line="240" w:lineRule="auto"/>
        <w:jc w:val="both"/>
        <w:rPr>
          <w:rFonts w:ascii="Times New Roman" w:hAnsi="Times New Roman" w:cs="Times New Roman"/>
          <w:sz w:val="24"/>
          <w:szCs w:val="24"/>
        </w:rPr>
      </w:pPr>
    </w:p>
    <w:p w:rsidR="005F77FC" w:rsidRPr="00387384" w:rsidRDefault="00A31387"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5</w:t>
      </w:r>
      <w:r w:rsidR="00747C6B">
        <w:rPr>
          <w:rFonts w:ascii="Times New Roman" w:hAnsi="Times New Roman" w:cs="Times New Roman"/>
          <w:b/>
          <w:sz w:val="24"/>
          <w:szCs w:val="24"/>
        </w:rPr>
        <w:t>1</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Európska komisia rozhoduje o konečnom celkovom ročnom množstve bezodplatne pridelených kvót. Ministerstvo oznamuje údaje za slovenské prevádzky. Vypúšťa sa oznámenie ostatným členským štátom, ktoré nie je potrebné.</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B22B81"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5</w:t>
      </w:r>
      <w:r w:rsidR="00747C6B">
        <w:rPr>
          <w:rFonts w:ascii="Times New Roman" w:hAnsi="Times New Roman" w:cs="Times New Roman"/>
          <w:b/>
          <w:sz w:val="24"/>
          <w:szCs w:val="24"/>
        </w:rPr>
        <w:t>2</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Legislatívno-technická úprava vnútorných odkazov z dôvodu úpravy § 21 ods. 4.</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5F77FC"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5</w:t>
      </w:r>
      <w:r w:rsidR="00747C6B">
        <w:rPr>
          <w:rFonts w:ascii="Times New Roman" w:hAnsi="Times New Roman" w:cs="Times New Roman"/>
          <w:b/>
          <w:sz w:val="24"/>
          <w:szCs w:val="24"/>
        </w:rPr>
        <w:t>3</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Povinnosť ministerstva predložiť každoročne do 31. marca vnútroštátnemu správcovi potvrdenie o správnosti správy podľa § 21 ods. 2 písm. a) sa vypúšťa, preto</w:t>
      </w:r>
      <w:r w:rsidR="00955F40" w:rsidRPr="00387384">
        <w:rPr>
          <w:rFonts w:ascii="Times New Roman" w:hAnsi="Times New Roman" w:cs="Times New Roman"/>
          <w:sz w:val="24"/>
          <w:szCs w:val="24"/>
        </w:rPr>
        <w:t>že</w:t>
      </w:r>
      <w:r w:rsidRPr="00387384">
        <w:rPr>
          <w:rFonts w:ascii="Times New Roman" w:hAnsi="Times New Roman" w:cs="Times New Roman"/>
          <w:sz w:val="24"/>
          <w:szCs w:val="24"/>
        </w:rPr>
        <w:t xml:space="preserve"> vnútroštátny správca bude potvrdzovať ročné overené emisie v tabuľke overených emisií v registri</w:t>
      </w:r>
      <w:r w:rsidR="00E520D6" w:rsidRPr="00387384">
        <w:rPr>
          <w:rFonts w:ascii="Times New Roman" w:hAnsi="Times New Roman" w:cs="Times New Roman"/>
          <w:sz w:val="24"/>
          <w:szCs w:val="24"/>
        </w:rPr>
        <w:t xml:space="preserve"> na základe údajov predložených ministerstvom</w:t>
      </w:r>
      <w:r w:rsidR="00EF6551" w:rsidRPr="00387384">
        <w:rPr>
          <w:rFonts w:ascii="Times New Roman" w:hAnsi="Times New Roman" w:cs="Times New Roman"/>
          <w:sz w:val="24"/>
          <w:szCs w:val="24"/>
        </w:rPr>
        <w:t>.</w:t>
      </w:r>
      <w:r w:rsidR="00955F40" w:rsidRPr="00387384">
        <w:rPr>
          <w:rFonts w:ascii="Times New Roman" w:hAnsi="Times New Roman" w:cs="Times New Roman"/>
          <w:sz w:val="24"/>
          <w:szCs w:val="24"/>
        </w:rPr>
        <w:t xml:space="preserve"> Údaje sa predkladajú vo formáte .xlsx, prípadne .xml za všetkých prevádzkovateľov a prevádzkovateľov lietadiel</w:t>
      </w:r>
      <w:r w:rsidR="000C71FB" w:rsidRPr="00387384">
        <w:rPr>
          <w:rFonts w:ascii="Times New Roman" w:hAnsi="Times New Roman" w:cs="Times New Roman"/>
          <w:sz w:val="24"/>
          <w:szCs w:val="24"/>
        </w:rPr>
        <w:t xml:space="preserve"> a ministerstvo ich získava z potvrdení o správnosti správ o emisiách skleníkových plynov.</w:t>
      </w:r>
      <w:r w:rsidR="00955F40" w:rsidRPr="00387384">
        <w:rPr>
          <w:rFonts w:ascii="Times New Roman" w:hAnsi="Times New Roman" w:cs="Times New Roman"/>
          <w:sz w:val="24"/>
          <w:szCs w:val="24"/>
        </w:rPr>
        <w:t xml:space="preserve"> Táto povinnosť ministerstva je upravená v bode 56.</w:t>
      </w:r>
    </w:p>
    <w:p w:rsidR="00EF6551" w:rsidRPr="00387384" w:rsidRDefault="00EF6551" w:rsidP="005F77FC">
      <w:pPr>
        <w:tabs>
          <w:tab w:val="left" w:pos="284"/>
        </w:tabs>
        <w:spacing w:after="0" w:line="240" w:lineRule="auto"/>
        <w:jc w:val="both"/>
        <w:rPr>
          <w:rFonts w:ascii="Times New Roman" w:hAnsi="Times New Roman" w:cs="Times New Roman"/>
          <w:sz w:val="24"/>
          <w:szCs w:val="24"/>
        </w:rPr>
      </w:pPr>
    </w:p>
    <w:p w:rsidR="005F77FC" w:rsidRPr="00387384" w:rsidRDefault="00B22B81"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5</w:t>
      </w:r>
      <w:r w:rsidR="00747C6B">
        <w:rPr>
          <w:rFonts w:ascii="Times New Roman" w:hAnsi="Times New Roman" w:cs="Times New Roman"/>
          <w:b/>
          <w:sz w:val="24"/>
          <w:szCs w:val="24"/>
        </w:rPr>
        <w:t>4</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 xml:space="preserve">Ministerstvo pošle vnútroštátnemu správcovi údaje o ročných emisiách od prevádzkovateľov aj prevádzkovateľov lietadiel. </w:t>
      </w:r>
    </w:p>
    <w:p w:rsidR="00C5770C" w:rsidRPr="00387384" w:rsidRDefault="00C5770C" w:rsidP="005F77FC">
      <w:pPr>
        <w:tabs>
          <w:tab w:val="left" w:pos="284"/>
        </w:tabs>
        <w:spacing w:after="0" w:line="240" w:lineRule="auto"/>
        <w:jc w:val="both"/>
        <w:rPr>
          <w:rFonts w:ascii="Times New Roman" w:hAnsi="Times New Roman" w:cs="Times New Roman"/>
          <w:sz w:val="24"/>
          <w:szCs w:val="24"/>
        </w:rPr>
      </w:pP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B22B81" w:rsidRPr="00387384" w:rsidRDefault="00B22B81"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w:t>
      </w:r>
      <w:r w:rsidR="00387384">
        <w:rPr>
          <w:rFonts w:ascii="Times New Roman" w:hAnsi="Times New Roman" w:cs="Times New Roman"/>
          <w:b/>
          <w:sz w:val="24"/>
          <w:szCs w:val="24"/>
        </w:rPr>
        <w:t> </w:t>
      </w:r>
      <w:r w:rsidRPr="00387384">
        <w:rPr>
          <w:rFonts w:ascii="Times New Roman" w:hAnsi="Times New Roman" w:cs="Times New Roman"/>
          <w:b/>
          <w:sz w:val="24"/>
          <w:szCs w:val="24"/>
        </w:rPr>
        <w:t>bod</w:t>
      </w:r>
      <w:r w:rsidR="003A71C5" w:rsidRPr="00387384">
        <w:rPr>
          <w:rFonts w:ascii="Times New Roman" w:hAnsi="Times New Roman" w:cs="Times New Roman"/>
          <w:b/>
          <w:sz w:val="24"/>
          <w:szCs w:val="24"/>
        </w:rPr>
        <w:t>u</w:t>
      </w:r>
      <w:r w:rsidR="00387384">
        <w:rPr>
          <w:rFonts w:ascii="Times New Roman" w:hAnsi="Times New Roman" w:cs="Times New Roman"/>
          <w:b/>
          <w:sz w:val="24"/>
          <w:szCs w:val="24"/>
        </w:rPr>
        <w:t xml:space="preserve"> </w:t>
      </w:r>
      <w:r w:rsidR="00747C6B">
        <w:rPr>
          <w:rFonts w:ascii="Times New Roman" w:hAnsi="Times New Roman" w:cs="Times New Roman"/>
          <w:b/>
          <w:sz w:val="24"/>
          <w:szCs w:val="24"/>
        </w:rPr>
        <w:t>55</w:t>
      </w:r>
    </w:p>
    <w:p w:rsidR="005F77FC" w:rsidRPr="00387384" w:rsidRDefault="00450A1C" w:rsidP="003A71C5">
      <w:pPr>
        <w:spacing w:after="0"/>
        <w:jc w:val="both"/>
        <w:rPr>
          <w:rFonts w:ascii="Times New Roman" w:hAnsi="Times New Roman" w:cs="Times New Roman"/>
          <w:sz w:val="24"/>
          <w:szCs w:val="24"/>
        </w:rPr>
      </w:pPr>
      <w:r w:rsidRPr="00387384">
        <w:rPr>
          <w:rFonts w:ascii="Times New Roman" w:hAnsi="Times New Roman" w:cs="Times New Roman"/>
          <w:sz w:val="24"/>
          <w:szCs w:val="24"/>
        </w:rPr>
        <w:t>Legislatívno-technická úprava z dôvodu aktualizácie poznám</w:t>
      </w:r>
      <w:r w:rsidR="003A71C5" w:rsidRPr="00387384">
        <w:rPr>
          <w:rFonts w:ascii="Times New Roman" w:hAnsi="Times New Roman" w:cs="Times New Roman"/>
          <w:sz w:val="24"/>
          <w:szCs w:val="24"/>
        </w:rPr>
        <w:t>ok</w:t>
      </w:r>
      <w:r w:rsidRPr="00387384">
        <w:rPr>
          <w:rFonts w:ascii="Times New Roman" w:hAnsi="Times New Roman" w:cs="Times New Roman"/>
          <w:sz w:val="24"/>
          <w:szCs w:val="24"/>
        </w:rPr>
        <w:t xml:space="preserve"> pod čiarou, ktor</w:t>
      </w:r>
      <w:r w:rsidR="003A71C5" w:rsidRPr="00387384">
        <w:rPr>
          <w:rFonts w:ascii="Times New Roman" w:hAnsi="Times New Roman" w:cs="Times New Roman"/>
          <w:sz w:val="24"/>
          <w:szCs w:val="24"/>
        </w:rPr>
        <w:t>é</w:t>
      </w:r>
      <w:r w:rsidRPr="00387384">
        <w:rPr>
          <w:rFonts w:ascii="Times New Roman" w:hAnsi="Times New Roman" w:cs="Times New Roman"/>
          <w:sz w:val="24"/>
          <w:szCs w:val="24"/>
        </w:rPr>
        <w:t xml:space="preserve"> odkazuj</w:t>
      </w:r>
      <w:r w:rsidR="003A71C5" w:rsidRPr="00387384">
        <w:rPr>
          <w:rFonts w:ascii="Times New Roman" w:hAnsi="Times New Roman" w:cs="Times New Roman"/>
          <w:sz w:val="24"/>
          <w:szCs w:val="24"/>
        </w:rPr>
        <w:t>ú</w:t>
      </w:r>
      <w:r w:rsidRPr="00387384">
        <w:rPr>
          <w:rFonts w:ascii="Times New Roman" w:hAnsi="Times New Roman" w:cs="Times New Roman"/>
          <w:sz w:val="24"/>
          <w:szCs w:val="24"/>
        </w:rPr>
        <w:t xml:space="preserve"> na prílohu</w:t>
      </w:r>
      <w:r w:rsidR="00C24103" w:rsidRPr="00387384">
        <w:rPr>
          <w:rFonts w:ascii="Times New Roman" w:hAnsi="Times New Roman" w:cs="Times New Roman"/>
          <w:sz w:val="24"/>
          <w:szCs w:val="24"/>
        </w:rPr>
        <w:t xml:space="preserve"> IX delegovaného nariadeni</w:t>
      </w:r>
      <w:r w:rsidR="003A71C5" w:rsidRPr="00387384">
        <w:rPr>
          <w:rFonts w:ascii="Times New Roman" w:hAnsi="Times New Roman" w:cs="Times New Roman"/>
          <w:sz w:val="24"/>
          <w:szCs w:val="24"/>
        </w:rPr>
        <w:t>a Komisie (EÚ) 2019/1122 a</w:t>
      </w:r>
      <w:r w:rsidRPr="00387384">
        <w:rPr>
          <w:rFonts w:ascii="Times New Roman" w:hAnsi="Times New Roman" w:cs="Times New Roman"/>
          <w:sz w:val="24"/>
          <w:szCs w:val="24"/>
        </w:rPr>
        <w:t xml:space="preserve"> na č</w:t>
      </w:r>
      <w:r w:rsidR="00C24103" w:rsidRPr="00387384">
        <w:rPr>
          <w:rFonts w:ascii="Times New Roman" w:hAnsi="Times New Roman" w:cs="Times New Roman"/>
          <w:sz w:val="24"/>
          <w:szCs w:val="24"/>
        </w:rPr>
        <w:t>l. 8 delegovaného nariadenia (EÚ) 2019/331.</w:t>
      </w:r>
    </w:p>
    <w:p w:rsidR="003A71C5" w:rsidRPr="00387384" w:rsidRDefault="003A71C5" w:rsidP="003A71C5">
      <w:pPr>
        <w:spacing w:after="0"/>
        <w:jc w:val="both"/>
        <w:rPr>
          <w:rFonts w:ascii="Times New Roman" w:hAnsi="Times New Roman" w:cs="Times New Roman"/>
          <w:sz w:val="24"/>
          <w:szCs w:val="24"/>
        </w:rPr>
      </w:pPr>
    </w:p>
    <w:p w:rsidR="005F77FC" w:rsidRPr="00387384" w:rsidRDefault="007C1036"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747C6B">
        <w:rPr>
          <w:rFonts w:ascii="Times New Roman" w:hAnsi="Times New Roman" w:cs="Times New Roman"/>
          <w:b/>
          <w:sz w:val="24"/>
          <w:szCs w:val="24"/>
        </w:rPr>
        <w:t>56</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Nová kompetencia ministerstva schvaľovať žiadosť prevádzkovateľa alebo prevádzkovateľa lietadla o rozhodnutí overovateľa</w:t>
      </w:r>
      <w:r w:rsidR="00E520D6" w:rsidRPr="00387384">
        <w:rPr>
          <w:rFonts w:ascii="Times New Roman" w:hAnsi="Times New Roman" w:cs="Times New Roman"/>
          <w:sz w:val="24"/>
          <w:szCs w:val="24"/>
        </w:rPr>
        <w:t xml:space="preserve"> nevykonať návštevu na mieste, </w:t>
      </w:r>
      <w:r w:rsidRPr="00387384">
        <w:rPr>
          <w:rFonts w:ascii="Times New Roman" w:hAnsi="Times New Roman" w:cs="Times New Roman"/>
          <w:sz w:val="24"/>
          <w:szCs w:val="24"/>
        </w:rPr>
        <w:t xml:space="preserve">žiadosť prevádzkovateľa alebo prevádzkovateľa lietadla o rozhodnutí overovateľa vykonať virtuálnu návštevu na mieste </w:t>
      </w:r>
      <w:r w:rsidR="00E520D6" w:rsidRPr="00387384">
        <w:rPr>
          <w:rFonts w:ascii="Times New Roman" w:hAnsi="Times New Roman" w:cs="Times New Roman"/>
          <w:sz w:val="24"/>
          <w:szCs w:val="24"/>
        </w:rPr>
        <w:t xml:space="preserve">a povoľovať overovateľom virtuálne návštevy na mieste </w:t>
      </w:r>
      <w:r w:rsidRPr="00387384">
        <w:rPr>
          <w:rFonts w:ascii="Times New Roman" w:hAnsi="Times New Roman" w:cs="Times New Roman"/>
          <w:sz w:val="24"/>
          <w:szCs w:val="24"/>
        </w:rPr>
        <w:t xml:space="preserve">podľa vykonávacieho nariadenia Komisie (EÚ) 2018/2067 z 19. decembra 2018 o overovaní údajov a o akreditácii overovateľov podľa smernice Európskeho parlamentu a Rady 2003/87/ES. </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0563ED" w:rsidRPr="00814FF9" w:rsidRDefault="000563ED" w:rsidP="000563ED">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bodom 57 a 58</w:t>
      </w:r>
    </w:p>
    <w:p w:rsidR="000563ED" w:rsidRPr="00814FF9" w:rsidRDefault="000563ED" w:rsidP="000563ED">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Úpravy v § 26 ods. 2 a 4 sú vykonané za účelom zabezpečenia </w:t>
      </w:r>
      <w:r>
        <w:rPr>
          <w:rFonts w:ascii="Times New Roman" w:hAnsi="Times New Roman" w:cs="Times New Roman"/>
        </w:rPr>
        <w:t>väčšej flexibility pri využívaní dostupných finančných zdrojov (Modernizačný fond, výnosy z predaja emisných kvót) na podporu projektov zameraných na zlepšenie energetickej efektívnosti a dekarbonizáciu Slovenskej ekonomiky. Zároveň sa</w:t>
      </w:r>
      <w:r>
        <w:rPr>
          <w:rFonts w:ascii="Times New Roman" w:hAnsi="Times New Roman" w:cs="Times New Roman"/>
          <w:sz w:val="24"/>
          <w:szCs w:val="24"/>
        </w:rPr>
        <w:t xml:space="preserve"> </w:t>
      </w:r>
      <w:r w:rsidRPr="00814FF9">
        <w:rPr>
          <w:rFonts w:ascii="Times New Roman" w:hAnsi="Times New Roman" w:cs="Times New Roman"/>
          <w:sz w:val="24"/>
          <w:szCs w:val="24"/>
        </w:rPr>
        <w:t>dop</w:t>
      </w:r>
      <w:r>
        <w:rPr>
          <w:rFonts w:ascii="Times New Roman" w:hAnsi="Times New Roman" w:cs="Times New Roman"/>
          <w:sz w:val="24"/>
          <w:szCs w:val="24"/>
        </w:rPr>
        <w:t>ĺňa do odkazu</w:t>
      </w:r>
      <w:r w:rsidRPr="00814FF9">
        <w:rPr>
          <w:rFonts w:ascii="Times New Roman" w:hAnsi="Times New Roman" w:cs="Times New Roman"/>
          <w:sz w:val="24"/>
          <w:szCs w:val="24"/>
        </w:rPr>
        <w:t xml:space="preserve"> 26 aj odkaz na zákon č. 358/2015 Z. z. o úprave niektorých vzťahov v oblasti štátnej pomoci a minimálnej pomoci a o zmene a doplnení niektorých zákonov (zákon o štátnej pomoci).</w:t>
      </w:r>
    </w:p>
    <w:p w:rsidR="000563ED" w:rsidRDefault="000563ED" w:rsidP="005F77FC">
      <w:pPr>
        <w:tabs>
          <w:tab w:val="left" w:pos="284"/>
        </w:tabs>
        <w:spacing w:after="0" w:line="240" w:lineRule="auto"/>
        <w:jc w:val="both"/>
        <w:rPr>
          <w:rFonts w:ascii="Times New Roman" w:hAnsi="Times New Roman" w:cs="Times New Roman"/>
          <w:b/>
          <w:sz w:val="24"/>
          <w:szCs w:val="24"/>
        </w:rPr>
      </w:pPr>
    </w:p>
    <w:p w:rsidR="005F77FC" w:rsidRPr="00387384" w:rsidRDefault="00AD21F5"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747C6B">
        <w:rPr>
          <w:rFonts w:ascii="Times New Roman" w:hAnsi="Times New Roman" w:cs="Times New Roman"/>
          <w:b/>
          <w:sz w:val="24"/>
          <w:szCs w:val="24"/>
        </w:rPr>
        <w:t>5</w:t>
      </w:r>
      <w:r w:rsidR="000563ED">
        <w:rPr>
          <w:rFonts w:ascii="Times New Roman" w:hAnsi="Times New Roman" w:cs="Times New Roman"/>
          <w:b/>
          <w:sz w:val="24"/>
          <w:szCs w:val="24"/>
        </w:rPr>
        <w:t>9</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Povinnosť okresného úradu zaslať kópiu povolenia na vypúšťanie emisií skleníkových plynov okrem ministerstva aj vnútroštátnemu správcovi registra pre kvóty skleníkových plynov.</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AD21F5"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563ED">
        <w:rPr>
          <w:rFonts w:ascii="Times New Roman" w:hAnsi="Times New Roman" w:cs="Times New Roman"/>
          <w:b/>
          <w:sz w:val="24"/>
          <w:szCs w:val="24"/>
        </w:rPr>
        <w:t>60</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Vypúšťa sa dobrovoľný účastník systému obchodovania.</w:t>
      </w:r>
    </w:p>
    <w:p w:rsidR="00814FF9" w:rsidRDefault="00814FF9" w:rsidP="005F77FC">
      <w:pPr>
        <w:tabs>
          <w:tab w:val="left" w:pos="284"/>
        </w:tabs>
        <w:spacing w:after="0" w:line="240" w:lineRule="auto"/>
        <w:jc w:val="both"/>
        <w:rPr>
          <w:rFonts w:ascii="Times New Roman" w:hAnsi="Times New Roman" w:cs="Times New Roman"/>
          <w:b/>
          <w:sz w:val="24"/>
          <w:szCs w:val="24"/>
        </w:rPr>
      </w:pPr>
    </w:p>
    <w:p w:rsidR="005F77FC" w:rsidRPr="00387384" w:rsidRDefault="00C5770C"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w:t>
      </w:r>
      <w:r w:rsidR="00387384">
        <w:rPr>
          <w:rFonts w:ascii="Times New Roman" w:hAnsi="Times New Roman" w:cs="Times New Roman"/>
          <w:b/>
          <w:sz w:val="24"/>
          <w:szCs w:val="24"/>
        </w:rPr>
        <w:t> </w:t>
      </w:r>
      <w:r w:rsidRPr="00387384">
        <w:rPr>
          <w:rFonts w:ascii="Times New Roman" w:hAnsi="Times New Roman" w:cs="Times New Roman"/>
          <w:b/>
          <w:sz w:val="24"/>
          <w:szCs w:val="24"/>
        </w:rPr>
        <w:t>bodom</w:t>
      </w:r>
      <w:r w:rsidR="00387384">
        <w:rPr>
          <w:rFonts w:ascii="Times New Roman" w:hAnsi="Times New Roman" w:cs="Times New Roman"/>
          <w:b/>
          <w:sz w:val="24"/>
          <w:szCs w:val="24"/>
        </w:rPr>
        <w:t xml:space="preserve"> </w:t>
      </w:r>
      <w:r w:rsidR="00814FF9">
        <w:rPr>
          <w:rFonts w:ascii="Times New Roman" w:hAnsi="Times New Roman" w:cs="Times New Roman"/>
          <w:b/>
          <w:sz w:val="24"/>
          <w:szCs w:val="24"/>
        </w:rPr>
        <w:t>61 a 62</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Nová kompetencia okresného úradu schvaľovať žiadosť prevá</w:t>
      </w:r>
      <w:r w:rsidR="0053182B" w:rsidRPr="00387384">
        <w:rPr>
          <w:rFonts w:ascii="Times New Roman" w:hAnsi="Times New Roman" w:cs="Times New Roman"/>
          <w:sz w:val="24"/>
          <w:szCs w:val="24"/>
        </w:rPr>
        <w:t xml:space="preserve">dzkovateľa </w:t>
      </w:r>
      <w:r w:rsidRPr="00387384">
        <w:rPr>
          <w:rFonts w:ascii="Times New Roman" w:hAnsi="Times New Roman" w:cs="Times New Roman"/>
          <w:sz w:val="24"/>
          <w:szCs w:val="24"/>
        </w:rPr>
        <w:t>o rozhodnutí overovateľa</w:t>
      </w:r>
      <w:r w:rsidR="00E520D6" w:rsidRPr="00387384">
        <w:rPr>
          <w:rFonts w:ascii="Times New Roman" w:hAnsi="Times New Roman" w:cs="Times New Roman"/>
          <w:sz w:val="24"/>
          <w:szCs w:val="24"/>
        </w:rPr>
        <w:t xml:space="preserve"> nevykonať návštevu na mieste, </w:t>
      </w:r>
      <w:r w:rsidRPr="00387384">
        <w:rPr>
          <w:rFonts w:ascii="Times New Roman" w:hAnsi="Times New Roman" w:cs="Times New Roman"/>
          <w:sz w:val="24"/>
          <w:szCs w:val="24"/>
        </w:rPr>
        <w:t xml:space="preserve">žiadosť prevádzkovateľa alebo prevádzkovateľa lietadla o rozhodnutí overovateľa vykonať virtuálnu návštevu na mieste </w:t>
      </w:r>
      <w:r w:rsidR="00E520D6" w:rsidRPr="00387384">
        <w:rPr>
          <w:rFonts w:ascii="Times New Roman" w:hAnsi="Times New Roman" w:cs="Times New Roman"/>
          <w:sz w:val="24"/>
          <w:szCs w:val="24"/>
        </w:rPr>
        <w:t xml:space="preserve">a povoľovať overovateľom virtuálne návštevy na mieste </w:t>
      </w:r>
      <w:r w:rsidRPr="00387384">
        <w:rPr>
          <w:rFonts w:ascii="Times New Roman" w:hAnsi="Times New Roman" w:cs="Times New Roman"/>
          <w:sz w:val="24"/>
          <w:szCs w:val="24"/>
        </w:rPr>
        <w:t xml:space="preserve">podľa vykonávacieho nariadenia Komisie (EÚ) 2018/2067 z 19. decembra 2018 o overovaní údajov a o akreditácii overovateľov podľa smernice Európskeho parlamentu a Rady 2003/87/ES. </w:t>
      </w:r>
      <w:r w:rsidR="00C24103" w:rsidRPr="00387384">
        <w:rPr>
          <w:rFonts w:ascii="Times New Roman" w:hAnsi="Times New Roman" w:cs="Times New Roman"/>
          <w:sz w:val="24"/>
          <w:szCs w:val="24"/>
        </w:rPr>
        <w:t xml:space="preserve"> Poznámka pod čiarou k odkazu 26b odkazuje na čl. 69 delegovaného nariadenia Komisie (EÚ) 2018/2066.</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B22B81" w:rsidRPr="00387384" w:rsidRDefault="00B22B81" w:rsidP="00B22B81">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6</w:t>
      </w:r>
      <w:r w:rsidR="00814FF9">
        <w:rPr>
          <w:rFonts w:ascii="Times New Roman" w:hAnsi="Times New Roman" w:cs="Times New Roman"/>
          <w:b/>
          <w:sz w:val="24"/>
          <w:szCs w:val="24"/>
        </w:rPr>
        <w:t>3</w:t>
      </w:r>
    </w:p>
    <w:p w:rsidR="00B22B81" w:rsidRPr="00387384" w:rsidRDefault="00450A1C" w:rsidP="00B22B81">
      <w:pPr>
        <w:spacing w:after="0"/>
        <w:jc w:val="both"/>
        <w:rPr>
          <w:rFonts w:ascii="Times New Roman" w:hAnsi="Times New Roman" w:cs="Times New Roman"/>
          <w:sz w:val="24"/>
          <w:szCs w:val="24"/>
        </w:rPr>
      </w:pPr>
      <w:r w:rsidRPr="00387384">
        <w:rPr>
          <w:rFonts w:ascii="Times New Roman" w:hAnsi="Times New Roman" w:cs="Times New Roman"/>
          <w:sz w:val="24"/>
          <w:szCs w:val="24"/>
        </w:rPr>
        <w:t>Legislatívno-technická úprava z dôvodu aktualizácie poznámky pod čiarou, ktorá odkazuje na č</w:t>
      </w:r>
      <w:r w:rsidR="00C24103" w:rsidRPr="00387384">
        <w:rPr>
          <w:rFonts w:ascii="Times New Roman" w:hAnsi="Times New Roman" w:cs="Times New Roman"/>
          <w:sz w:val="24"/>
          <w:szCs w:val="24"/>
        </w:rPr>
        <w:t>l. 70 delegovaného nariadenia Komisie (EÚ) 2018/2066.</w:t>
      </w:r>
    </w:p>
    <w:p w:rsidR="00B22B81" w:rsidRPr="00387384" w:rsidRDefault="00B22B81" w:rsidP="005F77FC">
      <w:pPr>
        <w:tabs>
          <w:tab w:val="left" w:pos="284"/>
        </w:tabs>
        <w:spacing w:after="0" w:line="240" w:lineRule="auto"/>
        <w:jc w:val="both"/>
        <w:rPr>
          <w:rFonts w:ascii="Times New Roman" w:hAnsi="Times New Roman" w:cs="Times New Roman"/>
          <w:b/>
          <w:sz w:val="24"/>
          <w:szCs w:val="24"/>
        </w:rPr>
      </w:pPr>
    </w:p>
    <w:p w:rsidR="005F77FC" w:rsidRPr="00387384" w:rsidRDefault="00B22B81"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093C47" w:rsidRPr="00387384">
        <w:rPr>
          <w:rFonts w:ascii="Times New Roman" w:hAnsi="Times New Roman" w:cs="Times New Roman"/>
          <w:b/>
          <w:sz w:val="24"/>
          <w:szCs w:val="24"/>
        </w:rPr>
        <w:t>6</w:t>
      </w:r>
      <w:r w:rsidR="00814FF9">
        <w:rPr>
          <w:rFonts w:ascii="Times New Roman" w:hAnsi="Times New Roman" w:cs="Times New Roman"/>
          <w:b/>
          <w:sz w:val="24"/>
          <w:szCs w:val="24"/>
        </w:rPr>
        <w:t>4</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Doplnenie vecí, o ktorých rozhoduje v druhom stupni okresný úrad v sídle kraja o schvaľovanie každej významnej zmeny monitorovacieho plánu a vykazovanie emisií skleníkových plynov, o žiadosti prevádzkovateľa o rozhodnutí overovateľa nevykonať návštevu na mieste, o schvaľovanie správy o zlepšení a o žiados</w:t>
      </w:r>
      <w:r w:rsidR="00BF01E3" w:rsidRPr="00387384">
        <w:rPr>
          <w:rFonts w:ascii="Times New Roman" w:hAnsi="Times New Roman" w:cs="Times New Roman"/>
          <w:sz w:val="24"/>
          <w:szCs w:val="24"/>
        </w:rPr>
        <w:t>ti</w:t>
      </w:r>
      <w:r w:rsidRPr="00387384">
        <w:rPr>
          <w:rFonts w:ascii="Times New Roman" w:hAnsi="Times New Roman" w:cs="Times New Roman"/>
          <w:sz w:val="24"/>
          <w:szCs w:val="24"/>
        </w:rPr>
        <w:t xml:space="preserve"> prevádzkovateľa o rozhodnutí overovateľa vykonať virtuálnu návštevu na mieste.</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B22B81"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lastRenderedPageBreak/>
        <w:t>K</w:t>
      </w:r>
      <w:r w:rsidR="00387384">
        <w:rPr>
          <w:rFonts w:ascii="Times New Roman" w:hAnsi="Times New Roman" w:cs="Times New Roman"/>
          <w:b/>
          <w:sz w:val="24"/>
          <w:szCs w:val="24"/>
        </w:rPr>
        <w:t> </w:t>
      </w:r>
      <w:r w:rsidRPr="00387384">
        <w:rPr>
          <w:rFonts w:ascii="Times New Roman" w:hAnsi="Times New Roman" w:cs="Times New Roman"/>
          <w:b/>
          <w:sz w:val="24"/>
          <w:szCs w:val="24"/>
        </w:rPr>
        <w:t>bod</w:t>
      </w:r>
      <w:r w:rsidR="003A71C5" w:rsidRPr="00387384">
        <w:rPr>
          <w:rFonts w:ascii="Times New Roman" w:hAnsi="Times New Roman" w:cs="Times New Roman"/>
          <w:b/>
          <w:sz w:val="24"/>
          <w:szCs w:val="24"/>
        </w:rPr>
        <w:t>om</w:t>
      </w:r>
      <w:r w:rsidR="00387384">
        <w:rPr>
          <w:rFonts w:ascii="Times New Roman" w:hAnsi="Times New Roman" w:cs="Times New Roman"/>
          <w:b/>
          <w:sz w:val="24"/>
          <w:szCs w:val="24"/>
        </w:rPr>
        <w:t xml:space="preserve"> </w:t>
      </w:r>
      <w:r w:rsidR="00093C47" w:rsidRPr="00387384">
        <w:rPr>
          <w:rFonts w:ascii="Times New Roman" w:hAnsi="Times New Roman" w:cs="Times New Roman"/>
          <w:b/>
          <w:sz w:val="24"/>
          <w:szCs w:val="24"/>
        </w:rPr>
        <w:t>6</w:t>
      </w:r>
      <w:r w:rsidR="00814FF9">
        <w:rPr>
          <w:rFonts w:ascii="Times New Roman" w:hAnsi="Times New Roman" w:cs="Times New Roman"/>
          <w:b/>
          <w:sz w:val="24"/>
          <w:szCs w:val="24"/>
        </w:rPr>
        <w:t>5</w:t>
      </w:r>
      <w:r w:rsidR="00093C47" w:rsidRPr="00387384">
        <w:rPr>
          <w:rFonts w:ascii="Times New Roman" w:hAnsi="Times New Roman" w:cs="Times New Roman"/>
          <w:b/>
          <w:sz w:val="24"/>
          <w:szCs w:val="24"/>
        </w:rPr>
        <w:t xml:space="preserve"> </w:t>
      </w:r>
      <w:r w:rsidR="00AD21F5" w:rsidRPr="00387384">
        <w:rPr>
          <w:rFonts w:ascii="Times New Roman" w:hAnsi="Times New Roman" w:cs="Times New Roman"/>
          <w:b/>
          <w:sz w:val="24"/>
          <w:szCs w:val="24"/>
        </w:rPr>
        <w:t xml:space="preserve">a </w:t>
      </w:r>
      <w:r w:rsidR="00093C47" w:rsidRPr="00387384">
        <w:rPr>
          <w:rFonts w:ascii="Times New Roman" w:hAnsi="Times New Roman" w:cs="Times New Roman"/>
          <w:b/>
          <w:sz w:val="24"/>
          <w:szCs w:val="24"/>
        </w:rPr>
        <w:t>6</w:t>
      </w:r>
      <w:r w:rsidR="00814FF9">
        <w:rPr>
          <w:rFonts w:ascii="Times New Roman" w:hAnsi="Times New Roman" w:cs="Times New Roman"/>
          <w:b/>
          <w:sz w:val="24"/>
          <w:szCs w:val="24"/>
        </w:rPr>
        <w:t>6</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Vypúšťa sa dobrovoľný účastník</w:t>
      </w:r>
      <w:r w:rsidR="00E520D6" w:rsidRPr="00387384">
        <w:rPr>
          <w:rFonts w:ascii="Times New Roman" w:hAnsi="Times New Roman" w:cs="Times New Roman"/>
          <w:sz w:val="24"/>
          <w:szCs w:val="24"/>
        </w:rPr>
        <w:t xml:space="preserve"> systému obchodovania.</w:t>
      </w:r>
    </w:p>
    <w:p w:rsidR="00C5770C" w:rsidRPr="00387384" w:rsidRDefault="00C5770C" w:rsidP="005F77FC">
      <w:pPr>
        <w:tabs>
          <w:tab w:val="left" w:pos="284"/>
        </w:tabs>
        <w:spacing w:after="0" w:line="240" w:lineRule="auto"/>
        <w:jc w:val="both"/>
        <w:rPr>
          <w:rFonts w:ascii="Times New Roman" w:hAnsi="Times New Roman" w:cs="Times New Roman"/>
          <w:sz w:val="24"/>
          <w:szCs w:val="24"/>
        </w:rPr>
      </w:pPr>
    </w:p>
    <w:p w:rsidR="00C5770C" w:rsidRPr="00387384" w:rsidRDefault="00AD21F5"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747C6B">
        <w:rPr>
          <w:rFonts w:ascii="Times New Roman" w:hAnsi="Times New Roman" w:cs="Times New Roman"/>
          <w:b/>
          <w:sz w:val="24"/>
          <w:szCs w:val="24"/>
        </w:rPr>
        <w:t>6</w:t>
      </w:r>
      <w:r w:rsidR="00814FF9">
        <w:rPr>
          <w:rFonts w:ascii="Times New Roman" w:hAnsi="Times New Roman" w:cs="Times New Roman"/>
          <w:b/>
          <w:sz w:val="24"/>
          <w:szCs w:val="24"/>
        </w:rPr>
        <w:t>7</w:t>
      </w:r>
    </w:p>
    <w:p w:rsidR="00E520D6" w:rsidRPr="00387384" w:rsidRDefault="00E520D6"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Úprava vnútorného odkazu.</w:t>
      </w:r>
    </w:p>
    <w:p w:rsidR="00747C6B" w:rsidRPr="00387384" w:rsidRDefault="00747C6B" w:rsidP="005F77FC">
      <w:pPr>
        <w:tabs>
          <w:tab w:val="left" w:pos="284"/>
        </w:tabs>
        <w:spacing w:after="0" w:line="240" w:lineRule="auto"/>
        <w:jc w:val="both"/>
        <w:rPr>
          <w:rFonts w:ascii="Times New Roman" w:hAnsi="Times New Roman" w:cs="Times New Roman"/>
          <w:sz w:val="24"/>
          <w:szCs w:val="24"/>
        </w:rPr>
      </w:pPr>
    </w:p>
    <w:p w:rsidR="005F77FC" w:rsidRPr="00387384" w:rsidRDefault="00B22B81"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AD21F5" w:rsidRPr="00387384">
        <w:rPr>
          <w:rFonts w:ascii="Times New Roman" w:hAnsi="Times New Roman" w:cs="Times New Roman"/>
          <w:b/>
          <w:sz w:val="24"/>
          <w:szCs w:val="24"/>
        </w:rPr>
        <w:t>6</w:t>
      </w:r>
      <w:r w:rsidR="00814FF9">
        <w:rPr>
          <w:rFonts w:ascii="Times New Roman" w:hAnsi="Times New Roman" w:cs="Times New Roman"/>
          <w:b/>
          <w:sz w:val="24"/>
          <w:szCs w:val="24"/>
        </w:rPr>
        <w:t>8</w:t>
      </w:r>
    </w:p>
    <w:p w:rsidR="00E9202F" w:rsidRPr="00387384" w:rsidRDefault="00E9202F" w:rsidP="00E9202F">
      <w:pPr>
        <w:tabs>
          <w:tab w:val="left" w:pos="284"/>
        </w:tabs>
        <w:spacing w:after="0" w:line="240" w:lineRule="auto"/>
        <w:jc w:val="both"/>
        <w:rPr>
          <w:rFonts w:ascii="Times New Roman" w:hAnsi="Times New Roman" w:cs="Times New Roman"/>
          <w:color w:val="000000"/>
          <w:sz w:val="24"/>
          <w:szCs w:val="24"/>
        </w:rPr>
      </w:pPr>
      <w:r w:rsidRPr="00387384">
        <w:rPr>
          <w:rFonts w:ascii="Times New Roman" w:hAnsi="Times New Roman" w:cs="Times New Roman"/>
          <w:sz w:val="24"/>
          <w:szCs w:val="24"/>
        </w:rPr>
        <w:t xml:space="preserve">Vypúšťa sa povinnosť okresného úradu uložiť prevádzkovateľovi pokutu v prípade nesplnenia povinností v </w:t>
      </w:r>
      <w:r w:rsidR="003A71C5" w:rsidRPr="00387384">
        <w:rPr>
          <w:rFonts w:ascii="Times New Roman" w:hAnsi="Times New Roman" w:cs="Times New Roman"/>
          <w:color w:val="000000"/>
          <w:sz w:val="24"/>
          <w:szCs w:val="24"/>
        </w:rPr>
        <w:t>§ 21 ods.</w:t>
      </w:r>
      <w:r w:rsidRPr="00387384">
        <w:rPr>
          <w:rFonts w:ascii="Times New Roman" w:hAnsi="Times New Roman" w:cs="Times New Roman"/>
          <w:color w:val="000000"/>
          <w:sz w:val="24"/>
          <w:szCs w:val="24"/>
        </w:rPr>
        <w:t xml:space="preserve"> 4.</w:t>
      </w:r>
      <w:r w:rsidR="000C71FB" w:rsidRPr="00387384">
        <w:rPr>
          <w:rFonts w:ascii="Times New Roman" w:hAnsi="Times New Roman" w:cs="Times New Roman"/>
          <w:color w:val="000000"/>
          <w:sz w:val="24"/>
          <w:szCs w:val="24"/>
        </w:rPr>
        <w:t xml:space="preserve"> V 4. fáze systému obchodovania (2021-2030)</w:t>
      </w:r>
      <w:r w:rsidR="009E1387" w:rsidRPr="00387384">
        <w:rPr>
          <w:rFonts w:ascii="Times New Roman" w:hAnsi="Times New Roman" w:cs="Times New Roman"/>
          <w:color w:val="000000"/>
          <w:sz w:val="24"/>
          <w:szCs w:val="24"/>
        </w:rPr>
        <w:t xml:space="preserve"> môžu</w:t>
      </w:r>
      <w:r w:rsidR="000C71FB" w:rsidRPr="00387384">
        <w:rPr>
          <w:rFonts w:ascii="Times New Roman" w:hAnsi="Times New Roman" w:cs="Times New Roman"/>
          <w:color w:val="000000"/>
          <w:sz w:val="24"/>
          <w:szCs w:val="24"/>
        </w:rPr>
        <w:t xml:space="preserve"> </w:t>
      </w:r>
      <w:r w:rsidR="009E1387" w:rsidRPr="00387384">
        <w:rPr>
          <w:rFonts w:ascii="Times New Roman" w:hAnsi="Times New Roman" w:cs="Times New Roman"/>
          <w:color w:val="000000"/>
          <w:sz w:val="24"/>
          <w:szCs w:val="24"/>
        </w:rPr>
        <w:t>prevádzkovatelia oprávnení</w:t>
      </w:r>
      <w:r w:rsidR="000C71FB" w:rsidRPr="00387384">
        <w:rPr>
          <w:rFonts w:ascii="Times New Roman" w:hAnsi="Times New Roman" w:cs="Times New Roman"/>
          <w:color w:val="000000"/>
          <w:sz w:val="24"/>
          <w:szCs w:val="24"/>
        </w:rPr>
        <w:t xml:space="preserve"> na bezodplatné pridelenie emisných kvót </w:t>
      </w:r>
      <w:r w:rsidR="009E1387" w:rsidRPr="00387384">
        <w:rPr>
          <w:rFonts w:ascii="Times New Roman" w:hAnsi="Times New Roman" w:cs="Times New Roman"/>
          <w:color w:val="000000"/>
          <w:sz w:val="24"/>
          <w:szCs w:val="24"/>
        </w:rPr>
        <w:t>žiadať</w:t>
      </w:r>
      <w:r w:rsidR="000C71FB" w:rsidRPr="00387384">
        <w:rPr>
          <w:rFonts w:ascii="Times New Roman" w:hAnsi="Times New Roman" w:cs="Times New Roman"/>
          <w:color w:val="000000"/>
          <w:sz w:val="24"/>
          <w:szCs w:val="24"/>
        </w:rPr>
        <w:t xml:space="preserve"> o bezodplatné pridelenie emisných kvót</w:t>
      </w:r>
      <w:r w:rsidR="009E1387" w:rsidRPr="00387384">
        <w:rPr>
          <w:rFonts w:ascii="Times New Roman" w:hAnsi="Times New Roman" w:cs="Times New Roman"/>
          <w:color w:val="000000"/>
          <w:sz w:val="24"/>
          <w:szCs w:val="24"/>
        </w:rPr>
        <w:t>.</w:t>
      </w:r>
      <w:r w:rsidR="000C71FB" w:rsidRPr="00387384">
        <w:rPr>
          <w:rFonts w:ascii="Times New Roman" w:hAnsi="Times New Roman" w:cs="Times New Roman"/>
          <w:color w:val="000000"/>
          <w:sz w:val="24"/>
          <w:szCs w:val="24"/>
        </w:rPr>
        <w:t xml:space="preserve">  </w:t>
      </w:r>
      <w:r w:rsidR="009E1387" w:rsidRPr="00387384">
        <w:rPr>
          <w:rFonts w:ascii="Times New Roman" w:hAnsi="Times New Roman" w:cs="Times New Roman"/>
          <w:color w:val="000000"/>
          <w:sz w:val="24"/>
          <w:szCs w:val="24"/>
        </w:rPr>
        <w:t>V prípade potreby sa bezodplatná alokácia upravuje na základe správ o úrovni činnosti. Ministerstvo môže pozastaviť vydávanie bezodplatných emisných kvót prevádzkam dovtedy, kým nestanoví, že neexistuje žiadna požiadavka na úpravu kvóty pre danú prevádzku.</w:t>
      </w:r>
      <w:r w:rsidR="00942CD9" w:rsidRPr="00387384">
        <w:rPr>
          <w:rFonts w:ascii="Times New Roman" w:hAnsi="Times New Roman" w:cs="Times New Roman"/>
          <w:color w:val="000000"/>
          <w:sz w:val="24"/>
          <w:szCs w:val="24"/>
        </w:rPr>
        <w:t xml:space="preserve"> Z tohto dôvodu nie je potrebné ustanovenie o pokutách v prípade nepredloženia údajov týkajúcich sa bezodplatnej alokácie.</w:t>
      </w:r>
    </w:p>
    <w:p w:rsidR="00C5770C" w:rsidRPr="00387384" w:rsidRDefault="00C5770C" w:rsidP="00E9202F">
      <w:pPr>
        <w:tabs>
          <w:tab w:val="left" w:pos="284"/>
        </w:tabs>
        <w:spacing w:after="0" w:line="240" w:lineRule="auto"/>
        <w:jc w:val="both"/>
        <w:rPr>
          <w:rFonts w:ascii="Times New Roman" w:hAnsi="Times New Roman" w:cs="Times New Roman"/>
          <w:color w:val="000000"/>
          <w:sz w:val="24"/>
          <w:szCs w:val="24"/>
        </w:rPr>
      </w:pPr>
    </w:p>
    <w:p w:rsidR="00C5770C" w:rsidRPr="00387384" w:rsidRDefault="00AD21F5" w:rsidP="00E9202F">
      <w:pPr>
        <w:tabs>
          <w:tab w:val="left" w:pos="284"/>
        </w:tabs>
        <w:spacing w:after="0" w:line="240" w:lineRule="auto"/>
        <w:jc w:val="both"/>
        <w:rPr>
          <w:rFonts w:ascii="Times New Roman" w:hAnsi="Times New Roman" w:cs="Times New Roman"/>
          <w:b/>
          <w:color w:val="000000"/>
          <w:sz w:val="24"/>
          <w:szCs w:val="24"/>
        </w:rPr>
      </w:pPr>
      <w:r w:rsidRPr="00387384">
        <w:rPr>
          <w:rFonts w:ascii="Times New Roman" w:hAnsi="Times New Roman" w:cs="Times New Roman"/>
          <w:b/>
          <w:color w:val="000000"/>
          <w:sz w:val="24"/>
          <w:szCs w:val="24"/>
        </w:rPr>
        <w:t xml:space="preserve">K bodu </w:t>
      </w:r>
      <w:r w:rsidR="00747C6B">
        <w:rPr>
          <w:rFonts w:ascii="Times New Roman" w:hAnsi="Times New Roman" w:cs="Times New Roman"/>
          <w:b/>
          <w:color w:val="000000"/>
          <w:sz w:val="24"/>
          <w:szCs w:val="24"/>
        </w:rPr>
        <w:t>6</w:t>
      </w:r>
      <w:r w:rsidR="00814FF9">
        <w:rPr>
          <w:rFonts w:ascii="Times New Roman" w:hAnsi="Times New Roman" w:cs="Times New Roman"/>
          <w:b/>
          <w:color w:val="000000"/>
          <w:sz w:val="24"/>
          <w:szCs w:val="24"/>
        </w:rPr>
        <w:t>9</w:t>
      </w:r>
    </w:p>
    <w:p w:rsidR="00E520D6" w:rsidRPr="00387384" w:rsidRDefault="00E520D6" w:rsidP="00E520D6">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Vypúšťa sa dobrovoľný účastník systému obchodovania.</w:t>
      </w:r>
    </w:p>
    <w:p w:rsidR="00C5770C" w:rsidRPr="00387384" w:rsidRDefault="00C5770C" w:rsidP="00E9202F">
      <w:pPr>
        <w:tabs>
          <w:tab w:val="left" w:pos="284"/>
        </w:tabs>
        <w:spacing w:after="0" w:line="240" w:lineRule="auto"/>
        <w:jc w:val="both"/>
        <w:rPr>
          <w:rFonts w:ascii="Times New Roman" w:hAnsi="Times New Roman" w:cs="Times New Roman"/>
          <w:color w:val="000000"/>
          <w:sz w:val="24"/>
          <w:szCs w:val="24"/>
        </w:rPr>
      </w:pPr>
    </w:p>
    <w:p w:rsidR="00C5770C" w:rsidRPr="00387384" w:rsidRDefault="00AD21F5" w:rsidP="00E9202F">
      <w:pPr>
        <w:tabs>
          <w:tab w:val="left" w:pos="284"/>
        </w:tabs>
        <w:spacing w:after="0" w:line="240" w:lineRule="auto"/>
        <w:jc w:val="both"/>
        <w:rPr>
          <w:rFonts w:ascii="Times New Roman" w:hAnsi="Times New Roman" w:cs="Times New Roman"/>
          <w:b/>
          <w:color w:val="000000"/>
          <w:sz w:val="24"/>
          <w:szCs w:val="24"/>
        </w:rPr>
      </w:pPr>
      <w:r w:rsidRPr="00387384">
        <w:rPr>
          <w:rFonts w:ascii="Times New Roman" w:hAnsi="Times New Roman" w:cs="Times New Roman"/>
          <w:b/>
          <w:color w:val="000000"/>
          <w:sz w:val="24"/>
          <w:szCs w:val="24"/>
        </w:rPr>
        <w:t xml:space="preserve">K bodu </w:t>
      </w:r>
      <w:r w:rsidR="00814FF9">
        <w:rPr>
          <w:rFonts w:ascii="Times New Roman" w:hAnsi="Times New Roman" w:cs="Times New Roman"/>
          <w:b/>
          <w:color w:val="000000"/>
          <w:sz w:val="24"/>
          <w:szCs w:val="24"/>
        </w:rPr>
        <w:t>70</w:t>
      </w:r>
    </w:p>
    <w:p w:rsidR="00AA3D81" w:rsidRPr="00387384" w:rsidRDefault="00E520D6" w:rsidP="00E9202F">
      <w:pPr>
        <w:tabs>
          <w:tab w:val="left" w:pos="284"/>
        </w:tabs>
        <w:spacing w:after="0" w:line="240" w:lineRule="auto"/>
        <w:jc w:val="both"/>
        <w:rPr>
          <w:rFonts w:ascii="Times New Roman" w:hAnsi="Times New Roman" w:cs="Times New Roman"/>
          <w:color w:val="000000"/>
          <w:sz w:val="24"/>
          <w:szCs w:val="24"/>
        </w:rPr>
      </w:pPr>
      <w:r w:rsidRPr="00387384">
        <w:rPr>
          <w:rFonts w:ascii="Times New Roman" w:hAnsi="Times New Roman" w:cs="Times New Roman"/>
          <w:color w:val="000000"/>
          <w:sz w:val="24"/>
          <w:szCs w:val="24"/>
        </w:rPr>
        <w:t>Úprava odkazu na správny poriadok.</w:t>
      </w:r>
    </w:p>
    <w:p w:rsidR="00AD21F5" w:rsidRPr="00387384" w:rsidRDefault="00AD21F5" w:rsidP="00E9202F">
      <w:pPr>
        <w:tabs>
          <w:tab w:val="left" w:pos="284"/>
        </w:tabs>
        <w:spacing w:after="0" w:line="240" w:lineRule="auto"/>
        <w:jc w:val="both"/>
        <w:rPr>
          <w:rFonts w:ascii="Times New Roman" w:hAnsi="Times New Roman" w:cs="Times New Roman"/>
          <w:color w:val="000000"/>
          <w:sz w:val="24"/>
          <w:szCs w:val="24"/>
        </w:rPr>
      </w:pPr>
    </w:p>
    <w:p w:rsidR="00AA3D81" w:rsidRPr="00387384" w:rsidRDefault="00AA3D81" w:rsidP="00E9202F">
      <w:pPr>
        <w:tabs>
          <w:tab w:val="left" w:pos="284"/>
        </w:tabs>
        <w:spacing w:after="0" w:line="240" w:lineRule="auto"/>
        <w:jc w:val="both"/>
        <w:rPr>
          <w:rFonts w:ascii="Times New Roman" w:hAnsi="Times New Roman" w:cs="Times New Roman"/>
          <w:b/>
          <w:color w:val="000000"/>
          <w:sz w:val="24"/>
          <w:szCs w:val="24"/>
        </w:rPr>
      </w:pPr>
      <w:r w:rsidRPr="00387384">
        <w:rPr>
          <w:rFonts w:ascii="Times New Roman" w:hAnsi="Times New Roman" w:cs="Times New Roman"/>
          <w:b/>
          <w:color w:val="000000"/>
          <w:sz w:val="24"/>
          <w:szCs w:val="24"/>
        </w:rPr>
        <w:t xml:space="preserve">K bodu </w:t>
      </w:r>
      <w:r w:rsidR="00814FF9">
        <w:rPr>
          <w:rFonts w:ascii="Times New Roman" w:hAnsi="Times New Roman" w:cs="Times New Roman"/>
          <w:b/>
          <w:color w:val="000000"/>
          <w:sz w:val="24"/>
          <w:szCs w:val="24"/>
        </w:rPr>
        <w:t>71</w:t>
      </w:r>
    </w:p>
    <w:p w:rsidR="00AA3D81" w:rsidRPr="00387384" w:rsidRDefault="00AA3D81" w:rsidP="00E9202F">
      <w:pPr>
        <w:tabs>
          <w:tab w:val="left" w:pos="284"/>
        </w:tabs>
        <w:spacing w:after="0" w:line="240" w:lineRule="auto"/>
        <w:jc w:val="both"/>
        <w:rPr>
          <w:rFonts w:ascii="Times New Roman" w:hAnsi="Times New Roman" w:cs="Times New Roman"/>
          <w:color w:val="000000"/>
          <w:sz w:val="24"/>
          <w:szCs w:val="24"/>
        </w:rPr>
      </w:pPr>
      <w:r w:rsidRPr="00387384">
        <w:rPr>
          <w:rFonts w:ascii="Times New Roman" w:hAnsi="Times New Roman" w:cs="Times New Roman"/>
          <w:color w:val="000000"/>
          <w:sz w:val="24"/>
          <w:szCs w:val="24"/>
        </w:rPr>
        <w:t>Do ustanovení o konaní sa dopĺňa</w:t>
      </w:r>
      <w:r w:rsidR="006F5007" w:rsidRPr="00387384">
        <w:rPr>
          <w:rFonts w:ascii="Times New Roman" w:hAnsi="Times New Roman" w:cs="Times New Roman"/>
          <w:color w:val="000000"/>
          <w:sz w:val="24"/>
          <w:szCs w:val="24"/>
        </w:rPr>
        <w:t xml:space="preserve">, že na </w:t>
      </w:r>
      <w:r w:rsidRPr="00387384">
        <w:rPr>
          <w:rFonts w:ascii="Times New Roman" w:hAnsi="Times New Roman" w:cs="Times New Roman"/>
          <w:color w:val="000000"/>
          <w:sz w:val="24"/>
          <w:szCs w:val="24"/>
        </w:rPr>
        <w:t>nevýznam</w:t>
      </w:r>
      <w:r w:rsidR="00AD21F5" w:rsidRPr="00387384">
        <w:rPr>
          <w:rFonts w:ascii="Times New Roman" w:hAnsi="Times New Roman" w:cs="Times New Roman"/>
          <w:color w:val="000000"/>
          <w:sz w:val="24"/>
          <w:szCs w:val="24"/>
        </w:rPr>
        <w:t xml:space="preserve">né zmeny monitorovacieho plánu </w:t>
      </w:r>
      <w:r w:rsidR="006F5007" w:rsidRPr="00387384">
        <w:rPr>
          <w:rFonts w:ascii="Times New Roman" w:hAnsi="Times New Roman" w:cs="Times New Roman"/>
          <w:color w:val="000000"/>
          <w:sz w:val="24"/>
          <w:szCs w:val="24"/>
        </w:rPr>
        <w:t>a plánu metodiky monitorovania sa nevzťahuje všeobecný predpis o správnom konaní.</w:t>
      </w:r>
    </w:p>
    <w:p w:rsidR="00C5770C" w:rsidRPr="00387384" w:rsidRDefault="00C5770C" w:rsidP="00E9202F">
      <w:pPr>
        <w:tabs>
          <w:tab w:val="left" w:pos="284"/>
        </w:tabs>
        <w:spacing w:after="0" w:line="240" w:lineRule="auto"/>
        <w:jc w:val="both"/>
        <w:rPr>
          <w:rFonts w:ascii="Times New Roman" w:hAnsi="Times New Roman" w:cs="Times New Roman"/>
          <w:color w:val="000000"/>
          <w:sz w:val="24"/>
          <w:szCs w:val="24"/>
        </w:rPr>
      </w:pPr>
    </w:p>
    <w:p w:rsidR="00C5770C" w:rsidRPr="00387384" w:rsidRDefault="00AD21F5" w:rsidP="00E9202F">
      <w:pPr>
        <w:tabs>
          <w:tab w:val="left" w:pos="284"/>
        </w:tabs>
        <w:spacing w:after="0" w:line="240" w:lineRule="auto"/>
        <w:jc w:val="both"/>
        <w:rPr>
          <w:rFonts w:ascii="Times New Roman" w:hAnsi="Times New Roman" w:cs="Times New Roman"/>
          <w:b/>
          <w:color w:val="000000"/>
          <w:sz w:val="24"/>
          <w:szCs w:val="24"/>
        </w:rPr>
      </w:pPr>
      <w:r w:rsidRPr="00387384">
        <w:rPr>
          <w:rFonts w:ascii="Times New Roman" w:hAnsi="Times New Roman" w:cs="Times New Roman"/>
          <w:b/>
          <w:color w:val="000000"/>
          <w:sz w:val="24"/>
          <w:szCs w:val="24"/>
        </w:rPr>
        <w:t>K bodu 7</w:t>
      </w:r>
      <w:r w:rsidR="00814FF9">
        <w:rPr>
          <w:rFonts w:ascii="Times New Roman" w:hAnsi="Times New Roman" w:cs="Times New Roman"/>
          <w:b/>
          <w:color w:val="000000"/>
          <w:sz w:val="24"/>
          <w:szCs w:val="24"/>
        </w:rPr>
        <w:t>2</w:t>
      </w:r>
    </w:p>
    <w:p w:rsidR="00E520D6" w:rsidRPr="00387384" w:rsidRDefault="00E520D6" w:rsidP="00E520D6">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Úprava vnútorného odkazu.</w:t>
      </w:r>
    </w:p>
    <w:p w:rsidR="00AA3D81" w:rsidRPr="00387384" w:rsidRDefault="00AA3D81" w:rsidP="00E9202F">
      <w:pPr>
        <w:tabs>
          <w:tab w:val="left" w:pos="284"/>
        </w:tabs>
        <w:spacing w:after="0" w:line="240" w:lineRule="auto"/>
        <w:jc w:val="both"/>
        <w:rPr>
          <w:rFonts w:ascii="Times New Roman" w:hAnsi="Times New Roman" w:cs="Times New Roman"/>
          <w:color w:val="000000"/>
          <w:sz w:val="24"/>
          <w:szCs w:val="24"/>
        </w:rPr>
      </w:pPr>
    </w:p>
    <w:p w:rsidR="00AA3D81" w:rsidRPr="00387384" w:rsidRDefault="00AD21F5" w:rsidP="00E9202F">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color w:val="000000"/>
          <w:sz w:val="24"/>
          <w:szCs w:val="24"/>
        </w:rPr>
        <w:t>K bodu 7</w:t>
      </w:r>
      <w:r w:rsidR="00814FF9">
        <w:rPr>
          <w:rFonts w:ascii="Times New Roman" w:hAnsi="Times New Roman" w:cs="Times New Roman"/>
          <w:b/>
          <w:color w:val="000000"/>
          <w:sz w:val="24"/>
          <w:szCs w:val="24"/>
        </w:rPr>
        <w:t>3</w:t>
      </w:r>
    </w:p>
    <w:p w:rsidR="00AA3D81" w:rsidRPr="00387384" w:rsidRDefault="00AA3D81"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Do elektronického systému bol doplnený formulár správy o zlepšení, ktorým prevádzkovatelia nahlasujú vylepšenia metodiky monitorovania.</w:t>
      </w:r>
    </w:p>
    <w:p w:rsidR="00C5770C" w:rsidRPr="00387384" w:rsidRDefault="00C5770C" w:rsidP="005F77FC">
      <w:pPr>
        <w:tabs>
          <w:tab w:val="left" w:pos="284"/>
        </w:tabs>
        <w:spacing w:after="0" w:line="240" w:lineRule="auto"/>
        <w:jc w:val="both"/>
        <w:rPr>
          <w:rFonts w:ascii="Times New Roman" w:hAnsi="Times New Roman" w:cs="Times New Roman"/>
          <w:sz w:val="24"/>
          <w:szCs w:val="24"/>
        </w:rPr>
      </w:pPr>
    </w:p>
    <w:p w:rsidR="00E9202F" w:rsidRPr="00387384" w:rsidRDefault="00AD21F5"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bod</w:t>
      </w:r>
      <w:r w:rsidR="00F84EED" w:rsidRPr="00387384">
        <w:rPr>
          <w:rFonts w:ascii="Times New Roman" w:hAnsi="Times New Roman" w:cs="Times New Roman"/>
          <w:b/>
          <w:sz w:val="24"/>
          <w:szCs w:val="24"/>
        </w:rPr>
        <w:t>om</w:t>
      </w:r>
      <w:r w:rsidRPr="00387384">
        <w:rPr>
          <w:rFonts w:ascii="Times New Roman" w:hAnsi="Times New Roman" w:cs="Times New Roman"/>
          <w:b/>
          <w:sz w:val="24"/>
          <w:szCs w:val="24"/>
        </w:rPr>
        <w:t xml:space="preserve"> 7</w:t>
      </w:r>
      <w:r w:rsidR="00814FF9">
        <w:rPr>
          <w:rFonts w:ascii="Times New Roman" w:hAnsi="Times New Roman" w:cs="Times New Roman"/>
          <w:b/>
          <w:sz w:val="24"/>
          <w:szCs w:val="24"/>
        </w:rPr>
        <w:t>4</w:t>
      </w:r>
      <w:r w:rsidRPr="00387384">
        <w:rPr>
          <w:rFonts w:ascii="Times New Roman" w:hAnsi="Times New Roman" w:cs="Times New Roman"/>
          <w:b/>
          <w:sz w:val="24"/>
          <w:szCs w:val="24"/>
        </w:rPr>
        <w:t xml:space="preserve"> </w:t>
      </w:r>
      <w:r w:rsidR="00C5770C" w:rsidRPr="00387384">
        <w:rPr>
          <w:rFonts w:ascii="Times New Roman" w:hAnsi="Times New Roman" w:cs="Times New Roman"/>
          <w:b/>
          <w:sz w:val="24"/>
          <w:szCs w:val="24"/>
        </w:rPr>
        <w:t>a 7</w:t>
      </w:r>
      <w:r w:rsidR="00814FF9">
        <w:rPr>
          <w:rFonts w:ascii="Times New Roman" w:hAnsi="Times New Roman" w:cs="Times New Roman"/>
          <w:b/>
          <w:sz w:val="24"/>
          <w:szCs w:val="24"/>
        </w:rPr>
        <w:t>5</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Vypúšťa sa dobrovoľný účastník</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B22B81"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AD21F5" w:rsidRPr="00387384">
        <w:rPr>
          <w:rFonts w:ascii="Times New Roman" w:hAnsi="Times New Roman" w:cs="Times New Roman"/>
          <w:b/>
          <w:sz w:val="24"/>
          <w:szCs w:val="24"/>
        </w:rPr>
        <w:t>7</w:t>
      </w:r>
      <w:r w:rsidR="00814FF9">
        <w:rPr>
          <w:rFonts w:ascii="Times New Roman" w:hAnsi="Times New Roman" w:cs="Times New Roman"/>
          <w:b/>
          <w:sz w:val="24"/>
          <w:szCs w:val="24"/>
        </w:rPr>
        <w:t>6</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Doplnenie alternatívy v prípade prerušenej prevádzky elektronického systému a predkladanie údajov s použitím elektronick</w:t>
      </w:r>
      <w:r w:rsidR="00E520D6" w:rsidRPr="00387384">
        <w:rPr>
          <w:rFonts w:ascii="Times New Roman" w:hAnsi="Times New Roman" w:cs="Times New Roman"/>
          <w:sz w:val="24"/>
          <w:szCs w:val="24"/>
        </w:rPr>
        <w:t xml:space="preserve">ej šablóny poskytnutej </w:t>
      </w:r>
      <w:r w:rsidR="00930A16" w:rsidRPr="00387384">
        <w:rPr>
          <w:rFonts w:ascii="Times New Roman" w:hAnsi="Times New Roman" w:cs="Times New Roman"/>
          <w:sz w:val="24"/>
          <w:szCs w:val="24"/>
        </w:rPr>
        <w:t>Európskou k</w:t>
      </w:r>
      <w:r w:rsidR="00E520D6" w:rsidRPr="00387384">
        <w:rPr>
          <w:rFonts w:ascii="Times New Roman" w:hAnsi="Times New Roman" w:cs="Times New Roman"/>
          <w:sz w:val="24"/>
          <w:szCs w:val="24"/>
        </w:rPr>
        <w:t>omisiou, ktorá bude zverejnená na webovom sídle ministerstva</w:t>
      </w:r>
      <w:r w:rsidR="0053182B" w:rsidRPr="00387384">
        <w:rPr>
          <w:rFonts w:ascii="Times New Roman" w:hAnsi="Times New Roman" w:cs="Times New Roman"/>
          <w:sz w:val="24"/>
          <w:szCs w:val="24"/>
        </w:rPr>
        <w:t>.</w:t>
      </w:r>
      <w:r w:rsidR="00A974F1" w:rsidRPr="00387384">
        <w:rPr>
          <w:rFonts w:ascii="Times New Roman" w:hAnsi="Times New Roman" w:cs="Times New Roman"/>
          <w:sz w:val="24"/>
          <w:szCs w:val="24"/>
        </w:rPr>
        <w:t xml:space="preserve"> Prostredníctvom elektronického systému predkladajú prevádzkovatelia okresnému úradu monitorovací plán a jeho zmeny, overenú správu o emisiách skleníkových plynov a ministerstvu overenú správu o úrovni činnosti. </w:t>
      </w:r>
      <w:r w:rsidR="00930A16" w:rsidRPr="00387384">
        <w:rPr>
          <w:rFonts w:ascii="Times New Roman" w:hAnsi="Times New Roman" w:cs="Times New Roman"/>
          <w:sz w:val="24"/>
          <w:szCs w:val="24"/>
        </w:rPr>
        <w:t xml:space="preserve">Elektronický systém vytvorila a prevádzkuje pre členské štáty, ktoré sa ho rozhodli využívať, Európska komisia. Európska legislatíva týkajúca sa systému obchodovania poskytuje členským štátom určitú flexibilitu pokiaľ ide o stanovenie termínov, do ktorých sú jednotliví účastníci systému obchodovania povinní plniť povinnosti (hlavne predkladanie rôznych údajov). </w:t>
      </w:r>
      <w:r w:rsidR="005C0F02" w:rsidRPr="00387384">
        <w:rPr>
          <w:rFonts w:ascii="Times New Roman" w:hAnsi="Times New Roman" w:cs="Times New Roman"/>
          <w:sz w:val="24"/>
          <w:szCs w:val="24"/>
        </w:rPr>
        <w:t xml:space="preserve">Vzhľadom na tieto odlišnosti v jednotlivých členských štátoch môže prerušenie prevádzky elektronického systému (napr. z dôvodu rôznych technických problémov) v určitom čase predstavovať rozdielne problémy pre jednotlivé krajiny, na ktoré Komisia nemusí vedieť včas reagovať. V prípade, že by došlo k prerušeniu prevádzky elektronického </w:t>
      </w:r>
      <w:r w:rsidR="005C0F02" w:rsidRPr="00387384">
        <w:rPr>
          <w:rFonts w:ascii="Times New Roman" w:hAnsi="Times New Roman" w:cs="Times New Roman"/>
          <w:sz w:val="24"/>
          <w:szCs w:val="24"/>
        </w:rPr>
        <w:lastRenderedPageBreak/>
        <w:t>systému v čase plnenia povinností, ministerstvo by vedelo usmerniť účastníkov systému obchodovania akým spôsobom majú svoje povinnosti splniť bez rizika, že nebudú dodržané termíny, na ktoré sú naviazané ďalšie povinnosti ministerstva a ostaných účastníkov systému obchodovania. Alternatívou k elektr</w:t>
      </w:r>
      <w:r w:rsidR="00A974F1" w:rsidRPr="00387384">
        <w:rPr>
          <w:rFonts w:ascii="Times New Roman" w:hAnsi="Times New Roman" w:cs="Times New Roman"/>
          <w:sz w:val="24"/>
          <w:szCs w:val="24"/>
        </w:rPr>
        <w:t>onického systému sú šablóny (formát</w:t>
      </w:r>
      <w:r w:rsidR="005C0F02" w:rsidRPr="00387384">
        <w:rPr>
          <w:rFonts w:ascii="Times New Roman" w:hAnsi="Times New Roman" w:cs="Times New Roman"/>
          <w:sz w:val="24"/>
          <w:szCs w:val="24"/>
        </w:rPr>
        <w:t xml:space="preserve"> Excel), na základe ktorých je vytvorený elektronický systém a ktoré Komisia stále poskytuje člensk</w:t>
      </w:r>
      <w:r w:rsidR="00A974F1" w:rsidRPr="00387384">
        <w:rPr>
          <w:rFonts w:ascii="Times New Roman" w:hAnsi="Times New Roman" w:cs="Times New Roman"/>
          <w:sz w:val="24"/>
          <w:szCs w:val="24"/>
        </w:rPr>
        <w:t>ým</w:t>
      </w:r>
      <w:r w:rsidR="005C0F02" w:rsidRPr="00387384">
        <w:rPr>
          <w:rFonts w:ascii="Times New Roman" w:hAnsi="Times New Roman" w:cs="Times New Roman"/>
          <w:sz w:val="24"/>
          <w:szCs w:val="24"/>
        </w:rPr>
        <w:t xml:space="preserve"> štátom, ktoré sa zatiaľ nerozhodli využívať elektronický systém.</w:t>
      </w:r>
      <w:r w:rsidR="00A974F1" w:rsidRPr="00387384">
        <w:rPr>
          <w:rFonts w:ascii="Times New Roman" w:hAnsi="Times New Roman" w:cs="Times New Roman"/>
          <w:sz w:val="24"/>
          <w:szCs w:val="24"/>
        </w:rPr>
        <w:t xml:space="preserve"> Tieto šablóny v minulosti využívalo aj ministerstvo a účastníci systému obchodovania s nimi majú skúsenosti.</w:t>
      </w:r>
    </w:p>
    <w:p w:rsidR="00C5770C" w:rsidRPr="00387384" w:rsidRDefault="00C5770C" w:rsidP="005F77FC">
      <w:pPr>
        <w:tabs>
          <w:tab w:val="left" w:pos="284"/>
        </w:tabs>
        <w:spacing w:after="0" w:line="240" w:lineRule="auto"/>
        <w:jc w:val="both"/>
        <w:rPr>
          <w:rFonts w:ascii="Times New Roman" w:hAnsi="Times New Roman" w:cs="Times New Roman"/>
          <w:sz w:val="24"/>
          <w:szCs w:val="24"/>
        </w:rPr>
      </w:pPr>
    </w:p>
    <w:p w:rsidR="00C5770C" w:rsidRPr="00387384" w:rsidRDefault="00AD21F5"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bodu 7</w:t>
      </w:r>
      <w:r w:rsidR="00814FF9">
        <w:rPr>
          <w:rFonts w:ascii="Times New Roman" w:hAnsi="Times New Roman" w:cs="Times New Roman"/>
          <w:b/>
          <w:sz w:val="24"/>
          <w:szCs w:val="24"/>
        </w:rPr>
        <w:t>7</w:t>
      </w:r>
    </w:p>
    <w:p w:rsidR="0053182B" w:rsidRPr="00387384" w:rsidRDefault="0053182B"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 xml:space="preserve">Úprava </w:t>
      </w:r>
      <w:r w:rsidR="002B171F">
        <w:rPr>
          <w:rFonts w:ascii="Times New Roman" w:hAnsi="Times New Roman" w:cs="Times New Roman"/>
          <w:sz w:val="24"/>
          <w:szCs w:val="24"/>
        </w:rPr>
        <w:t xml:space="preserve">označenia odkazov. </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AD21F5"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 bodu 7</w:t>
      </w:r>
      <w:r w:rsidR="00814FF9">
        <w:rPr>
          <w:rFonts w:ascii="Times New Roman" w:hAnsi="Times New Roman" w:cs="Times New Roman"/>
          <w:b/>
          <w:sz w:val="24"/>
          <w:szCs w:val="24"/>
        </w:rPr>
        <w:t>8</w:t>
      </w:r>
    </w:p>
    <w:p w:rsidR="002B171F" w:rsidRDefault="002B171F" w:rsidP="005F77F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Úprava poznámok pod čiarou.</w:t>
      </w:r>
    </w:p>
    <w:p w:rsidR="002B171F" w:rsidRDefault="002B171F" w:rsidP="005F77FC">
      <w:pPr>
        <w:tabs>
          <w:tab w:val="left" w:pos="284"/>
        </w:tabs>
        <w:spacing w:after="0" w:line="240" w:lineRule="auto"/>
        <w:jc w:val="both"/>
        <w:rPr>
          <w:rFonts w:ascii="Times New Roman" w:hAnsi="Times New Roman" w:cs="Times New Roman"/>
          <w:sz w:val="24"/>
          <w:szCs w:val="24"/>
        </w:rPr>
      </w:pPr>
    </w:p>
    <w:p w:rsidR="002B171F" w:rsidRPr="002B171F" w:rsidRDefault="002B171F" w:rsidP="005F77FC">
      <w:pPr>
        <w:tabs>
          <w:tab w:val="left" w:pos="284"/>
        </w:tabs>
        <w:spacing w:after="0" w:line="240" w:lineRule="auto"/>
        <w:jc w:val="both"/>
        <w:rPr>
          <w:rFonts w:ascii="Times New Roman" w:hAnsi="Times New Roman" w:cs="Times New Roman"/>
          <w:b/>
          <w:sz w:val="24"/>
          <w:szCs w:val="24"/>
        </w:rPr>
      </w:pPr>
      <w:r w:rsidRPr="002B171F">
        <w:rPr>
          <w:rFonts w:ascii="Times New Roman" w:hAnsi="Times New Roman" w:cs="Times New Roman"/>
          <w:b/>
          <w:sz w:val="24"/>
          <w:szCs w:val="24"/>
        </w:rPr>
        <w:t>K bodu 79</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Doplnenie zmluvy do vety podľa smernice Európskeho par</w:t>
      </w:r>
      <w:r w:rsidR="00EF6551" w:rsidRPr="00387384">
        <w:rPr>
          <w:rFonts w:ascii="Times New Roman" w:hAnsi="Times New Roman" w:cs="Times New Roman"/>
          <w:sz w:val="24"/>
          <w:szCs w:val="24"/>
        </w:rPr>
        <w:t>lamentu a Rady 2003/87/ES z 13. </w:t>
      </w:r>
      <w:r w:rsidRPr="00387384">
        <w:rPr>
          <w:rFonts w:ascii="Times New Roman" w:hAnsi="Times New Roman" w:cs="Times New Roman"/>
          <w:sz w:val="24"/>
          <w:szCs w:val="24"/>
        </w:rPr>
        <w:t>októbra 2003, o vytvorení systému obchodovania s emisnými kvótami skleníkových plynov v spoločenstve, a ktorou sa mení a dopĺňa smernica Rady 96/61/ES.</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747C6B" w:rsidP="005F77FC">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 bodu </w:t>
      </w:r>
      <w:r w:rsidR="002B171F">
        <w:rPr>
          <w:rFonts w:ascii="Times New Roman" w:hAnsi="Times New Roman" w:cs="Times New Roman"/>
          <w:b/>
          <w:sz w:val="24"/>
          <w:szCs w:val="24"/>
        </w:rPr>
        <w:t>80</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 xml:space="preserve">Legislatívno-technická úprava z dôvodu zmeny číslovania </w:t>
      </w:r>
      <w:r w:rsidR="002B171F">
        <w:rPr>
          <w:rFonts w:ascii="Times New Roman" w:hAnsi="Times New Roman" w:cs="Times New Roman"/>
          <w:sz w:val="24"/>
          <w:szCs w:val="24"/>
        </w:rPr>
        <w:t>odkazov</w:t>
      </w:r>
      <w:r w:rsidRPr="00387384">
        <w:rPr>
          <w:rFonts w:ascii="Times New Roman" w:hAnsi="Times New Roman" w:cs="Times New Roman"/>
          <w:sz w:val="24"/>
          <w:szCs w:val="24"/>
        </w:rPr>
        <w:t>.</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5F77FC"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K</w:t>
      </w:r>
      <w:r w:rsidR="00AD21F5" w:rsidRPr="00387384">
        <w:rPr>
          <w:rFonts w:ascii="Times New Roman" w:hAnsi="Times New Roman" w:cs="Times New Roman"/>
          <w:b/>
          <w:sz w:val="24"/>
          <w:szCs w:val="24"/>
        </w:rPr>
        <w:t> bod</w:t>
      </w:r>
      <w:r w:rsidR="00F84EED" w:rsidRPr="00387384">
        <w:rPr>
          <w:rFonts w:ascii="Times New Roman" w:hAnsi="Times New Roman" w:cs="Times New Roman"/>
          <w:b/>
          <w:sz w:val="24"/>
          <w:szCs w:val="24"/>
        </w:rPr>
        <w:t>om</w:t>
      </w:r>
      <w:r w:rsidR="00AD21F5" w:rsidRPr="00387384">
        <w:rPr>
          <w:rFonts w:ascii="Times New Roman" w:hAnsi="Times New Roman" w:cs="Times New Roman"/>
          <w:b/>
          <w:sz w:val="24"/>
          <w:szCs w:val="24"/>
        </w:rPr>
        <w:t xml:space="preserve"> </w:t>
      </w:r>
      <w:r w:rsidR="00814FF9">
        <w:rPr>
          <w:rFonts w:ascii="Times New Roman" w:hAnsi="Times New Roman" w:cs="Times New Roman"/>
          <w:b/>
          <w:sz w:val="24"/>
          <w:szCs w:val="24"/>
        </w:rPr>
        <w:t>8</w:t>
      </w:r>
      <w:r w:rsidR="002B171F">
        <w:rPr>
          <w:rFonts w:ascii="Times New Roman" w:hAnsi="Times New Roman" w:cs="Times New Roman"/>
          <w:b/>
          <w:sz w:val="24"/>
          <w:szCs w:val="24"/>
        </w:rPr>
        <w:t>1</w:t>
      </w:r>
      <w:r w:rsidR="00C5770C" w:rsidRPr="00387384">
        <w:rPr>
          <w:rFonts w:ascii="Times New Roman" w:hAnsi="Times New Roman" w:cs="Times New Roman"/>
          <w:b/>
          <w:sz w:val="24"/>
          <w:szCs w:val="24"/>
        </w:rPr>
        <w:t xml:space="preserve"> až </w:t>
      </w:r>
      <w:r w:rsidR="00814FF9">
        <w:rPr>
          <w:rFonts w:ascii="Times New Roman" w:hAnsi="Times New Roman" w:cs="Times New Roman"/>
          <w:b/>
          <w:sz w:val="24"/>
          <w:szCs w:val="24"/>
        </w:rPr>
        <w:t>8</w:t>
      </w:r>
      <w:r w:rsidR="002B171F">
        <w:rPr>
          <w:rFonts w:ascii="Times New Roman" w:hAnsi="Times New Roman" w:cs="Times New Roman"/>
          <w:b/>
          <w:sz w:val="24"/>
          <w:szCs w:val="24"/>
        </w:rPr>
        <w:t>3</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r w:rsidRPr="00387384">
        <w:rPr>
          <w:rFonts w:ascii="Times New Roman" w:hAnsi="Times New Roman" w:cs="Times New Roman"/>
          <w:sz w:val="24"/>
          <w:szCs w:val="24"/>
        </w:rPr>
        <w:t>Doplnenie činností leteckej dopravy z dôvodu pripojenia Švajčiarskej konfederácie k</w:t>
      </w:r>
      <w:r w:rsidR="0053182B" w:rsidRPr="00387384">
        <w:rPr>
          <w:rFonts w:ascii="Times New Roman" w:hAnsi="Times New Roman" w:cs="Times New Roman"/>
          <w:sz w:val="24"/>
          <w:szCs w:val="24"/>
        </w:rPr>
        <w:t> </w:t>
      </w:r>
      <w:r w:rsidRPr="00387384">
        <w:rPr>
          <w:rFonts w:ascii="Times New Roman" w:hAnsi="Times New Roman" w:cs="Times New Roman"/>
          <w:sz w:val="24"/>
          <w:szCs w:val="24"/>
        </w:rPr>
        <w:t>ETS</w:t>
      </w:r>
      <w:r w:rsidR="0053182B" w:rsidRPr="00387384">
        <w:rPr>
          <w:rFonts w:ascii="Times New Roman" w:hAnsi="Times New Roman" w:cs="Times New Roman"/>
          <w:sz w:val="24"/>
          <w:szCs w:val="24"/>
        </w:rPr>
        <w:t xml:space="preserve"> a z dôvodu vystúpenia Spojeného kráľovstva </w:t>
      </w:r>
      <w:r w:rsidR="00910331" w:rsidRPr="00387384">
        <w:rPr>
          <w:rFonts w:ascii="Times New Roman" w:hAnsi="Times New Roman" w:cs="Times New Roman"/>
          <w:sz w:val="24"/>
          <w:szCs w:val="24"/>
        </w:rPr>
        <w:t xml:space="preserve">Veľkej Británie a Severného Írska </w:t>
      </w:r>
      <w:r w:rsidR="0053182B" w:rsidRPr="00387384">
        <w:rPr>
          <w:rFonts w:ascii="Times New Roman" w:hAnsi="Times New Roman" w:cs="Times New Roman"/>
          <w:sz w:val="24"/>
          <w:szCs w:val="24"/>
        </w:rPr>
        <w:t>z EÚ</w:t>
      </w:r>
      <w:r w:rsidRPr="00387384">
        <w:rPr>
          <w:rFonts w:ascii="Times New Roman" w:hAnsi="Times New Roman" w:cs="Times New Roman"/>
          <w:sz w:val="24"/>
          <w:szCs w:val="24"/>
        </w:rPr>
        <w:t>.</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5F77FC" w:rsidRPr="00387384" w:rsidRDefault="00B22B81" w:rsidP="005F77FC">
      <w:pPr>
        <w:tabs>
          <w:tab w:val="left" w:pos="284"/>
        </w:tabs>
        <w:spacing w:after="0" w:line="240" w:lineRule="auto"/>
        <w:jc w:val="both"/>
        <w:rPr>
          <w:rFonts w:ascii="Times New Roman" w:hAnsi="Times New Roman" w:cs="Times New Roman"/>
          <w:b/>
          <w:sz w:val="24"/>
          <w:szCs w:val="24"/>
        </w:rPr>
      </w:pPr>
      <w:r w:rsidRPr="00387384">
        <w:rPr>
          <w:rFonts w:ascii="Times New Roman" w:hAnsi="Times New Roman" w:cs="Times New Roman"/>
          <w:b/>
          <w:sz w:val="24"/>
          <w:szCs w:val="24"/>
        </w:rPr>
        <w:t xml:space="preserve">K bodu </w:t>
      </w:r>
      <w:r w:rsidR="00AD21F5" w:rsidRPr="00387384">
        <w:rPr>
          <w:rFonts w:ascii="Times New Roman" w:hAnsi="Times New Roman" w:cs="Times New Roman"/>
          <w:b/>
          <w:sz w:val="24"/>
          <w:szCs w:val="24"/>
        </w:rPr>
        <w:t>8</w:t>
      </w:r>
      <w:r w:rsidR="002B171F">
        <w:rPr>
          <w:rFonts w:ascii="Times New Roman" w:hAnsi="Times New Roman" w:cs="Times New Roman"/>
          <w:b/>
          <w:sz w:val="24"/>
          <w:szCs w:val="24"/>
        </w:rPr>
        <w:t>4</w:t>
      </w:r>
    </w:p>
    <w:p w:rsidR="005F77FC" w:rsidRPr="00387384" w:rsidRDefault="002B171F" w:rsidP="005F77FC">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Vypustenie vety reflektuje na úpravu v </w:t>
      </w:r>
      <w:r w:rsidR="005F77FC" w:rsidRPr="00387384">
        <w:rPr>
          <w:rFonts w:ascii="Times New Roman" w:hAnsi="Times New Roman" w:cs="Times New Roman"/>
          <w:sz w:val="24"/>
          <w:szCs w:val="24"/>
        </w:rPr>
        <w:t>smernic</w:t>
      </w:r>
      <w:r>
        <w:rPr>
          <w:rFonts w:ascii="Times New Roman" w:hAnsi="Times New Roman" w:cs="Times New Roman"/>
          <w:sz w:val="24"/>
          <w:szCs w:val="24"/>
        </w:rPr>
        <w:t>i</w:t>
      </w:r>
      <w:r w:rsidR="005F77FC" w:rsidRPr="00387384">
        <w:rPr>
          <w:rFonts w:ascii="Times New Roman" w:hAnsi="Times New Roman" w:cs="Times New Roman"/>
          <w:sz w:val="24"/>
          <w:szCs w:val="24"/>
        </w:rPr>
        <w:t xml:space="preserve"> </w:t>
      </w:r>
      <w:r w:rsidR="00EF6551" w:rsidRPr="00387384">
        <w:rPr>
          <w:rFonts w:ascii="Times New Roman" w:hAnsi="Times New Roman" w:cs="Times New Roman"/>
          <w:sz w:val="24"/>
          <w:szCs w:val="24"/>
        </w:rPr>
        <w:t>2003/87/ES</w:t>
      </w:r>
      <w:r w:rsidR="005F77FC" w:rsidRPr="00387384">
        <w:rPr>
          <w:rFonts w:ascii="Times New Roman" w:hAnsi="Times New Roman" w:cs="Times New Roman"/>
          <w:sz w:val="24"/>
          <w:szCs w:val="24"/>
        </w:rPr>
        <w:t>.</w:t>
      </w:r>
    </w:p>
    <w:p w:rsidR="005F77FC" w:rsidRPr="00387384" w:rsidRDefault="005F77FC" w:rsidP="005F77FC">
      <w:pPr>
        <w:tabs>
          <w:tab w:val="left" w:pos="284"/>
        </w:tabs>
        <w:spacing w:after="0" w:line="240" w:lineRule="auto"/>
        <w:jc w:val="both"/>
        <w:rPr>
          <w:rFonts w:ascii="Times New Roman" w:hAnsi="Times New Roman" w:cs="Times New Roman"/>
          <w:sz w:val="24"/>
          <w:szCs w:val="24"/>
        </w:rPr>
      </w:pPr>
    </w:p>
    <w:p w:rsidR="00EF6551" w:rsidRPr="00387384" w:rsidRDefault="00EF6551" w:rsidP="005F77FC">
      <w:pPr>
        <w:spacing w:after="0" w:line="240" w:lineRule="auto"/>
        <w:rPr>
          <w:rFonts w:ascii="Times New Roman" w:hAnsi="Times New Roman" w:cs="Times New Roman"/>
          <w:b/>
          <w:sz w:val="24"/>
        </w:rPr>
      </w:pPr>
    </w:p>
    <w:p w:rsidR="005F77FC" w:rsidRPr="00387384" w:rsidRDefault="005F77FC" w:rsidP="005F77FC">
      <w:pPr>
        <w:spacing w:after="0" w:line="240" w:lineRule="auto"/>
        <w:rPr>
          <w:rFonts w:ascii="Times New Roman" w:hAnsi="Times New Roman" w:cs="Times New Roman"/>
          <w:b/>
          <w:sz w:val="24"/>
        </w:rPr>
      </w:pPr>
      <w:r w:rsidRPr="00387384">
        <w:rPr>
          <w:rFonts w:ascii="Times New Roman" w:hAnsi="Times New Roman" w:cs="Times New Roman"/>
          <w:b/>
          <w:sz w:val="24"/>
        </w:rPr>
        <w:t>Čl. II</w:t>
      </w:r>
    </w:p>
    <w:p w:rsidR="005F77FC" w:rsidRDefault="00F84EED" w:rsidP="005F77FC">
      <w:pPr>
        <w:spacing w:after="0" w:line="240" w:lineRule="auto"/>
        <w:jc w:val="both"/>
        <w:rPr>
          <w:rFonts w:ascii="Times New Roman" w:hAnsi="Times New Roman" w:cs="Times New Roman"/>
          <w:sz w:val="24"/>
          <w:szCs w:val="24"/>
        </w:rPr>
      </w:pPr>
      <w:r w:rsidRPr="00387384">
        <w:rPr>
          <w:rFonts w:ascii="Times New Roman" w:hAnsi="Times New Roman" w:cs="Times New Roman"/>
          <w:sz w:val="24"/>
        </w:rPr>
        <w:t>Navrhuje sa nadobudnutie účinnosti</w:t>
      </w:r>
      <w:r w:rsidR="002F2597" w:rsidRPr="00387384">
        <w:rPr>
          <w:rFonts w:ascii="Times New Roman" w:hAnsi="Times New Roman" w:cs="Times New Roman"/>
          <w:sz w:val="24"/>
        </w:rPr>
        <w:t xml:space="preserve"> </w:t>
      </w:r>
      <w:r w:rsidR="007E4C12">
        <w:rPr>
          <w:rFonts w:ascii="Times New Roman" w:hAnsi="Times New Roman" w:cs="Times New Roman"/>
          <w:sz w:val="24"/>
          <w:szCs w:val="24"/>
        </w:rPr>
        <w:t>dňom vyhlásenia</w:t>
      </w:r>
      <w:r w:rsidR="002F3CC9">
        <w:rPr>
          <w:rFonts w:ascii="Times New Roman" w:hAnsi="Times New Roman" w:cs="Times New Roman"/>
          <w:sz w:val="24"/>
          <w:szCs w:val="24"/>
        </w:rPr>
        <w:t xml:space="preserve"> v Zbierke zákonov</w:t>
      </w:r>
      <w:r w:rsidR="00EF6551" w:rsidRPr="00387384">
        <w:rPr>
          <w:rFonts w:ascii="Times New Roman" w:hAnsi="Times New Roman" w:cs="Times New Roman"/>
          <w:sz w:val="24"/>
          <w:szCs w:val="24"/>
        </w:rPr>
        <w:t>.</w:t>
      </w:r>
    </w:p>
    <w:p w:rsidR="006F590A" w:rsidRDefault="006F590A" w:rsidP="005F77FC">
      <w:pPr>
        <w:spacing w:after="0" w:line="240" w:lineRule="auto"/>
        <w:jc w:val="both"/>
        <w:rPr>
          <w:rFonts w:ascii="Times New Roman" w:hAnsi="Times New Roman" w:cs="Times New Roman"/>
          <w:sz w:val="24"/>
          <w:szCs w:val="24"/>
        </w:rPr>
      </w:pPr>
    </w:p>
    <w:p w:rsidR="006F590A" w:rsidRPr="00D45082" w:rsidRDefault="006F590A" w:rsidP="006F590A">
      <w:pPr>
        <w:spacing w:after="0" w:line="240" w:lineRule="auto"/>
        <w:jc w:val="both"/>
        <w:rPr>
          <w:rFonts w:ascii="Times New Roman" w:hAnsi="Times New Roman" w:cs="Times New Roman"/>
          <w:sz w:val="24"/>
          <w:szCs w:val="24"/>
        </w:rPr>
      </w:pPr>
      <w:r w:rsidRPr="00D45082">
        <w:rPr>
          <w:rFonts w:ascii="Times New Roman" w:hAnsi="Times New Roman" w:cs="Times New Roman"/>
          <w:sz w:val="24"/>
          <w:szCs w:val="24"/>
        </w:rPr>
        <w:t xml:space="preserve">V Bratislave dňa </w:t>
      </w:r>
      <w:r>
        <w:rPr>
          <w:rFonts w:ascii="Times New Roman" w:hAnsi="Times New Roman" w:cs="Times New Roman"/>
          <w:sz w:val="24"/>
          <w:szCs w:val="24"/>
        </w:rPr>
        <w:t>30</w:t>
      </w:r>
      <w:r w:rsidRPr="00D45082">
        <w:rPr>
          <w:rFonts w:ascii="Times New Roman" w:hAnsi="Times New Roman" w:cs="Times New Roman"/>
          <w:sz w:val="24"/>
          <w:szCs w:val="24"/>
        </w:rPr>
        <w:t xml:space="preserve">. </w:t>
      </w:r>
      <w:r>
        <w:rPr>
          <w:rFonts w:ascii="Times New Roman" w:hAnsi="Times New Roman" w:cs="Times New Roman"/>
          <w:sz w:val="24"/>
          <w:szCs w:val="24"/>
        </w:rPr>
        <w:t>septembra 2022</w:t>
      </w:r>
    </w:p>
    <w:p w:rsidR="006F590A" w:rsidRPr="00D45082" w:rsidRDefault="006F590A" w:rsidP="006F590A">
      <w:pPr>
        <w:spacing w:after="0" w:line="240" w:lineRule="auto"/>
        <w:jc w:val="both"/>
        <w:rPr>
          <w:rFonts w:ascii="Times New Roman" w:hAnsi="Times New Roman" w:cs="Times New Roman"/>
          <w:sz w:val="24"/>
          <w:szCs w:val="24"/>
        </w:rPr>
      </w:pPr>
    </w:p>
    <w:p w:rsidR="006F590A" w:rsidRPr="00D45082" w:rsidRDefault="006F590A" w:rsidP="006F590A">
      <w:pPr>
        <w:spacing w:after="0" w:line="240" w:lineRule="auto"/>
        <w:jc w:val="both"/>
        <w:rPr>
          <w:rFonts w:ascii="Times New Roman" w:hAnsi="Times New Roman" w:cs="Times New Roman"/>
          <w:sz w:val="24"/>
          <w:szCs w:val="24"/>
        </w:rPr>
      </w:pPr>
    </w:p>
    <w:p w:rsidR="006F590A" w:rsidRPr="00D45082" w:rsidRDefault="006F590A" w:rsidP="006F590A">
      <w:pPr>
        <w:spacing w:after="0" w:line="240" w:lineRule="auto"/>
        <w:jc w:val="both"/>
        <w:rPr>
          <w:rFonts w:ascii="Times New Roman" w:hAnsi="Times New Roman" w:cs="Times New Roman"/>
          <w:sz w:val="24"/>
          <w:szCs w:val="24"/>
        </w:rPr>
      </w:pPr>
    </w:p>
    <w:p w:rsidR="006F590A" w:rsidRPr="00D45082" w:rsidRDefault="006F590A" w:rsidP="006F590A">
      <w:pPr>
        <w:spacing w:after="0" w:line="240" w:lineRule="auto"/>
        <w:jc w:val="center"/>
        <w:rPr>
          <w:rFonts w:ascii="Times New Roman" w:hAnsi="Times New Roman" w:cs="Times New Roman"/>
          <w:sz w:val="24"/>
          <w:szCs w:val="24"/>
        </w:rPr>
      </w:pPr>
      <w:r w:rsidRPr="00D45082">
        <w:rPr>
          <w:rFonts w:ascii="Times New Roman" w:hAnsi="Times New Roman" w:cs="Times New Roman"/>
          <w:sz w:val="24"/>
          <w:szCs w:val="24"/>
        </w:rPr>
        <w:t>Eduard Heger</w:t>
      </w:r>
      <w:r w:rsidR="00DE0068">
        <w:rPr>
          <w:rFonts w:ascii="Times New Roman" w:hAnsi="Times New Roman" w:cs="Times New Roman"/>
          <w:sz w:val="24"/>
          <w:szCs w:val="24"/>
        </w:rPr>
        <w:t xml:space="preserve"> </w:t>
      </w:r>
      <w:r w:rsidR="001303C4">
        <w:rPr>
          <w:rFonts w:ascii="Times New Roman" w:hAnsi="Times New Roman" w:cs="Times New Roman"/>
          <w:sz w:val="24"/>
          <w:szCs w:val="24"/>
        </w:rPr>
        <w:t>v. r.</w:t>
      </w:r>
    </w:p>
    <w:p w:rsidR="006F590A" w:rsidRPr="00D45082" w:rsidRDefault="006F590A" w:rsidP="006F590A">
      <w:pPr>
        <w:spacing w:after="0" w:line="240" w:lineRule="auto"/>
        <w:jc w:val="center"/>
        <w:rPr>
          <w:rFonts w:ascii="Times New Roman" w:hAnsi="Times New Roman" w:cs="Times New Roman"/>
          <w:sz w:val="24"/>
          <w:szCs w:val="24"/>
        </w:rPr>
      </w:pPr>
      <w:r w:rsidRPr="00D45082">
        <w:rPr>
          <w:rFonts w:ascii="Times New Roman" w:hAnsi="Times New Roman" w:cs="Times New Roman"/>
          <w:sz w:val="24"/>
          <w:szCs w:val="24"/>
        </w:rPr>
        <w:t>predseda vlády</w:t>
      </w:r>
    </w:p>
    <w:p w:rsidR="006F590A" w:rsidRPr="00D45082" w:rsidRDefault="006F590A" w:rsidP="006F590A">
      <w:pPr>
        <w:spacing w:after="0" w:line="240" w:lineRule="auto"/>
        <w:jc w:val="center"/>
        <w:rPr>
          <w:rFonts w:ascii="Times New Roman" w:hAnsi="Times New Roman" w:cs="Times New Roman"/>
          <w:sz w:val="24"/>
          <w:szCs w:val="24"/>
        </w:rPr>
      </w:pPr>
      <w:r w:rsidRPr="00D45082">
        <w:rPr>
          <w:rFonts w:ascii="Times New Roman" w:hAnsi="Times New Roman" w:cs="Times New Roman"/>
          <w:sz w:val="24"/>
          <w:szCs w:val="24"/>
        </w:rPr>
        <w:t>Slovenskej republiky</w:t>
      </w:r>
    </w:p>
    <w:p w:rsidR="006F590A" w:rsidRPr="00D45082" w:rsidRDefault="006F590A" w:rsidP="006F590A">
      <w:pPr>
        <w:spacing w:after="0" w:line="240" w:lineRule="auto"/>
        <w:jc w:val="center"/>
        <w:rPr>
          <w:rFonts w:ascii="Times New Roman" w:hAnsi="Times New Roman" w:cs="Times New Roman"/>
          <w:sz w:val="24"/>
          <w:szCs w:val="24"/>
        </w:rPr>
      </w:pPr>
    </w:p>
    <w:p w:rsidR="006F590A" w:rsidRPr="00D45082" w:rsidRDefault="006F590A" w:rsidP="006F590A">
      <w:pPr>
        <w:spacing w:after="0" w:line="240" w:lineRule="auto"/>
        <w:jc w:val="center"/>
        <w:rPr>
          <w:rFonts w:ascii="Times New Roman" w:hAnsi="Times New Roman" w:cs="Times New Roman"/>
          <w:sz w:val="24"/>
          <w:szCs w:val="24"/>
        </w:rPr>
      </w:pPr>
    </w:p>
    <w:p w:rsidR="006F590A" w:rsidRPr="00D45082" w:rsidRDefault="006F590A" w:rsidP="006F590A">
      <w:pPr>
        <w:spacing w:after="0" w:line="240" w:lineRule="auto"/>
        <w:jc w:val="center"/>
        <w:rPr>
          <w:rFonts w:ascii="Times New Roman" w:hAnsi="Times New Roman" w:cs="Times New Roman"/>
          <w:sz w:val="24"/>
          <w:szCs w:val="24"/>
        </w:rPr>
      </w:pPr>
    </w:p>
    <w:p w:rsidR="006F590A" w:rsidRPr="00D45082" w:rsidRDefault="006F590A" w:rsidP="006F590A">
      <w:pPr>
        <w:spacing w:after="0" w:line="240" w:lineRule="auto"/>
        <w:jc w:val="center"/>
        <w:rPr>
          <w:rFonts w:ascii="Times New Roman" w:hAnsi="Times New Roman" w:cs="Times New Roman"/>
          <w:sz w:val="24"/>
          <w:szCs w:val="24"/>
        </w:rPr>
      </w:pPr>
      <w:r w:rsidRPr="00D45082">
        <w:rPr>
          <w:rFonts w:ascii="Times New Roman" w:hAnsi="Times New Roman" w:cs="Times New Roman"/>
          <w:sz w:val="24"/>
          <w:szCs w:val="24"/>
        </w:rPr>
        <w:t>Ján Budaj</w:t>
      </w:r>
      <w:r w:rsidR="00DE0068">
        <w:rPr>
          <w:rFonts w:ascii="Times New Roman" w:hAnsi="Times New Roman" w:cs="Times New Roman"/>
          <w:sz w:val="24"/>
          <w:szCs w:val="24"/>
        </w:rPr>
        <w:t xml:space="preserve"> </w:t>
      </w:r>
      <w:r w:rsidR="001303C4">
        <w:rPr>
          <w:rFonts w:ascii="Times New Roman" w:hAnsi="Times New Roman" w:cs="Times New Roman"/>
          <w:sz w:val="24"/>
          <w:szCs w:val="24"/>
        </w:rPr>
        <w:t>v. r.</w:t>
      </w:r>
      <w:bookmarkStart w:id="0" w:name="_GoBack"/>
      <w:bookmarkEnd w:id="0"/>
    </w:p>
    <w:p w:rsidR="006F590A" w:rsidRPr="00D45082" w:rsidRDefault="006F590A" w:rsidP="006F590A">
      <w:pPr>
        <w:spacing w:after="0" w:line="240" w:lineRule="auto"/>
        <w:jc w:val="center"/>
        <w:rPr>
          <w:rFonts w:ascii="Times New Roman" w:hAnsi="Times New Roman" w:cs="Times New Roman"/>
          <w:sz w:val="24"/>
          <w:szCs w:val="24"/>
        </w:rPr>
      </w:pPr>
      <w:r w:rsidRPr="00D45082">
        <w:rPr>
          <w:rFonts w:ascii="Times New Roman" w:hAnsi="Times New Roman" w:cs="Times New Roman"/>
          <w:sz w:val="24"/>
          <w:szCs w:val="24"/>
        </w:rPr>
        <w:t>minister životného prostredia</w:t>
      </w:r>
    </w:p>
    <w:p w:rsidR="006F590A" w:rsidRPr="00AB0DD5" w:rsidRDefault="006F590A" w:rsidP="006F59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5082">
        <w:rPr>
          <w:rFonts w:ascii="Times New Roman" w:hAnsi="Times New Roman" w:cs="Times New Roman"/>
          <w:sz w:val="24"/>
          <w:szCs w:val="24"/>
        </w:rPr>
        <w:t>Slovenskej republiky</w:t>
      </w:r>
    </w:p>
    <w:p w:rsidR="00BA5782" w:rsidRPr="00AB0DD5" w:rsidRDefault="00BA5782"/>
    <w:sectPr w:rsidR="00BA5782" w:rsidRPr="00AB0DD5" w:rsidSect="009E138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B6D" w:rsidRDefault="00EF2B6D">
      <w:pPr>
        <w:spacing w:after="0" w:line="240" w:lineRule="auto"/>
      </w:pPr>
      <w:r>
        <w:separator/>
      </w:r>
    </w:p>
  </w:endnote>
  <w:endnote w:type="continuationSeparator" w:id="0">
    <w:p w:rsidR="00EF2B6D" w:rsidRDefault="00EF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136946"/>
      <w:docPartObj>
        <w:docPartGallery w:val="Page Numbers (Bottom of Page)"/>
        <w:docPartUnique/>
      </w:docPartObj>
    </w:sdtPr>
    <w:sdtEndPr/>
    <w:sdtContent>
      <w:p w:rsidR="005C0F02" w:rsidRDefault="00D866E7">
        <w:pPr>
          <w:pStyle w:val="Pta"/>
          <w:jc w:val="right"/>
        </w:pPr>
        <w:r>
          <w:rPr>
            <w:noProof/>
          </w:rPr>
          <w:fldChar w:fldCharType="begin"/>
        </w:r>
        <w:r>
          <w:rPr>
            <w:noProof/>
          </w:rPr>
          <w:instrText>PAGE   \* MERGEFORMAT</w:instrText>
        </w:r>
        <w:r>
          <w:rPr>
            <w:noProof/>
          </w:rPr>
          <w:fldChar w:fldCharType="separate"/>
        </w:r>
        <w:r w:rsidR="001303C4">
          <w:rPr>
            <w:noProof/>
          </w:rPr>
          <w:t>9</w:t>
        </w:r>
        <w:r>
          <w:rPr>
            <w:noProof/>
          </w:rPr>
          <w:fldChar w:fldCharType="end"/>
        </w:r>
      </w:p>
    </w:sdtContent>
  </w:sdt>
  <w:p w:rsidR="005C0F02" w:rsidRDefault="005C0F0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B6D" w:rsidRDefault="00EF2B6D">
      <w:pPr>
        <w:spacing w:after="0" w:line="240" w:lineRule="auto"/>
      </w:pPr>
      <w:r>
        <w:separator/>
      </w:r>
    </w:p>
  </w:footnote>
  <w:footnote w:type="continuationSeparator" w:id="0">
    <w:p w:rsidR="00EF2B6D" w:rsidRDefault="00EF2B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86743"/>
    <w:multiLevelType w:val="multilevel"/>
    <w:tmpl w:val="66786743"/>
    <w:lvl w:ilvl="0">
      <w:start w:val="1"/>
      <w:numFmt w:val="decimal"/>
      <w:lvlText w:val="%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15DFD"/>
    <w:rsid w:val="00007688"/>
    <w:rsid w:val="000219E2"/>
    <w:rsid w:val="000563ED"/>
    <w:rsid w:val="0006644B"/>
    <w:rsid w:val="0009130F"/>
    <w:rsid w:val="00093C47"/>
    <w:rsid w:val="0009563E"/>
    <w:rsid w:val="000B793D"/>
    <w:rsid w:val="000C71FB"/>
    <w:rsid w:val="000D6379"/>
    <w:rsid w:val="000E06CD"/>
    <w:rsid w:val="000F1151"/>
    <w:rsid w:val="00102AB4"/>
    <w:rsid w:val="00121682"/>
    <w:rsid w:val="00126F7A"/>
    <w:rsid w:val="00127A22"/>
    <w:rsid w:val="001303C4"/>
    <w:rsid w:val="00161585"/>
    <w:rsid w:val="00170CDE"/>
    <w:rsid w:val="00200AC8"/>
    <w:rsid w:val="0022371B"/>
    <w:rsid w:val="00223FDC"/>
    <w:rsid w:val="00251F24"/>
    <w:rsid w:val="00285F1B"/>
    <w:rsid w:val="002B171F"/>
    <w:rsid w:val="002C372B"/>
    <w:rsid w:val="002F0CAB"/>
    <w:rsid w:val="002F2597"/>
    <w:rsid w:val="002F3CC9"/>
    <w:rsid w:val="002F69F0"/>
    <w:rsid w:val="002F7081"/>
    <w:rsid w:val="00303187"/>
    <w:rsid w:val="00306929"/>
    <w:rsid w:val="003379F7"/>
    <w:rsid w:val="0034102A"/>
    <w:rsid w:val="003821A9"/>
    <w:rsid w:val="00387384"/>
    <w:rsid w:val="003874AC"/>
    <w:rsid w:val="003A71C5"/>
    <w:rsid w:val="00416812"/>
    <w:rsid w:val="00421464"/>
    <w:rsid w:val="00450A1C"/>
    <w:rsid w:val="004A713A"/>
    <w:rsid w:val="004D083D"/>
    <w:rsid w:val="00515DFD"/>
    <w:rsid w:val="0053182B"/>
    <w:rsid w:val="005425BF"/>
    <w:rsid w:val="00560FA7"/>
    <w:rsid w:val="00576F29"/>
    <w:rsid w:val="005811F6"/>
    <w:rsid w:val="00581610"/>
    <w:rsid w:val="005C0F02"/>
    <w:rsid w:val="005E68D7"/>
    <w:rsid w:val="005F77FC"/>
    <w:rsid w:val="00610AE0"/>
    <w:rsid w:val="00621719"/>
    <w:rsid w:val="00682112"/>
    <w:rsid w:val="00694DA2"/>
    <w:rsid w:val="006C5D7E"/>
    <w:rsid w:val="006F0371"/>
    <w:rsid w:val="006F5007"/>
    <w:rsid w:val="006F590A"/>
    <w:rsid w:val="00700BC6"/>
    <w:rsid w:val="00713B95"/>
    <w:rsid w:val="00717E65"/>
    <w:rsid w:val="00747C6B"/>
    <w:rsid w:val="007745EE"/>
    <w:rsid w:val="007C1036"/>
    <w:rsid w:val="007E4C12"/>
    <w:rsid w:val="00814FF9"/>
    <w:rsid w:val="00837FB1"/>
    <w:rsid w:val="00854EF4"/>
    <w:rsid w:val="0085619B"/>
    <w:rsid w:val="00862A3D"/>
    <w:rsid w:val="008A013C"/>
    <w:rsid w:val="008C4DFF"/>
    <w:rsid w:val="008E1A7F"/>
    <w:rsid w:val="008F30EE"/>
    <w:rsid w:val="00910331"/>
    <w:rsid w:val="00917195"/>
    <w:rsid w:val="009267E4"/>
    <w:rsid w:val="00930A16"/>
    <w:rsid w:val="00942CD9"/>
    <w:rsid w:val="00955F40"/>
    <w:rsid w:val="00956ED3"/>
    <w:rsid w:val="00994E2F"/>
    <w:rsid w:val="009A04C8"/>
    <w:rsid w:val="009D7E8C"/>
    <w:rsid w:val="009E1387"/>
    <w:rsid w:val="009E65B9"/>
    <w:rsid w:val="00A31387"/>
    <w:rsid w:val="00A51229"/>
    <w:rsid w:val="00A708DC"/>
    <w:rsid w:val="00A76A83"/>
    <w:rsid w:val="00A90FF4"/>
    <w:rsid w:val="00A974F1"/>
    <w:rsid w:val="00AA3D81"/>
    <w:rsid w:val="00AB0DD5"/>
    <w:rsid w:val="00AB2B4B"/>
    <w:rsid w:val="00AD21F5"/>
    <w:rsid w:val="00AF61C7"/>
    <w:rsid w:val="00B22B81"/>
    <w:rsid w:val="00B97B1D"/>
    <w:rsid w:val="00BA5782"/>
    <w:rsid w:val="00BF01E3"/>
    <w:rsid w:val="00C00567"/>
    <w:rsid w:val="00C24103"/>
    <w:rsid w:val="00C30DEB"/>
    <w:rsid w:val="00C36D94"/>
    <w:rsid w:val="00C46804"/>
    <w:rsid w:val="00C52951"/>
    <w:rsid w:val="00C55C53"/>
    <w:rsid w:val="00C5770C"/>
    <w:rsid w:val="00C65FF6"/>
    <w:rsid w:val="00C71BE2"/>
    <w:rsid w:val="00C802A6"/>
    <w:rsid w:val="00C9106F"/>
    <w:rsid w:val="00C9322F"/>
    <w:rsid w:val="00CB30D4"/>
    <w:rsid w:val="00D2694A"/>
    <w:rsid w:val="00D44F68"/>
    <w:rsid w:val="00D636A6"/>
    <w:rsid w:val="00D820C6"/>
    <w:rsid w:val="00D866E7"/>
    <w:rsid w:val="00D945D6"/>
    <w:rsid w:val="00DB7EDB"/>
    <w:rsid w:val="00DC03A3"/>
    <w:rsid w:val="00DE0068"/>
    <w:rsid w:val="00E30F2C"/>
    <w:rsid w:val="00E520D6"/>
    <w:rsid w:val="00E714DF"/>
    <w:rsid w:val="00E9202F"/>
    <w:rsid w:val="00EB15A0"/>
    <w:rsid w:val="00EE40BE"/>
    <w:rsid w:val="00EF2B6D"/>
    <w:rsid w:val="00EF3D71"/>
    <w:rsid w:val="00EF6551"/>
    <w:rsid w:val="00F20DE9"/>
    <w:rsid w:val="00F84EED"/>
    <w:rsid w:val="00F90AA5"/>
    <w:rsid w:val="00FC1E36"/>
    <w:rsid w:val="00FC2E48"/>
    <w:rsid w:val="00FC6C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E792"/>
  <w15:docId w15:val="{17388323-7AC2-4CBA-BB54-AAF67252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77FC"/>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qFormat/>
    <w:rsid w:val="005F77FC"/>
    <w:rPr>
      <w:sz w:val="16"/>
      <w:szCs w:val="16"/>
    </w:rPr>
  </w:style>
  <w:style w:type="paragraph" w:styleId="Pta">
    <w:name w:val="footer"/>
    <w:basedOn w:val="Normlny"/>
    <w:link w:val="PtaChar"/>
    <w:uiPriority w:val="99"/>
    <w:unhideWhenUsed/>
    <w:rsid w:val="005F77FC"/>
    <w:pPr>
      <w:tabs>
        <w:tab w:val="center" w:pos="4536"/>
        <w:tab w:val="right" w:pos="9072"/>
      </w:tabs>
      <w:spacing w:after="0" w:line="240" w:lineRule="auto"/>
    </w:pPr>
  </w:style>
  <w:style w:type="character" w:customStyle="1" w:styleId="PtaChar">
    <w:name w:val="Päta Char"/>
    <w:basedOn w:val="Predvolenpsmoodseku"/>
    <w:link w:val="Pta"/>
    <w:uiPriority w:val="99"/>
    <w:rsid w:val="005F77FC"/>
  </w:style>
  <w:style w:type="paragraph" w:styleId="Textkomentra">
    <w:name w:val="annotation text"/>
    <w:basedOn w:val="Normlny"/>
    <w:link w:val="TextkomentraChar"/>
    <w:uiPriority w:val="99"/>
    <w:semiHidden/>
    <w:unhideWhenUsed/>
    <w:rsid w:val="00A90FF4"/>
    <w:pPr>
      <w:spacing w:line="240" w:lineRule="auto"/>
    </w:pPr>
    <w:rPr>
      <w:sz w:val="20"/>
      <w:szCs w:val="20"/>
    </w:rPr>
  </w:style>
  <w:style w:type="character" w:customStyle="1" w:styleId="TextkomentraChar">
    <w:name w:val="Text komentára Char"/>
    <w:basedOn w:val="Predvolenpsmoodseku"/>
    <w:link w:val="Textkomentra"/>
    <w:uiPriority w:val="99"/>
    <w:semiHidden/>
    <w:rsid w:val="00A90FF4"/>
    <w:rPr>
      <w:sz w:val="20"/>
      <w:szCs w:val="20"/>
    </w:rPr>
  </w:style>
  <w:style w:type="paragraph" w:styleId="Predmetkomentra">
    <w:name w:val="annotation subject"/>
    <w:basedOn w:val="Textkomentra"/>
    <w:next w:val="Textkomentra"/>
    <w:link w:val="PredmetkomentraChar"/>
    <w:uiPriority w:val="99"/>
    <w:semiHidden/>
    <w:unhideWhenUsed/>
    <w:rsid w:val="00A90FF4"/>
    <w:rPr>
      <w:b/>
      <w:bCs/>
    </w:rPr>
  </w:style>
  <w:style w:type="character" w:customStyle="1" w:styleId="PredmetkomentraChar">
    <w:name w:val="Predmet komentára Char"/>
    <w:basedOn w:val="TextkomentraChar"/>
    <w:link w:val="Predmetkomentra"/>
    <w:uiPriority w:val="99"/>
    <w:semiHidden/>
    <w:rsid w:val="00A90FF4"/>
    <w:rPr>
      <w:b/>
      <w:bCs/>
      <w:sz w:val="20"/>
      <w:szCs w:val="20"/>
    </w:rPr>
  </w:style>
  <w:style w:type="paragraph" w:styleId="Textbubliny">
    <w:name w:val="Balloon Text"/>
    <w:basedOn w:val="Normlny"/>
    <w:link w:val="TextbublinyChar"/>
    <w:uiPriority w:val="99"/>
    <w:semiHidden/>
    <w:unhideWhenUsed/>
    <w:rsid w:val="00A90F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90FF4"/>
    <w:rPr>
      <w:rFonts w:ascii="Segoe UI" w:hAnsi="Segoe UI" w:cs="Segoe UI"/>
      <w:sz w:val="18"/>
      <w:szCs w:val="18"/>
    </w:rPr>
  </w:style>
  <w:style w:type="paragraph" w:styleId="Hlavika">
    <w:name w:val="header"/>
    <w:basedOn w:val="Normlny"/>
    <w:link w:val="HlavikaChar"/>
    <w:uiPriority w:val="99"/>
    <w:unhideWhenUsed/>
    <w:rsid w:val="00F20DE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20DE9"/>
  </w:style>
  <w:style w:type="paragraph" w:styleId="Odsekzoznamu">
    <w:name w:val="List Paragraph"/>
    <w:basedOn w:val="Normlny"/>
    <w:uiPriority w:val="34"/>
    <w:qFormat/>
    <w:rsid w:val="0006644B"/>
    <w:pPr>
      <w:ind w:left="720"/>
      <w:contextualSpacing/>
    </w:pPr>
    <w:rPr>
      <w:rFonts w:eastAsiaTheme="minorEastAsia"/>
      <w:color w:val="00000A"/>
      <w:lang w:eastAsia="sk-SK"/>
    </w:rPr>
  </w:style>
  <w:style w:type="character" w:styleId="Hypertextovprepojenie">
    <w:name w:val="Hyperlink"/>
    <w:basedOn w:val="Predvolenpsmoodseku"/>
    <w:uiPriority w:val="99"/>
    <w:semiHidden/>
    <w:unhideWhenUsed/>
    <w:rsid w:val="00942C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889094">
      <w:bodyDiv w:val="1"/>
      <w:marLeft w:val="0"/>
      <w:marRight w:val="0"/>
      <w:marTop w:val="0"/>
      <w:marBottom w:val="0"/>
      <w:divBdr>
        <w:top w:val="none" w:sz="0" w:space="0" w:color="auto"/>
        <w:left w:val="none" w:sz="0" w:space="0" w:color="auto"/>
        <w:bottom w:val="none" w:sz="0" w:space="0" w:color="auto"/>
        <w:right w:val="none" w:sz="0" w:space="0" w:color="auto"/>
      </w:divBdr>
      <w:divsChild>
        <w:div w:id="2122021080">
          <w:marLeft w:val="0"/>
          <w:marRight w:val="0"/>
          <w:marTop w:val="0"/>
          <w:marBottom w:val="0"/>
          <w:divBdr>
            <w:top w:val="none" w:sz="0" w:space="0" w:color="auto"/>
            <w:left w:val="none" w:sz="0" w:space="0" w:color="auto"/>
            <w:bottom w:val="none" w:sz="0" w:space="0" w:color="auto"/>
            <w:right w:val="none" w:sz="0" w:space="0" w:color="auto"/>
          </w:divBdr>
        </w:div>
        <w:div w:id="1708917669">
          <w:marLeft w:val="0"/>
          <w:marRight w:val="0"/>
          <w:marTop w:val="0"/>
          <w:marBottom w:val="0"/>
          <w:divBdr>
            <w:top w:val="none" w:sz="0" w:space="0" w:color="auto"/>
            <w:left w:val="none" w:sz="0" w:space="0" w:color="auto"/>
            <w:bottom w:val="none" w:sz="0" w:space="0" w:color="auto"/>
            <w:right w:val="none" w:sz="0" w:space="0" w:color="auto"/>
          </w:divBdr>
          <w:divsChild>
            <w:div w:id="444732696">
              <w:marLeft w:val="0"/>
              <w:marRight w:val="0"/>
              <w:marTop w:val="0"/>
              <w:marBottom w:val="0"/>
              <w:divBdr>
                <w:top w:val="none" w:sz="0" w:space="0" w:color="auto"/>
                <w:left w:val="none" w:sz="0" w:space="0" w:color="auto"/>
                <w:bottom w:val="none" w:sz="0" w:space="0" w:color="auto"/>
                <w:right w:val="none" w:sz="0" w:space="0" w:color="auto"/>
              </w:divBdr>
            </w:div>
            <w:div w:id="1114132278">
              <w:marLeft w:val="0"/>
              <w:marRight w:val="0"/>
              <w:marTop w:val="0"/>
              <w:marBottom w:val="0"/>
              <w:divBdr>
                <w:top w:val="none" w:sz="0" w:space="0" w:color="auto"/>
                <w:left w:val="none" w:sz="0" w:space="0" w:color="auto"/>
                <w:bottom w:val="none" w:sz="0" w:space="0" w:color="auto"/>
                <w:right w:val="none" w:sz="0" w:space="0" w:color="auto"/>
              </w:divBdr>
            </w:div>
          </w:divsChild>
        </w:div>
        <w:div w:id="1696734511">
          <w:marLeft w:val="0"/>
          <w:marRight w:val="0"/>
          <w:marTop w:val="0"/>
          <w:marBottom w:val="0"/>
          <w:divBdr>
            <w:top w:val="none" w:sz="0" w:space="0" w:color="auto"/>
            <w:left w:val="none" w:sz="0" w:space="0" w:color="auto"/>
            <w:bottom w:val="none" w:sz="0" w:space="0" w:color="auto"/>
            <w:right w:val="none" w:sz="0" w:space="0" w:color="auto"/>
          </w:divBdr>
          <w:divsChild>
            <w:div w:id="1200053190">
              <w:marLeft w:val="0"/>
              <w:marRight w:val="0"/>
              <w:marTop w:val="0"/>
              <w:marBottom w:val="0"/>
              <w:divBdr>
                <w:top w:val="none" w:sz="0" w:space="0" w:color="auto"/>
                <w:left w:val="none" w:sz="0" w:space="0" w:color="auto"/>
                <w:bottom w:val="none" w:sz="0" w:space="0" w:color="auto"/>
                <w:right w:val="none" w:sz="0" w:space="0" w:color="auto"/>
              </w:divBdr>
            </w:div>
            <w:div w:id="1290666707">
              <w:marLeft w:val="0"/>
              <w:marRight w:val="0"/>
              <w:marTop w:val="0"/>
              <w:marBottom w:val="0"/>
              <w:divBdr>
                <w:top w:val="none" w:sz="0" w:space="0" w:color="auto"/>
                <w:left w:val="none" w:sz="0" w:space="0" w:color="auto"/>
                <w:bottom w:val="none" w:sz="0" w:space="0" w:color="auto"/>
                <w:right w:val="none" w:sz="0" w:space="0" w:color="auto"/>
              </w:divBdr>
            </w:div>
          </w:divsChild>
        </w:div>
        <w:div w:id="750275276">
          <w:marLeft w:val="0"/>
          <w:marRight w:val="0"/>
          <w:marTop w:val="0"/>
          <w:marBottom w:val="0"/>
          <w:divBdr>
            <w:top w:val="none" w:sz="0" w:space="0" w:color="auto"/>
            <w:left w:val="none" w:sz="0" w:space="0" w:color="auto"/>
            <w:bottom w:val="none" w:sz="0" w:space="0" w:color="auto"/>
            <w:right w:val="none" w:sz="0" w:space="0" w:color="auto"/>
          </w:divBdr>
          <w:divsChild>
            <w:div w:id="884409300">
              <w:marLeft w:val="0"/>
              <w:marRight w:val="0"/>
              <w:marTop w:val="0"/>
              <w:marBottom w:val="0"/>
              <w:divBdr>
                <w:top w:val="none" w:sz="0" w:space="0" w:color="auto"/>
                <w:left w:val="none" w:sz="0" w:space="0" w:color="auto"/>
                <w:bottom w:val="none" w:sz="0" w:space="0" w:color="auto"/>
                <w:right w:val="none" w:sz="0" w:space="0" w:color="auto"/>
              </w:divBdr>
            </w:div>
            <w:div w:id="1431513148">
              <w:marLeft w:val="0"/>
              <w:marRight w:val="0"/>
              <w:marTop w:val="0"/>
              <w:marBottom w:val="0"/>
              <w:divBdr>
                <w:top w:val="none" w:sz="0" w:space="0" w:color="auto"/>
                <w:left w:val="none" w:sz="0" w:space="0" w:color="auto"/>
                <w:bottom w:val="none" w:sz="0" w:space="0" w:color="auto"/>
                <w:right w:val="none" w:sz="0" w:space="0" w:color="auto"/>
              </w:divBdr>
            </w:div>
          </w:divsChild>
        </w:div>
        <w:div w:id="615911038">
          <w:marLeft w:val="0"/>
          <w:marRight w:val="0"/>
          <w:marTop w:val="0"/>
          <w:marBottom w:val="0"/>
          <w:divBdr>
            <w:top w:val="none" w:sz="0" w:space="0" w:color="auto"/>
            <w:left w:val="none" w:sz="0" w:space="0" w:color="auto"/>
            <w:bottom w:val="none" w:sz="0" w:space="0" w:color="auto"/>
            <w:right w:val="none" w:sz="0" w:space="0" w:color="auto"/>
          </w:divBdr>
          <w:divsChild>
            <w:div w:id="146748515">
              <w:marLeft w:val="0"/>
              <w:marRight w:val="0"/>
              <w:marTop w:val="0"/>
              <w:marBottom w:val="0"/>
              <w:divBdr>
                <w:top w:val="none" w:sz="0" w:space="0" w:color="auto"/>
                <w:left w:val="none" w:sz="0" w:space="0" w:color="auto"/>
                <w:bottom w:val="none" w:sz="0" w:space="0" w:color="auto"/>
                <w:right w:val="none" w:sz="0" w:space="0" w:color="auto"/>
              </w:divBdr>
            </w:div>
            <w:div w:id="1194415928">
              <w:marLeft w:val="0"/>
              <w:marRight w:val="0"/>
              <w:marTop w:val="0"/>
              <w:marBottom w:val="0"/>
              <w:divBdr>
                <w:top w:val="none" w:sz="0" w:space="0" w:color="auto"/>
                <w:left w:val="none" w:sz="0" w:space="0" w:color="auto"/>
                <w:bottom w:val="none" w:sz="0" w:space="0" w:color="auto"/>
                <w:right w:val="none" w:sz="0" w:space="0" w:color="auto"/>
              </w:divBdr>
            </w:div>
          </w:divsChild>
        </w:div>
        <w:div w:id="1162355217">
          <w:marLeft w:val="0"/>
          <w:marRight w:val="0"/>
          <w:marTop w:val="0"/>
          <w:marBottom w:val="0"/>
          <w:divBdr>
            <w:top w:val="none" w:sz="0" w:space="0" w:color="auto"/>
            <w:left w:val="none" w:sz="0" w:space="0" w:color="auto"/>
            <w:bottom w:val="none" w:sz="0" w:space="0" w:color="auto"/>
            <w:right w:val="none" w:sz="0" w:space="0" w:color="auto"/>
          </w:divBdr>
          <w:divsChild>
            <w:div w:id="2057705491">
              <w:marLeft w:val="0"/>
              <w:marRight w:val="0"/>
              <w:marTop w:val="0"/>
              <w:marBottom w:val="0"/>
              <w:divBdr>
                <w:top w:val="none" w:sz="0" w:space="0" w:color="auto"/>
                <w:left w:val="none" w:sz="0" w:space="0" w:color="auto"/>
                <w:bottom w:val="none" w:sz="0" w:space="0" w:color="auto"/>
                <w:right w:val="none" w:sz="0" w:space="0" w:color="auto"/>
              </w:divBdr>
            </w:div>
            <w:div w:id="374619616">
              <w:marLeft w:val="0"/>
              <w:marRight w:val="0"/>
              <w:marTop w:val="0"/>
              <w:marBottom w:val="0"/>
              <w:divBdr>
                <w:top w:val="none" w:sz="0" w:space="0" w:color="auto"/>
                <w:left w:val="none" w:sz="0" w:space="0" w:color="auto"/>
                <w:bottom w:val="none" w:sz="0" w:space="0" w:color="auto"/>
                <w:right w:val="none" w:sz="0" w:space="0" w:color="auto"/>
              </w:divBdr>
            </w:div>
          </w:divsChild>
        </w:div>
        <w:div w:id="2055539270">
          <w:marLeft w:val="0"/>
          <w:marRight w:val="0"/>
          <w:marTop w:val="0"/>
          <w:marBottom w:val="0"/>
          <w:divBdr>
            <w:top w:val="none" w:sz="0" w:space="0" w:color="auto"/>
            <w:left w:val="none" w:sz="0" w:space="0" w:color="auto"/>
            <w:bottom w:val="none" w:sz="0" w:space="0" w:color="auto"/>
            <w:right w:val="none" w:sz="0" w:space="0" w:color="auto"/>
          </w:divBdr>
          <w:divsChild>
            <w:div w:id="1800101280">
              <w:marLeft w:val="0"/>
              <w:marRight w:val="0"/>
              <w:marTop w:val="0"/>
              <w:marBottom w:val="0"/>
              <w:divBdr>
                <w:top w:val="none" w:sz="0" w:space="0" w:color="auto"/>
                <w:left w:val="none" w:sz="0" w:space="0" w:color="auto"/>
                <w:bottom w:val="none" w:sz="0" w:space="0" w:color="auto"/>
                <w:right w:val="none" w:sz="0" w:space="0" w:color="auto"/>
              </w:divBdr>
            </w:div>
            <w:div w:id="1806580209">
              <w:marLeft w:val="0"/>
              <w:marRight w:val="0"/>
              <w:marTop w:val="0"/>
              <w:marBottom w:val="0"/>
              <w:divBdr>
                <w:top w:val="none" w:sz="0" w:space="0" w:color="auto"/>
                <w:left w:val="none" w:sz="0" w:space="0" w:color="auto"/>
                <w:bottom w:val="none" w:sz="0" w:space="0" w:color="auto"/>
                <w:right w:val="none" w:sz="0" w:space="0" w:color="auto"/>
              </w:divBdr>
            </w:div>
          </w:divsChild>
        </w:div>
        <w:div w:id="833759697">
          <w:marLeft w:val="0"/>
          <w:marRight w:val="0"/>
          <w:marTop w:val="0"/>
          <w:marBottom w:val="0"/>
          <w:divBdr>
            <w:top w:val="none" w:sz="0" w:space="0" w:color="auto"/>
            <w:left w:val="none" w:sz="0" w:space="0" w:color="auto"/>
            <w:bottom w:val="none" w:sz="0" w:space="0" w:color="auto"/>
            <w:right w:val="none" w:sz="0" w:space="0" w:color="auto"/>
          </w:divBdr>
          <w:divsChild>
            <w:div w:id="746850758">
              <w:marLeft w:val="0"/>
              <w:marRight w:val="0"/>
              <w:marTop w:val="0"/>
              <w:marBottom w:val="0"/>
              <w:divBdr>
                <w:top w:val="none" w:sz="0" w:space="0" w:color="auto"/>
                <w:left w:val="none" w:sz="0" w:space="0" w:color="auto"/>
                <w:bottom w:val="none" w:sz="0" w:space="0" w:color="auto"/>
                <w:right w:val="none" w:sz="0" w:space="0" w:color="auto"/>
              </w:divBdr>
            </w:div>
            <w:div w:id="2105105999">
              <w:marLeft w:val="0"/>
              <w:marRight w:val="0"/>
              <w:marTop w:val="0"/>
              <w:marBottom w:val="0"/>
              <w:divBdr>
                <w:top w:val="none" w:sz="0" w:space="0" w:color="auto"/>
                <w:left w:val="none" w:sz="0" w:space="0" w:color="auto"/>
                <w:bottom w:val="none" w:sz="0" w:space="0" w:color="auto"/>
                <w:right w:val="none" w:sz="0" w:space="0" w:color="auto"/>
              </w:divBdr>
            </w:div>
          </w:divsChild>
        </w:div>
        <w:div w:id="1898930931">
          <w:marLeft w:val="0"/>
          <w:marRight w:val="0"/>
          <w:marTop w:val="0"/>
          <w:marBottom w:val="0"/>
          <w:divBdr>
            <w:top w:val="none" w:sz="0" w:space="0" w:color="auto"/>
            <w:left w:val="none" w:sz="0" w:space="0" w:color="auto"/>
            <w:bottom w:val="none" w:sz="0" w:space="0" w:color="auto"/>
            <w:right w:val="none" w:sz="0" w:space="0" w:color="auto"/>
          </w:divBdr>
          <w:divsChild>
            <w:div w:id="1119569169">
              <w:marLeft w:val="0"/>
              <w:marRight w:val="0"/>
              <w:marTop w:val="0"/>
              <w:marBottom w:val="0"/>
              <w:divBdr>
                <w:top w:val="none" w:sz="0" w:space="0" w:color="auto"/>
                <w:left w:val="none" w:sz="0" w:space="0" w:color="auto"/>
                <w:bottom w:val="none" w:sz="0" w:space="0" w:color="auto"/>
                <w:right w:val="none" w:sz="0" w:space="0" w:color="auto"/>
              </w:divBdr>
            </w:div>
            <w:div w:id="9621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3C1CD-ACC8-422C-9F6E-5B4231B5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9</Pages>
  <Words>3299</Words>
  <Characters>18805</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Broošová Natália</dc:creator>
  <cp:keywords/>
  <dc:description/>
  <cp:lastModifiedBy>Smažáková Janette</cp:lastModifiedBy>
  <cp:revision>22</cp:revision>
  <cp:lastPrinted>2022-09-30T08:41:00Z</cp:lastPrinted>
  <dcterms:created xsi:type="dcterms:W3CDTF">2022-05-05T09:06:00Z</dcterms:created>
  <dcterms:modified xsi:type="dcterms:W3CDTF">2022-09-30T10:19:00Z</dcterms:modified>
</cp:coreProperties>
</file>