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7FC" w:rsidRPr="00AB0DD5" w:rsidRDefault="005F77FC" w:rsidP="005F77F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0DD5">
        <w:rPr>
          <w:rFonts w:ascii="Times New Roman" w:hAnsi="Times New Roman" w:cs="Times New Roman"/>
          <w:b/>
          <w:sz w:val="24"/>
          <w:szCs w:val="24"/>
        </w:rPr>
        <w:t>Dôvodová správa</w:t>
      </w:r>
    </w:p>
    <w:p w:rsidR="005F77FC" w:rsidRPr="00AB0DD5" w:rsidRDefault="005F77FC" w:rsidP="005F77FC">
      <w:pPr>
        <w:rPr>
          <w:rFonts w:ascii="Times New Roman" w:hAnsi="Times New Roman" w:cs="Times New Roman"/>
          <w:b/>
          <w:sz w:val="24"/>
          <w:szCs w:val="24"/>
        </w:rPr>
      </w:pPr>
      <w:r w:rsidRPr="00AB0DD5">
        <w:rPr>
          <w:rFonts w:ascii="Times New Roman" w:hAnsi="Times New Roman" w:cs="Times New Roman"/>
          <w:b/>
          <w:sz w:val="24"/>
          <w:szCs w:val="24"/>
        </w:rPr>
        <w:t>A. Všeobecná časť</w:t>
      </w:r>
    </w:p>
    <w:p w:rsidR="00FC2E48" w:rsidRPr="00AB0DD5" w:rsidRDefault="00FC2E48" w:rsidP="004640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DD5">
        <w:rPr>
          <w:rFonts w:ascii="Times New Roman" w:hAnsi="Times New Roman" w:cs="Times New Roman"/>
          <w:sz w:val="24"/>
          <w:szCs w:val="24"/>
        </w:rPr>
        <w:t>Základným nástrojom na nákladovo efektívne znižovan</w:t>
      </w:r>
      <w:r w:rsidR="0009563E" w:rsidRPr="00AB0DD5">
        <w:rPr>
          <w:rFonts w:ascii="Times New Roman" w:hAnsi="Times New Roman" w:cs="Times New Roman"/>
          <w:sz w:val="24"/>
          <w:szCs w:val="24"/>
        </w:rPr>
        <w:t>ie emisií skleníkových plynov v </w:t>
      </w:r>
      <w:r w:rsidRPr="00AB0DD5">
        <w:rPr>
          <w:rFonts w:ascii="Times New Roman" w:hAnsi="Times New Roman" w:cs="Times New Roman"/>
          <w:sz w:val="24"/>
          <w:szCs w:val="24"/>
        </w:rPr>
        <w:t>priemysle, energetike a v leteckej doprave je systém obchodovania s emisnými kvótami skleníkových plynov v EÚ (ďalej len „EÚ ETS“). EÚ ETS je trhovo orientovaný nástroj založený na princípe stropu a obchodovania s nastaveným priebežne znižovaným ročným stropom objemu povolených emisií. V rámci tohto limitu môžu účastníci EÚ ETS podľa potreby kupovať a predávať emisné kvóty prostredníctvom aukčného systému. 1. januára 2021 vstúpil systém obchodovania s emisnými kvótami do svoje 4</w:t>
      </w:r>
      <w:r w:rsidR="0009563E" w:rsidRPr="00AB0DD5">
        <w:rPr>
          <w:rFonts w:ascii="Times New Roman" w:hAnsi="Times New Roman" w:cs="Times New Roman"/>
          <w:sz w:val="24"/>
          <w:szCs w:val="24"/>
        </w:rPr>
        <w:t>. fázy, ktorá bude trvať do 31. </w:t>
      </w:r>
      <w:r w:rsidRPr="00AB0DD5">
        <w:rPr>
          <w:rFonts w:ascii="Times New Roman" w:hAnsi="Times New Roman" w:cs="Times New Roman"/>
          <w:sz w:val="24"/>
          <w:szCs w:val="24"/>
        </w:rPr>
        <w:t>decembra 2030. Emisný strop sa počnúc rokom 2021 zn</w:t>
      </w:r>
      <w:r w:rsidR="0009563E" w:rsidRPr="00AB0DD5">
        <w:rPr>
          <w:rFonts w:ascii="Times New Roman" w:hAnsi="Times New Roman" w:cs="Times New Roman"/>
          <w:sz w:val="24"/>
          <w:szCs w:val="24"/>
        </w:rPr>
        <w:t>ižuje o lineárny koeficient 2,2 </w:t>
      </w:r>
      <w:r w:rsidRPr="00AB0DD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662601" w:rsidRDefault="00FC2E48" w:rsidP="004640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DD5">
        <w:rPr>
          <w:rFonts w:ascii="Times New Roman" w:hAnsi="Times New Roman" w:cs="Times New Roman"/>
          <w:sz w:val="24"/>
          <w:szCs w:val="24"/>
        </w:rPr>
        <w:t>Dôvodom predloženia návrhu zákona, ktorým sa mení a d</w:t>
      </w:r>
      <w:r w:rsidR="0009563E" w:rsidRPr="00AB0DD5">
        <w:rPr>
          <w:rFonts w:ascii="Times New Roman" w:hAnsi="Times New Roman" w:cs="Times New Roman"/>
          <w:sz w:val="24"/>
          <w:szCs w:val="24"/>
        </w:rPr>
        <w:t>opĺňa zákon č. 414/2012 Z. z. o </w:t>
      </w:r>
      <w:r w:rsidRPr="00AB0DD5">
        <w:rPr>
          <w:rFonts w:ascii="Times New Roman" w:hAnsi="Times New Roman" w:cs="Times New Roman"/>
          <w:sz w:val="24"/>
          <w:szCs w:val="24"/>
        </w:rPr>
        <w:t>ob</w:t>
      </w:r>
      <w:r w:rsidR="0009563E" w:rsidRPr="00AB0DD5">
        <w:rPr>
          <w:rFonts w:ascii="Times New Roman" w:hAnsi="Times New Roman" w:cs="Times New Roman"/>
          <w:sz w:val="24"/>
          <w:szCs w:val="24"/>
        </w:rPr>
        <w:t xml:space="preserve">chodovaní s emisnými kvótami a o zmene a doplnení niektorých zákonov v </w:t>
      </w:r>
      <w:r w:rsidRPr="00AB0DD5">
        <w:rPr>
          <w:rFonts w:ascii="Times New Roman" w:hAnsi="Times New Roman" w:cs="Times New Roman"/>
          <w:sz w:val="24"/>
          <w:szCs w:val="24"/>
        </w:rPr>
        <w:t>znení neskorších predpisov (ďalej len „návrh zákona“) je prispôsobenie doterajšieho nastavenia systému obchodovania s emisnými kvótami skleníkových plynov v Únii pre štvrté obchodovateľné obdobie (2021 - 2030). Po prijatí smernice Európskeho parlamentu a Rady (EÚ) 2018/410 zo 14. marca 2018, ktorou sa mení smernica 2003/87/ES s cieľom zlepšiť nákladovo efektívne zn</w:t>
      </w:r>
      <w:r w:rsidR="0009563E" w:rsidRPr="00AB0DD5">
        <w:rPr>
          <w:rFonts w:ascii="Times New Roman" w:hAnsi="Times New Roman" w:cs="Times New Roman"/>
          <w:sz w:val="24"/>
          <w:szCs w:val="24"/>
        </w:rPr>
        <w:t>ižovanie emisií a investície do </w:t>
      </w:r>
      <w:r w:rsidRPr="00AB0DD5">
        <w:rPr>
          <w:rFonts w:ascii="Times New Roman" w:hAnsi="Times New Roman" w:cs="Times New Roman"/>
          <w:sz w:val="24"/>
          <w:szCs w:val="24"/>
        </w:rPr>
        <w:t xml:space="preserve">nízkouhlíkových technológií a rozhodnutie (EÚ) 2015/1814 (ďalej len „smernica“), pokračovala v rokoch 2019 a 2020 príprava vykonávacích a delegovaných právnych aktov. Viaceré ustanovenia týchto právnych aktov, ktoré zahŕňajú technicko-administratívne zmeny (napr. povinnosti prevádzkovateľov a prevádzkovateľov lietadiel alebo vykonávanie virtuálnych návštev na mieste) je potrebné implementovať do návrhu zákona. </w:t>
      </w:r>
    </w:p>
    <w:p w:rsidR="00FC6CD4" w:rsidRPr="00AB0DD5" w:rsidRDefault="00FC2E48" w:rsidP="004640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DD5">
        <w:rPr>
          <w:rFonts w:ascii="Times New Roman" w:hAnsi="Times New Roman" w:cs="Times New Roman"/>
          <w:sz w:val="24"/>
          <w:szCs w:val="24"/>
        </w:rPr>
        <w:t xml:space="preserve">Návrh zákona </w:t>
      </w:r>
      <w:r w:rsidR="00662601">
        <w:rPr>
          <w:rFonts w:ascii="Times New Roman" w:hAnsi="Times New Roman" w:cs="Times New Roman"/>
          <w:sz w:val="24"/>
          <w:szCs w:val="24"/>
        </w:rPr>
        <w:t>nepredpokladá</w:t>
      </w:r>
      <w:r w:rsidRPr="00AB0DD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16812" w:rsidRPr="00AB0DD5">
        <w:rPr>
          <w:rFonts w:ascii="Times New Roman" w:hAnsi="Times New Roman" w:cs="Times New Roman"/>
          <w:sz w:val="24"/>
          <w:szCs w:val="24"/>
        </w:rPr>
        <w:t>vpl</w:t>
      </w:r>
      <w:r w:rsidR="00D945D6" w:rsidRPr="00AB0DD5">
        <w:rPr>
          <w:rFonts w:ascii="Times New Roman" w:hAnsi="Times New Roman" w:cs="Times New Roman"/>
          <w:sz w:val="24"/>
          <w:szCs w:val="24"/>
        </w:rPr>
        <w:t xml:space="preserve">yv na rozpočet verejnej správy a nebude mať </w:t>
      </w:r>
      <w:r w:rsidR="00416812" w:rsidRPr="00AB0DD5">
        <w:rPr>
          <w:rFonts w:ascii="Times New Roman" w:hAnsi="Times New Roman" w:cs="Times New Roman"/>
          <w:sz w:val="24"/>
          <w:szCs w:val="24"/>
        </w:rPr>
        <w:t>žiadne sociálne vplyvy, žiadne vplyvy na podnikateľské prostredie, informatizáciu spoločnosti</w:t>
      </w:r>
      <w:r w:rsidR="00FC6CD4" w:rsidRPr="00AB0DD5">
        <w:rPr>
          <w:rFonts w:ascii="Times New Roman" w:hAnsi="Times New Roman" w:cs="Times New Roman"/>
          <w:sz w:val="24"/>
          <w:szCs w:val="24"/>
        </w:rPr>
        <w:t xml:space="preserve">, </w:t>
      </w:r>
      <w:r w:rsidR="00D945D6" w:rsidRPr="00AB0DD5">
        <w:rPr>
          <w:rFonts w:ascii="Times New Roman" w:hAnsi="Times New Roman" w:cs="Times New Roman"/>
          <w:sz w:val="24"/>
          <w:szCs w:val="24"/>
        </w:rPr>
        <w:t>na </w:t>
      </w:r>
      <w:r w:rsidR="00416812" w:rsidRPr="00AB0DD5">
        <w:rPr>
          <w:rFonts w:ascii="Times New Roman" w:hAnsi="Times New Roman" w:cs="Times New Roman"/>
          <w:sz w:val="24"/>
          <w:szCs w:val="24"/>
        </w:rPr>
        <w:t>služby verejnej správy pre občana</w:t>
      </w:r>
      <w:r w:rsidR="00FC6CD4" w:rsidRPr="00AB0DD5">
        <w:rPr>
          <w:rFonts w:ascii="Times New Roman" w:hAnsi="Times New Roman" w:cs="Times New Roman"/>
          <w:sz w:val="24"/>
          <w:szCs w:val="24"/>
        </w:rPr>
        <w:t xml:space="preserve"> a na manželstvo, rodičovstvo a rodinu</w:t>
      </w:r>
      <w:r w:rsidR="00416812" w:rsidRPr="00AB0DD5">
        <w:rPr>
          <w:rFonts w:ascii="Times New Roman" w:hAnsi="Times New Roman" w:cs="Times New Roman"/>
          <w:sz w:val="24"/>
          <w:szCs w:val="24"/>
        </w:rPr>
        <w:t>.</w:t>
      </w:r>
      <w:r w:rsidR="00FC6CD4" w:rsidRPr="00AB0DD5">
        <w:rPr>
          <w:rFonts w:ascii="Times New Roman" w:hAnsi="Times New Roman" w:cs="Times New Roman"/>
          <w:sz w:val="24"/>
          <w:szCs w:val="24"/>
        </w:rPr>
        <w:t xml:space="preserve"> Návrh zákona bude mať pozitívny vplyv na životné prostredie.</w:t>
      </w:r>
    </w:p>
    <w:p w:rsidR="00BA5782" w:rsidRPr="00CA2CEE" w:rsidRDefault="00FC6CD4" w:rsidP="004640AD">
      <w:pPr>
        <w:spacing w:after="160" w:line="259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B0DD5">
        <w:rPr>
          <w:rFonts w:ascii="Times New Roman" w:hAnsi="Times New Roman" w:cs="Times New Roman"/>
          <w:sz w:val="24"/>
          <w:szCs w:val="24"/>
        </w:rPr>
        <w:t>Návrh zákona je v súlade s Ústavou Slovenskej republiky, ústavným zákonmi a nálezmi ústavného súdu, zákonmi, medzinárodnými zmluvami a inými medzinárodnými dokumentmi, ktorými je Slovenská republika viazaná a súčasne je v súlade s právom Európskej únie.</w:t>
      </w:r>
    </w:p>
    <w:sectPr w:rsidR="00BA5782" w:rsidRPr="00CA2CEE" w:rsidSect="009043E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C44" w:rsidRDefault="00442C44">
      <w:pPr>
        <w:spacing w:after="0" w:line="240" w:lineRule="auto"/>
      </w:pPr>
      <w:r>
        <w:separator/>
      </w:r>
    </w:p>
  </w:endnote>
  <w:endnote w:type="continuationSeparator" w:id="0">
    <w:p w:rsidR="00442C44" w:rsidRDefault="0044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5136946"/>
      <w:docPartObj>
        <w:docPartGallery w:val="Page Numbers (Bottom of Page)"/>
        <w:docPartUnique/>
      </w:docPartObj>
    </w:sdtPr>
    <w:sdtEndPr/>
    <w:sdtContent>
      <w:p w:rsidR="00F20DE9" w:rsidRDefault="00C37821">
        <w:pPr>
          <w:pStyle w:val="Pta"/>
          <w:jc w:val="right"/>
        </w:pPr>
        <w:r>
          <w:fldChar w:fldCharType="begin"/>
        </w:r>
        <w:r w:rsidR="00F20DE9">
          <w:instrText>PAGE   \* MERGEFORMAT</w:instrText>
        </w:r>
        <w:r>
          <w:fldChar w:fldCharType="separate"/>
        </w:r>
        <w:r w:rsidR="00662601">
          <w:rPr>
            <w:noProof/>
          </w:rPr>
          <w:t>1</w:t>
        </w:r>
        <w:r>
          <w:fldChar w:fldCharType="end"/>
        </w:r>
      </w:p>
    </w:sdtContent>
  </w:sdt>
  <w:p w:rsidR="00B812A5" w:rsidRDefault="00442C4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C44" w:rsidRDefault="00442C44">
      <w:pPr>
        <w:spacing w:after="0" w:line="240" w:lineRule="auto"/>
      </w:pPr>
      <w:r>
        <w:separator/>
      </w:r>
    </w:p>
  </w:footnote>
  <w:footnote w:type="continuationSeparator" w:id="0">
    <w:p w:rsidR="00442C44" w:rsidRDefault="00442C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786743"/>
    <w:multiLevelType w:val="multilevel"/>
    <w:tmpl w:val="66786743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DFD"/>
    <w:rsid w:val="00007688"/>
    <w:rsid w:val="000219E2"/>
    <w:rsid w:val="0006644B"/>
    <w:rsid w:val="0009563E"/>
    <w:rsid w:val="000B793D"/>
    <w:rsid w:val="000D6379"/>
    <w:rsid w:val="00121682"/>
    <w:rsid w:val="00200AC8"/>
    <w:rsid w:val="00223FDC"/>
    <w:rsid w:val="002606BF"/>
    <w:rsid w:val="00285F1B"/>
    <w:rsid w:val="00303187"/>
    <w:rsid w:val="003379F7"/>
    <w:rsid w:val="0034102A"/>
    <w:rsid w:val="003874AC"/>
    <w:rsid w:val="00416812"/>
    <w:rsid w:val="00442C44"/>
    <w:rsid w:val="00450A1C"/>
    <w:rsid w:val="004640AD"/>
    <w:rsid w:val="004A713A"/>
    <w:rsid w:val="004D083D"/>
    <w:rsid w:val="00515DFD"/>
    <w:rsid w:val="005811F6"/>
    <w:rsid w:val="005E68D7"/>
    <w:rsid w:val="005F77FC"/>
    <w:rsid w:val="00621719"/>
    <w:rsid w:val="00662601"/>
    <w:rsid w:val="00682112"/>
    <w:rsid w:val="00694DA2"/>
    <w:rsid w:val="006F5007"/>
    <w:rsid w:val="00700BC6"/>
    <w:rsid w:val="00837FB1"/>
    <w:rsid w:val="0085619B"/>
    <w:rsid w:val="008A013C"/>
    <w:rsid w:val="008E1A7F"/>
    <w:rsid w:val="009267E4"/>
    <w:rsid w:val="009A04C8"/>
    <w:rsid w:val="009E65B9"/>
    <w:rsid w:val="00A76A83"/>
    <w:rsid w:val="00A90FF4"/>
    <w:rsid w:val="00AA3D81"/>
    <w:rsid w:val="00AB0380"/>
    <w:rsid w:val="00AB0DD5"/>
    <w:rsid w:val="00B22B81"/>
    <w:rsid w:val="00BA5782"/>
    <w:rsid w:val="00BF01E3"/>
    <w:rsid w:val="00C24103"/>
    <w:rsid w:val="00C30DEB"/>
    <w:rsid w:val="00C36D94"/>
    <w:rsid w:val="00C37821"/>
    <w:rsid w:val="00C46804"/>
    <w:rsid w:val="00C55C53"/>
    <w:rsid w:val="00C71BE2"/>
    <w:rsid w:val="00C802A6"/>
    <w:rsid w:val="00C9106F"/>
    <w:rsid w:val="00CA2CEE"/>
    <w:rsid w:val="00D2694A"/>
    <w:rsid w:val="00D636A6"/>
    <w:rsid w:val="00D945D6"/>
    <w:rsid w:val="00DC03A3"/>
    <w:rsid w:val="00E30F2C"/>
    <w:rsid w:val="00E714DF"/>
    <w:rsid w:val="00E9202F"/>
    <w:rsid w:val="00EB15A0"/>
    <w:rsid w:val="00EE40BE"/>
    <w:rsid w:val="00EF3D71"/>
    <w:rsid w:val="00EF6551"/>
    <w:rsid w:val="00F20DE9"/>
    <w:rsid w:val="00F90AA5"/>
    <w:rsid w:val="00FC1E36"/>
    <w:rsid w:val="00FC2E48"/>
    <w:rsid w:val="00FC6C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0600"/>
  <w15:docId w15:val="{44B92421-10EB-45F8-BC4E-4D5DC943D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F77FC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qFormat/>
    <w:rsid w:val="005F77FC"/>
    <w:rPr>
      <w:sz w:val="16"/>
      <w:szCs w:val="16"/>
    </w:rPr>
  </w:style>
  <w:style w:type="paragraph" w:styleId="Pta">
    <w:name w:val="footer"/>
    <w:basedOn w:val="Normlny"/>
    <w:link w:val="PtaChar"/>
    <w:uiPriority w:val="99"/>
    <w:unhideWhenUsed/>
    <w:rsid w:val="005F77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F77FC"/>
  </w:style>
  <w:style w:type="paragraph" w:styleId="Textkomentra">
    <w:name w:val="annotation text"/>
    <w:basedOn w:val="Normlny"/>
    <w:link w:val="TextkomentraChar"/>
    <w:uiPriority w:val="99"/>
    <w:semiHidden/>
    <w:unhideWhenUsed/>
    <w:rsid w:val="00A90FF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0FF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0FF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0FF4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0F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0FF4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F20D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0DE9"/>
  </w:style>
  <w:style w:type="paragraph" w:styleId="Odsekzoznamu">
    <w:name w:val="List Paragraph"/>
    <w:basedOn w:val="Normlny"/>
    <w:uiPriority w:val="34"/>
    <w:qFormat/>
    <w:rsid w:val="0006644B"/>
    <w:pPr>
      <w:ind w:left="720"/>
      <w:contextualSpacing/>
    </w:pPr>
    <w:rPr>
      <w:rFonts w:eastAsiaTheme="minorEastAsia"/>
      <w:color w:val="00000A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B5CF5-0BB0-4AAC-950E-388DEDFE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Broošová Natália</dc:creator>
  <cp:keywords/>
  <dc:description/>
  <cp:lastModifiedBy>Smažáková Janette</cp:lastModifiedBy>
  <cp:revision>7</cp:revision>
  <dcterms:created xsi:type="dcterms:W3CDTF">2022-01-14T10:28:00Z</dcterms:created>
  <dcterms:modified xsi:type="dcterms:W3CDTF">2022-09-30T06:36:00Z</dcterms:modified>
</cp:coreProperties>
</file>