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1E3390">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1E3390">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1E3390">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p w:rsidR="00D7581D" w:rsidRPr="00D7581D" w:rsidRDefault="00D7581D" w:rsidP="00D7581D">
            <w:pPr>
              <w:spacing w:after="0" w:line="240" w:lineRule="auto"/>
              <w:rPr>
                <w:rFonts w:ascii="Times New Roman" w:eastAsia="Calibri" w:hAnsi="Times New Roman" w:cs="Times New Roman"/>
                <w:sz w:val="18"/>
                <w:lang w:eastAsia="sk-SK"/>
              </w:rPr>
            </w:pPr>
          </w:p>
        </w:tc>
      </w:tr>
      <w:tr w:rsidR="002644DE" w:rsidRPr="002644DE" w:rsidTr="001E3390">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1E3390">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333B6B" w:rsidRDefault="000B7290" w:rsidP="00333B6B">
            <w:pPr>
              <w:pStyle w:val="Odsekzoznamu"/>
              <w:numPr>
                <w:ilvl w:val="0"/>
                <w:numId w:val="16"/>
              </w:numPr>
              <w:spacing w:after="0" w:line="240" w:lineRule="auto"/>
              <w:ind w:left="155" w:hanging="142"/>
              <w:jc w:val="both"/>
              <w:rPr>
                <w:rFonts w:ascii="Times New Roman" w:eastAsia="Times New Roman" w:hAnsi="Times New Roman"/>
                <w:sz w:val="20"/>
                <w:szCs w:val="20"/>
                <w:lang w:eastAsia="sk-SK"/>
              </w:rPr>
            </w:pPr>
            <w:r w:rsidRPr="00333B6B">
              <w:rPr>
                <w:rFonts w:ascii="Times New Roman" w:eastAsia="Times New Roman" w:hAnsi="Times New Roman"/>
                <w:sz w:val="20"/>
                <w:szCs w:val="20"/>
                <w:lang w:eastAsia="sk-SK"/>
              </w:rPr>
              <w:t>Zvýšenie výšky príspevku na vykonávanie absolventskej praxe (§ 51) zo 65 % sumy životného minima pre jednu plnoletú fyzickú osobu podľa osobitného predpisu na sumu životného minima pre jednu plnoletú fyzickú osobu podľa osobitného predpisu zvýši príjem domácností s uchádzačmi o zamestnanie, ktorí vykonávajú absolventskú prax</w:t>
            </w:r>
            <w:r w:rsidR="00935D77" w:rsidRPr="00333B6B">
              <w:rPr>
                <w:rFonts w:ascii="Times New Roman" w:eastAsia="Times New Roman" w:hAnsi="Times New Roman"/>
                <w:sz w:val="20"/>
                <w:szCs w:val="20"/>
                <w:lang w:eastAsia="sk-SK"/>
              </w:rPr>
              <w:t xml:space="preserve"> a</w:t>
            </w:r>
            <w:r w:rsidRPr="00333B6B">
              <w:rPr>
                <w:rFonts w:ascii="Times New Roman" w:eastAsia="Times New Roman" w:hAnsi="Times New Roman"/>
                <w:sz w:val="20"/>
                <w:szCs w:val="20"/>
                <w:lang w:eastAsia="sk-SK"/>
              </w:rPr>
              <w:t xml:space="preserve"> bude mať pozitívny vplyv na hospodár</w:t>
            </w:r>
            <w:r w:rsidR="00935D77" w:rsidRPr="00333B6B">
              <w:rPr>
                <w:rFonts w:ascii="Times New Roman" w:eastAsia="Times New Roman" w:hAnsi="Times New Roman"/>
                <w:sz w:val="20"/>
                <w:szCs w:val="20"/>
                <w:lang w:eastAsia="sk-SK"/>
              </w:rPr>
              <w:t>enie týchto domácností.</w:t>
            </w:r>
          </w:p>
          <w:p w:rsidR="007B13A1" w:rsidRPr="005C7724" w:rsidRDefault="007B13A1" w:rsidP="005C7724">
            <w:pPr>
              <w:pStyle w:val="Odsekzoznamu"/>
              <w:numPr>
                <w:ilvl w:val="0"/>
                <w:numId w:val="16"/>
              </w:numPr>
              <w:spacing w:after="0" w:line="240" w:lineRule="auto"/>
              <w:ind w:left="155" w:hanging="142"/>
              <w:jc w:val="both"/>
              <w:rPr>
                <w:rFonts w:ascii="Times New Roman" w:hAnsi="Times New Roman" w:cs="Times New Roman"/>
                <w:sz w:val="20"/>
                <w:szCs w:val="20"/>
              </w:rPr>
            </w:pPr>
            <w:r w:rsidRPr="005C7724">
              <w:rPr>
                <w:rFonts w:ascii="Times New Roman" w:eastAsia="Times New Roman" w:hAnsi="Times New Roman"/>
                <w:sz w:val="20"/>
                <w:szCs w:val="20"/>
                <w:lang w:eastAsia="sk-SK"/>
              </w:rPr>
              <w:t xml:space="preserve">Umožnenie výšky príspevku (§ 46a) až do výšky 100 % oprávnených nákladov uchádzača o zamestnanie súvisiacich s rekvalifikáciou, pričom za oprávnené náklady sa budú považovať  nielen cena rekvalifikácie, ale i cestovné výdavky a stravné podľa osobitného predpisu  za každý absolvovaný deň rekvalifikácie, pri poskytnutí príspevku do 30 dní od skončenia rekvalifikácie. </w:t>
            </w:r>
            <w:r w:rsidRPr="005C7724">
              <w:rPr>
                <w:rFonts w:ascii="Times New Roman" w:hAnsi="Times New Roman" w:cs="Times New Roman"/>
                <w:sz w:val="20"/>
                <w:szCs w:val="20"/>
              </w:rPr>
              <w:t>V porovnaní so súčasným právnym stavom, keď si UoZ uhrádza z vlastných finančných prostriedkov náklady na vzdelávanie a prípravu</w:t>
            </w:r>
            <w:r w:rsidRPr="005C7724">
              <w:rPr>
                <w:rFonts w:ascii="Times New Roman" w:eastAsia="Times New Roman" w:hAnsi="Times New Roman" w:cs="Times New Roman"/>
                <w:sz w:val="20"/>
                <w:szCs w:val="20"/>
                <w:lang w:eastAsia="sk-SK"/>
              </w:rPr>
              <w:t xml:space="preserve"> pre trh práce</w:t>
            </w:r>
            <w:r w:rsidRPr="005C7724">
              <w:rPr>
                <w:rFonts w:ascii="Times New Roman" w:hAnsi="Times New Roman" w:cs="Times New Roman"/>
                <w:sz w:val="20"/>
                <w:szCs w:val="20"/>
              </w:rPr>
              <w:t xml:space="preserve">, </w:t>
            </w:r>
            <w:r w:rsidRPr="005C7724">
              <w:rPr>
                <w:rFonts w:ascii="Times New Roman" w:eastAsia="Times New Roman" w:hAnsi="Times New Roman" w:cs="Times New Roman"/>
                <w:sz w:val="20"/>
                <w:szCs w:val="20"/>
                <w:lang w:eastAsia="sk-SK"/>
              </w:rPr>
              <w:t>ktoré si zabezpečil</w:t>
            </w:r>
            <w:r w:rsidRPr="005C7724">
              <w:rPr>
                <w:rFonts w:ascii="Times New Roman" w:hAnsi="Times New Roman" w:cs="Times New Roman"/>
                <w:sz w:val="20"/>
                <w:szCs w:val="20"/>
              </w:rPr>
              <w:t xml:space="preserve"> </w:t>
            </w:r>
            <w:r w:rsidRPr="005C7724">
              <w:rPr>
                <w:rFonts w:ascii="Times New Roman" w:eastAsia="Times New Roman" w:hAnsi="Times New Roman" w:cs="Times New Roman"/>
                <w:sz w:val="20"/>
                <w:szCs w:val="20"/>
                <w:lang w:eastAsia="sk-SK"/>
              </w:rPr>
              <w:t>z vlastnej iniciatívy</w:t>
            </w:r>
            <w:r w:rsidRPr="005C7724">
              <w:rPr>
                <w:rFonts w:ascii="Times New Roman" w:hAnsi="Times New Roman" w:cs="Times New Roman"/>
                <w:sz w:val="20"/>
                <w:szCs w:val="20"/>
              </w:rPr>
              <w:t xml:space="preserve"> a až následne dochádza k refundácii týchto nákladov, sa podľa navrhovanej právnej úpravy zabezpečuje, aby na strane UoZ nedochádzalo k finančným nákladom na rekvalifikáciu a úrad poskytne UoZ príspevok na základe písomnej dohody uzatvorenej medzi úradom a UoZ pri splnení podmienok tejto dohody.</w:t>
            </w:r>
            <w:r w:rsidR="00BD2F58">
              <w:rPr>
                <w:sz w:val="20"/>
                <w:szCs w:val="20"/>
              </w:rPr>
              <w:t xml:space="preserve"> </w:t>
            </w:r>
          </w:p>
          <w:p w:rsidR="00333B6B" w:rsidRPr="00333B6B" w:rsidRDefault="00333B6B" w:rsidP="005C7724">
            <w:pPr>
              <w:pStyle w:val="Odsekzoznamu"/>
              <w:spacing w:after="0" w:line="240" w:lineRule="auto"/>
              <w:ind w:left="155"/>
              <w:jc w:val="both"/>
              <w:rPr>
                <w:rFonts w:ascii="Times New Roman" w:eastAsia="Times New Roman" w:hAnsi="Times New Roman"/>
                <w:color w:val="FF0000"/>
                <w:sz w:val="20"/>
                <w:szCs w:val="20"/>
                <w:lang w:eastAsia="sk-SK"/>
              </w:rPr>
            </w:pPr>
          </w:p>
          <w:p w:rsidR="00333B6B" w:rsidRPr="000B7290" w:rsidRDefault="00333B6B" w:rsidP="00935D77">
            <w:pPr>
              <w:spacing w:after="0" w:line="240" w:lineRule="auto"/>
              <w:ind w:left="155"/>
              <w:contextualSpacing/>
              <w:jc w:val="both"/>
              <w:rPr>
                <w:rFonts w:ascii="Times New Roman" w:eastAsia="Calibri" w:hAnsi="Times New Roman" w:cs="Times New Roman"/>
                <w:sz w:val="20"/>
                <w:szCs w:val="20"/>
                <w:lang w:eastAsia="sk-SK"/>
              </w:rPr>
            </w:pPr>
          </w:p>
        </w:tc>
      </w:tr>
      <w:tr w:rsidR="002644DE" w:rsidRPr="002644DE" w:rsidTr="001E3390">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0B7290" w:rsidRPr="002B5079" w:rsidRDefault="000B7290" w:rsidP="000B7290">
            <w:pPr>
              <w:spacing w:after="0" w:line="240" w:lineRule="auto"/>
              <w:ind w:left="155"/>
              <w:jc w:val="both"/>
              <w:rPr>
                <w:rFonts w:ascii="Times New Roman" w:eastAsia="Calibri" w:hAnsi="Times New Roman" w:cs="Times New Roman"/>
                <w:sz w:val="20"/>
                <w:szCs w:val="20"/>
                <w:lang w:eastAsia="sk-SK"/>
              </w:rPr>
            </w:pPr>
            <w:r w:rsidRPr="002B5079">
              <w:rPr>
                <w:rFonts w:ascii="Times New Roman" w:eastAsia="Calibri" w:hAnsi="Times New Roman" w:cs="Times New Roman"/>
                <w:sz w:val="20"/>
                <w:szCs w:val="20"/>
                <w:lang w:eastAsia="sk-SK"/>
              </w:rPr>
              <w:t>Absolvent školy podľa § 8 ods. 1 písm. a) zákona o službách zamestnanosti</w:t>
            </w:r>
          </w:p>
        </w:tc>
      </w:tr>
      <w:tr w:rsidR="002644DE" w:rsidRPr="002644DE" w:rsidTr="001E3390">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333B6B" w:rsidRPr="002B5079" w:rsidRDefault="00333B6B" w:rsidP="00333B6B">
            <w:pPr>
              <w:spacing w:after="0" w:line="240" w:lineRule="auto"/>
              <w:ind w:left="155"/>
              <w:rPr>
                <w:rFonts w:ascii="Times New Roman" w:eastAsia="Calibri" w:hAnsi="Times New Roman" w:cs="Times New Roman"/>
                <w:sz w:val="20"/>
                <w:szCs w:val="20"/>
                <w:lang w:eastAsia="sk-SK"/>
              </w:rPr>
            </w:pPr>
            <w:r w:rsidRPr="002B5079">
              <w:rPr>
                <w:rFonts w:ascii="Times New Roman" w:eastAsia="Calibri" w:hAnsi="Times New Roman" w:cs="Times New Roman"/>
                <w:sz w:val="20"/>
                <w:szCs w:val="20"/>
                <w:lang w:eastAsia="sk-SK"/>
              </w:rPr>
              <w:t>Uchádzač o zamestnanie podľa § 6 zákona o službách zamestnanosti</w:t>
            </w:r>
          </w:p>
        </w:tc>
      </w:tr>
      <w:tr w:rsidR="002644DE" w:rsidRPr="002644DE" w:rsidTr="001E3390">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1E3390">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7B13A1" w:rsidRDefault="002D2453" w:rsidP="005C7724">
            <w:pPr>
              <w:spacing w:after="0" w:line="240" w:lineRule="auto"/>
              <w:jc w:val="both"/>
              <w:rPr>
                <w:rFonts w:ascii="Times New Roman" w:eastAsia="Calibri" w:hAnsi="Times New Roman" w:cs="Times New Roman"/>
                <w:b/>
                <w:bCs/>
                <w:color w:val="5B9BD5" w:themeColor="accent1"/>
                <w:sz w:val="20"/>
                <w:szCs w:val="20"/>
                <w:lang w:eastAsia="sk-SK"/>
              </w:rPr>
            </w:pPr>
            <w:r w:rsidRPr="002D2453">
              <w:rPr>
                <w:rFonts w:ascii="Times New Roman" w:eastAsia="Calibri" w:hAnsi="Times New Roman" w:cs="Times New Roman"/>
                <w:sz w:val="20"/>
                <w:szCs w:val="20"/>
                <w:lang w:eastAsia="sk-SK"/>
              </w:rPr>
              <w:t>Absolventi školy vykonávajúci absolventskú prax budú môcť získať príspevok vyšší až o 82,04 € mesačne po dobu od 3 do 6 mesiacov, čo znamená zvýšený príjem do dotknutých domácností od 246,12 € do 492,24 € ročne, podľa dĺžky vykonávanej absolventskej praxe.</w:t>
            </w:r>
          </w:p>
          <w:p w:rsidR="007B13A1" w:rsidRDefault="002D2453" w:rsidP="005C7724">
            <w:pPr>
              <w:spacing w:after="0" w:line="240" w:lineRule="auto"/>
              <w:jc w:val="both"/>
              <w:rPr>
                <w:rFonts w:ascii="Times New Roman" w:eastAsia="Calibri" w:hAnsi="Times New Roman" w:cs="Times New Roman"/>
                <w:b/>
                <w:bCs/>
                <w:color w:val="5B9BD5" w:themeColor="accent1"/>
                <w:sz w:val="20"/>
                <w:szCs w:val="20"/>
                <w:lang w:eastAsia="sk-SK"/>
              </w:rPr>
            </w:pPr>
            <w:r w:rsidRPr="002D2453">
              <w:rPr>
                <w:rFonts w:ascii="Times New Roman" w:eastAsia="Calibri" w:hAnsi="Times New Roman" w:cs="Times New Roman"/>
                <w:sz w:val="20"/>
                <w:szCs w:val="20"/>
                <w:lang w:eastAsia="sk-SK"/>
              </w:rPr>
              <w:t>Predpokladá sa, že môže byť ovplyvnených 5 250 absolventov školy v roku.</w:t>
            </w:r>
            <w:r>
              <w:rPr>
                <w:rFonts w:ascii="Times New Roman" w:eastAsia="Calibri" w:hAnsi="Times New Roman" w:cs="Times New Roman"/>
                <w:sz w:val="20"/>
                <w:szCs w:val="20"/>
                <w:lang w:eastAsia="sk-SK"/>
              </w:rPr>
              <w:t xml:space="preserve"> </w:t>
            </w:r>
            <w:r w:rsidR="00695940">
              <w:rPr>
                <w:rFonts w:ascii="Times New Roman" w:eastAsia="Calibri" w:hAnsi="Times New Roman" w:cs="Times New Roman"/>
                <w:sz w:val="20"/>
                <w:szCs w:val="20"/>
                <w:lang w:eastAsia="sk-SK"/>
              </w:rPr>
              <w:t xml:space="preserve"> </w:t>
            </w:r>
          </w:p>
        </w:tc>
      </w:tr>
      <w:tr w:rsidR="002644DE" w:rsidRPr="002644DE" w:rsidTr="001E3390">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2</w:t>
            </w:r>
          </w:p>
          <w:p w:rsidR="002D2453" w:rsidRPr="002D2453" w:rsidRDefault="002D2453" w:rsidP="002D2453">
            <w:pPr>
              <w:spacing w:after="0" w:line="240" w:lineRule="auto"/>
              <w:jc w:val="both"/>
              <w:rPr>
                <w:rFonts w:ascii="Times New Roman" w:eastAsia="Calibri" w:hAnsi="Times New Roman" w:cs="Times New Roman"/>
                <w:sz w:val="20"/>
                <w:szCs w:val="20"/>
                <w:lang w:eastAsia="sk-SK"/>
              </w:rPr>
            </w:pPr>
            <w:r w:rsidRPr="002D2453">
              <w:rPr>
                <w:rFonts w:ascii="Times New Roman" w:eastAsia="Calibri" w:hAnsi="Times New Roman" w:cs="Times New Roman"/>
                <w:sz w:val="20"/>
                <w:szCs w:val="20"/>
                <w:lang w:eastAsia="sk-SK"/>
              </w:rPr>
              <w:t>Navrhovaný nový príspevok na vzdelávanie môže znížiť výdavky dotknutých domácností v priemere až o 548 € jednorazovo v súvislosti s uhradením nákladov uchádzača o zamestnanie súvisiacich s rekvalifikáciou, cestovnými výdavkami a stravným za každý absolvovaný deň rekvalifikácie.</w:t>
            </w:r>
          </w:p>
          <w:p w:rsidR="00CC005D" w:rsidRPr="002B5079" w:rsidRDefault="002D2453" w:rsidP="002D2453">
            <w:pPr>
              <w:spacing w:after="0" w:line="240" w:lineRule="auto"/>
              <w:jc w:val="both"/>
              <w:rPr>
                <w:rFonts w:ascii="Times New Roman" w:eastAsia="Calibri" w:hAnsi="Times New Roman" w:cs="Times New Roman"/>
                <w:sz w:val="20"/>
                <w:szCs w:val="20"/>
                <w:lang w:eastAsia="sk-SK"/>
              </w:rPr>
            </w:pPr>
            <w:r w:rsidRPr="002D2453">
              <w:rPr>
                <w:rFonts w:ascii="Times New Roman" w:eastAsia="Calibri" w:hAnsi="Times New Roman" w:cs="Times New Roman"/>
                <w:sz w:val="20"/>
                <w:szCs w:val="20"/>
                <w:lang w:eastAsia="sk-SK"/>
              </w:rPr>
              <w:t>Predpokladá sa, že počet ovplyvnených môže dosiahnuť 13 478 domácností/uchádzačov o zamestnanie, ktorí môžu získať nový príspevok.</w:t>
            </w:r>
            <w:r>
              <w:rPr>
                <w:rFonts w:ascii="Times New Roman" w:eastAsia="Calibri" w:hAnsi="Times New Roman" w:cs="Times New Roman"/>
                <w:sz w:val="20"/>
                <w:szCs w:val="20"/>
                <w:lang w:eastAsia="sk-SK"/>
              </w:rPr>
              <w:t xml:space="preserve"> </w:t>
            </w:r>
            <w:r w:rsidR="00CC005D">
              <w:rPr>
                <w:rFonts w:ascii="Times New Roman" w:eastAsia="Calibri" w:hAnsi="Times New Roman" w:cs="Times New Roman"/>
                <w:sz w:val="20"/>
                <w:szCs w:val="20"/>
                <w:lang w:eastAsia="sk-SK"/>
              </w:rPr>
              <w:t xml:space="preserve"> </w:t>
            </w:r>
          </w:p>
        </w:tc>
      </w:tr>
      <w:tr w:rsidR="002644DE" w:rsidRPr="002644DE" w:rsidTr="001E3390">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1E3390">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1E3390">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1E3390">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1E3390">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1E3390">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1E3390">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1E3390">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1E3390">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0B7290" w:rsidP="00333B6B">
            <w:pPr>
              <w:spacing w:after="0" w:line="240" w:lineRule="auto"/>
              <w:ind w:left="155"/>
              <w:contextualSpacing/>
              <w:jc w:val="both"/>
              <w:rPr>
                <w:rFonts w:ascii="Times New Roman" w:eastAsia="Calibri" w:hAnsi="Times New Roman" w:cs="Times New Roman"/>
                <w:sz w:val="20"/>
                <w:szCs w:val="20"/>
                <w:lang w:eastAsia="sk-SK"/>
              </w:rPr>
            </w:pPr>
            <w:r w:rsidRPr="00333B6B">
              <w:rPr>
                <w:rFonts w:ascii="Times New Roman" w:eastAsia="Calibri" w:hAnsi="Times New Roman" w:cs="Times New Roman"/>
                <w:sz w:val="20"/>
                <w:szCs w:val="20"/>
                <w:lang w:eastAsia="sk-SK"/>
              </w:rPr>
              <w:t>Vypustenie príspevku na aktivačnú činnosť formou dobrovoľníckej služby (§ 52a) môže mať negatívny vplyv na hospodárenie domácností</w:t>
            </w:r>
            <w:r w:rsidR="00935D77" w:rsidRPr="00333B6B">
              <w:rPr>
                <w:rFonts w:ascii="Times New Roman" w:eastAsia="Calibri" w:hAnsi="Times New Roman" w:cs="Times New Roman"/>
                <w:sz w:val="20"/>
                <w:szCs w:val="20"/>
                <w:lang w:eastAsia="sk-SK"/>
              </w:rPr>
              <w:t>, ktorých členovia vykonávajú aktivačnú činnosť formou dobrovoľníckej služby, a to možným znížením príjmov týchto domácností</w:t>
            </w:r>
            <w:r w:rsidR="00333B6B" w:rsidRPr="00333B6B">
              <w:rPr>
                <w:rFonts w:ascii="Times New Roman" w:eastAsia="Calibri" w:hAnsi="Times New Roman" w:cs="Times New Roman"/>
                <w:sz w:val="20"/>
                <w:szCs w:val="20"/>
                <w:lang w:eastAsia="sk-SK"/>
              </w:rPr>
              <w:t xml:space="preserve">. Tieto vplyvy sa však zároveň </w:t>
            </w:r>
            <w:r w:rsidR="00F00E17">
              <w:rPr>
                <w:rFonts w:ascii="Times New Roman" w:eastAsia="Calibri" w:hAnsi="Times New Roman" w:cs="Times New Roman"/>
                <w:sz w:val="20"/>
                <w:szCs w:val="20"/>
                <w:lang w:eastAsia="sk-SK"/>
              </w:rPr>
              <w:t xml:space="preserve">budú </w:t>
            </w:r>
            <w:r w:rsidR="00333B6B" w:rsidRPr="00333B6B">
              <w:rPr>
                <w:rFonts w:ascii="Times New Roman" w:eastAsia="Calibri" w:hAnsi="Times New Roman" w:cs="Times New Roman"/>
                <w:sz w:val="20"/>
                <w:szCs w:val="20"/>
                <w:lang w:eastAsia="sk-SK"/>
              </w:rPr>
              <w:t>kompenz</w:t>
            </w:r>
            <w:r w:rsidR="00F00E17">
              <w:rPr>
                <w:rFonts w:ascii="Times New Roman" w:eastAsia="Calibri" w:hAnsi="Times New Roman" w:cs="Times New Roman"/>
                <w:sz w:val="20"/>
                <w:szCs w:val="20"/>
                <w:lang w:eastAsia="sk-SK"/>
              </w:rPr>
              <w:t>ovať</w:t>
            </w:r>
            <w:r w:rsidR="00333B6B" w:rsidRPr="00333B6B">
              <w:rPr>
                <w:rFonts w:ascii="Times New Roman" w:eastAsia="Calibri" w:hAnsi="Times New Roman" w:cs="Times New Roman"/>
                <w:sz w:val="20"/>
                <w:szCs w:val="20"/>
                <w:lang w:eastAsia="sk-SK"/>
              </w:rPr>
              <w:t xml:space="preserve"> umožnením aktivít realizovaných podľa príp. potreby obcí v rámci projektov a programov podľa § 54 zákona o službách zamestnanosti, avšak pri predchádzaní duplicitám so zákonom o dobrovoľníctve</w:t>
            </w:r>
            <w:r w:rsidR="00935D77" w:rsidRPr="00333B6B">
              <w:rPr>
                <w:rFonts w:ascii="Times New Roman" w:eastAsia="Calibri" w:hAnsi="Times New Roman" w:cs="Times New Roman"/>
                <w:sz w:val="20"/>
                <w:szCs w:val="20"/>
                <w:lang w:eastAsia="sk-SK"/>
              </w:rPr>
              <w:t xml:space="preserve"> </w:t>
            </w:r>
            <w:r w:rsidR="00935D77">
              <w:rPr>
                <w:rFonts w:ascii="Times New Roman" w:eastAsia="Calibri" w:hAnsi="Times New Roman" w:cs="Times New Roman"/>
                <w:color w:val="FF0000"/>
                <w:sz w:val="20"/>
                <w:szCs w:val="20"/>
                <w:lang w:eastAsia="sk-SK"/>
              </w:rPr>
              <w:t xml:space="preserve"> </w:t>
            </w:r>
            <w:r>
              <w:rPr>
                <w:rFonts w:ascii="Times New Roman" w:eastAsia="Calibri" w:hAnsi="Times New Roman" w:cs="Times New Roman"/>
                <w:color w:val="FF0000"/>
                <w:sz w:val="20"/>
                <w:szCs w:val="20"/>
                <w:lang w:eastAsia="sk-SK"/>
              </w:rPr>
              <w:t xml:space="preserve"> </w:t>
            </w:r>
          </w:p>
        </w:tc>
      </w:tr>
      <w:tr w:rsidR="002644DE" w:rsidRPr="002644DE" w:rsidTr="001E3390">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p w:rsidR="00935D77" w:rsidRPr="001E692E" w:rsidRDefault="00935D77" w:rsidP="00333B6B">
            <w:pPr>
              <w:spacing w:after="0" w:line="240" w:lineRule="auto"/>
              <w:ind w:left="155"/>
              <w:rPr>
                <w:rFonts w:ascii="Times New Roman" w:eastAsia="Calibri" w:hAnsi="Times New Roman" w:cs="Times New Roman"/>
                <w:sz w:val="20"/>
                <w:szCs w:val="20"/>
                <w:lang w:eastAsia="sk-SK"/>
              </w:rPr>
            </w:pPr>
            <w:r w:rsidRPr="001E692E">
              <w:rPr>
                <w:rFonts w:ascii="Times New Roman" w:eastAsia="Calibri" w:hAnsi="Times New Roman" w:cs="Times New Roman"/>
                <w:sz w:val="20"/>
                <w:szCs w:val="20"/>
                <w:lang w:eastAsia="sk-SK"/>
              </w:rPr>
              <w:t>Uchádzač o zamestnanie, ktorý vykonáva aktivačnú činnosť podľa § 52a</w:t>
            </w:r>
            <w:r w:rsidR="001E692E">
              <w:rPr>
                <w:rFonts w:ascii="Times New Roman" w:eastAsia="Calibri" w:hAnsi="Times New Roman" w:cs="Times New Roman"/>
                <w:sz w:val="20"/>
                <w:szCs w:val="20"/>
                <w:lang w:eastAsia="sk-SK"/>
              </w:rPr>
              <w:t>.</w:t>
            </w:r>
          </w:p>
        </w:tc>
      </w:tr>
      <w:tr w:rsidR="002644DE" w:rsidRPr="002644DE" w:rsidTr="001E3390">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1E3390">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D2453" w:rsidRDefault="00636449" w:rsidP="002644DE">
            <w:pPr>
              <w:spacing w:after="0" w:line="240" w:lineRule="auto"/>
              <w:rPr>
                <w:rFonts w:ascii="Times New Roman" w:eastAsia="Calibri" w:hAnsi="Times New Roman" w:cs="Times New Roman"/>
                <w:i/>
                <w:sz w:val="18"/>
                <w:szCs w:val="20"/>
                <w:lang w:eastAsia="sk-SK"/>
              </w:rPr>
            </w:pPr>
            <w:r w:rsidRPr="002D2453">
              <w:rPr>
                <w:rFonts w:ascii="Times New Roman" w:eastAsia="Calibri" w:hAnsi="Times New Roman" w:cs="Times New Roman"/>
                <w:i/>
                <w:sz w:val="18"/>
                <w:szCs w:val="20"/>
                <w:lang w:eastAsia="sk-SK"/>
              </w:rPr>
              <w:t>Ovplyvnená skupina č. 1</w:t>
            </w:r>
          </w:p>
          <w:p w:rsidR="00F00E17" w:rsidRPr="002D2453" w:rsidRDefault="002D2453" w:rsidP="00F00E17">
            <w:pPr>
              <w:spacing w:after="0" w:line="240" w:lineRule="auto"/>
              <w:jc w:val="both"/>
              <w:rPr>
                <w:rFonts w:ascii="Times New Roman" w:eastAsia="Calibri" w:hAnsi="Times New Roman" w:cs="Times New Roman"/>
                <w:sz w:val="20"/>
                <w:szCs w:val="20"/>
                <w:lang w:eastAsia="sk-SK"/>
              </w:rPr>
            </w:pPr>
            <w:r w:rsidRPr="002D2453">
              <w:rPr>
                <w:rFonts w:ascii="Times New Roman" w:eastAsia="Calibri" w:hAnsi="Times New Roman" w:cs="Times New Roman"/>
                <w:sz w:val="20"/>
                <w:szCs w:val="20"/>
                <w:lang w:eastAsia="sk-SK"/>
              </w:rPr>
              <w:t>Oproti platnému právnemu stavu by mohlo prísť k poklesu príjmov až o 234,42 € mesačne najviac počas 12 mesiacov u dotknutých domácností. Predpokladá sa, že v priemere pôjde o nižšie príjmy o 1 438 € ročne na jednu dotknutú domácnosť. Dotknutá skupina môže predstavovať 7 532 domácností / uchádzačov o zamestnanie.</w:t>
            </w:r>
          </w:p>
        </w:tc>
      </w:tr>
      <w:tr w:rsidR="002644DE" w:rsidRPr="002644DE" w:rsidTr="001E3390">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1E3390">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1E3390">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1E3390">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1E3390">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1E3390">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1E3390">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1E3390">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1E3390">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1E3390">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1E3390">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1E3390">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DC4572" w:rsidRDefault="00AD36D9" w:rsidP="00DC4572">
            <w:pPr>
              <w:spacing w:after="0" w:line="240" w:lineRule="auto"/>
              <w:jc w:val="both"/>
              <w:rPr>
                <w:rFonts w:ascii="Times New Roman" w:eastAsia="Calibri" w:hAnsi="Times New Roman" w:cs="Times New Roman"/>
                <w:sz w:val="20"/>
                <w:szCs w:val="20"/>
                <w:lang w:eastAsia="sk-SK"/>
              </w:rPr>
            </w:pPr>
            <w:r w:rsidRPr="00DC4572">
              <w:rPr>
                <w:rFonts w:ascii="Times New Roman" w:eastAsia="Calibri" w:hAnsi="Times New Roman" w:cs="Times New Roman"/>
                <w:sz w:val="20"/>
                <w:szCs w:val="20"/>
                <w:lang w:eastAsia="sk-SK"/>
              </w:rPr>
              <w:t xml:space="preserve">Predkladaný návrh zákona zlepšuje </w:t>
            </w:r>
            <w:r w:rsidR="001E3390" w:rsidRPr="00DC4572">
              <w:rPr>
                <w:rFonts w:ascii="Times New Roman" w:eastAsia="Calibri" w:hAnsi="Times New Roman" w:cs="Times New Roman"/>
                <w:sz w:val="20"/>
                <w:szCs w:val="20"/>
                <w:lang w:eastAsia="sk-SK"/>
              </w:rPr>
              <w:t xml:space="preserve">najmä prístup k zamestnaniu, na trh práce, vzdelávaniu a príprave pre trh práce: </w:t>
            </w:r>
          </w:p>
          <w:p w:rsidR="00210BC0" w:rsidRPr="00DC4572" w:rsidRDefault="006D1B47" w:rsidP="00DC4572">
            <w:pPr>
              <w:pStyle w:val="Odsekzoznamu"/>
              <w:numPr>
                <w:ilvl w:val="0"/>
                <w:numId w:val="9"/>
              </w:numPr>
              <w:spacing w:after="0" w:line="240" w:lineRule="auto"/>
              <w:ind w:left="219" w:hanging="219"/>
              <w:jc w:val="both"/>
              <w:rPr>
                <w:rFonts w:ascii="Times New Roman" w:eastAsia="Calibri" w:hAnsi="Times New Roman" w:cs="Times New Roman"/>
                <w:sz w:val="20"/>
                <w:szCs w:val="20"/>
                <w:lang w:eastAsia="sk-SK"/>
              </w:rPr>
            </w:pPr>
            <w:r w:rsidRPr="00DC4572">
              <w:rPr>
                <w:rFonts w:ascii="Times New Roman" w:eastAsia="Calibri" w:hAnsi="Times New Roman" w:cs="Times New Roman"/>
                <w:sz w:val="20"/>
                <w:szCs w:val="20"/>
                <w:lang w:eastAsia="sk-SK"/>
              </w:rPr>
              <w:t xml:space="preserve">pre fyzické osoby, ktoré sa odo dňa vstupu do likvidácie obchodnej spoločnosti nebudú považovať za samostatne zárobkovo činnú osobu podľa § 5 ods. 1 písm. a) zákona o službách zamestnanosti, čím sa im </w:t>
            </w:r>
            <w:r w:rsidR="00210BC0" w:rsidRPr="00DC4572">
              <w:rPr>
                <w:rFonts w:ascii="Times New Roman" w:eastAsia="Calibri" w:hAnsi="Times New Roman" w:cs="Times New Roman"/>
                <w:sz w:val="20"/>
                <w:szCs w:val="20"/>
                <w:lang w:eastAsia="sk-SK"/>
              </w:rPr>
              <w:t>umožn</w:t>
            </w:r>
            <w:r w:rsidRPr="00DC4572">
              <w:rPr>
                <w:rFonts w:ascii="Times New Roman" w:eastAsia="Calibri" w:hAnsi="Times New Roman" w:cs="Times New Roman"/>
                <w:sz w:val="20"/>
                <w:szCs w:val="20"/>
                <w:lang w:eastAsia="sk-SK"/>
              </w:rPr>
              <w:t>í</w:t>
            </w:r>
            <w:r w:rsidR="00210BC0" w:rsidRPr="00DC4572">
              <w:rPr>
                <w:rFonts w:ascii="Times New Roman" w:eastAsia="Calibri" w:hAnsi="Times New Roman" w:cs="Times New Roman"/>
                <w:sz w:val="20"/>
                <w:szCs w:val="20"/>
                <w:lang w:eastAsia="sk-SK"/>
              </w:rPr>
              <w:t xml:space="preserve"> zaradeni</w:t>
            </w:r>
            <w:r w:rsidRPr="00DC4572">
              <w:rPr>
                <w:rFonts w:ascii="Times New Roman" w:eastAsia="Calibri" w:hAnsi="Times New Roman" w:cs="Times New Roman"/>
                <w:sz w:val="20"/>
                <w:szCs w:val="20"/>
                <w:lang w:eastAsia="sk-SK"/>
              </w:rPr>
              <w:t>e</w:t>
            </w:r>
            <w:r w:rsidR="00210BC0" w:rsidRPr="00DC4572">
              <w:rPr>
                <w:rFonts w:ascii="Times New Roman" w:eastAsia="Calibri" w:hAnsi="Times New Roman" w:cs="Times New Roman"/>
                <w:sz w:val="20"/>
                <w:szCs w:val="20"/>
                <w:lang w:eastAsia="sk-SK"/>
              </w:rPr>
              <w:t xml:space="preserve"> do evidencie uchádzačov o</w:t>
            </w:r>
            <w:r w:rsidR="001E3390" w:rsidRPr="00DC4572">
              <w:rPr>
                <w:rFonts w:ascii="Times New Roman" w:eastAsia="Calibri" w:hAnsi="Times New Roman" w:cs="Times New Roman"/>
                <w:sz w:val="20"/>
                <w:szCs w:val="20"/>
                <w:lang w:eastAsia="sk-SK"/>
              </w:rPr>
              <w:t> </w:t>
            </w:r>
            <w:r w:rsidR="00210BC0" w:rsidRPr="00DC4572">
              <w:rPr>
                <w:rFonts w:ascii="Times New Roman" w:eastAsia="Calibri" w:hAnsi="Times New Roman" w:cs="Times New Roman"/>
                <w:sz w:val="20"/>
                <w:szCs w:val="20"/>
                <w:lang w:eastAsia="sk-SK"/>
              </w:rPr>
              <w:t>zamestnanie</w:t>
            </w:r>
            <w:r w:rsidR="001E3390" w:rsidRPr="00DC4572">
              <w:rPr>
                <w:rFonts w:ascii="Times New Roman" w:eastAsia="Calibri" w:hAnsi="Times New Roman" w:cs="Times New Roman"/>
                <w:sz w:val="20"/>
                <w:szCs w:val="20"/>
                <w:lang w:eastAsia="sk-SK"/>
              </w:rPr>
              <w:t xml:space="preserve"> </w:t>
            </w:r>
            <w:r w:rsidR="00210BC0" w:rsidRPr="00DC4572">
              <w:rPr>
                <w:rFonts w:ascii="Times New Roman" w:eastAsia="Calibri" w:hAnsi="Times New Roman" w:cs="Times New Roman"/>
                <w:sz w:val="20"/>
                <w:szCs w:val="20"/>
                <w:lang w:eastAsia="sk-SK"/>
              </w:rPr>
              <w:t>a</w:t>
            </w:r>
            <w:r w:rsidR="001C4A70" w:rsidRPr="00DC4572">
              <w:rPr>
                <w:rFonts w:ascii="Times New Roman" w:eastAsia="Calibri" w:hAnsi="Times New Roman" w:cs="Times New Roman"/>
                <w:sz w:val="20"/>
                <w:szCs w:val="20"/>
                <w:lang w:eastAsia="sk-SK"/>
              </w:rPr>
              <w:t xml:space="preserve"> prípadné </w:t>
            </w:r>
            <w:r w:rsidR="00210BC0" w:rsidRPr="00DC4572">
              <w:rPr>
                <w:rFonts w:ascii="Times New Roman" w:eastAsia="Calibri" w:hAnsi="Times New Roman" w:cs="Times New Roman"/>
                <w:sz w:val="20"/>
                <w:szCs w:val="20"/>
                <w:lang w:eastAsia="sk-SK"/>
              </w:rPr>
              <w:t>poberani</w:t>
            </w:r>
            <w:r w:rsidRPr="00DC4572">
              <w:rPr>
                <w:rFonts w:ascii="Times New Roman" w:eastAsia="Calibri" w:hAnsi="Times New Roman" w:cs="Times New Roman"/>
                <w:sz w:val="20"/>
                <w:szCs w:val="20"/>
                <w:lang w:eastAsia="sk-SK"/>
              </w:rPr>
              <w:t>e</w:t>
            </w:r>
            <w:r w:rsidR="00210BC0" w:rsidRPr="00DC4572">
              <w:rPr>
                <w:rFonts w:ascii="Times New Roman" w:eastAsia="Calibri" w:hAnsi="Times New Roman" w:cs="Times New Roman"/>
                <w:sz w:val="20"/>
                <w:szCs w:val="20"/>
                <w:lang w:eastAsia="sk-SK"/>
              </w:rPr>
              <w:t xml:space="preserve"> dávky v nezamestnanosti</w:t>
            </w:r>
            <w:r w:rsidR="000D5E24" w:rsidRPr="00DC4572">
              <w:rPr>
                <w:rFonts w:ascii="Times New Roman" w:eastAsia="Calibri" w:hAnsi="Times New Roman" w:cs="Times New Roman"/>
                <w:sz w:val="20"/>
                <w:szCs w:val="20"/>
                <w:lang w:eastAsia="sk-SK"/>
              </w:rPr>
              <w:t xml:space="preserve"> </w:t>
            </w:r>
            <w:r w:rsidR="00E1027F" w:rsidRPr="00DC4572">
              <w:rPr>
                <w:rFonts w:ascii="Times New Roman" w:eastAsia="Calibri" w:hAnsi="Times New Roman" w:cs="Times New Roman"/>
                <w:sz w:val="20"/>
                <w:szCs w:val="20"/>
                <w:lang w:eastAsia="sk-SK"/>
              </w:rPr>
              <w:t>(ú</w:t>
            </w:r>
            <w:r w:rsidR="000D5E24" w:rsidRPr="00DC4572">
              <w:rPr>
                <w:rFonts w:ascii="Times New Roman" w:eastAsia="Calibri" w:hAnsi="Times New Roman" w:cs="Times New Roman"/>
                <w:sz w:val="20"/>
                <w:szCs w:val="20"/>
                <w:lang w:eastAsia="sk-SK"/>
              </w:rPr>
              <w:t>prava sa týka nízkeho počtu osôb, pre</w:t>
            </w:r>
            <w:r w:rsidRPr="00DC4572">
              <w:rPr>
                <w:rFonts w:ascii="Times New Roman" w:eastAsia="Calibri" w:hAnsi="Times New Roman" w:cs="Times New Roman"/>
                <w:sz w:val="20"/>
                <w:szCs w:val="20"/>
                <w:lang w:eastAsia="sk-SK"/>
              </w:rPr>
              <w:t>to</w:t>
            </w:r>
            <w:r w:rsidR="000D5E24" w:rsidRPr="00DC4572">
              <w:rPr>
                <w:rFonts w:ascii="Times New Roman" w:eastAsia="Calibri" w:hAnsi="Times New Roman" w:cs="Times New Roman"/>
                <w:sz w:val="20"/>
                <w:szCs w:val="20"/>
                <w:lang w:eastAsia="sk-SK"/>
              </w:rPr>
              <w:t xml:space="preserve"> z hľadiska kvantifikácie ide o marginálny vplyv</w:t>
            </w:r>
            <w:r w:rsidR="00E1027F" w:rsidRPr="00DC4572">
              <w:rPr>
                <w:rFonts w:ascii="Times New Roman" w:eastAsia="Calibri" w:hAnsi="Times New Roman" w:cs="Times New Roman"/>
                <w:sz w:val="20"/>
                <w:szCs w:val="20"/>
                <w:lang w:eastAsia="sk-SK"/>
              </w:rPr>
              <w:t>)</w:t>
            </w:r>
            <w:r w:rsidR="000D5E24" w:rsidRPr="00DC4572">
              <w:rPr>
                <w:rFonts w:ascii="Times New Roman" w:eastAsia="Calibri" w:hAnsi="Times New Roman" w:cs="Times New Roman"/>
                <w:sz w:val="20"/>
                <w:szCs w:val="20"/>
                <w:lang w:eastAsia="sk-SK"/>
              </w:rPr>
              <w:t>.</w:t>
            </w:r>
          </w:p>
          <w:p w:rsidR="00D620E7" w:rsidRPr="001E692E" w:rsidRDefault="00531CEA" w:rsidP="00DC4572">
            <w:pPr>
              <w:pStyle w:val="Odsekzoznamu"/>
              <w:numPr>
                <w:ilvl w:val="0"/>
                <w:numId w:val="9"/>
              </w:numPr>
              <w:spacing w:after="0" w:line="240" w:lineRule="auto"/>
              <w:ind w:left="219" w:hanging="219"/>
              <w:jc w:val="both"/>
              <w:rPr>
                <w:rFonts w:ascii="Times New Roman" w:eastAsia="Calibri" w:hAnsi="Times New Roman" w:cs="Times New Roman"/>
                <w:sz w:val="20"/>
                <w:szCs w:val="20"/>
                <w:lang w:eastAsia="sk-SK"/>
              </w:rPr>
            </w:pPr>
            <w:r>
              <w:rPr>
                <w:rFonts w:ascii="Times New Roman" w:hAnsi="Times New Roman" w:cs="Times New Roman"/>
                <w:sz w:val="20"/>
                <w:szCs w:val="20"/>
              </w:rPr>
              <w:t xml:space="preserve">pre </w:t>
            </w:r>
            <w:r w:rsidR="00210BC0" w:rsidRPr="00DC4572">
              <w:rPr>
                <w:rFonts w:ascii="Times New Roman" w:hAnsi="Times New Roman" w:cs="Times New Roman"/>
                <w:sz w:val="20"/>
                <w:szCs w:val="20"/>
              </w:rPr>
              <w:t>rodičov po materskej dovolenke a rodičovskej dovolenke</w:t>
            </w:r>
            <w:r w:rsidR="002E3049">
              <w:rPr>
                <w:rFonts w:ascii="Times New Roman" w:hAnsi="Times New Roman" w:cs="Times New Roman"/>
                <w:sz w:val="20"/>
                <w:szCs w:val="20"/>
              </w:rPr>
              <w:t>,</w:t>
            </w:r>
            <w:r>
              <w:rPr>
                <w:rFonts w:ascii="Times New Roman" w:hAnsi="Times New Roman" w:cs="Times New Roman"/>
                <w:sz w:val="20"/>
                <w:szCs w:val="20"/>
              </w:rPr>
              <w:t xml:space="preserve"> </w:t>
            </w:r>
            <w:r w:rsidR="002E3049">
              <w:rPr>
                <w:rFonts w:ascii="Times New Roman" w:hAnsi="Times New Roman" w:cs="Times New Roman"/>
                <w:sz w:val="20"/>
                <w:szCs w:val="20"/>
              </w:rPr>
              <w:t>ktorí</w:t>
            </w:r>
            <w:r w:rsidR="007B13A1" w:rsidRPr="005C7724">
              <w:rPr>
                <w:rFonts w:ascii="Times New Roman" w:hAnsi="Times New Roman" w:cs="Times New Roman"/>
                <w:sz w:val="20"/>
                <w:szCs w:val="20"/>
              </w:rPr>
              <w:t xml:space="preserve"> ukončil</w:t>
            </w:r>
            <w:r w:rsidR="002E3049">
              <w:rPr>
                <w:rFonts w:ascii="Times New Roman" w:hAnsi="Times New Roman" w:cs="Times New Roman"/>
                <w:sz w:val="20"/>
                <w:szCs w:val="20"/>
              </w:rPr>
              <w:t>i</w:t>
            </w:r>
            <w:r w:rsidR="007B13A1" w:rsidRPr="005C7724">
              <w:rPr>
                <w:rFonts w:ascii="Times New Roman" w:hAnsi="Times New Roman" w:cs="Times New Roman"/>
                <w:sz w:val="20"/>
                <w:szCs w:val="20"/>
              </w:rPr>
              <w:t xml:space="preserve"> poberanie materského alebo poberanie rodičovského príspevku menej ako dva roky pred zaradením do evidencie </w:t>
            </w:r>
            <w:r w:rsidR="002E3049">
              <w:rPr>
                <w:rFonts w:ascii="Times New Roman" w:hAnsi="Times New Roman" w:cs="Times New Roman"/>
                <w:sz w:val="20"/>
                <w:szCs w:val="20"/>
              </w:rPr>
              <w:t>uchádzačov o zamestnanie a ktorí</w:t>
            </w:r>
            <w:r w:rsidR="007B13A1" w:rsidRPr="005C7724">
              <w:rPr>
                <w:rFonts w:ascii="Times New Roman" w:hAnsi="Times New Roman" w:cs="Times New Roman"/>
                <w:sz w:val="20"/>
                <w:szCs w:val="20"/>
              </w:rPr>
              <w:t xml:space="preserve"> počas poberania materského alebo poberania rodičovského príspevku nemal</w:t>
            </w:r>
            <w:r w:rsidR="00F46949">
              <w:rPr>
                <w:rFonts w:ascii="Times New Roman" w:hAnsi="Times New Roman" w:cs="Times New Roman"/>
                <w:sz w:val="20"/>
                <w:szCs w:val="20"/>
              </w:rPr>
              <w:t>i</w:t>
            </w:r>
            <w:r w:rsidR="007B13A1" w:rsidRPr="005C7724">
              <w:rPr>
                <w:rFonts w:ascii="Times New Roman" w:hAnsi="Times New Roman" w:cs="Times New Roman"/>
                <w:sz w:val="20"/>
                <w:szCs w:val="20"/>
              </w:rPr>
              <w:t xml:space="preserve"> príjem zo zárobkovej činnosti zamestnanca a zo samostatnej zárobkovej činnosti</w:t>
            </w:r>
            <w:r w:rsidR="002E3049">
              <w:rPr>
                <w:rFonts w:ascii="Times New Roman" w:hAnsi="Times New Roman" w:cs="Times New Roman"/>
                <w:sz w:val="20"/>
                <w:szCs w:val="20"/>
              </w:rPr>
              <w:t>,</w:t>
            </w:r>
            <w:r>
              <w:rPr>
                <w:rFonts w:ascii="Times New Roman" w:hAnsi="Times New Roman" w:cs="Times New Roman"/>
                <w:sz w:val="20"/>
                <w:szCs w:val="20"/>
              </w:rPr>
              <w:t xml:space="preserve"> ich vymedzením</w:t>
            </w:r>
            <w:r w:rsidR="00210BC0" w:rsidRPr="00DC4572">
              <w:rPr>
                <w:rFonts w:ascii="Times New Roman" w:hAnsi="Times New Roman" w:cs="Times New Roman"/>
                <w:sz w:val="20"/>
                <w:szCs w:val="20"/>
              </w:rPr>
              <w:t xml:space="preserve"> ako kategóri</w:t>
            </w:r>
            <w:r w:rsidR="006D1B47" w:rsidRPr="00DC4572">
              <w:rPr>
                <w:rFonts w:ascii="Times New Roman" w:hAnsi="Times New Roman" w:cs="Times New Roman"/>
                <w:sz w:val="20"/>
                <w:szCs w:val="20"/>
              </w:rPr>
              <w:t>e</w:t>
            </w:r>
            <w:r w:rsidR="00210BC0" w:rsidRPr="00DC4572">
              <w:rPr>
                <w:rFonts w:ascii="Times New Roman" w:hAnsi="Times New Roman" w:cs="Times New Roman"/>
                <w:sz w:val="20"/>
                <w:szCs w:val="20"/>
              </w:rPr>
              <w:t xml:space="preserve"> znevýhodneného uchádzača o zamestnanie podľa § 8 zákona o službách zamestnanosti</w:t>
            </w:r>
            <w:r>
              <w:rPr>
                <w:rFonts w:ascii="Times New Roman" w:hAnsi="Times New Roman" w:cs="Times New Roman"/>
                <w:sz w:val="20"/>
                <w:szCs w:val="20"/>
              </w:rPr>
              <w:t>, sa</w:t>
            </w:r>
            <w:r w:rsidR="001C4A70" w:rsidRPr="00DC4572">
              <w:rPr>
                <w:rFonts w:ascii="Times New Roman" w:hAnsi="Times New Roman" w:cs="Times New Roman"/>
                <w:sz w:val="20"/>
                <w:szCs w:val="20"/>
              </w:rPr>
              <w:t xml:space="preserve"> tejto skupine uchádzačov o zamestnanie umožní prístup</w:t>
            </w:r>
            <w:r w:rsidR="001E3390" w:rsidRPr="00DC4572">
              <w:rPr>
                <w:rFonts w:ascii="Times New Roman" w:hAnsi="Times New Roman" w:cs="Times New Roman"/>
                <w:sz w:val="20"/>
                <w:szCs w:val="20"/>
              </w:rPr>
              <w:t xml:space="preserve"> k aktívnym opatreniam na trhu </w:t>
            </w:r>
            <w:r w:rsidR="001E3390" w:rsidRPr="001E692E">
              <w:rPr>
                <w:rFonts w:ascii="Times New Roman" w:hAnsi="Times New Roman" w:cs="Times New Roman"/>
                <w:sz w:val="20"/>
                <w:szCs w:val="20"/>
              </w:rPr>
              <w:t>práce určený</w:t>
            </w:r>
            <w:r w:rsidR="006073A6" w:rsidRPr="001E692E">
              <w:rPr>
                <w:rFonts w:ascii="Times New Roman" w:hAnsi="Times New Roman" w:cs="Times New Roman"/>
                <w:sz w:val="20"/>
                <w:szCs w:val="20"/>
              </w:rPr>
              <w:t>m</w:t>
            </w:r>
            <w:r w:rsidR="001E3390" w:rsidRPr="001E692E">
              <w:rPr>
                <w:rFonts w:ascii="Times New Roman" w:hAnsi="Times New Roman" w:cs="Times New Roman"/>
                <w:sz w:val="20"/>
                <w:szCs w:val="20"/>
              </w:rPr>
              <w:t xml:space="preserve"> pre znevýhodnené skupiny na trhu práce</w:t>
            </w:r>
            <w:r w:rsidR="00E1027F" w:rsidRPr="001E692E">
              <w:rPr>
                <w:rFonts w:ascii="Times New Roman" w:hAnsi="Times New Roman" w:cs="Times New Roman"/>
                <w:sz w:val="20"/>
                <w:szCs w:val="20"/>
              </w:rPr>
              <w:t xml:space="preserve"> (približne 2200 osôb)</w:t>
            </w:r>
            <w:r w:rsidR="001E3390" w:rsidRPr="001E692E">
              <w:rPr>
                <w:rFonts w:ascii="Times New Roman" w:hAnsi="Times New Roman" w:cs="Times New Roman"/>
                <w:sz w:val="20"/>
                <w:szCs w:val="20"/>
              </w:rPr>
              <w:t>.</w:t>
            </w:r>
          </w:p>
          <w:p w:rsidR="00C12F77" w:rsidRDefault="00B45481" w:rsidP="00DC4572">
            <w:pPr>
              <w:pStyle w:val="Odsekzoznamu"/>
              <w:numPr>
                <w:ilvl w:val="0"/>
                <w:numId w:val="9"/>
              </w:numPr>
              <w:spacing w:after="0" w:line="240" w:lineRule="auto"/>
              <w:ind w:left="219" w:hanging="219"/>
              <w:jc w:val="both"/>
              <w:rPr>
                <w:rFonts w:ascii="Times New Roman" w:hAnsi="Times New Roman" w:cs="Times New Roman"/>
                <w:sz w:val="20"/>
                <w:szCs w:val="20"/>
              </w:rPr>
            </w:pPr>
            <w:r w:rsidRPr="001E692E">
              <w:rPr>
                <w:rFonts w:ascii="Times New Roman" w:hAnsi="Times New Roman" w:cs="Times New Roman"/>
                <w:sz w:val="20"/>
                <w:szCs w:val="20"/>
              </w:rPr>
              <w:t>p</w:t>
            </w:r>
            <w:r w:rsidR="00C12F77" w:rsidRPr="001E692E">
              <w:rPr>
                <w:rFonts w:ascii="Times New Roman" w:hAnsi="Times New Roman" w:cs="Times New Roman"/>
                <w:sz w:val="20"/>
                <w:szCs w:val="20"/>
              </w:rPr>
              <w:t xml:space="preserve">re osoby vykonávajúce </w:t>
            </w:r>
            <w:r w:rsidR="00C12F77" w:rsidRPr="001E692E">
              <w:rPr>
                <w:rFonts w:ascii="Times New Roman" w:eastAsia="Calibri" w:hAnsi="Times New Roman" w:cs="Times New Roman"/>
                <w:sz w:val="20"/>
                <w:szCs w:val="20"/>
              </w:rPr>
              <w:t xml:space="preserve">funkciu poslanca obecného zastupiteľstva, funkciu poslanca zastupiteľstva samosprávneho kraja, funkciu člena komisie obecného zastupiteľstva alebo funkciu člena komisie zastupiteľstva samosprávneho kraja, ak </w:t>
            </w:r>
            <w:r w:rsidRPr="001E692E">
              <w:rPr>
                <w:rFonts w:ascii="Times New Roman" w:hAnsi="Times New Roman" w:cs="Times New Roman"/>
                <w:sz w:val="20"/>
                <w:szCs w:val="20"/>
              </w:rPr>
              <w:t xml:space="preserve">ich </w:t>
            </w:r>
            <w:r w:rsidR="00C12F77" w:rsidRPr="001E692E">
              <w:rPr>
                <w:rFonts w:ascii="Times New Roman" w:eastAsia="Calibri" w:hAnsi="Times New Roman" w:cs="Times New Roman"/>
                <w:sz w:val="20"/>
                <w:szCs w:val="20"/>
              </w:rPr>
              <w:t>mesačná odmena nepresiahne v úhrne sumu životného minima pre jednu plnoletú fyzickú osobu</w:t>
            </w:r>
            <w:r w:rsidRPr="001E692E">
              <w:rPr>
                <w:rFonts w:ascii="Times New Roman" w:hAnsi="Times New Roman" w:cs="Times New Roman"/>
                <w:sz w:val="20"/>
                <w:szCs w:val="20"/>
              </w:rPr>
              <w:t xml:space="preserve">; týmto osobám </w:t>
            </w:r>
            <w:r w:rsidR="00C12F77" w:rsidRPr="001E692E">
              <w:rPr>
                <w:rFonts w:ascii="Times New Roman" w:hAnsi="Times New Roman" w:cs="Times New Roman"/>
                <w:sz w:val="20"/>
                <w:szCs w:val="20"/>
              </w:rPr>
              <w:t xml:space="preserve">sa </w:t>
            </w:r>
            <w:r w:rsidRPr="001E692E">
              <w:rPr>
                <w:rFonts w:ascii="Times New Roman" w:hAnsi="Times New Roman" w:cs="Times New Roman"/>
                <w:sz w:val="20"/>
                <w:szCs w:val="20"/>
              </w:rPr>
              <w:t>v prípade ich záujmu umožní zaradenie do evidencie uchádzačov o zamestnanie a tým i účasť na aktívnych opatreniach na trhu práce. Znamená to, že pozitívnym spôsobom sa rieši situácia poslancov a členov komisií, ktorých vykonávanie funkcie nepredstavuje ich primárny príjem tak, aby im na základe vedenia v evidencii uchádzačov o zamestnanie mohli byť poskytované služby úradu práce, sociálnych vecí a rodiny pri uplatnení sa na trhu práce.</w:t>
            </w:r>
          </w:p>
          <w:p w:rsidR="007030FE" w:rsidRPr="001E692E" w:rsidRDefault="007030FE" w:rsidP="00DC4572">
            <w:pPr>
              <w:pStyle w:val="Odsekzoznamu"/>
              <w:numPr>
                <w:ilvl w:val="0"/>
                <w:numId w:val="9"/>
              </w:numPr>
              <w:spacing w:after="0" w:line="240" w:lineRule="auto"/>
              <w:ind w:left="219" w:hanging="219"/>
              <w:jc w:val="both"/>
              <w:rPr>
                <w:rFonts w:ascii="Times New Roman" w:hAnsi="Times New Roman" w:cs="Times New Roman"/>
                <w:sz w:val="20"/>
                <w:szCs w:val="20"/>
              </w:rPr>
            </w:pPr>
            <w:r>
              <w:rPr>
                <w:rFonts w:ascii="Times New Roman" w:hAnsi="Times New Roman" w:cs="Times New Roman"/>
                <w:sz w:val="20"/>
                <w:szCs w:val="20"/>
              </w:rPr>
              <w:t xml:space="preserve">pre občanov, ktorí budú môcť požiadať o zaradenie do evidencie uchádzačov o zamestnanie v predĺženej lehote (zo siedmich) do 10 dní tak od rozhodnej skutočnosti (napr. od straty zamestnania), aby bolo zachované ich zaradenie ku dňu kedy rozhodná skutočnosť nastala. </w:t>
            </w:r>
          </w:p>
          <w:p w:rsidR="00D620E7" w:rsidRPr="00E00078" w:rsidRDefault="009E6D15" w:rsidP="00E00078">
            <w:pPr>
              <w:spacing w:after="0" w:line="240" w:lineRule="auto"/>
              <w:jc w:val="both"/>
              <w:rPr>
                <w:rFonts w:ascii="Times New Roman" w:eastAsia="Calibri" w:hAnsi="Times New Roman" w:cs="Times New Roman"/>
                <w:sz w:val="20"/>
                <w:szCs w:val="20"/>
                <w:lang w:eastAsia="sk-SK"/>
              </w:rPr>
            </w:pPr>
            <w:r w:rsidRPr="001E692E">
              <w:rPr>
                <w:rFonts w:ascii="Times New Roman" w:eastAsia="Calibri" w:hAnsi="Times New Roman" w:cs="Times New Roman"/>
                <w:sz w:val="20"/>
                <w:szCs w:val="20"/>
                <w:lang w:eastAsia="sk-SK"/>
              </w:rPr>
              <w:t>N</w:t>
            </w:r>
            <w:r w:rsidR="00E00078" w:rsidRPr="001E692E">
              <w:rPr>
                <w:rFonts w:ascii="Times New Roman" w:eastAsia="Calibri" w:hAnsi="Times New Roman" w:cs="Times New Roman"/>
                <w:sz w:val="20"/>
                <w:szCs w:val="20"/>
                <w:lang w:eastAsia="sk-SK"/>
              </w:rPr>
              <w:t xml:space="preserve">ávrh zákona zlepšuje </w:t>
            </w:r>
            <w:r w:rsidRPr="001E692E">
              <w:rPr>
                <w:rFonts w:ascii="Times New Roman" w:eastAsia="Calibri" w:hAnsi="Times New Roman" w:cs="Times New Roman"/>
                <w:sz w:val="20"/>
                <w:szCs w:val="20"/>
                <w:lang w:eastAsia="sk-SK"/>
              </w:rPr>
              <w:t xml:space="preserve">taktiež </w:t>
            </w:r>
            <w:r w:rsidR="00E00078" w:rsidRPr="001E692E">
              <w:rPr>
                <w:rFonts w:ascii="Times New Roman" w:eastAsia="Calibri" w:hAnsi="Times New Roman" w:cs="Times New Roman"/>
                <w:sz w:val="20"/>
                <w:szCs w:val="20"/>
                <w:lang w:eastAsia="sk-SK"/>
              </w:rPr>
              <w:t>prístup k zamestnaniu</w:t>
            </w:r>
            <w:r w:rsidR="00E00078" w:rsidRPr="00E00078">
              <w:rPr>
                <w:rFonts w:ascii="Times New Roman" w:eastAsia="Calibri" w:hAnsi="Times New Roman" w:cs="Times New Roman"/>
                <w:sz w:val="20"/>
                <w:szCs w:val="20"/>
                <w:lang w:eastAsia="sk-SK"/>
              </w:rPr>
              <w:t xml:space="preserve"> pre </w:t>
            </w:r>
            <w:r w:rsidR="00D620E7" w:rsidRPr="00E00078">
              <w:rPr>
                <w:rFonts w:ascii="Times New Roman" w:eastAsia="Calibri" w:hAnsi="Times New Roman" w:cs="Times New Roman"/>
                <w:sz w:val="20"/>
                <w:szCs w:val="20"/>
                <w:lang w:eastAsia="sk-SK"/>
              </w:rPr>
              <w:t xml:space="preserve">štátnych príslušníkov tretej krajiny, ktorí </w:t>
            </w:r>
          </w:p>
          <w:p w:rsidR="00D620E7" w:rsidRPr="00DC4572" w:rsidRDefault="00D620E7" w:rsidP="00E00078">
            <w:pPr>
              <w:pStyle w:val="Odsekzoznamu"/>
              <w:numPr>
                <w:ilvl w:val="0"/>
                <w:numId w:val="9"/>
              </w:numPr>
              <w:spacing w:after="0" w:line="240" w:lineRule="auto"/>
              <w:ind w:left="219" w:hanging="219"/>
              <w:jc w:val="both"/>
              <w:rPr>
                <w:rFonts w:ascii="Times New Roman" w:eastAsia="Calibri" w:hAnsi="Times New Roman" w:cs="Times New Roman"/>
                <w:sz w:val="20"/>
                <w:szCs w:val="20"/>
                <w:lang w:eastAsia="sk-SK"/>
              </w:rPr>
            </w:pPr>
            <w:r w:rsidRPr="00DC4572">
              <w:rPr>
                <w:rFonts w:ascii="Times New Roman" w:eastAsia="Calibri" w:hAnsi="Times New Roman" w:cs="Times New Roman"/>
                <w:sz w:val="20"/>
                <w:szCs w:val="20"/>
                <w:lang w:eastAsia="sk-SK"/>
              </w:rPr>
              <w:t xml:space="preserve">budú mať možnosť byť zamestnaní počas obdobia </w:t>
            </w:r>
            <w:r w:rsidRPr="00E00078">
              <w:rPr>
                <w:rFonts w:ascii="Times New Roman" w:hAnsi="Times New Roman" w:cs="Times New Roman"/>
                <w:sz w:val="20"/>
                <w:szCs w:val="20"/>
              </w:rPr>
              <w:t>rozhodovania</w:t>
            </w:r>
            <w:r w:rsidRPr="00DC4572">
              <w:rPr>
                <w:rFonts w:ascii="Times New Roman" w:eastAsia="Calibri" w:hAnsi="Times New Roman" w:cs="Times New Roman"/>
                <w:sz w:val="20"/>
                <w:szCs w:val="20"/>
                <w:lang w:eastAsia="sk-SK"/>
              </w:rPr>
              <w:t xml:space="preserve"> o žiadosti o obnove prechodného pobytu na účel zamestnania. ak požiadali o obnovu prechodného pobytu na účel zamestnania podľa zákona č. 404/2011 Z. z. o pobyte cudzincov a o zmene a doplnení niektorých zákonov v znení neskorších predpisov najmenej 90 dní pred uplynutím platnosti prechodného pobytu na účel zamestnania, </w:t>
            </w:r>
          </w:p>
          <w:p w:rsidR="00AD36D9" w:rsidRPr="00DC4572" w:rsidRDefault="00D620E7" w:rsidP="00E00078">
            <w:pPr>
              <w:pStyle w:val="Odsekzoznamu"/>
              <w:numPr>
                <w:ilvl w:val="0"/>
                <w:numId w:val="9"/>
              </w:numPr>
              <w:spacing w:after="0" w:line="240" w:lineRule="auto"/>
              <w:ind w:left="219" w:hanging="219"/>
              <w:jc w:val="both"/>
              <w:rPr>
                <w:rFonts w:ascii="Times New Roman" w:eastAsia="Calibri" w:hAnsi="Times New Roman" w:cs="Times New Roman"/>
                <w:sz w:val="20"/>
                <w:szCs w:val="20"/>
                <w:lang w:eastAsia="sk-SK"/>
              </w:rPr>
            </w:pPr>
            <w:r w:rsidRPr="00DC4572">
              <w:rPr>
                <w:rFonts w:ascii="Times New Roman" w:eastAsia="Calibri" w:hAnsi="Times New Roman" w:cs="Times New Roman"/>
                <w:sz w:val="20"/>
                <w:szCs w:val="20"/>
                <w:lang w:eastAsia="sk-SK"/>
              </w:rPr>
              <w:t>majú udelený prechodný pobyt na účel zlúčenia rodiny, budú môcť po uplynutí 9 mesiacov od udelenia prechodného pobytu na účel zlúčenia rodiny byť zamestnaní v Slovenskej republiky bez potreby vydania príslušného potvrdenia o možnosti obsadenia voľného pracovného miesta, ktoré zodpovedá vysokokvalifikovanému zamestnaniu, potvrdenia o možnosti obsadenia voľného pracovného miesta a povolenia na zamestnanie.</w:t>
            </w:r>
            <w:r w:rsidR="001E3390" w:rsidRPr="00DC4572">
              <w:rPr>
                <w:rFonts w:ascii="Times New Roman" w:hAnsi="Times New Roman" w:cs="Times New Roman"/>
                <w:sz w:val="20"/>
                <w:szCs w:val="20"/>
              </w:rPr>
              <w:t xml:space="preserve"> </w:t>
            </w:r>
            <w:r w:rsidR="001C4A70" w:rsidRPr="00DC4572">
              <w:rPr>
                <w:rFonts w:ascii="Times New Roman" w:hAnsi="Times New Roman" w:cs="Times New Roman"/>
                <w:sz w:val="20"/>
                <w:szCs w:val="20"/>
              </w:rPr>
              <w:t xml:space="preserve">   </w:t>
            </w:r>
            <w:r w:rsidR="006D1B47" w:rsidRPr="00DC4572">
              <w:rPr>
                <w:rFonts w:ascii="Times New Roman" w:hAnsi="Times New Roman" w:cs="Times New Roman"/>
                <w:sz w:val="20"/>
                <w:szCs w:val="20"/>
              </w:rPr>
              <w:t xml:space="preserve"> </w:t>
            </w:r>
            <w:r w:rsidR="00210BC0" w:rsidRPr="00DC4572">
              <w:rPr>
                <w:rFonts w:ascii="Times New Roman" w:hAnsi="Times New Roman" w:cs="Times New Roman"/>
                <w:sz w:val="20"/>
                <w:szCs w:val="20"/>
              </w:rPr>
              <w:t xml:space="preserve"> </w:t>
            </w:r>
            <w:r w:rsidR="000D5E24" w:rsidRPr="00DC4572">
              <w:rPr>
                <w:rFonts w:ascii="Times New Roman" w:eastAsia="Calibri" w:hAnsi="Times New Roman" w:cs="Times New Roman"/>
                <w:sz w:val="20"/>
                <w:szCs w:val="20"/>
                <w:lang w:eastAsia="sk-SK"/>
              </w:rPr>
              <w:t xml:space="preserve">  </w:t>
            </w:r>
            <w:r w:rsidR="00AD36D9" w:rsidRPr="00DC4572">
              <w:rPr>
                <w:rFonts w:ascii="Times New Roman" w:eastAsia="Calibri" w:hAnsi="Times New Roman" w:cs="Times New Roman"/>
                <w:sz w:val="20"/>
                <w:szCs w:val="20"/>
                <w:lang w:eastAsia="sk-SK"/>
              </w:rPr>
              <w:t xml:space="preserve">  </w:t>
            </w:r>
          </w:p>
          <w:p w:rsidR="00DC4572" w:rsidRPr="00DC4572" w:rsidRDefault="00DC4572" w:rsidP="00531CEA">
            <w:pPr>
              <w:spacing w:after="0" w:line="240" w:lineRule="auto"/>
              <w:jc w:val="both"/>
              <w:rPr>
                <w:rFonts w:ascii="Times New Roman" w:hAnsi="Times New Roman"/>
                <w:sz w:val="20"/>
                <w:szCs w:val="20"/>
                <w:lang w:eastAsia="sk-SK"/>
              </w:rPr>
            </w:pPr>
            <w:r w:rsidRPr="00DC4572">
              <w:rPr>
                <w:rFonts w:ascii="Times New Roman" w:hAnsi="Times New Roman"/>
                <w:sz w:val="20"/>
                <w:szCs w:val="20"/>
                <w:lang w:eastAsia="sk-SK"/>
              </w:rPr>
              <w:t xml:space="preserve">Predkladaný návrh zákona zlepšuje </w:t>
            </w:r>
            <w:r w:rsidR="009E6D15">
              <w:rPr>
                <w:rFonts w:ascii="Times New Roman" w:hAnsi="Times New Roman"/>
                <w:sz w:val="20"/>
                <w:szCs w:val="20"/>
                <w:lang w:eastAsia="sk-SK"/>
              </w:rPr>
              <w:t xml:space="preserve">aj </w:t>
            </w:r>
            <w:r w:rsidRPr="00DC4572">
              <w:rPr>
                <w:rFonts w:ascii="Times New Roman" w:hAnsi="Times New Roman"/>
                <w:sz w:val="20"/>
                <w:szCs w:val="20"/>
                <w:lang w:eastAsia="sk-SK"/>
              </w:rPr>
              <w:t>prístup k neformálnemu vzdelávaniu v rámci celoživotného vzdelávania pre potreby trhu práce</w:t>
            </w:r>
            <w:r w:rsidR="00531CEA">
              <w:rPr>
                <w:rFonts w:ascii="Times New Roman" w:hAnsi="Times New Roman"/>
                <w:sz w:val="20"/>
                <w:szCs w:val="20"/>
                <w:lang w:eastAsia="sk-SK"/>
              </w:rPr>
              <w:t xml:space="preserve"> </w:t>
            </w:r>
            <w:r w:rsidR="00E00078">
              <w:rPr>
                <w:rFonts w:ascii="Times New Roman" w:hAnsi="Times New Roman"/>
                <w:sz w:val="20"/>
                <w:szCs w:val="20"/>
                <w:lang w:eastAsia="sk-SK"/>
              </w:rPr>
              <w:t xml:space="preserve">pre uchádzačov </w:t>
            </w:r>
            <w:r w:rsidRPr="00DC4572">
              <w:rPr>
                <w:rFonts w:ascii="Times New Roman" w:hAnsi="Times New Roman"/>
                <w:sz w:val="20"/>
                <w:szCs w:val="20"/>
                <w:lang w:eastAsia="sk-SK"/>
              </w:rPr>
              <w:t>o</w:t>
            </w:r>
            <w:r w:rsidR="00E00078">
              <w:rPr>
                <w:rFonts w:ascii="Times New Roman" w:hAnsi="Times New Roman"/>
                <w:sz w:val="20"/>
                <w:szCs w:val="20"/>
                <w:lang w:eastAsia="sk-SK"/>
              </w:rPr>
              <w:t> </w:t>
            </w:r>
            <w:r w:rsidRPr="00DC4572">
              <w:rPr>
                <w:rFonts w:ascii="Times New Roman" w:hAnsi="Times New Roman"/>
                <w:sz w:val="20"/>
                <w:szCs w:val="20"/>
                <w:lang w:eastAsia="sk-SK"/>
              </w:rPr>
              <w:t>zamestnanie</w:t>
            </w:r>
            <w:r w:rsidR="00E00078">
              <w:rPr>
                <w:rFonts w:ascii="Times New Roman" w:hAnsi="Times New Roman"/>
                <w:sz w:val="20"/>
                <w:szCs w:val="20"/>
                <w:lang w:eastAsia="sk-SK"/>
              </w:rPr>
              <w:t xml:space="preserve">, ktorí </w:t>
            </w:r>
            <w:r w:rsidRPr="00DC4572">
              <w:rPr>
                <w:rFonts w:ascii="Times New Roman" w:hAnsi="Times New Roman"/>
                <w:sz w:val="20"/>
                <w:szCs w:val="20"/>
                <w:lang w:eastAsia="sk-SK"/>
              </w:rPr>
              <w:t xml:space="preserve"> budú mať možnosť prístupu k novej vzdelávacej službe, ktorou bude podpora ich rekvalifikácie poskytovaná podľa navrhovaného § 46a na zabezpečenie ich adaptability a uplatnenia sa v zamestnaní alebo v pracovných činnostiach, ktoré má uchádzač o zamestnanie vykonávať po absolvovaní vybraného vzdelávacieho programu s prihliadnutím na dopyt na trhu prác</w:t>
            </w:r>
            <w:r w:rsidR="00E00078">
              <w:rPr>
                <w:rFonts w:ascii="Times New Roman" w:hAnsi="Times New Roman"/>
                <w:sz w:val="20"/>
                <w:szCs w:val="20"/>
                <w:lang w:eastAsia="sk-SK"/>
              </w:rPr>
              <w:t>e</w:t>
            </w:r>
            <w:r w:rsidRPr="00DC4572">
              <w:rPr>
                <w:rFonts w:ascii="Times New Roman" w:hAnsi="Times New Roman"/>
                <w:sz w:val="20"/>
                <w:szCs w:val="20"/>
                <w:lang w:eastAsia="sk-SK"/>
              </w:rPr>
              <w:t xml:space="preserve">, pričom doterajšia možnosť vzdelávania a prípravy pre trh práce na základe vlastnej iniciatívy za podmienok určených podľa § 46 ods. 7, bude vypustená z dôvodu jej nevyužívania na strane uchádzačov o zamestnanie pre striktnosť podmienok, akými sú napr. preukazovanie pracovnej zmluvy uzatvorenej najmenej na šesť mesiacov v súvislosti s absolvovaným vzdelávaním a prípravy pre trh práce na základe vlastnej iniciatívy, </w:t>
            </w:r>
          </w:p>
          <w:p w:rsidR="002644DE" w:rsidRPr="00531CEA" w:rsidRDefault="00531CEA" w:rsidP="00531CEA">
            <w:pPr>
              <w:spacing w:after="0" w:line="240" w:lineRule="auto"/>
              <w:jc w:val="both"/>
              <w:rPr>
                <w:rFonts w:ascii="Times New Roman" w:eastAsia="Calibri" w:hAnsi="Times New Roman" w:cs="Times New Roman"/>
                <w:sz w:val="20"/>
                <w:szCs w:val="20"/>
                <w:lang w:eastAsia="sk-SK"/>
              </w:rPr>
            </w:pPr>
            <w:r w:rsidRPr="00531CEA">
              <w:rPr>
                <w:rFonts w:ascii="Times New Roman" w:hAnsi="Times New Roman"/>
                <w:sz w:val="20"/>
                <w:szCs w:val="20"/>
                <w:lang w:eastAsia="sk-SK"/>
              </w:rPr>
              <w:t>Z</w:t>
            </w:r>
            <w:r w:rsidR="00DC4572" w:rsidRPr="00531CEA">
              <w:rPr>
                <w:rFonts w:ascii="Times New Roman" w:hAnsi="Times New Roman"/>
                <w:sz w:val="20"/>
                <w:szCs w:val="20"/>
                <w:lang w:eastAsia="sk-SK"/>
              </w:rPr>
              <w:t xml:space="preserve">ároveň sa vymedzením rekvalifikácie ako odbornej prípravy uchádzača o zamestnanie alebo prípravy uchádzača o zamestnanie zameranej na rozvoj komunikačných, počítačových, manažérskych, sociálnych, podnikateľských alebo jazykových vedomostí, zručností alebo schopností určených na zabezpečenie jeho adaptability a uplatnenia sa v zamestnaní alebo v pracovných činnostiach, ktoré má uchádzač o zamestnanie vykonávať po absolvovaní vybraného vzdelávacieho programu </w:t>
            </w:r>
            <w:r w:rsidRPr="00531CEA">
              <w:rPr>
                <w:rFonts w:ascii="Times New Roman" w:hAnsi="Times New Roman"/>
                <w:sz w:val="20"/>
                <w:szCs w:val="20"/>
                <w:lang w:eastAsia="sk-SK"/>
              </w:rPr>
              <w:t>u</w:t>
            </w:r>
            <w:r w:rsidR="00DC4572" w:rsidRPr="00531CEA">
              <w:rPr>
                <w:rFonts w:ascii="Times New Roman" w:hAnsi="Times New Roman"/>
                <w:sz w:val="20"/>
                <w:szCs w:val="20"/>
                <w:lang w:eastAsia="sk-SK"/>
              </w:rPr>
              <w:t> ním vybraného poskytovateľa vzdelávacieho programu s možnosťou úhrady až do výšky 100 % oprávnených nákladov súvisiacich s</w:t>
            </w:r>
            <w:r w:rsidRPr="00531CEA">
              <w:rPr>
                <w:rFonts w:ascii="Times New Roman" w:hAnsi="Times New Roman"/>
                <w:sz w:val="20"/>
                <w:szCs w:val="20"/>
                <w:lang w:eastAsia="sk-SK"/>
              </w:rPr>
              <w:t> </w:t>
            </w:r>
            <w:r w:rsidR="00DC4572" w:rsidRPr="00531CEA">
              <w:rPr>
                <w:rFonts w:ascii="Times New Roman" w:hAnsi="Times New Roman"/>
                <w:sz w:val="20"/>
                <w:szCs w:val="20"/>
                <w:lang w:eastAsia="sk-SK"/>
              </w:rPr>
              <w:t>rekvalifikáciou</w:t>
            </w:r>
            <w:r w:rsidRPr="00531CEA">
              <w:rPr>
                <w:rFonts w:ascii="Times New Roman" w:hAnsi="Times New Roman"/>
                <w:sz w:val="20"/>
                <w:szCs w:val="20"/>
                <w:lang w:eastAsia="sk-SK"/>
              </w:rPr>
              <w:t>, zvýši motivácia uchádzačov o zamestnanie k individuálnemu vzdelávaniu podľa potrieb trhu práce, čo môže zlepšiť ich prístup na trh práce</w:t>
            </w:r>
            <w:r w:rsidR="00DC4572" w:rsidRPr="00531CEA">
              <w:rPr>
                <w:rFonts w:ascii="Times New Roman" w:hAnsi="Times New Roman"/>
                <w:sz w:val="20"/>
                <w:szCs w:val="20"/>
                <w:lang w:eastAsia="sk-SK"/>
              </w:rPr>
              <w:t>.</w:t>
            </w:r>
          </w:p>
          <w:p w:rsidR="00926570" w:rsidRPr="00333B6B" w:rsidRDefault="00926570" w:rsidP="00DC4572">
            <w:pPr>
              <w:spacing w:after="0" w:line="240" w:lineRule="auto"/>
              <w:jc w:val="both"/>
              <w:rPr>
                <w:rFonts w:ascii="Times New Roman" w:eastAsia="Calibri" w:hAnsi="Times New Roman" w:cs="Times New Roman"/>
                <w:sz w:val="20"/>
                <w:szCs w:val="20"/>
                <w:lang w:eastAsia="sk-SK"/>
              </w:rPr>
            </w:pPr>
            <w:r w:rsidRPr="00333B6B">
              <w:rPr>
                <w:rFonts w:ascii="Times New Roman" w:eastAsia="Calibri" w:hAnsi="Times New Roman" w:cs="Times New Roman"/>
                <w:sz w:val="20"/>
                <w:szCs w:val="20"/>
                <w:lang w:eastAsia="sk-SK"/>
              </w:rPr>
              <w:t>V rámci revízie aktívnych opatrení na trhu práce návrh zákona zlepšuje prístup k zamestnaniu aj zavedením nov</w:t>
            </w:r>
            <w:r w:rsidR="00333B6B" w:rsidRPr="00333B6B">
              <w:rPr>
                <w:rFonts w:ascii="Times New Roman" w:eastAsia="Calibri" w:hAnsi="Times New Roman" w:cs="Times New Roman"/>
                <w:sz w:val="20"/>
                <w:szCs w:val="20"/>
                <w:lang w:eastAsia="sk-SK"/>
              </w:rPr>
              <w:t>o koncipovaného</w:t>
            </w:r>
            <w:r w:rsidRPr="00333B6B">
              <w:rPr>
                <w:rFonts w:ascii="Times New Roman" w:eastAsia="Calibri" w:hAnsi="Times New Roman" w:cs="Times New Roman"/>
                <w:sz w:val="20"/>
                <w:szCs w:val="20"/>
                <w:lang w:eastAsia="sk-SK"/>
              </w:rPr>
              <w:t xml:space="preserve"> príspevku na podporu zamestnávania znevýhodneného uchádzača o zamestnanie (§ 50) pre</w:t>
            </w:r>
            <w:r w:rsidR="00A832E0" w:rsidRPr="00333B6B">
              <w:rPr>
                <w:rFonts w:ascii="Times New Roman" w:eastAsia="Calibri" w:hAnsi="Times New Roman" w:cs="Times New Roman"/>
                <w:sz w:val="20"/>
                <w:szCs w:val="20"/>
                <w:lang w:eastAsia="sk-SK"/>
              </w:rPr>
              <w:t>:</w:t>
            </w:r>
          </w:p>
          <w:p w:rsidR="007B13A1" w:rsidRPr="005C7724" w:rsidRDefault="007B13A1" w:rsidP="005C7724">
            <w:pPr>
              <w:pStyle w:val="Odsekzoznamu"/>
              <w:numPr>
                <w:ilvl w:val="0"/>
                <w:numId w:val="9"/>
              </w:numPr>
              <w:spacing w:after="0" w:line="240" w:lineRule="auto"/>
              <w:jc w:val="both"/>
              <w:rPr>
                <w:rFonts w:ascii="Times New Roman" w:eastAsia="Calibri" w:hAnsi="Times New Roman" w:cs="Times New Roman"/>
                <w:sz w:val="20"/>
                <w:szCs w:val="20"/>
                <w:lang w:eastAsia="sk-SK"/>
              </w:rPr>
            </w:pPr>
            <w:r w:rsidRPr="005C7724">
              <w:rPr>
                <w:rFonts w:ascii="Times New Roman" w:eastAsia="Calibri" w:hAnsi="Times New Roman" w:cs="Times New Roman"/>
                <w:sz w:val="20"/>
                <w:szCs w:val="20"/>
                <w:lang w:eastAsia="sk-SK"/>
              </w:rPr>
              <w:t xml:space="preserve">znevýhodnených uchádzačov o zamestnanie podľa § 8 zákona o službách zamestnanosti v rámci Bratislavského kraja zvýšením výšky príspevku pre zamestnávateľa v Bratislavskom kraji na základe zjednotenia určovania výšky príspevku rovnako pre všetky kraje SR nevynímajúc Bratislavský kraj. Ide o zvýšenie mesačnej výšky príspevku podľa § 50 na podporu zamestnávania </w:t>
            </w:r>
            <w:r w:rsidRPr="005C7724">
              <w:rPr>
                <w:rFonts w:ascii="Times New Roman" w:eastAsia="Calibri" w:hAnsi="Times New Roman" w:cs="Times New Roman"/>
                <w:sz w:val="20"/>
                <w:szCs w:val="20"/>
                <w:lang w:eastAsia="sk-SK"/>
              </w:rPr>
              <w:lastRenderedPageBreak/>
              <w:t>znevýhodneného uchádzača o zamestnanie v BA kraji z 25 % na 30 % z celkovej ceny práce zamestnanca, najviac 30 % z celkovej ceny práce vypočítanej z priemernej mzdy zamestnanca v hospodárstve Slovenskej republiky za prvý až tretí štvrťrok kalendárneho roka, ktorý predchádza kalendárnemu roku, v ktorom sa príspevok poskytuje.</w:t>
            </w:r>
          </w:p>
          <w:p w:rsidR="007B13A1" w:rsidRDefault="00926570" w:rsidP="005C7724">
            <w:pPr>
              <w:pStyle w:val="Textkomentra"/>
              <w:numPr>
                <w:ilvl w:val="0"/>
                <w:numId w:val="9"/>
              </w:numPr>
              <w:jc w:val="both"/>
              <w:rPr>
                <w:rFonts w:ascii="Times New Roman" w:eastAsia="Calibri" w:hAnsi="Times New Roman" w:cs="Times New Roman"/>
                <w:lang w:eastAsia="sk-SK"/>
              </w:rPr>
            </w:pPr>
            <w:r w:rsidRPr="00333B6B">
              <w:rPr>
                <w:rFonts w:ascii="Times New Roman" w:eastAsia="Calibri" w:hAnsi="Times New Roman" w:cs="Times New Roman"/>
                <w:lang w:eastAsia="sk-SK"/>
              </w:rPr>
              <w:t>vybranú skupinu znevýhodnených uchádzačov o</w:t>
            </w:r>
            <w:r w:rsidR="00A832E0" w:rsidRPr="00333B6B">
              <w:rPr>
                <w:rFonts w:ascii="Times New Roman" w:eastAsia="Calibri" w:hAnsi="Times New Roman" w:cs="Times New Roman"/>
                <w:lang w:eastAsia="sk-SK"/>
              </w:rPr>
              <w:t> </w:t>
            </w:r>
            <w:r w:rsidRPr="00333B6B">
              <w:rPr>
                <w:rFonts w:ascii="Times New Roman" w:eastAsia="Calibri" w:hAnsi="Times New Roman" w:cs="Times New Roman"/>
                <w:lang w:eastAsia="sk-SK"/>
              </w:rPr>
              <w:t>zamestnanie</w:t>
            </w:r>
            <w:r w:rsidR="00A832E0" w:rsidRPr="00333B6B">
              <w:rPr>
                <w:rFonts w:ascii="Times New Roman" w:eastAsia="Calibri" w:hAnsi="Times New Roman" w:cs="Times New Roman"/>
                <w:lang w:eastAsia="sk-SK"/>
              </w:rPr>
              <w:t xml:space="preserve"> podľa § 8 ods. 1 písm. a) až d)</w:t>
            </w:r>
            <w:r w:rsidR="00DC1BB2" w:rsidRPr="00333B6B">
              <w:rPr>
                <w:rFonts w:ascii="Times New Roman" w:eastAsia="Calibri" w:hAnsi="Times New Roman" w:cs="Times New Roman"/>
                <w:lang w:eastAsia="sk-SK"/>
              </w:rPr>
              <w:t xml:space="preserve"> zákona o službách zamestnanosti</w:t>
            </w:r>
            <w:r w:rsidRPr="00333B6B">
              <w:rPr>
                <w:rFonts w:ascii="Times New Roman" w:eastAsia="Calibri" w:hAnsi="Times New Roman" w:cs="Times New Roman"/>
                <w:lang w:eastAsia="sk-SK"/>
              </w:rPr>
              <w:t>, konkrétne absolventov škôl, dlhodobo nezamestnaných občanov, nízkokvalifikovaných a občanov starších ako 50 rokov</w:t>
            </w:r>
            <w:r w:rsidR="00DC1BB2" w:rsidRPr="00333B6B">
              <w:rPr>
                <w:rFonts w:ascii="Times New Roman" w:eastAsia="Calibri" w:hAnsi="Times New Roman" w:cs="Times New Roman"/>
                <w:lang w:eastAsia="sk-SK"/>
              </w:rPr>
              <w:t xml:space="preserve"> veku</w:t>
            </w:r>
            <w:r w:rsidRPr="00333B6B">
              <w:rPr>
                <w:rFonts w:ascii="Times New Roman" w:eastAsia="Calibri" w:hAnsi="Times New Roman" w:cs="Times New Roman"/>
                <w:lang w:eastAsia="sk-SK"/>
              </w:rPr>
              <w:t xml:space="preserve">, zvýšením výšky príspevku </w:t>
            </w:r>
            <w:r w:rsidR="00A832E0" w:rsidRPr="00333B6B">
              <w:rPr>
                <w:rFonts w:ascii="Times New Roman" w:eastAsia="Calibri" w:hAnsi="Times New Roman" w:cs="Times New Roman"/>
                <w:lang w:eastAsia="sk-SK"/>
              </w:rPr>
              <w:t>na podporu vytvárania pracovných miest pre túto najviac ohrozenú skupinu na trhu práce</w:t>
            </w:r>
            <w:r w:rsidR="00DC1BB2" w:rsidRPr="00333B6B">
              <w:rPr>
                <w:rFonts w:ascii="Times New Roman" w:eastAsia="Calibri" w:hAnsi="Times New Roman" w:cs="Times New Roman"/>
                <w:lang w:eastAsia="sk-SK"/>
              </w:rPr>
              <w:t xml:space="preserve"> pre všetkých zamestnávateľov</w:t>
            </w:r>
            <w:r w:rsidR="00333B6B" w:rsidRPr="00333B6B">
              <w:rPr>
                <w:rFonts w:ascii="Times New Roman" w:eastAsia="Calibri" w:hAnsi="Times New Roman" w:cs="Times New Roman"/>
                <w:lang w:eastAsia="sk-SK"/>
              </w:rPr>
              <w:t>, vrátane obcí a nimi zriadených právnických osôb</w:t>
            </w:r>
            <w:r w:rsidR="00DC1BB2" w:rsidRPr="00333B6B">
              <w:rPr>
                <w:rFonts w:ascii="Times New Roman" w:eastAsia="Calibri" w:hAnsi="Times New Roman" w:cs="Times New Roman"/>
                <w:lang w:eastAsia="sk-SK"/>
              </w:rPr>
              <w:t>.</w:t>
            </w:r>
            <w:r w:rsidR="007B13A1" w:rsidRPr="005C7724">
              <w:rPr>
                <w:rFonts w:ascii="Times New Roman" w:eastAsia="Calibri" w:hAnsi="Times New Roman" w:cs="Times New Roman"/>
                <w:lang w:eastAsia="sk-SK"/>
              </w:rPr>
              <w:t xml:space="preserve"> </w:t>
            </w:r>
            <w:r w:rsidR="00813DDC">
              <w:rPr>
                <w:rFonts w:ascii="Times New Roman" w:eastAsia="Calibri" w:hAnsi="Times New Roman" w:cs="Times New Roman"/>
                <w:lang w:eastAsia="sk-SK"/>
              </w:rPr>
              <w:t xml:space="preserve">Príspevok sa navrhuje </w:t>
            </w:r>
            <w:r w:rsidR="007B13A1" w:rsidRPr="005C7724">
              <w:rPr>
                <w:rFonts w:ascii="Times New Roman" w:eastAsia="Calibri" w:hAnsi="Times New Roman" w:cs="Times New Roman"/>
                <w:lang w:eastAsia="sk-SK"/>
              </w:rPr>
              <w:t>až vo výške 80 % z celkovej ceny práce zamestnanca – najviac 60 % z celkovej ceny práce vypočítanej z priemernej mzdy v</w:t>
            </w:r>
            <w:r w:rsidR="00813DDC">
              <w:rPr>
                <w:rFonts w:ascii="Times New Roman" w:eastAsia="Calibri" w:hAnsi="Times New Roman" w:cs="Times New Roman"/>
                <w:lang w:eastAsia="sk-SK"/>
              </w:rPr>
              <w:t> </w:t>
            </w:r>
            <w:r w:rsidR="007B13A1" w:rsidRPr="005C7724">
              <w:rPr>
                <w:rFonts w:ascii="Times New Roman" w:eastAsia="Calibri" w:hAnsi="Times New Roman" w:cs="Times New Roman"/>
                <w:lang w:eastAsia="sk-SK"/>
              </w:rPr>
              <w:t>hospodárstve</w:t>
            </w:r>
            <w:r w:rsidR="00813DDC">
              <w:rPr>
                <w:rFonts w:ascii="Times New Roman" w:eastAsia="Calibri" w:hAnsi="Times New Roman" w:cs="Times New Roman"/>
                <w:lang w:eastAsia="sk-SK"/>
              </w:rPr>
              <w:t xml:space="preserve"> SR</w:t>
            </w:r>
            <w:r w:rsidR="00F46949">
              <w:rPr>
                <w:rFonts w:ascii="Times New Roman" w:eastAsia="Calibri" w:hAnsi="Times New Roman" w:cs="Times New Roman"/>
                <w:lang w:eastAsia="sk-SK"/>
              </w:rPr>
              <w:t xml:space="preserve"> </w:t>
            </w:r>
            <w:r w:rsidR="007B13A1" w:rsidRPr="005C7724">
              <w:rPr>
                <w:rFonts w:ascii="Times New Roman" w:eastAsia="Calibri" w:hAnsi="Times New Roman" w:cs="Times New Roman"/>
                <w:lang w:eastAsia="sk-SK"/>
              </w:rPr>
              <w:t>za prvý až tretí štvrťrok kalendárneho roka, ktorý predchádza kalendárnemu roku, v ktorom sa príspevok poskytuje</w:t>
            </w:r>
            <w:r w:rsidR="00A521D0">
              <w:rPr>
                <w:rFonts w:ascii="Times New Roman" w:eastAsia="Calibri" w:hAnsi="Times New Roman" w:cs="Times New Roman"/>
                <w:lang w:eastAsia="sk-SK"/>
              </w:rPr>
              <w:t>.</w:t>
            </w:r>
            <w:r w:rsidR="00343489">
              <w:rPr>
                <w:rFonts w:ascii="Times New Roman" w:eastAsia="Calibri" w:hAnsi="Times New Roman" w:cs="Times New Roman"/>
                <w:lang w:eastAsia="sk-SK"/>
              </w:rPr>
              <w:t xml:space="preserve"> </w:t>
            </w:r>
            <w:r w:rsidR="005A5425">
              <w:rPr>
                <w:rFonts w:ascii="Times New Roman" w:eastAsia="Calibri" w:hAnsi="Times New Roman" w:cs="Times New Roman"/>
                <w:lang w:eastAsia="sk-SK"/>
              </w:rPr>
              <w:t xml:space="preserve">Zvýšená výška príspevku tak zároveň kompenzuje aj skrátenie obdobia poskytovania príspevku podľa navrhovanej úpravy § 50 ods. 4. </w:t>
            </w:r>
            <w:r w:rsidR="00343489">
              <w:rPr>
                <w:rFonts w:ascii="Times New Roman" w:eastAsia="Calibri" w:hAnsi="Times New Roman" w:cs="Times New Roman"/>
                <w:lang w:eastAsia="sk-SK"/>
              </w:rPr>
              <w:t xml:space="preserve">Návrh v tejto časti kompenzuje resp. nahrádza vypustené príspevky 50j na podporu miestnej a regionálnej zamestnanosti a 51a </w:t>
            </w:r>
            <w:r w:rsidR="00343489" w:rsidRPr="00333B6B">
              <w:rPr>
                <w:rFonts w:ascii="Times New Roman" w:eastAsia="Calibri" w:hAnsi="Times New Roman" w:cs="Times New Roman"/>
                <w:lang w:eastAsia="sk-SK"/>
              </w:rPr>
              <w:t>na podporu vytvorenia pracovného miesta v prvom pravidelnom zamestnaní</w:t>
            </w:r>
            <w:r w:rsidR="00343489">
              <w:rPr>
                <w:rFonts w:ascii="Times New Roman" w:eastAsia="Calibri" w:hAnsi="Times New Roman" w:cs="Times New Roman"/>
                <w:lang w:eastAsia="sk-SK"/>
              </w:rPr>
              <w:t xml:space="preserve">. </w:t>
            </w:r>
          </w:p>
          <w:p w:rsidR="00F55676" w:rsidRPr="00DC4572" w:rsidRDefault="00343489" w:rsidP="000B49D8">
            <w:pPr>
              <w:spacing w:after="0" w:line="240" w:lineRule="auto"/>
              <w:jc w:val="both"/>
              <w:rPr>
                <w:rFonts w:ascii="Times New Roman" w:eastAsia="Calibri" w:hAnsi="Times New Roman" w:cs="Times New Roman"/>
                <w:sz w:val="20"/>
                <w:szCs w:val="20"/>
                <w:lang w:eastAsia="sk-SK"/>
              </w:rPr>
            </w:pPr>
            <w:r w:rsidRPr="005C7724">
              <w:rPr>
                <w:rFonts w:ascii="Times New Roman" w:eastAsia="Calibri" w:hAnsi="Times New Roman" w:cs="Times New Roman"/>
                <w:sz w:val="20"/>
                <w:szCs w:val="20"/>
                <w:lang w:eastAsia="sk-SK"/>
              </w:rPr>
              <w:t>Mlad</w:t>
            </w:r>
            <w:r w:rsidR="000B49D8" w:rsidRPr="005C7724">
              <w:rPr>
                <w:rFonts w:ascii="Times New Roman" w:eastAsia="Calibri" w:hAnsi="Times New Roman" w:cs="Times New Roman"/>
                <w:sz w:val="20"/>
                <w:szCs w:val="20"/>
                <w:lang w:eastAsia="sk-SK"/>
              </w:rPr>
              <w:t>ým</w:t>
            </w:r>
            <w:r w:rsidRPr="005C7724">
              <w:rPr>
                <w:rFonts w:ascii="Times New Roman" w:eastAsia="Calibri" w:hAnsi="Times New Roman" w:cs="Times New Roman"/>
                <w:sz w:val="20"/>
                <w:szCs w:val="20"/>
                <w:lang w:eastAsia="sk-SK"/>
              </w:rPr>
              <w:t xml:space="preserve"> uchádzač</w:t>
            </w:r>
            <w:r w:rsidR="000B49D8" w:rsidRPr="005C7724">
              <w:rPr>
                <w:rFonts w:ascii="Times New Roman" w:eastAsia="Calibri" w:hAnsi="Times New Roman" w:cs="Times New Roman"/>
                <w:sz w:val="20"/>
                <w:szCs w:val="20"/>
                <w:lang w:eastAsia="sk-SK"/>
              </w:rPr>
              <w:t>om</w:t>
            </w:r>
            <w:r w:rsidRPr="005C7724">
              <w:rPr>
                <w:rFonts w:ascii="Times New Roman" w:eastAsia="Calibri" w:hAnsi="Times New Roman" w:cs="Times New Roman"/>
                <w:sz w:val="20"/>
                <w:szCs w:val="20"/>
                <w:lang w:eastAsia="sk-SK"/>
              </w:rPr>
              <w:t xml:space="preserve"> o zamestnanie do 30 rokov, ktorí boli cieľovou skupinou vypusteného príspevku 51a nie sú absolventmi podľa § 8 ods. 1</w:t>
            </w:r>
            <w:r w:rsidR="000B49D8" w:rsidRPr="005C7724">
              <w:rPr>
                <w:rFonts w:ascii="Times New Roman" w:eastAsia="Calibri" w:hAnsi="Times New Roman" w:cs="Times New Roman"/>
                <w:sz w:val="20"/>
                <w:szCs w:val="20"/>
                <w:lang w:eastAsia="sk-SK"/>
              </w:rPr>
              <w:t>, a teda ani navrhovanou cieľovou skupinou pre zvýhodnenú podporu podľa §50,</w:t>
            </w:r>
            <w:r w:rsidRPr="005C7724">
              <w:rPr>
                <w:rFonts w:ascii="Times New Roman" w:eastAsia="Calibri" w:hAnsi="Times New Roman" w:cs="Times New Roman"/>
                <w:sz w:val="20"/>
                <w:szCs w:val="20"/>
                <w:lang w:eastAsia="sk-SK"/>
              </w:rPr>
              <w:t xml:space="preserve"> bude umožnená podpora ich prístupu na trh práce, ako aj podpora s tým súvisiacich aktivít na zlepšen</w:t>
            </w:r>
            <w:r w:rsidR="000B49D8" w:rsidRPr="005C7724">
              <w:rPr>
                <w:rFonts w:ascii="Times New Roman" w:eastAsia="Calibri" w:hAnsi="Times New Roman" w:cs="Times New Roman"/>
                <w:sz w:val="20"/>
                <w:szCs w:val="20"/>
                <w:lang w:eastAsia="sk-SK"/>
              </w:rPr>
              <w:t xml:space="preserve">ie ich postavenia na trhu práce, </w:t>
            </w:r>
            <w:r w:rsidRPr="005C7724">
              <w:rPr>
                <w:rFonts w:ascii="Times New Roman" w:eastAsia="Calibri" w:hAnsi="Times New Roman" w:cs="Times New Roman"/>
                <w:sz w:val="20"/>
                <w:szCs w:val="20"/>
                <w:lang w:eastAsia="sk-SK"/>
              </w:rPr>
              <w:t>a to najmä prostredníctvom projektov a programov podľa § 54 ods. 1 písm. b) zá</w:t>
            </w:r>
            <w:r w:rsidR="000B49D8" w:rsidRPr="005C7724">
              <w:rPr>
                <w:rFonts w:ascii="Times New Roman" w:eastAsia="Calibri" w:hAnsi="Times New Roman" w:cs="Times New Roman"/>
                <w:sz w:val="20"/>
                <w:szCs w:val="20"/>
                <w:lang w:eastAsia="sk-SK"/>
              </w:rPr>
              <w:t>kona o službách zamestnanosti v súlade s Odporúčaním Rady EÚ o posilnení záruky pre mladých ľudí.</w:t>
            </w:r>
          </w:p>
        </w:tc>
      </w:tr>
      <w:tr w:rsidR="002644DE" w:rsidRPr="002644DE" w:rsidTr="001E3390">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1E3390">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1B032A" w:rsidRPr="00DC4572" w:rsidRDefault="001B032A" w:rsidP="001B032A">
            <w:pPr>
              <w:spacing w:after="0" w:line="240" w:lineRule="auto"/>
              <w:jc w:val="both"/>
              <w:rPr>
                <w:rFonts w:ascii="Times New Roman" w:eastAsia="Calibri" w:hAnsi="Times New Roman" w:cs="Times New Roman"/>
                <w:sz w:val="20"/>
                <w:szCs w:val="20"/>
                <w:lang w:eastAsia="sk-SK"/>
              </w:rPr>
            </w:pPr>
            <w:r w:rsidRPr="00DC4572">
              <w:rPr>
                <w:rFonts w:ascii="Times New Roman" w:eastAsia="Calibri" w:hAnsi="Times New Roman" w:cs="Times New Roman"/>
                <w:sz w:val="20"/>
                <w:szCs w:val="20"/>
                <w:lang w:eastAsia="sk-SK"/>
              </w:rPr>
              <w:t>Navrhuje sa umožniť občanovi, ktorý je zamestnaný v chránenej dielni alebo na chránenom pracovisku vykonávanie práce z jeho domácnosti, ak to dohodnutý druh práce umožňuje, čo znamená zlepšenie pracovných podmienok pre občanov so zdravotným postihnutím so sťaženým prístupom na trh práce, ktorí sú zamestnaní v chránenej dielni alebo na chránenom pracovisku.</w:t>
            </w:r>
          </w:p>
          <w:p w:rsidR="002D2453" w:rsidRPr="005C7724" w:rsidRDefault="002D2453" w:rsidP="007F2DB2">
            <w:pPr>
              <w:spacing w:after="0" w:line="240" w:lineRule="auto"/>
              <w:jc w:val="both"/>
              <w:rPr>
                <w:rFonts w:ascii="Times New Roman" w:hAnsi="Times New Roman" w:cs="Times New Roman"/>
                <w:sz w:val="20"/>
                <w:szCs w:val="20"/>
              </w:rPr>
            </w:pPr>
            <w:r w:rsidRPr="005C7724">
              <w:rPr>
                <w:rFonts w:ascii="Times New Roman" w:eastAsia="Calibri" w:hAnsi="Times New Roman" w:cs="Times New Roman"/>
                <w:sz w:val="20"/>
                <w:szCs w:val="20"/>
              </w:rPr>
              <w:t>Zmena príspevku na aktivačnú činnosť formou menších obecných služieb pre obec</w:t>
            </w:r>
            <w:r w:rsidR="007F2DB2" w:rsidRPr="005C7724">
              <w:rPr>
                <w:rFonts w:ascii="Times New Roman" w:eastAsia="Calibri" w:hAnsi="Times New Roman" w:cs="Times New Roman"/>
                <w:sz w:val="20"/>
                <w:szCs w:val="20"/>
              </w:rPr>
              <w:t xml:space="preserve"> alebo formou menších služieb pre samosprávny kraj </w:t>
            </w:r>
            <w:r w:rsidRPr="005C7724">
              <w:rPr>
                <w:rFonts w:ascii="Times New Roman" w:eastAsia="Calibri" w:hAnsi="Times New Roman" w:cs="Times New Roman"/>
                <w:sz w:val="20"/>
                <w:szCs w:val="20"/>
              </w:rPr>
              <w:t xml:space="preserve"> na nenárokový </w:t>
            </w:r>
            <w:r w:rsidR="008F7424" w:rsidRPr="005C7724">
              <w:rPr>
                <w:rFonts w:ascii="Times New Roman" w:eastAsia="Calibri" w:hAnsi="Times New Roman" w:cs="Times New Roman"/>
                <w:sz w:val="20"/>
                <w:szCs w:val="20"/>
              </w:rPr>
              <w:t>v § 5</w:t>
            </w:r>
            <w:r w:rsidR="007F2DB2" w:rsidRPr="005C7724">
              <w:rPr>
                <w:rFonts w:ascii="Times New Roman" w:eastAsia="Calibri" w:hAnsi="Times New Roman" w:cs="Times New Roman"/>
                <w:sz w:val="20"/>
                <w:szCs w:val="20"/>
              </w:rPr>
              <w:t>2</w:t>
            </w:r>
            <w:r w:rsidR="008F7424" w:rsidRPr="005C7724">
              <w:rPr>
                <w:rFonts w:ascii="Times New Roman" w:eastAsia="Calibri" w:hAnsi="Times New Roman" w:cs="Times New Roman"/>
                <w:sz w:val="20"/>
                <w:szCs w:val="20"/>
              </w:rPr>
              <w:t xml:space="preserve"> </w:t>
            </w:r>
            <w:r w:rsidRPr="005C7724">
              <w:rPr>
                <w:rFonts w:ascii="Times New Roman" w:eastAsia="Calibri" w:hAnsi="Times New Roman" w:cs="Times New Roman"/>
                <w:sz w:val="20"/>
                <w:szCs w:val="20"/>
              </w:rPr>
              <w:t xml:space="preserve">predpokladá posudzovane žiadostí obcí </w:t>
            </w:r>
            <w:r w:rsidR="007F2DB2" w:rsidRPr="005C7724">
              <w:rPr>
                <w:rFonts w:ascii="Times New Roman" w:eastAsia="Calibri" w:hAnsi="Times New Roman" w:cs="Times New Roman"/>
                <w:sz w:val="20"/>
                <w:szCs w:val="20"/>
              </w:rPr>
              <w:t xml:space="preserve">alebo samosprávnych krajov </w:t>
            </w:r>
            <w:r w:rsidRPr="005C7724">
              <w:rPr>
                <w:rFonts w:ascii="Times New Roman" w:eastAsia="Calibri" w:hAnsi="Times New Roman" w:cs="Times New Roman"/>
                <w:sz w:val="20"/>
                <w:szCs w:val="20"/>
              </w:rPr>
              <w:t xml:space="preserve">vo vzťahu k charakteru vytváraných prác </w:t>
            </w:r>
            <w:r w:rsidR="007F2DB2" w:rsidRPr="005C7724">
              <w:rPr>
                <w:rFonts w:ascii="Times New Roman" w:eastAsia="Calibri" w:hAnsi="Times New Roman" w:cs="Times New Roman"/>
                <w:sz w:val="20"/>
                <w:szCs w:val="20"/>
              </w:rPr>
              <w:t>v rámci aktivačnej činnosti</w:t>
            </w:r>
            <w:r w:rsidRPr="005C7724">
              <w:rPr>
                <w:rFonts w:ascii="Times New Roman" w:eastAsia="Calibri" w:hAnsi="Times New Roman" w:cs="Times New Roman"/>
                <w:sz w:val="20"/>
                <w:szCs w:val="20"/>
              </w:rPr>
              <w:t xml:space="preserve"> s</w:t>
            </w:r>
            <w:r w:rsidR="007F2DB2" w:rsidRPr="005C7724">
              <w:rPr>
                <w:rFonts w:ascii="Times New Roman" w:eastAsia="Calibri" w:hAnsi="Times New Roman" w:cs="Times New Roman"/>
                <w:sz w:val="20"/>
                <w:szCs w:val="20"/>
              </w:rPr>
              <w:t xml:space="preserve"> prihliadnutím </w:t>
            </w:r>
            <w:r w:rsidRPr="005C7724">
              <w:rPr>
                <w:rFonts w:ascii="Times New Roman" w:eastAsia="Calibri" w:hAnsi="Times New Roman" w:cs="Times New Roman"/>
                <w:sz w:val="20"/>
                <w:szCs w:val="20"/>
              </w:rPr>
              <w:t xml:space="preserve"> </w:t>
            </w:r>
            <w:r w:rsidR="007F2DB2" w:rsidRPr="005C7724">
              <w:rPr>
                <w:rFonts w:ascii="Times New Roman" w:eastAsia="Calibri" w:hAnsi="Times New Roman" w:cs="Times New Roman"/>
                <w:sz w:val="20"/>
                <w:szCs w:val="20"/>
              </w:rPr>
              <w:t xml:space="preserve"> </w:t>
            </w:r>
            <w:r w:rsidRPr="005C7724">
              <w:rPr>
                <w:rFonts w:ascii="Times New Roman" w:eastAsia="Calibri" w:hAnsi="Times New Roman" w:cs="Times New Roman"/>
                <w:sz w:val="20"/>
                <w:szCs w:val="20"/>
              </w:rPr>
              <w:t>na  zručností,</w:t>
            </w:r>
            <w:r w:rsidRPr="002D2453">
              <w:rPr>
                <w:rFonts w:ascii="Times New Roman" w:eastAsia="Calibri" w:hAnsi="Times New Roman" w:cs="Times New Roman"/>
                <w:sz w:val="20"/>
                <w:szCs w:val="20"/>
              </w:rPr>
              <w:t xml:space="preserve"> čo by malo zvýšiť šance dlhodobo nezamestnaných ľudí, ktorí sú poberateľmi dávky a príspevkov v hmotnej núdzi umiestniť sa na trhu práce. </w:t>
            </w:r>
            <w:r w:rsidR="00333B6B" w:rsidRPr="00333B6B">
              <w:rPr>
                <w:rFonts w:ascii="Times New Roman" w:eastAsia="Calibri" w:hAnsi="Times New Roman" w:cs="Times New Roman"/>
                <w:sz w:val="20"/>
                <w:szCs w:val="20"/>
              </w:rPr>
              <w:t xml:space="preserve">Navrhované </w:t>
            </w:r>
            <w:r>
              <w:rPr>
                <w:rFonts w:ascii="Times New Roman" w:eastAsia="Calibri" w:hAnsi="Times New Roman" w:cs="Times New Roman"/>
                <w:sz w:val="20"/>
                <w:szCs w:val="20"/>
              </w:rPr>
              <w:t xml:space="preserve">skrátené </w:t>
            </w:r>
            <w:r w:rsidR="00333B6B" w:rsidRPr="00333B6B">
              <w:rPr>
                <w:rFonts w:ascii="Times New Roman" w:eastAsia="Calibri" w:hAnsi="Times New Roman" w:cs="Times New Roman"/>
                <w:sz w:val="20"/>
                <w:szCs w:val="20"/>
              </w:rPr>
              <w:t xml:space="preserve">obdobie podpory nepretržite najviac počas 6-tich kalendárnych mesiacov v rozsahu najviac 20 hodín týždenne s možnosťou predĺženia ich vykonávania najviac o ďalších 6 kalendárnych mesiacov </w:t>
            </w:r>
            <w:r>
              <w:rPr>
                <w:rFonts w:ascii="Times New Roman" w:eastAsia="Calibri" w:hAnsi="Times New Roman" w:cs="Times New Roman"/>
                <w:sz w:val="20"/>
                <w:szCs w:val="20"/>
              </w:rPr>
              <w:t xml:space="preserve">(miesto ďalších 12 kalendárnych mesiacov) </w:t>
            </w:r>
            <w:r w:rsidR="00333B6B" w:rsidRPr="00333B6B">
              <w:rPr>
                <w:rFonts w:ascii="Times New Roman" w:eastAsia="Calibri" w:hAnsi="Times New Roman" w:cs="Times New Roman"/>
                <w:sz w:val="20"/>
                <w:szCs w:val="20"/>
              </w:rPr>
              <w:t>umožňuje uplatniť intenzívnejší prístup pri udržiavaní pracovných návykov a rozvoji zručností dlhodobo nezamestnaného občana v hmotnej núdzi a</w:t>
            </w:r>
            <w:r>
              <w:rPr>
                <w:rFonts w:ascii="Times New Roman" w:eastAsia="Calibri" w:hAnsi="Times New Roman" w:cs="Times New Roman"/>
                <w:sz w:val="20"/>
                <w:szCs w:val="20"/>
              </w:rPr>
              <w:t> </w:t>
            </w:r>
            <w:r w:rsidR="00333B6B" w:rsidRPr="00333B6B">
              <w:rPr>
                <w:rFonts w:ascii="Times New Roman" w:eastAsia="Calibri" w:hAnsi="Times New Roman" w:cs="Times New Roman"/>
                <w:sz w:val="20"/>
                <w:szCs w:val="20"/>
              </w:rPr>
              <w:t>tiež</w:t>
            </w:r>
            <w:r>
              <w:rPr>
                <w:rFonts w:ascii="Times New Roman" w:eastAsia="Calibri" w:hAnsi="Times New Roman" w:cs="Times New Roman"/>
                <w:sz w:val="20"/>
                <w:szCs w:val="20"/>
              </w:rPr>
              <w:t xml:space="preserve"> predstavuje</w:t>
            </w:r>
            <w:r w:rsidR="00333B6B" w:rsidRPr="00333B6B">
              <w:rPr>
                <w:rFonts w:ascii="Times New Roman" w:eastAsia="Calibri" w:hAnsi="Times New Roman" w:cs="Times New Roman"/>
                <w:sz w:val="20"/>
                <w:szCs w:val="20"/>
              </w:rPr>
              <w:t xml:space="preserve"> skrátenie obdobia, počas ktorého nesmie byť v pracovnoprávnom vzťahu </w:t>
            </w:r>
            <w:r w:rsidR="00333B6B" w:rsidRPr="005C7724">
              <w:rPr>
                <w:rFonts w:ascii="Times New Roman" w:eastAsia="Calibri" w:hAnsi="Times New Roman" w:cs="Times New Roman"/>
                <w:sz w:val="20"/>
                <w:szCs w:val="20"/>
              </w:rPr>
              <w:t>podľa § 6 ods. 2 písm. a</w:t>
            </w:r>
            <w:r w:rsidR="00333B6B" w:rsidRPr="005C7724">
              <w:rPr>
                <w:rFonts w:ascii="Times New Roman" w:hAnsi="Times New Roman" w:cs="Times New Roman"/>
                <w:sz w:val="20"/>
                <w:szCs w:val="20"/>
              </w:rPr>
              <w:t>) zákona o službách zamestnanosti.</w:t>
            </w:r>
            <w:r w:rsidR="008F7424" w:rsidRPr="005C7724">
              <w:rPr>
                <w:rFonts w:ascii="Times New Roman" w:hAnsi="Times New Roman" w:cs="Times New Roman"/>
                <w:sz w:val="20"/>
                <w:szCs w:val="20"/>
              </w:rPr>
              <w:t xml:space="preserve"> Nemožno </w:t>
            </w:r>
            <w:r w:rsidRPr="005C7724">
              <w:rPr>
                <w:rFonts w:ascii="Times New Roman" w:hAnsi="Times New Roman" w:cs="Times New Roman"/>
                <w:sz w:val="20"/>
                <w:szCs w:val="20"/>
              </w:rPr>
              <w:t xml:space="preserve">však vylúčiť aj negatívny vplyv </w:t>
            </w:r>
            <w:r w:rsidR="008F7424" w:rsidRPr="005C7724">
              <w:rPr>
                <w:rFonts w:ascii="Times New Roman" w:hAnsi="Times New Roman" w:cs="Times New Roman"/>
                <w:sz w:val="20"/>
                <w:szCs w:val="20"/>
              </w:rPr>
              <w:t>oboch zmien v § 5</w:t>
            </w:r>
            <w:r w:rsidR="007F2DB2" w:rsidRPr="005C7724">
              <w:rPr>
                <w:rFonts w:ascii="Times New Roman" w:hAnsi="Times New Roman" w:cs="Times New Roman"/>
                <w:sz w:val="20"/>
                <w:szCs w:val="20"/>
              </w:rPr>
              <w:t>2</w:t>
            </w:r>
            <w:r w:rsidR="008F7424" w:rsidRPr="005C7724">
              <w:rPr>
                <w:rFonts w:ascii="Times New Roman" w:hAnsi="Times New Roman" w:cs="Times New Roman"/>
                <w:sz w:val="20"/>
                <w:szCs w:val="20"/>
              </w:rPr>
              <w:t>, a síce na vytváranie príležitostí pre ľudí v hmotnej núdzi vykonávať aktivačné práce pre obce</w:t>
            </w:r>
            <w:r w:rsidR="007F2DB2" w:rsidRPr="005C7724">
              <w:rPr>
                <w:rFonts w:ascii="Times New Roman" w:hAnsi="Times New Roman" w:cs="Times New Roman"/>
                <w:sz w:val="20"/>
                <w:szCs w:val="20"/>
              </w:rPr>
              <w:t xml:space="preserve"> alebo samosprávne kraje</w:t>
            </w:r>
            <w:r w:rsidR="008F7424" w:rsidRPr="005C7724">
              <w:rPr>
                <w:rFonts w:ascii="Times New Roman" w:hAnsi="Times New Roman" w:cs="Times New Roman"/>
                <w:sz w:val="20"/>
                <w:szCs w:val="20"/>
              </w:rPr>
              <w:t xml:space="preserve">, </w:t>
            </w:r>
            <w:r w:rsidR="003406F0" w:rsidRPr="005C7724">
              <w:rPr>
                <w:rFonts w:ascii="Times New Roman" w:hAnsi="Times New Roman" w:cs="Times New Roman"/>
                <w:sz w:val="20"/>
                <w:szCs w:val="20"/>
              </w:rPr>
              <w:t>čím sa im môžu obmedziť možnosti pre</w:t>
            </w:r>
            <w:r w:rsidR="008F7424" w:rsidRPr="005C7724">
              <w:rPr>
                <w:rFonts w:ascii="Times New Roman" w:hAnsi="Times New Roman" w:cs="Times New Roman"/>
                <w:sz w:val="20"/>
                <w:szCs w:val="20"/>
              </w:rPr>
              <w:t xml:space="preserve"> získa</w:t>
            </w:r>
            <w:r w:rsidR="003406F0" w:rsidRPr="005C7724">
              <w:rPr>
                <w:rFonts w:ascii="Times New Roman" w:hAnsi="Times New Roman" w:cs="Times New Roman"/>
                <w:sz w:val="20"/>
                <w:szCs w:val="20"/>
              </w:rPr>
              <w:t>nie</w:t>
            </w:r>
            <w:r w:rsidR="008F7424" w:rsidRPr="005C7724">
              <w:rPr>
                <w:rFonts w:ascii="Times New Roman" w:hAnsi="Times New Roman" w:cs="Times New Roman"/>
                <w:sz w:val="20"/>
                <w:szCs w:val="20"/>
              </w:rPr>
              <w:t xml:space="preserve"> nárok</w:t>
            </w:r>
            <w:r w:rsidR="003406F0" w:rsidRPr="005C7724">
              <w:rPr>
                <w:rFonts w:ascii="Times New Roman" w:hAnsi="Times New Roman" w:cs="Times New Roman"/>
                <w:sz w:val="20"/>
                <w:szCs w:val="20"/>
              </w:rPr>
              <w:t>u</w:t>
            </w:r>
            <w:r w:rsidR="008F7424" w:rsidRPr="005C7724">
              <w:rPr>
                <w:rFonts w:ascii="Times New Roman" w:hAnsi="Times New Roman" w:cs="Times New Roman"/>
                <w:sz w:val="20"/>
                <w:szCs w:val="20"/>
              </w:rPr>
              <w:t xml:space="preserve"> na aktivačný príspevok, bez ktorého budú mať nižšiu úroveň pomoci v hmotnej núdzi.</w:t>
            </w:r>
            <w:r w:rsidR="008F7424" w:rsidRPr="008F7424">
              <w:rPr>
                <w:rFonts w:ascii="Times New Roman" w:hAnsi="Times New Roman" w:cs="Times New Roman"/>
                <w:sz w:val="20"/>
                <w:szCs w:val="20"/>
              </w:rPr>
              <w:t xml:space="preserve"> </w:t>
            </w:r>
            <w:r w:rsidR="008F7424">
              <w:rPr>
                <w:rFonts w:ascii="Times New Roman" w:hAnsi="Times New Roman" w:cs="Times New Roman"/>
                <w:sz w:val="20"/>
                <w:szCs w:val="20"/>
              </w:rPr>
              <w:t xml:space="preserve"> </w:t>
            </w:r>
          </w:p>
        </w:tc>
      </w:tr>
    </w:tbl>
    <w:p w:rsidR="002644DE" w:rsidRPr="002644DE" w:rsidRDefault="002644DE" w:rsidP="002644DE">
      <w:pPr>
        <w:sectPr w:rsidR="002644DE" w:rsidRPr="002644DE" w:rsidSect="001E3390">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1E3390">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1E3390">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1E3390">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B324BD" w:rsidP="002644DE">
            <w:pPr>
              <w:rPr>
                <w:rFonts w:ascii="Times New Roman" w:eastAsia="Calibri" w:hAnsi="Times New Roman" w:cs="Times New Roman"/>
                <w:i/>
                <w:sz w:val="20"/>
              </w:rPr>
            </w:pPr>
            <w:r>
              <w:rPr>
                <w:rFonts w:ascii="Times New Roman" w:eastAsia="Calibri" w:hAnsi="Times New Roman" w:cs="Times New Roman"/>
                <w:i/>
                <w:sz w:val="20"/>
              </w:rPr>
              <w:t>Bez vplyvu</w:t>
            </w:r>
          </w:p>
          <w:p w:rsidR="002644DE" w:rsidRPr="002644DE" w:rsidRDefault="002644DE" w:rsidP="002644DE">
            <w:pPr>
              <w:spacing w:after="0" w:line="240" w:lineRule="auto"/>
              <w:rPr>
                <w:rFonts w:ascii="Times New Roman" w:eastAsia="Calibri" w:hAnsi="Times New Roman" w:cs="Times New Roman"/>
                <w:i/>
                <w:sz w:val="20"/>
              </w:rPr>
            </w:pPr>
          </w:p>
        </w:tc>
      </w:tr>
      <w:tr w:rsidR="002644DE" w:rsidRPr="002644DE" w:rsidTr="001E3390">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1E3390">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rsidTr="001E3390">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B324BD" w:rsidRPr="005C7724" w:rsidRDefault="007B13A1" w:rsidP="004C099A">
            <w:pPr>
              <w:spacing w:after="0" w:line="240" w:lineRule="auto"/>
              <w:jc w:val="both"/>
              <w:rPr>
                <w:rFonts w:ascii="Times New Roman" w:hAnsi="Times New Roman" w:cs="Times New Roman"/>
                <w:sz w:val="20"/>
                <w:szCs w:val="20"/>
              </w:rPr>
            </w:pPr>
            <w:r w:rsidRPr="005C7724">
              <w:rPr>
                <w:rFonts w:ascii="Times New Roman" w:hAnsi="Times New Roman" w:cs="Times New Roman"/>
                <w:sz w:val="20"/>
                <w:szCs w:val="20"/>
              </w:rPr>
              <w:t xml:space="preserve">Návrh má pozitívny vplyv na dosahovanie rovnosti mužov a žien a rovnosti príležitostí, nakoľko skupinu </w:t>
            </w:r>
            <w:r w:rsidR="00B324BD" w:rsidRPr="00DC4572">
              <w:rPr>
                <w:rFonts w:ascii="Times New Roman" w:hAnsi="Times New Roman" w:cs="Times New Roman"/>
                <w:sz w:val="20"/>
                <w:szCs w:val="20"/>
              </w:rPr>
              <w:t>rodičov po materskej dovolenke a rodičovskej dovolenke</w:t>
            </w:r>
            <w:r w:rsidR="00B324BD">
              <w:rPr>
                <w:rFonts w:ascii="Times New Roman" w:hAnsi="Times New Roman" w:cs="Times New Roman"/>
                <w:sz w:val="20"/>
                <w:szCs w:val="20"/>
              </w:rPr>
              <w:t>, ktorí</w:t>
            </w:r>
            <w:r w:rsidR="00B324BD" w:rsidRPr="00DC7DA0">
              <w:rPr>
                <w:rFonts w:ascii="Times New Roman" w:hAnsi="Times New Roman" w:cs="Times New Roman"/>
                <w:sz w:val="20"/>
                <w:szCs w:val="20"/>
              </w:rPr>
              <w:t xml:space="preserve"> ukončil</w:t>
            </w:r>
            <w:r w:rsidR="00B324BD">
              <w:rPr>
                <w:rFonts w:ascii="Times New Roman" w:hAnsi="Times New Roman" w:cs="Times New Roman"/>
                <w:sz w:val="20"/>
                <w:szCs w:val="20"/>
              </w:rPr>
              <w:t>i</w:t>
            </w:r>
            <w:r w:rsidR="00B324BD" w:rsidRPr="00DC7DA0">
              <w:rPr>
                <w:rFonts w:ascii="Times New Roman" w:hAnsi="Times New Roman" w:cs="Times New Roman"/>
                <w:sz w:val="20"/>
                <w:szCs w:val="20"/>
              </w:rPr>
              <w:t xml:space="preserve"> poberanie materského alebo poberanie rodičovského príspevku menej ako dva roky pred zaradením do evidencie </w:t>
            </w:r>
            <w:r w:rsidR="00B324BD">
              <w:rPr>
                <w:rFonts w:ascii="Times New Roman" w:hAnsi="Times New Roman" w:cs="Times New Roman"/>
                <w:sz w:val="20"/>
                <w:szCs w:val="20"/>
              </w:rPr>
              <w:t>uchádzačov o zamestnanie a ktorí</w:t>
            </w:r>
            <w:r w:rsidR="00B324BD" w:rsidRPr="00DC7DA0">
              <w:rPr>
                <w:rFonts w:ascii="Times New Roman" w:hAnsi="Times New Roman" w:cs="Times New Roman"/>
                <w:sz w:val="20"/>
                <w:szCs w:val="20"/>
              </w:rPr>
              <w:t xml:space="preserve"> počas poberania materského alebo poberania rodičovského príspevku nemal</w:t>
            </w:r>
            <w:r w:rsidR="00B324BD">
              <w:rPr>
                <w:rFonts w:ascii="Times New Roman" w:hAnsi="Times New Roman" w:cs="Times New Roman"/>
                <w:sz w:val="20"/>
                <w:szCs w:val="20"/>
              </w:rPr>
              <w:t>i</w:t>
            </w:r>
            <w:r w:rsidR="00B324BD" w:rsidRPr="00DC7DA0">
              <w:rPr>
                <w:rFonts w:ascii="Times New Roman" w:hAnsi="Times New Roman" w:cs="Times New Roman"/>
                <w:sz w:val="20"/>
                <w:szCs w:val="20"/>
              </w:rPr>
              <w:t xml:space="preserve"> príjem zo zárobkovej činnosti zamestnanca a zo samostatnej zárobkovej činnosti</w:t>
            </w:r>
            <w:r w:rsidR="004C099A">
              <w:rPr>
                <w:rFonts w:ascii="Times New Roman" w:hAnsi="Times New Roman" w:cs="Times New Roman"/>
                <w:sz w:val="20"/>
                <w:szCs w:val="20"/>
              </w:rPr>
              <w:t xml:space="preserve"> (vo väčšine prípadov ide o ženy)</w:t>
            </w:r>
            <w:r w:rsidR="00B324BD">
              <w:rPr>
                <w:rFonts w:ascii="Times New Roman" w:hAnsi="Times New Roman" w:cs="Times New Roman"/>
                <w:sz w:val="20"/>
                <w:szCs w:val="20"/>
              </w:rPr>
              <w:t>, vymedzuje</w:t>
            </w:r>
            <w:r w:rsidR="00B324BD" w:rsidRPr="00DC4572">
              <w:rPr>
                <w:rFonts w:ascii="Times New Roman" w:hAnsi="Times New Roman" w:cs="Times New Roman"/>
                <w:sz w:val="20"/>
                <w:szCs w:val="20"/>
              </w:rPr>
              <w:t xml:space="preserve"> ako kategóri</w:t>
            </w:r>
            <w:r w:rsidR="00B324BD">
              <w:rPr>
                <w:rFonts w:ascii="Times New Roman" w:hAnsi="Times New Roman" w:cs="Times New Roman"/>
                <w:sz w:val="20"/>
                <w:szCs w:val="20"/>
              </w:rPr>
              <w:t>u</w:t>
            </w:r>
            <w:r w:rsidR="00B324BD" w:rsidRPr="00DC4572">
              <w:rPr>
                <w:rFonts w:ascii="Times New Roman" w:hAnsi="Times New Roman" w:cs="Times New Roman"/>
                <w:sz w:val="20"/>
                <w:szCs w:val="20"/>
              </w:rPr>
              <w:t xml:space="preserve"> znevýhodneného uchádzača o zamestnanie podľa § 8 zákona o službách zamestnanosti</w:t>
            </w:r>
            <w:r w:rsidR="00B324BD">
              <w:rPr>
                <w:rFonts w:ascii="Times New Roman" w:hAnsi="Times New Roman" w:cs="Times New Roman"/>
                <w:sz w:val="20"/>
                <w:szCs w:val="20"/>
              </w:rPr>
              <w:t xml:space="preserve">. </w:t>
            </w:r>
            <w:r w:rsidR="004C099A">
              <w:rPr>
                <w:rFonts w:ascii="Times New Roman" w:hAnsi="Times New Roman" w:cs="Times New Roman"/>
                <w:sz w:val="20"/>
                <w:szCs w:val="20"/>
              </w:rPr>
              <w:t>Uvedeným</w:t>
            </w:r>
            <w:r w:rsidR="00B324BD">
              <w:rPr>
                <w:rFonts w:ascii="Times New Roman" w:hAnsi="Times New Roman" w:cs="Times New Roman"/>
                <w:sz w:val="20"/>
                <w:szCs w:val="20"/>
              </w:rPr>
              <w:t xml:space="preserve"> </w:t>
            </w:r>
            <w:r w:rsidR="004C099A">
              <w:rPr>
                <w:rFonts w:ascii="Times New Roman" w:hAnsi="Times New Roman" w:cs="Times New Roman"/>
                <w:sz w:val="20"/>
                <w:szCs w:val="20"/>
              </w:rPr>
              <w:t xml:space="preserve">návrhom </w:t>
            </w:r>
            <w:r w:rsidR="00B324BD">
              <w:rPr>
                <w:rFonts w:ascii="Times New Roman" w:hAnsi="Times New Roman" w:cs="Times New Roman"/>
                <w:sz w:val="20"/>
                <w:szCs w:val="20"/>
              </w:rPr>
              <w:t>sa</w:t>
            </w:r>
            <w:r w:rsidR="00B324BD" w:rsidRPr="00DC4572">
              <w:rPr>
                <w:rFonts w:ascii="Times New Roman" w:hAnsi="Times New Roman" w:cs="Times New Roman"/>
                <w:sz w:val="20"/>
                <w:szCs w:val="20"/>
              </w:rPr>
              <w:t xml:space="preserve"> tejto skupine </w:t>
            </w:r>
            <w:r w:rsidR="004C099A">
              <w:rPr>
                <w:rFonts w:ascii="Times New Roman" w:hAnsi="Times New Roman" w:cs="Times New Roman"/>
                <w:sz w:val="20"/>
                <w:szCs w:val="20"/>
              </w:rPr>
              <w:t>uchádzačiek/</w:t>
            </w:r>
            <w:r w:rsidR="00B324BD" w:rsidRPr="00DC4572">
              <w:rPr>
                <w:rFonts w:ascii="Times New Roman" w:hAnsi="Times New Roman" w:cs="Times New Roman"/>
                <w:sz w:val="20"/>
                <w:szCs w:val="20"/>
              </w:rPr>
              <w:t>uchádzačov o zamestnanie umožní prístup k</w:t>
            </w:r>
            <w:r w:rsidR="004C099A">
              <w:rPr>
                <w:rFonts w:ascii="Times New Roman" w:hAnsi="Times New Roman" w:cs="Times New Roman"/>
                <w:sz w:val="20"/>
                <w:szCs w:val="20"/>
              </w:rPr>
              <w:t xml:space="preserve"> širšiemu spektru aktívnych opatrení trhu práce a výraznejšej podpore v rámci aktívnej politiky </w:t>
            </w:r>
            <w:r w:rsidR="00B324BD" w:rsidRPr="00DC4572">
              <w:rPr>
                <w:rFonts w:ascii="Times New Roman" w:hAnsi="Times New Roman" w:cs="Times New Roman"/>
                <w:sz w:val="20"/>
                <w:szCs w:val="20"/>
              </w:rPr>
              <w:t>trhu práce</w:t>
            </w:r>
            <w:r w:rsidR="004C099A">
              <w:rPr>
                <w:rFonts w:ascii="Times New Roman" w:hAnsi="Times New Roman" w:cs="Times New Roman"/>
                <w:sz w:val="20"/>
                <w:szCs w:val="20"/>
              </w:rPr>
              <w:t>, čím sa im zlepší prístup k zamestnaniu.</w:t>
            </w:r>
          </w:p>
        </w:tc>
      </w:tr>
      <w:tr w:rsidR="002644DE" w:rsidRPr="002644DE" w:rsidTr="001E3390">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1E3390">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4C099A"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Návrh prispieva k podpore ekonomickej nezávislosti, nakoľko cieli k zlepšeniu prístupu na trh práce.</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1E3390">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1E3390">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1E3390">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1E3390">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841890" w:rsidP="005C65F7">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F46949">
              <w:rPr>
                <w:rFonts w:ascii="Times New Roman" w:eastAsia="Calibri" w:hAnsi="Times New Roman" w:cs="Times New Roman"/>
                <w:sz w:val="20"/>
                <w:szCs w:val="18"/>
              </w:rPr>
              <w:t>Bez vplyvu.</w:t>
            </w:r>
          </w:p>
        </w:tc>
      </w:tr>
      <w:tr w:rsidR="002644DE" w:rsidRPr="002644DE" w:rsidTr="001E3390">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1E3390">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F4694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1E3390">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1E3390">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F4694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1E3390">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1E3390">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F4694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1E3390">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1E3390">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F4694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r w:rsidR="002644DE" w:rsidRPr="002644DE" w:rsidTr="001E3390">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1E3390">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F46949"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vplyvu.</w:t>
            </w: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1E3390">
          <w:footnotePr>
            <w:numFmt w:val="chicago"/>
          </w:footnotePr>
          <w:pgSz w:w="11906" w:h="16838"/>
          <w:pgMar w:top="1134" w:right="1418" w:bottom="1134" w:left="1418" w:header="510" w:footer="567" w:gutter="0"/>
          <w:cols w:space="708"/>
          <w:formProt w:val="0"/>
          <w:docGrid w:linePitch="360"/>
        </w:sectPr>
      </w:pPr>
    </w:p>
    <w:p w:rsidR="001E3390" w:rsidRDefault="001E3390" w:rsidP="001E692E"/>
    <w:sectPr w:rsidR="001E3390" w:rsidSect="00341C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36A" w:rsidRDefault="005F736A" w:rsidP="002644DE">
      <w:pPr>
        <w:spacing w:after="0" w:line="240" w:lineRule="auto"/>
      </w:pPr>
      <w:r>
        <w:separator/>
      </w:r>
    </w:p>
  </w:endnote>
  <w:endnote w:type="continuationSeparator" w:id="0">
    <w:p w:rsidR="005F736A" w:rsidRDefault="005F736A"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744846"/>
      <w:docPartObj>
        <w:docPartGallery w:val="Page Numbers (Bottom of Page)"/>
        <w:docPartUnique/>
      </w:docPartObj>
    </w:sdtPr>
    <w:sdtEndPr/>
    <w:sdtContent>
      <w:p w:rsidR="008C4D98" w:rsidRDefault="008C4D98">
        <w:pPr>
          <w:pStyle w:val="Pta"/>
          <w:jc w:val="center"/>
        </w:pPr>
        <w:r>
          <w:fldChar w:fldCharType="begin"/>
        </w:r>
        <w:r>
          <w:instrText>PAGE   \* MERGEFORMAT</w:instrText>
        </w:r>
        <w:r>
          <w:fldChar w:fldCharType="separate"/>
        </w:r>
        <w:r w:rsidR="00E000E2">
          <w:rPr>
            <w:noProof/>
          </w:rPr>
          <w:t>1</w:t>
        </w:r>
        <w:r>
          <w:fldChar w:fldCharType="end"/>
        </w:r>
      </w:p>
    </w:sdtContent>
  </w:sdt>
  <w:p w:rsidR="00BD2F58" w:rsidRPr="001D6749" w:rsidRDefault="00BD2F58">
    <w:pPr>
      <w:pStyle w:val="Pta"/>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5800"/>
      <w:docPartObj>
        <w:docPartGallery w:val="Page Numbers (Bottom of Page)"/>
        <w:docPartUnique/>
      </w:docPartObj>
    </w:sdtPr>
    <w:sdtEndPr/>
    <w:sdtContent>
      <w:p w:rsidR="008C4D98" w:rsidRDefault="008C4D98">
        <w:pPr>
          <w:pStyle w:val="Pta"/>
          <w:jc w:val="center"/>
        </w:pPr>
        <w:r>
          <w:fldChar w:fldCharType="begin"/>
        </w:r>
        <w:r>
          <w:instrText>PAGE   \* MERGEFORMAT</w:instrText>
        </w:r>
        <w:r>
          <w:fldChar w:fldCharType="separate"/>
        </w:r>
        <w:r w:rsidR="007030FE">
          <w:rPr>
            <w:noProof/>
          </w:rPr>
          <w:t>9</w:t>
        </w:r>
        <w:r>
          <w:fldChar w:fldCharType="end"/>
        </w:r>
      </w:p>
    </w:sdtContent>
  </w:sdt>
  <w:p w:rsidR="00BD2F58" w:rsidRPr="001D6749" w:rsidRDefault="00BD2F58">
    <w:pPr>
      <w:pStyle w:val="Pta"/>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36A" w:rsidRDefault="005F736A" w:rsidP="002644DE">
      <w:pPr>
        <w:spacing w:after="0" w:line="240" w:lineRule="auto"/>
      </w:pPr>
      <w:r>
        <w:separator/>
      </w:r>
    </w:p>
  </w:footnote>
  <w:footnote w:type="continuationSeparator" w:id="0">
    <w:p w:rsidR="005F736A" w:rsidRDefault="005F736A"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Pr="00CD4982" w:rsidRDefault="00BD2F58" w:rsidP="001E3390">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58" w:rsidRPr="00CD4982" w:rsidRDefault="00BD2F58"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p>
  <w:p w:rsidR="00BD2F58" w:rsidRPr="00433C47" w:rsidRDefault="00BD2F58"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111FA2"/>
    <w:multiLevelType w:val="hybridMultilevel"/>
    <w:tmpl w:val="D30C2DE2"/>
    <w:lvl w:ilvl="0" w:tplc="89DC294C">
      <w:numFmt w:val="bullet"/>
      <w:lvlText w:val="-"/>
      <w:lvlJc w:val="left"/>
      <w:pPr>
        <w:ind w:left="515" w:hanging="360"/>
      </w:pPr>
      <w:rPr>
        <w:rFonts w:ascii="Times New Roman" w:eastAsia="Times New Roman" w:hAnsi="Times New Roman" w:cs="Times New Roman" w:hint="default"/>
      </w:rPr>
    </w:lvl>
    <w:lvl w:ilvl="1" w:tplc="041B0003" w:tentative="1">
      <w:start w:val="1"/>
      <w:numFmt w:val="bullet"/>
      <w:lvlText w:val="o"/>
      <w:lvlJc w:val="left"/>
      <w:pPr>
        <w:ind w:left="1235" w:hanging="360"/>
      </w:pPr>
      <w:rPr>
        <w:rFonts w:ascii="Courier New" w:hAnsi="Courier New" w:cs="Courier New" w:hint="default"/>
      </w:rPr>
    </w:lvl>
    <w:lvl w:ilvl="2" w:tplc="041B0005" w:tentative="1">
      <w:start w:val="1"/>
      <w:numFmt w:val="bullet"/>
      <w:lvlText w:val=""/>
      <w:lvlJc w:val="left"/>
      <w:pPr>
        <w:ind w:left="1955" w:hanging="360"/>
      </w:pPr>
      <w:rPr>
        <w:rFonts w:ascii="Wingdings" w:hAnsi="Wingdings" w:hint="default"/>
      </w:rPr>
    </w:lvl>
    <w:lvl w:ilvl="3" w:tplc="041B0001" w:tentative="1">
      <w:start w:val="1"/>
      <w:numFmt w:val="bullet"/>
      <w:lvlText w:val=""/>
      <w:lvlJc w:val="left"/>
      <w:pPr>
        <w:ind w:left="2675" w:hanging="360"/>
      </w:pPr>
      <w:rPr>
        <w:rFonts w:ascii="Symbol" w:hAnsi="Symbol" w:hint="default"/>
      </w:rPr>
    </w:lvl>
    <w:lvl w:ilvl="4" w:tplc="041B0003" w:tentative="1">
      <w:start w:val="1"/>
      <w:numFmt w:val="bullet"/>
      <w:lvlText w:val="o"/>
      <w:lvlJc w:val="left"/>
      <w:pPr>
        <w:ind w:left="3395" w:hanging="360"/>
      </w:pPr>
      <w:rPr>
        <w:rFonts w:ascii="Courier New" w:hAnsi="Courier New" w:cs="Courier New" w:hint="default"/>
      </w:rPr>
    </w:lvl>
    <w:lvl w:ilvl="5" w:tplc="041B0005" w:tentative="1">
      <w:start w:val="1"/>
      <w:numFmt w:val="bullet"/>
      <w:lvlText w:val=""/>
      <w:lvlJc w:val="left"/>
      <w:pPr>
        <w:ind w:left="4115" w:hanging="360"/>
      </w:pPr>
      <w:rPr>
        <w:rFonts w:ascii="Wingdings" w:hAnsi="Wingdings" w:hint="default"/>
      </w:rPr>
    </w:lvl>
    <w:lvl w:ilvl="6" w:tplc="041B0001" w:tentative="1">
      <w:start w:val="1"/>
      <w:numFmt w:val="bullet"/>
      <w:lvlText w:val=""/>
      <w:lvlJc w:val="left"/>
      <w:pPr>
        <w:ind w:left="4835" w:hanging="360"/>
      </w:pPr>
      <w:rPr>
        <w:rFonts w:ascii="Symbol" w:hAnsi="Symbol" w:hint="default"/>
      </w:rPr>
    </w:lvl>
    <w:lvl w:ilvl="7" w:tplc="041B0003" w:tentative="1">
      <w:start w:val="1"/>
      <w:numFmt w:val="bullet"/>
      <w:lvlText w:val="o"/>
      <w:lvlJc w:val="left"/>
      <w:pPr>
        <w:ind w:left="5555" w:hanging="360"/>
      </w:pPr>
      <w:rPr>
        <w:rFonts w:ascii="Courier New" w:hAnsi="Courier New" w:cs="Courier New" w:hint="default"/>
      </w:rPr>
    </w:lvl>
    <w:lvl w:ilvl="8" w:tplc="041B0005" w:tentative="1">
      <w:start w:val="1"/>
      <w:numFmt w:val="bullet"/>
      <w:lvlText w:val=""/>
      <w:lvlJc w:val="left"/>
      <w:pPr>
        <w:ind w:left="6275"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BA755FB"/>
    <w:multiLevelType w:val="hybridMultilevel"/>
    <w:tmpl w:val="54523100"/>
    <w:lvl w:ilvl="0" w:tplc="1F94D2FE">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595" w:hanging="360"/>
      </w:pPr>
      <w:rPr>
        <w:rFonts w:ascii="Courier New" w:hAnsi="Courier New" w:cs="Courier New" w:hint="default"/>
      </w:rPr>
    </w:lvl>
    <w:lvl w:ilvl="2" w:tplc="041B0005" w:tentative="1">
      <w:start w:val="1"/>
      <w:numFmt w:val="bullet"/>
      <w:lvlText w:val=""/>
      <w:lvlJc w:val="left"/>
      <w:pPr>
        <w:ind w:left="2315" w:hanging="360"/>
      </w:pPr>
      <w:rPr>
        <w:rFonts w:ascii="Wingdings" w:hAnsi="Wingdings" w:hint="default"/>
      </w:rPr>
    </w:lvl>
    <w:lvl w:ilvl="3" w:tplc="041B0001" w:tentative="1">
      <w:start w:val="1"/>
      <w:numFmt w:val="bullet"/>
      <w:lvlText w:val=""/>
      <w:lvlJc w:val="left"/>
      <w:pPr>
        <w:ind w:left="3035" w:hanging="360"/>
      </w:pPr>
      <w:rPr>
        <w:rFonts w:ascii="Symbol" w:hAnsi="Symbol" w:hint="default"/>
      </w:rPr>
    </w:lvl>
    <w:lvl w:ilvl="4" w:tplc="041B0003" w:tentative="1">
      <w:start w:val="1"/>
      <w:numFmt w:val="bullet"/>
      <w:lvlText w:val="o"/>
      <w:lvlJc w:val="left"/>
      <w:pPr>
        <w:ind w:left="3755" w:hanging="360"/>
      </w:pPr>
      <w:rPr>
        <w:rFonts w:ascii="Courier New" w:hAnsi="Courier New" w:cs="Courier New" w:hint="default"/>
      </w:rPr>
    </w:lvl>
    <w:lvl w:ilvl="5" w:tplc="041B0005" w:tentative="1">
      <w:start w:val="1"/>
      <w:numFmt w:val="bullet"/>
      <w:lvlText w:val=""/>
      <w:lvlJc w:val="left"/>
      <w:pPr>
        <w:ind w:left="4475" w:hanging="360"/>
      </w:pPr>
      <w:rPr>
        <w:rFonts w:ascii="Wingdings" w:hAnsi="Wingdings" w:hint="default"/>
      </w:rPr>
    </w:lvl>
    <w:lvl w:ilvl="6" w:tplc="041B0001" w:tentative="1">
      <w:start w:val="1"/>
      <w:numFmt w:val="bullet"/>
      <w:lvlText w:val=""/>
      <w:lvlJc w:val="left"/>
      <w:pPr>
        <w:ind w:left="5195" w:hanging="360"/>
      </w:pPr>
      <w:rPr>
        <w:rFonts w:ascii="Symbol" w:hAnsi="Symbol" w:hint="default"/>
      </w:rPr>
    </w:lvl>
    <w:lvl w:ilvl="7" w:tplc="041B0003" w:tentative="1">
      <w:start w:val="1"/>
      <w:numFmt w:val="bullet"/>
      <w:lvlText w:val="o"/>
      <w:lvlJc w:val="left"/>
      <w:pPr>
        <w:ind w:left="5915" w:hanging="360"/>
      </w:pPr>
      <w:rPr>
        <w:rFonts w:ascii="Courier New" w:hAnsi="Courier New" w:cs="Courier New" w:hint="default"/>
      </w:rPr>
    </w:lvl>
    <w:lvl w:ilvl="8" w:tplc="041B0005" w:tentative="1">
      <w:start w:val="1"/>
      <w:numFmt w:val="bullet"/>
      <w:lvlText w:val=""/>
      <w:lvlJc w:val="left"/>
      <w:pPr>
        <w:ind w:left="6635" w:hanging="360"/>
      </w:pPr>
      <w:rPr>
        <w:rFonts w:ascii="Wingdings" w:hAnsi="Wingdings" w:hint="default"/>
      </w:rPr>
    </w:lvl>
  </w:abstractNum>
  <w:abstractNum w:abstractNumId="9"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C2C11AF"/>
    <w:multiLevelType w:val="hybridMultilevel"/>
    <w:tmpl w:val="5C06D1B8"/>
    <w:lvl w:ilvl="0" w:tplc="4A724D0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5684C"/>
    <w:multiLevelType w:val="hybridMultilevel"/>
    <w:tmpl w:val="15DCDC74"/>
    <w:lvl w:ilvl="0" w:tplc="07A0C65A">
      <w:start w:val="5"/>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4"/>
  </w:num>
  <w:num w:numId="5">
    <w:abstractNumId w:val="9"/>
  </w:num>
  <w:num w:numId="6">
    <w:abstractNumId w:val="10"/>
  </w:num>
  <w:num w:numId="7">
    <w:abstractNumId w:val="4"/>
  </w:num>
  <w:num w:numId="8">
    <w:abstractNumId w:val="7"/>
  </w:num>
  <w:num w:numId="9">
    <w:abstractNumId w:val="6"/>
  </w:num>
  <w:num w:numId="10">
    <w:abstractNumId w:val="0"/>
  </w:num>
  <w:num w:numId="11">
    <w:abstractNumId w:val="12"/>
  </w:num>
  <w:num w:numId="12">
    <w:abstractNumId w:val="13"/>
  </w:num>
  <w:num w:numId="13">
    <w:abstractNumId w:val="16"/>
  </w:num>
  <w:num w:numId="14">
    <w:abstractNumId w:val="1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53429"/>
    <w:rsid w:val="00060EEC"/>
    <w:rsid w:val="00095CB6"/>
    <w:rsid w:val="000B49D8"/>
    <w:rsid w:val="000B7290"/>
    <w:rsid w:val="000D0B57"/>
    <w:rsid w:val="000D2704"/>
    <w:rsid w:val="000D4784"/>
    <w:rsid w:val="000D5E24"/>
    <w:rsid w:val="000E2A40"/>
    <w:rsid w:val="000E764A"/>
    <w:rsid w:val="001154E2"/>
    <w:rsid w:val="00145036"/>
    <w:rsid w:val="001663B2"/>
    <w:rsid w:val="001B032A"/>
    <w:rsid w:val="001C235F"/>
    <w:rsid w:val="001C4074"/>
    <w:rsid w:val="001C4A70"/>
    <w:rsid w:val="001E3390"/>
    <w:rsid w:val="001E692E"/>
    <w:rsid w:val="00210BC0"/>
    <w:rsid w:val="002644DE"/>
    <w:rsid w:val="00283C98"/>
    <w:rsid w:val="00294800"/>
    <w:rsid w:val="002B5079"/>
    <w:rsid w:val="002D2453"/>
    <w:rsid w:val="002E3049"/>
    <w:rsid w:val="00333B6B"/>
    <w:rsid w:val="003406F0"/>
    <w:rsid w:val="00341CD2"/>
    <w:rsid w:val="00343489"/>
    <w:rsid w:val="003522E7"/>
    <w:rsid w:val="00352365"/>
    <w:rsid w:val="00382021"/>
    <w:rsid w:val="003A1EE1"/>
    <w:rsid w:val="003D2670"/>
    <w:rsid w:val="003E3616"/>
    <w:rsid w:val="00401DE9"/>
    <w:rsid w:val="0040256B"/>
    <w:rsid w:val="004061D6"/>
    <w:rsid w:val="00433C47"/>
    <w:rsid w:val="0049115B"/>
    <w:rsid w:val="004C099A"/>
    <w:rsid w:val="00531CEA"/>
    <w:rsid w:val="005373FF"/>
    <w:rsid w:val="005A5425"/>
    <w:rsid w:val="005C0DBC"/>
    <w:rsid w:val="005C65F7"/>
    <w:rsid w:val="005C7724"/>
    <w:rsid w:val="005F736A"/>
    <w:rsid w:val="006073A6"/>
    <w:rsid w:val="00636449"/>
    <w:rsid w:val="006602BD"/>
    <w:rsid w:val="006934DB"/>
    <w:rsid w:val="00695940"/>
    <w:rsid w:val="006D1692"/>
    <w:rsid w:val="006D1B47"/>
    <w:rsid w:val="006E78EC"/>
    <w:rsid w:val="007030FE"/>
    <w:rsid w:val="00715725"/>
    <w:rsid w:val="00717BA5"/>
    <w:rsid w:val="00726441"/>
    <w:rsid w:val="00752E8B"/>
    <w:rsid w:val="007708B7"/>
    <w:rsid w:val="007B13A1"/>
    <w:rsid w:val="007E57E7"/>
    <w:rsid w:val="007F2DB2"/>
    <w:rsid w:val="007F58AE"/>
    <w:rsid w:val="007F6319"/>
    <w:rsid w:val="00813DDC"/>
    <w:rsid w:val="00841890"/>
    <w:rsid w:val="008714E0"/>
    <w:rsid w:val="008801B5"/>
    <w:rsid w:val="00881274"/>
    <w:rsid w:val="0088204E"/>
    <w:rsid w:val="008C4D98"/>
    <w:rsid w:val="008E43A3"/>
    <w:rsid w:val="008F7424"/>
    <w:rsid w:val="00926570"/>
    <w:rsid w:val="00935D77"/>
    <w:rsid w:val="00945D9F"/>
    <w:rsid w:val="0095188C"/>
    <w:rsid w:val="00967E1D"/>
    <w:rsid w:val="00983064"/>
    <w:rsid w:val="00995BF6"/>
    <w:rsid w:val="009A4F46"/>
    <w:rsid w:val="009E09F7"/>
    <w:rsid w:val="009E6D15"/>
    <w:rsid w:val="009F00C2"/>
    <w:rsid w:val="00A521D0"/>
    <w:rsid w:val="00A543B7"/>
    <w:rsid w:val="00A654A0"/>
    <w:rsid w:val="00A662B9"/>
    <w:rsid w:val="00A763DA"/>
    <w:rsid w:val="00A81310"/>
    <w:rsid w:val="00A832E0"/>
    <w:rsid w:val="00AD36D9"/>
    <w:rsid w:val="00B035C0"/>
    <w:rsid w:val="00B20DD4"/>
    <w:rsid w:val="00B324BD"/>
    <w:rsid w:val="00B3791F"/>
    <w:rsid w:val="00B45481"/>
    <w:rsid w:val="00BA7A23"/>
    <w:rsid w:val="00BB535D"/>
    <w:rsid w:val="00BD141A"/>
    <w:rsid w:val="00BD2F58"/>
    <w:rsid w:val="00BE2A4B"/>
    <w:rsid w:val="00BF6EC5"/>
    <w:rsid w:val="00BF7985"/>
    <w:rsid w:val="00C00B00"/>
    <w:rsid w:val="00C12F77"/>
    <w:rsid w:val="00C40041"/>
    <w:rsid w:val="00C45CCB"/>
    <w:rsid w:val="00C75C71"/>
    <w:rsid w:val="00C86CE0"/>
    <w:rsid w:val="00CC005D"/>
    <w:rsid w:val="00CD0ED5"/>
    <w:rsid w:val="00D20A46"/>
    <w:rsid w:val="00D620E7"/>
    <w:rsid w:val="00D7581D"/>
    <w:rsid w:val="00D920B0"/>
    <w:rsid w:val="00DC1BB2"/>
    <w:rsid w:val="00DC4572"/>
    <w:rsid w:val="00DD3CE8"/>
    <w:rsid w:val="00E00078"/>
    <w:rsid w:val="00E000E2"/>
    <w:rsid w:val="00E1027F"/>
    <w:rsid w:val="00E93182"/>
    <w:rsid w:val="00EA773F"/>
    <w:rsid w:val="00EC438E"/>
    <w:rsid w:val="00F00E17"/>
    <w:rsid w:val="00F24E13"/>
    <w:rsid w:val="00F46949"/>
    <w:rsid w:val="00F55676"/>
    <w:rsid w:val="00F709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083B3-8998-4661-B76E-FBC05E06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41CD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AD36D9"/>
    <w:pPr>
      <w:ind w:left="720"/>
      <w:contextualSpacing/>
    </w:pPr>
  </w:style>
  <w:style w:type="character" w:styleId="Odkaznakomentr">
    <w:name w:val="annotation reference"/>
    <w:basedOn w:val="Predvolenpsmoodseku"/>
    <w:uiPriority w:val="99"/>
    <w:semiHidden/>
    <w:unhideWhenUsed/>
    <w:rsid w:val="007708B7"/>
    <w:rPr>
      <w:sz w:val="16"/>
      <w:szCs w:val="16"/>
    </w:rPr>
  </w:style>
  <w:style w:type="paragraph" w:styleId="Textkomentra">
    <w:name w:val="annotation text"/>
    <w:basedOn w:val="Normlny"/>
    <w:link w:val="TextkomentraChar"/>
    <w:uiPriority w:val="99"/>
    <w:unhideWhenUsed/>
    <w:rsid w:val="007708B7"/>
    <w:pPr>
      <w:spacing w:line="240" w:lineRule="auto"/>
    </w:pPr>
    <w:rPr>
      <w:sz w:val="20"/>
      <w:szCs w:val="20"/>
    </w:rPr>
  </w:style>
  <w:style w:type="character" w:customStyle="1" w:styleId="TextkomentraChar">
    <w:name w:val="Text komentára Char"/>
    <w:basedOn w:val="Predvolenpsmoodseku"/>
    <w:link w:val="Textkomentra"/>
    <w:uiPriority w:val="99"/>
    <w:rsid w:val="007708B7"/>
    <w:rPr>
      <w:sz w:val="20"/>
      <w:szCs w:val="20"/>
    </w:rPr>
  </w:style>
  <w:style w:type="paragraph" w:styleId="Predmetkomentra">
    <w:name w:val="annotation subject"/>
    <w:basedOn w:val="Textkomentra"/>
    <w:next w:val="Textkomentra"/>
    <w:link w:val="PredmetkomentraChar"/>
    <w:uiPriority w:val="99"/>
    <w:semiHidden/>
    <w:unhideWhenUsed/>
    <w:rsid w:val="007708B7"/>
    <w:rPr>
      <w:b/>
      <w:bCs/>
    </w:rPr>
  </w:style>
  <w:style w:type="character" w:customStyle="1" w:styleId="PredmetkomentraChar">
    <w:name w:val="Predmet komentára Char"/>
    <w:basedOn w:val="TextkomentraChar"/>
    <w:link w:val="Predmetkomentra"/>
    <w:uiPriority w:val="99"/>
    <w:semiHidden/>
    <w:rsid w:val="007708B7"/>
    <w:rPr>
      <w:b/>
      <w:bCs/>
      <w:sz w:val="20"/>
      <w:szCs w:val="20"/>
    </w:rPr>
  </w:style>
  <w:style w:type="paragraph" w:styleId="Textbubliny">
    <w:name w:val="Balloon Text"/>
    <w:basedOn w:val="Normlny"/>
    <w:link w:val="TextbublinyChar"/>
    <w:uiPriority w:val="99"/>
    <w:semiHidden/>
    <w:unhideWhenUsed/>
    <w:rsid w:val="007708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08B7"/>
    <w:rPr>
      <w:rFonts w:ascii="Segoe UI" w:hAnsi="Segoe UI" w:cs="Segoe UI"/>
      <w:sz w:val="18"/>
      <w:szCs w:val="18"/>
    </w:rPr>
  </w:style>
  <w:style w:type="paragraph" w:styleId="Revzia">
    <w:name w:val="Revision"/>
    <w:hidden/>
    <w:uiPriority w:val="99"/>
    <w:semiHidden/>
    <w:rsid w:val="00B32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3599</Words>
  <Characters>20515</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2022-09-29T07:53:00Z</dcterms:created>
  <dcterms:modified xsi:type="dcterms:W3CDTF">2022-09-29T07:53:00Z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