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3E9F9" w14:textId="6BE24ACE"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bookmarkStart w:id="0" w:name="_GoBack"/>
      <w:bookmarkEnd w:id="0"/>
      <w:r w:rsidRPr="007D5748">
        <w:rPr>
          <w:rFonts w:ascii="Times New Roman" w:eastAsia="Times New Roman" w:hAnsi="Times New Roman" w:cs="Times New Roman"/>
          <w:b/>
          <w:bCs/>
          <w:sz w:val="28"/>
          <w:szCs w:val="28"/>
          <w:lang w:eastAsia="sk-SK"/>
        </w:rPr>
        <w:t>Analýza vplyvov na rozpočet verejnej správy,</w:t>
      </w:r>
    </w:p>
    <w:p w14:paraId="7003CB52"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5C9C0F22" w14:textId="77777777"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14:paraId="69FD7F6A" w14:textId="77777777" w:rsidR="00E963A3" w:rsidRDefault="00E963A3" w:rsidP="00212894">
      <w:pPr>
        <w:spacing w:after="0" w:line="240" w:lineRule="auto"/>
        <w:rPr>
          <w:rFonts w:ascii="Times New Roman" w:eastAsia="Times New Roman" w:hAnsi="Times New Roman" w:cs="Times New Roman"/>
          <w:b/>
          <w:bCs/>
          <w:sz w:val="24"/>
          <w:szCs w:val="24"/>
          <w:lang w:eastAsia="sk-SK"/>
        </w:rPr>
      </w:pPr>
    </w:p>
    <w:p w14:paraId="3D0DED36" w14:textId="77777777"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5A51F314" w14:textId="77777777" w:rsidR="00E963A3" w:rsidRDefault="00E963A3" w:rsidP="007D5748">
      <w:pPr>
        <w:spacing w:after="0" w:line="240" w:lineRule="auto"/>
        <w:jc w:val="right"/>
        <w:rPr>
          <w:rFonts w:ascii="Times New Roman" w:eastAsia="Times New Roman" w:hAnsi="Times New Roman" w:cs="Times New Roman"/>
          <w:sz w:val="20"/>
          <w:szCs w:val="20"/>
          <w:lang w:eastAsia="sk-SK"/>
        </w:rPr>
      </w:pPr>
    </w:p>
    <w:p w14:paraId="14E72487" w14:textId="77777777" w:rsid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p w14:paraId="5C387333" w14:textId="7A69DE9E" w:rsidR="00AB6E0A" w:rsidRDefault="00AB6E0A" w:rsidP="00C90A4E">
      <w:pPr>
        <w:spacing w:after="0" w:line="240" w:lineRule="auto"/>
        <w:rPr>
          <w:rFonts w:ascii="Times New Roman" w:eastAsia="Times New Roman" w:hAnsi="Times New Roman" w:cs="Times New Roman"/>
          <w:color w:val="000000"/>
          <w:sz w:val="20"/>
          <w:szCs w:val="20"/>
          <w:lang w:eastAsia="sk-SK"/>
        </w:rPr>
      </w:pPr>
    </w:p>
    <w:tbl>
      <w:tblPr>
        <w:tblW w:w="9360" w:type="dxa"/>
        <w:tblCellMar>
          <w:left w:w="70" w:type="dxa"/>
          <w:right w:w="70" w:type="dxa"/>
        </w:tblCellMar>
        <w:tblLook w:val="04A0" w:firstRow="1" w:lastRow="0" w:firstColumn="1" w:lastColumn="0" w:noHBand="0" w:noVBand="1"/>
      </w:tblPr>
      <w:tblGrid>
        <w:gridCol w:w="3820"/>
        <w:gridCol w:w="1360"/>
        <w:gridCol w:w="1440"/>
        <w:gridCol w:w="1360"/>
        <w:gridCol w:w="1380"/>
      </w:tblGrid>
      <w:tr w:rsidR="0057156E" w:rsidRPr="0057156E" w14:paraId="28175084" w14:textId="77777777" w:rsidTr="0057156E">
        <w:trPr>
          <w:trHeight w:val="330"/>
        </w:trPr>
        <w:tc>
          <w:tcPr>
            <w:tcW w:w="38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3587152" w14:textId="77777777" w:rsidR="0057156E" w:rsidRPr="0057156E" w:rsidRDefault="0057156E" w:rsidP="0057156E">
            <w:pPr>
              <w:spacing w:after="0" w:line="240" w:lineRule="auto"/>
              <w:jc w:val="center"/>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Vplyvy na rozpočet verejnej správy</w:t>
            </w:r>
          </w:p>
        </w:tc>
        <w:tc>
          <w:tcPr>
            <w:tcW w:w="5540" w:type="dxa"/>
            <w:gridSpan w:val="4"/>
            <w:tcBorders>
              <w:top w:val="single" w:sz="8" w:space="0" w:color="auto"/>
              <w:left w:val="nil"/>
              <w:bottom w:val="single" w:sz="8" w:space="0" w:color="auto"/>
              <w:right w:val="single" w:sz="8" w:space="0" w:color="000000"/>
            </w:tcBorders>
            <w:shd w:val="clear" w:color="000000" w:fill="BFBFBF"/>
            <w:vAlign w:val="center"/>
            <w:hideMark/>
          </w:tcPr>
          <w:p w14:paraId="33002850" w14:textId="77777777" w:rsidR="0057156E" w:rsidRPr="0057156E" w:rsidRDefault="0057156E" w:rsidP="0057156E">
            <w:pPr>
              <w:spacing w:after="0" w:line="240" w:lineRule="auto"/>
              <w:jc w:val="center"/>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Vplyv na rozpočet verejnej správy (v eurách)</w:t>
            </w:r>
          </w:p>
        </w:tc>
      </w:tr>
      <w:tr w:rsidR="0057156E" w:rsidRPr="0057156E" w14:paraId="25ACBF05" w14:textId="77777777" w:rsidTr="0057156E">
        <w:trPr>
          <w:trHeight w:val="330"/>
        </w:trPr>
        <w:tc>
          <w:tcPr>
            <w:tcW w:w="3820" w:type="dxa"/>
            <w:vMerge/>
            <w:tcBorders>
              <w:top w:val="single" w:sz="8" w:space="0" w:color="auto"/>
              <w:left w:val="single" w:sz="8" w:space="0" w:color="auto"/>
              <w:bottom w:val="single" w:sz="8" w:space="0" w:color="000000"/>
              <w:right w:val="single" w:sz="8" w:space="0" w:color="auto"/>
            </w:tcBorders>
            <w:vAlign w:val="center"/>
            <w:hideMark/>
          </w:tcPr>
          <w:p w14:paraId="2178AE6C"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p>
        </w:tc>
        <w:tc>
          <w:tcPr>
            <w:tcW w:w="1360" w:type="dxa"/>
            <w:tcBorders>
              <w:top w:val="nil"/>
              <w:left w:val="nil"/>
              <w:bottom w:val="single" w:sz="8" w:space="0" w:color="auto"/>
              <w:right w:val="single" w:sz="8" w:space="0" w:color="auto"/>
            </w:tcBorders>
            <w:shd w:val="clear" w:color="000000" w:fill="BFBFBF"/>
            <w:vAlign w:val="center"/>
            <w:hideMark/>
          </w:tcPr>
          <w:p w14:paraId="2DC8303D"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2022</w:t>
            </w:r>
          </w:p>
        </w:tc>
        <w:tc>
          <w:tcPr>
            <w:tcW w:w="1440" w:type="dxa"/>
            <w:tcBorders>
              <w:top w:val="nil"/>
              <w:left w:val="nil"/>
              <w:bottom w:val="single" w:sz="8" w:space="0" w:color="auto"/>
              <w:right w:val="single" w:sz="8" w:space="0" w:color="auto"/>
            </w:tcBorders>
            <w:shd w:val="clear" w:color="000000" w:fill="BFBFBF"/>
            <w:vAlign w:val="center"/>
            <w:hideMark/>
          </w:tcPr>
          <w:p w14:paraId="73EF672E"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2023</w:t>
            </w:r>
          </w:p>
        </w:tc>
        <w:tc>
          <w:tcPr>
            <w:tcW w:w="1360" w:type="dxa"/>
            <w:tcBorders>
              <w:top w:val="nil"/>
              <w:left w:val="nil"/>
              <w:bottom w:val="single" w:sz="8" w:space="0" w:color="auto"/>
              <w:right w:val="single" w:sz="8" w:space="0" w:color="auto"/>
            </w:tcBorders>
            <w:shd w:val="clear" w:color="000000" w:fill="BFBFBF"/>
            <w:vAlign w:val="center"/>
            <w:hideMark/>
          </w:tcPr>
          <w:p w14:paraId="42563371"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2024</w:t>
            </w:r>
          </w:p>
        </w:tc>
        <w:tc>
          <w:tcPr>
            <w:tcW w:w="1380" w:type="dxa"/>
            <w:tcBorders>
              <w:top w:val="nil"/>
              <w:left w:val="nil"/>
              <w:bottom w:val="single" w:sz="8" w:space="0" w:color="auto"/>
              <w:right w:val="single" w:sz="8" w:space="0" w:color="auto"/>
            </w:tcBorders>
            <w:shd w:val="clear" w:color="000000" w:fill="BFBFBF"/>
            <w:vAlign w:val="center"/>
            <w:hideMark/>
          </w:tcPr>
          <w:p w14:paraId="000046E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2025</w:t>
            </w:r>
          </w:p>
        </w:tc>
      </w:tr>
      <w:tr w:rsidR="0057156E" w:rsidRPr="0057156E" w14:paraId="7CE593F8" w14:textId="77777777" w:rsidTr="0057156E">
        <w:trPr>
          <w:trHeight w:val="330"/>
        </w:trPr>
        <w:tc>
          <w:tcPr>
            <w:tcW w:w="3820" w:type="dxa"/>
            <w:tcBorders>
              <w:top w:val="nil"/>
              <w:left w:val="single" w:sz="8" w:space="0" w:color="auto"/>
              <w:bottom w:val="single" w:sz="8" w:space="0" w:color="auto"/>
              <w:right w:val="single" w:sz="8" w:space="0" w:color="auto"/>
            </w:tcBorders>
            <w:shd w:val="clear" w:color="000000" w:fill="C0C0C0"/>
            <w:vAlign w:val="center"/>
            <w:hideMark/>
          </w:tcPr>
          <w:p w14:paraId="6F28F802"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Príjmy verejnej správy celkom</w:t>
            </w:r>
          </w:p>
        </w:tc>
        <w:tc>
          <w:tcPr>
            <w:tcW w:w="1360" w:type="dxa"/>
            <w:tcBorders>
              <w:top w:val="nil"/>
              <w:left w:val="nil"/>
              <w:bottom w:val="single" w:sz="8" w:space="0" w:color="auto"/>
              <w:right w:val="single" w:sz="8" w:space="0" w:color="auto"/>
            </w:tcBorders>
            <w:shd w:val="clear" w:color="000000" w:fill="C0C0C0"/>
            <w:vAlign w:val="center"/>
            <w:hideMark/>
          </w:tcPr>
          <w:p w14:paraId="11BF608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C0C0C0"/>
            <w:vAlign w:val="center"/>
            <w:hideMark/>
          </w:tcPr>
          <w:p w14:paraId="75E637C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-7 773 455</w:t>
            </w:r>
          </w:p>
        </w:tc>
        <w:tc>
          <w:tcPr>
            <w:tcW w:w="1360" w:type="dxa"/>
            <w:tcBorders>
              <w:top w:val="nil"/>
              <w:left w:val="nil"/>
              <w:bottom w:val="single" w:sz="8" w:space="0" w:color="auto"/>
              <w:right w:val="single" w:sz="8" w:space="0" w:color="auto"/>
            </w:tcBorders>
            <w:shd w:val="clear" w:color="000000" w:fill="C0C0C0"/>
            <w:vAlign w:val="center"/>
            <w:hideMark/>
          </w:tcPr>
          <w:p w14:paraId="1BF61A32"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-8 640 462</w:t>
            </w:r>
          </w:p>
        </w:tc>
        <w:tc>
          <w:tcPr>
            <w:tcW w:w="1380" w:type="dxa"/>
            <w:tcBorders>
              <w:top w:val="nil"/>
              <w:left w:val="nil"/>
              <w:bottom w:val="single" w:sz="8" w:space="0" w:color="auto"/>
              <w:right w:val="single" w:sz="8" w:space="0" w:color="auto"/>
            </w:tcBorders>
            <w:shd w:val="clear" w:color="000000" w:fill="C0C0C0"/>
            <w:vAlign w:val="center"/>
            <w:hideMark/>
          </w:tcPr>
          <w:p w14:paraId="4B57A86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-10 520 203</w:t>
            </w:r>
          </w:p>
        </w:tc>
      </w:tr>
      <w:tr w:rsidR="0057156E" w:rsidRPr="0057156E" w14:paraId="742C484E"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0E6A95A5"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v tom: VPS</w:t>
            </w:r>
          </w:p>
        </w:tc>
        <w:tc>
          <w:tcPr>
            <w:tcW w:w="1360" w:type="dxa"/>
            <w:tcBorders>
              <w:top w:val="nil"/>
              <w:left w:val="nil"/>
              <w:bottom w:val="single" w:sz="8" w:space="0" w:color="auto"/>
              <w:right w:val="single" w:sz="8" w:space="0" w:color="auto"/>
            </w:tcBorders>
            <w:shd w:val="clear" w:color="auto" w:fill="auto"/>
            <w:vAlign w:val="center"/>
            <w:hideMark/>
          </w:tcPr>
          <w:p w14:paraId="29FB9ADB"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34709B13"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-105 000</w:t>
            </w:r>
          </w:p>
        </w:tc>
        <w:tc>
          <w:tcPr>
            <w:tcW w:w="1360" w:type="dxa"/>
            <w:tcBorders>
              <w:top w:val="nil"/>
              <w:left w:val="nil"/>
              <w:bottom w:val="single" w:sz="8" w:space="0" w:color="auto"/>
              <w:right w:val="single" w:sz="8" w:space="0" w:color="auto"/>
            </w:tcBorders>
            <w:shd w:val="clear" w:color="auto" w:fill="auto"/>
            <w:vAlign w:val="center"/>
            <w:hideMark/>
          </w:tcPr>
          <w:p w14:paraId="5EFA07BC"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-115 500</w:t>
            </w:r>
          </w:p>
        </w:tc>
        <w:tc>
          <w:tcPr>
            <w:tcW w:w="1380" w:type="dxa"/>
            <w:tcBorders>
              <w:top w:val="nil"/>
              <w:left w:val="nil"/>
              <w:bottom w:val="single" w:sz="8" w:space="0" w:color="auto"/>
              <w:right w:val="single" w:sz="8" w:space="0" w:color="auto"/>
            </w:tcBorders>
            <w:shd w:val="clear" w:color="auto" w:fill="auto"/>
            <w:vAlign w:val="center"/>
            <w:hideMark/>
          </w:tcPr>
          <w:p w14:paraId="39079D5A"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-126 000</w:t>
            </w:r>
          </w:p>
        </w:tc>
      </w:tr>
      <w:tr w:rsidR="0057156E" w:rsidRPr="0057156E" w14:paraId="54D6DC9D"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1DEC488"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v tom: MPSVR SR</w:t>
            </w:r>
          </w:p>
        </w:tc>
        <w:tc>
          <w:tcPr>
            <w:tcW w:w="1360" w:type="dxa"/>
            <w:tcBorders>
              <w:top w:val="nil"/>
              <w:left w:val="nil"/>
              <w:bottom w:val="single" w:sz="8" w:space="0" w:color="auto"/>
              <w:right w:val="single" w:sz="8" w:space="0" w:color="auto"/>
            </w:tcBorders>
            <w:shd w:val="clear" w:color="auto" w:fill="auto"/>
            <w:vAlign w:val="center"/>
            <w:hideMark/>
          </w:tcPr>
          <w:p w14:paraId="3A267A56"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7130026A"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-7 668 455</w:t>
            </w:r>
          </w:p>
        </w:tc>
        <w:tc>
          <w:tcPr>
            <w:tcW w:w="1360" w:type="dxa"/>
            <w:tcBorders>
              <w:top w:val="nil"/>
              <w:left w:val="nil"/>
              <w:bottom w:val="single" w:sz="8" w:space="0" w:color="auto"/>
              <w:right w:val="single" w:sz="8" w:space="0" w:color="auto"/>
            </w:tcBorders>
            <w:shd w:val="clear" w:color="auto" w:fill="auto"/>
            <w:vAlign w:val="center"/>
            <w:hideMark/>
          </w:tcPr>
          <w:p w14:paraId="59D9A028"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-8 524 962</w:t>
            </w:r>
          </w:p>
        </w:tc>
        <w:tc>
          <w:tcPr>
            <w:tcW w:w="1380" w:type="dxa"/>
            <w:tcBorders>
              <w:top w:val="nil"/>
              <w:left w:val="nil"/>
              <w:bottom w:val="single" w:sz="8" w:space="0" w:color="auto"/>
              <w:right w:val="single" w:sz="8" w:space="0" w:color="auto"/>
            </w:tcBorders>
            <w:shd w:val="clear" w:color="auto" w:fill="auto"/>
            <w:vAlign w:val="center"/>
            <w:hideMark/>
          </w:tcPr>
          <w:p w14:paraId="0CE1FDEB"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-10 394 203</w:t>
            </w:r>
          </w:p>
        </w:tc>
      </w:tr>
      <w:tr w:rsidR="0057156E" w:rsidRPr="0057156E" w14:paraId="3D26DA82"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1DA4E5F"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ŠR</w:t>
            </w:r>
          </w:p>
        </w:tc>
        <w:tc>
          <w:tcPr>
            <w:tcW w:w="1360" w:type="dxa"/>
            <w:tcBorders>
              <w:top w:val="nil"/>
              <w:left w:val="nil"/>
              <w:bottom w:val="single" w:sz="8" w:space="0" w:color="auto"/>
              <w:right w:val="single" w:sz="8" w:space="0" w:color="auto"/>
            </w:tcBorders>
            <w:shd w:val="clear" w:color="auto" w:fill="auto"/>
            <w:vAlign w:val="center"/>
            <w:hideMark/>
          </w:tcPr>
          <w:p w14:paraId="3EFD7C76"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D9C8E91"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-7 773 455</w:t>
            </w:r>
          </w:p>
        </w:tc>
        <w:tc>
          <w:tcPr>
            <w:tcW w:w="1360" w:type="dxa"/>
            <w:tcBorders>
              <w:top w:val="nil"/>
              <w:left w:val="nil"/>
              <w:bottom w:val="single" w:sz="8" w:space="0" w:color="auto"/>
              <w:right w:val="single" w:sz="8" w:space="0" w:color="auto"/>
            </w:tcBorders>
            <w:shd w:val="clear" w:color="auto" w:fill="auto"/>
            <w:vAlign w:val="center"/>
            <w:hideMark/>
          </w:tcPr>
          <w:p w14:paraId="1A160008"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-8 640 462</w:t>
            </w:r>
          </w:p>
        </w:tc>
        <w:tc>
          <w:tcPr>
            <w:tcW w:w="1380" w:type="dxa"/>
            <w:tcBorders>
              <w:top w:val="nil"/>
              <w:left w:val="nil"/>
              <w:bottom w:val="single" w:sz="8" w:space="0" w:color="auto"/>
              <w:right w:val="single" w:sz="8" w:space="0" w:color="auto"/>
            </w:tcBorders>
            <w:shd w:val="clear" w:color="auto" w:fill="auto"/>
            <w:vAlign w:val="center"/>
            <w:hideMark/>
          </w:tcPr>
          <w:p w14:paraId="590C04F4"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-10 520 203</w:t>
            </w:r>
          </w:p>
        </w:tc>
      </w:tr>
      <w:tr w:rsidR="0057156E" w:rsidRPr="0057156E" w14:paraId="57FDEA12" w14:textId="77777777" w:rsidTr="00E2072B">
        <w:trPr>
          <w:trHeight w:val="39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16998D36" w14:textId="77777777" w:rsidR="0057156E" w:rsidRPr="0057156E" w:rsidRDefault="0057156E" w:rsidP="0057156E">
            <w:pPr>
              <w:spacing w:after="0" w:line="240" w:lineRule="auto"/>
              <w:ind w:firstLineChars="100" w:firstLine="240"/>
              <w:rPr>
                <w:rFonts w:ascii="Times New Roman" w:eastAsia="Times New Roman" w:hAnsi="Times New Roman" w:cs="Times New Roman"/>
                <w:i/>
                <w:iCs/>
                <w:color w:val="000000"/>
                <w:sz w:val="24"/>
                <w:szCs w:val="24"/>
                <w:lang w:eastAsia="sk-SK"/>
              </w:rPr>
            </w:pPr>
            <w:r w:rsidRPr="0057156E">
              <w:rPr>
                <w:rFonts w:ascii="Times New Roman" w:eastAsia="Times New Roman" w:hAnsi="Times New Roman" w:cs="Times New Roman"/>
                <w:i/>
                <w:iCs/>
                <w:color w:val="000000"/>
                <w:sz w:val="24"/>
                <w:szCs w:val="24"/>
                <w:lang w:eastAsia="sk-SK"/>
              </w:rPr>
              <w:t>Rozpočtové prostriedky</w:t>
            </w:r>
          </w:p>
        </w:tc>
        <w:tc>
          <w:tcPr>
            <w:tcW w:w="1360" w:type="dxa"/>
            <w:tcBorders>
              <w:top w:val="nil"/>
              <w:left w:val="nil"/>
              <w:bottom w:val="single" w:sz="8" w:space="0" w:color="auto"/>
              <w:right w:val="single" w:sz="8" w:space="0" w:color="auto"/>
            </w:tcBorders>
            <w:shd w:val="clear" w:color="auto" w:fill="auto"/>
            <w:vAlign w:val="center"/>
            <w:hideMark/>
          </w:tcPr>
          <w:p w14:paraId="1BCB1E3F"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5A541141"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-105 000</w:t>
            </w:r>
          </w:p>
        </w:tc>
        <w:tc>
          <w:tcPr>
            <w:tcW w:w="1360" w:type="dxa"/>
            <w:tcBorders>
              <w:top w:val="nil"/>
              <w:left w:val="nil"/>
              <w:bottom w:val="single" w:sz="8" w:space="0" w:color="auto"/>
              <w:right w:val="single" w:sz="8" w:space="0" w:color="auto"/>
            </w:tcBorders>
            <w:shd w:val="clear" w:color="auto" w:fill="auto"/>
            <w:vAlign w:val="center"/>
            <w:hideMark/>
          </w:tcPr>
          <w:p w14:paraId="6626D78F"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-115 500</w:t>
            </w:r>
          </w:p>
        </w:tc>
        <w:tc>
          <w:tcPr>
            <w:tcW w:w="1380" w:type="dxa"/>
            <w:tcBorders>
              <w:top w:val="nil"/>
              <w:left w:val="nil"/>
              <w:bottom w:val="single" w:sz="8" w:space="0" w:color="auto"/>
              <w:right w:val="single" w:sz="8" w:space="0" w:color="auto"/>
            </w:tcBorders>
            <w:shd w:val="clear" w:color="auto" w:fill="auto"/>
            <w:vAlign w:val="center"/>
            <w:hideMark/>
          </w:tcPr>
          <w:p w14:paraId="7B2866D5"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-126 000</w:t>
            </w:r>
          </w:p>
        </w:tc>
      </w:tr>
      <w:tr w:rsidR="0057156E" w:rsidRPr="0057156E" w14:paraId="7F0B2635"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43099592" w14:textId="77777777" w:rsidR="0057156E" w:rsidRPr="0057156E" w:rsidRDefault="0057156E" w:rsidP="0057156E">
            <w:pPr>
              <w:spacing w:after="0" w:line="240" w:lineRule="auto"/>
              <w:ind w:firstLineChars="100" w:firstLine="240"/>
              <w:rPr>
                <w:rFonts w:ascii="Times New Roman" w:eastAsia="Times New Roman" w:hAnsi="Times New Roman" w:cs="Times New Roman"/>
                <w:i/>
                <w:iCs/>
                <w:color w:val="000000"/>
                <w:sz w:val="24"/>
                <w:szCs w:val="24"/>
                <w:lang w:eastAsia="sk-SK"/>
              </w:rPr>
            </w:pPr>
            <w:r w:rsidRPr="0057156E">
              <w:rPr>
                <w:rFonts w:ascii="Times New Roman" w:eastAsia="Times New Roman" w:hAnsi="Times New Roman" w:cs="Times New Roman"/>
                <w:i/>
                <w:iCs/>
                <w:color w:val="000000"/>
                <w:sz w:val="24"/>
                <w:szCs w:val="24"/>
                <w:lang w:eastAsia="sk-SK"/>
              </w:rPr>
              <w:t>EÚ zdroje</w:t>
            </w:r>
          </w:p>
        </w:tc>
        <w:tc>
          <w:tcPr>
            <w:tcW w:w="1360" w:type="dxa"/>
            <w:tcBorders>
              <w:top w:val="nil"/>
              <w:left w:val="nil"/>
              <w:bottom w:val="single" w:sz="8" w:space="0" w:color="auto"/>
              <w:right w:val="single" w:sz="8" w:space="0" w:color="auto"/>
            </w:tcBorders>
            <w:shd w:val="clear" w:color="auto" w:fill="auto"/>
            <w:vAlign w:val="center"/>
            <w:hideMark/>
          </w:tcPr>
          <w:p w14:paraId="61BBE47E"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0039A98B"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-7 668 455</w:t>
            </w:r>
          </w:p>
        </w:tc>
        <w:tc>
          <w:tcPr>
            <w:tcW w:w="1360" w:type="dxa"/>
            <w:tcBorders>
              <w:top w:val="nil"/>
              <w:left w:val="nil"/>
              <w:bottom w:val="single" w:sz="8" w:space="0" w:color="auto"/>
              <w:right w:val="single" w:sz="8" w:space="0" w:color="auto"/>
            </w:tcBorders>
            <w:shd w:val="clear" w:color="auto" w:fill="auto"/>
            <w:vAlign w:val="center"/>
            <w:hideMark/>
          </w:tcPr>
          <w:p w14:paraId="3F29DEF6"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-8 524 962</w:t>
            </w:r>
          </w:p>
        </w:tc>
        <w:tc>
          <w:tcPr>
            <w:tcW w:w="1380" w:type="dxa"/>
            <w:tcBorders>
              <w:top w:val="nil"/>
              <w:left w:val="nil"/>
              <w:bottom w:val="single" w:sz="8" w:space="0" w:color="auto"/>
              <w:right w:val="single" w:sz="8" w:space="0" w:color="auto"/>
            </w:tcBorders>
            <w:shd w:val="clear" w:color="auto" w:fill="auto"/>
            <w:vAlign w:val="center"/>
            <w:hideMark/>
          </w:tcPr>
          <w:p w14:paraId="445B5650" w14:textId="77777777" w:rsidR="0057156E" w:rsidRPr="0057156E" w:rsidRDefault="0057156E" w:rsidP="0057156E">
            <w:pPr>
              <w:spacing w:after="0" w:line="240" w:lineRule="auto"/>
              <w:jc w:val="right"/>
              <w:rPr>
                <w:rFonts w:ascii="Times New Roman" w:eastAsia="Times New Roman" w:hAnsi="Times New Roman" w:cs="Times New Roman"/>
                <w:sz w:val="24"/>
                <w:szCs w:val="24"/>
                <w:lang w:eastAsia="sk-SK"/>
              </w:rPr>
            </w:pPr>
            <w:r w:rsidRPr="0057156E">
              <w:rPr>
                <w:rFonts w:ascii="Times New Roman" w:eastAsia="Times New Roman" w:hAnsi="Times New Roman" w:cs="Times New Roman"/>
                <w:sz w:val="24"/>
                <w:szCs w:val="24"/>
                <w:lang w:eastAsia="sk-SK"/>
              </w:rPr>
              <w:t>-10 394 203</w:t>
            </w:r>
          </w:p>
        </w:tc>
      </w:tr>
      <w:tr w:rsidR="0057156E" w:rsidRPr="0057156E" w14:paraId="1B4114EF"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9C5B5B7"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obce</w:t>
            </w:r>
          </w:p>
        </w:tc>
        <w:tc>
          <w:tcPr>
            <w:tcW w:w="1360" w:type="dxa"/>
            <w:tcBorders>
              <w:top w:val="nil"/>
              <w:left w:val="nil"/>
              <w:bottom w:val="single" w:sz="8" w:space="0" w:color="auto"/>
              <w:right w:val="single" w:sz="8" w:space="0" w:color="auto"/>
            </w:tcBorders>
            <w:shd w:val="clear" w:color="auto" w:fill="auto"/>
            <w:vAlign w:val="center"/>
            <w:hideMark/>
          </w:tcPr>
          <w:p w14:paraId="60D90E10"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01FD5AD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6F92106A"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518CA274"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6B517B8A"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2ACCD1AB"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vyššie územné celky</w:t>
            </w:r>
          </w:p>
        </w:tc>
        <w:tc>
          <w:tcPr>
            <w:tcW w:w="1360" w:type="dxa"/>
            <w:tcBorders>
              <w:top w:val="nil"/>
              <w:left w:val="nil"/>
              <w:bottom w:val="single" w:sz="8" w:space="0" w:color="auto"/>
              <w:right w:val="single" w:sz="8" w:space="0" w:color="auto"/>
            </w:tcBorders>
            <w:shd w:val="clear" w:color="auto" w:fill="auto"/>
            <w:vAlign w:val="center"/>
            <w:hideMark/>
          </w:tcPr>
          <w:p w14:paraId="0E94537B"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6B535EA9"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78637672"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1AC3F9C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274B0F38" w14:textId="77777777" w:rsidTr="0057156E">
        <w:trPr>
          <w:trHeight w:val="64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2FFD44D6"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ostatné subjekty verejnej správy</w:t>
            </w:r>
          </w:p>
        </w:tc>
        <w:tc>
          <w:tcPr>
            <w:tcW w:w="1360" w:type="dxa"/>
            <w:tcBorders>
              <w:top w:val="nil"/>
              <w:left w:val="nil"/>
              <w:bottom w:val="single" w:sz="8" w:space="0" w:color="auto"/>
              <w:right w:val="single" w:sz="8" w:space="0" w:color="auto"/>
            </w:tcBorders>
            <w:shd w:val="clear" w:color="auto" w:fill="auto"/>
            <w:vAlign w:val="center"/>
            <w:hideMark/>
          </w:tcPr>
          <w:p w14:paraId="22468835"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06E4112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7672CBF9"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2D080240"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71F8B408" w14:textId="77777777" w:rsidTr="0057156E">
        <w:trPr>
          <w:trHeight w:val="330"/>
        </w:trPr>
        <w:tc>
          <w:tcPr>
            <w:tcW w:w="3820" w:type="dxa"/>
            <w:tcBorders>
              <w:top w:val="nil"/>
              <w:left w:val="single" w:sz="8" w:space="0" w:color="auto"/>
              <w:bottom w:val="single" w:sz="8" w:space="0" w:color="auto"/>
              <w:right w:val="single" w:sz="8" w:space="0" w:color="auto"/>
            </w:tcBorders>
            <w:shd w:val="clear" w:color="000000" w:fill="C0C0C0"/>
            <w:vAlign w:val="center"/>
            <w:hideMark/>
          </w:tcPr>
          <w:p w14:paraId="05939324"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Výdavky verejnej správy celkom</w:t>
            </w:r>
            <w:r w:rsidRPr="0057156E">
              <w:rPr>
                <w:rFonts w:ascii="Calibri" w:eastAsia="Times New Roman" w:hAnsi="Calibri" w:cs="Times New Roman"/>
                <w:color w:val="000000"/>
                <w:sz w:val="16"/>
                <w:szCs w:val="16"/>
                <w:lang w:eastAsia="sk-SK"/>
              </w:rPr>
              <w:t> </w:t>
            </w:r>
          </w:p>
        </w:tc>
        <w:tc>
          <w:tcPr>
            <w:tcW w:w="1360" w:type="dxa"/>
            <w:tcBorders>
              <w:top w:val="nil"/>
              <w:left w:val="nil"/>
              <w:bottom w:val="single" w:sz="8" w:space="0" w:color="auto"/>
              <w:right w:val="single" w:sz="8" w:space="0" w:color="auto"/>
            </w:tcBorders>
            <w:shd w:val="clear" w:color="000000" w:fill="C0C0C0"/>
            <w:vAlign w:val="center"/>
            <w:hideMark/>
          </w:tcPr>
          <w:p w14:paraId="09807D9C"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C0C0C0"/>
            <w:vAlign w:val="center"/>
            <w:hideMark/>
          </w:tcPr>
          <w:p w14:paraId="215F7F9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-7 976 712</w:t>
            </w:r>
          </w:p>
        </w:tc>
        <w:tc>
          <w:tcPr>
            <w:tcW w:w="1360" w:type="dxa"/>
            <w:tcBorders>
              <w:top w:val="nil"/>
              <w:left w:val="nil"/>
              <w:bottom w:val="single" w:sz="8" w:space="0" w:color="auto"/>
              <w:right w:val="single" w:sz="8" w:space="0" w:color="auto"/>
            </w:tcBorders>
            <w:shd w:val="clear" w:color="000000" w:fill="C0C0C0"/>
            <w:vAlign w:val="center"/>
            <w:hideMark/>
          </w:tcPr>
          <w:p w14:paraId="67AFC835"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-8 914 367</w:t>
            </w:r>
          </w:p>
        </w:tc>
        <w:tc>
          <w:tcPr>
            <w:tcW w:w="1380" w:type="dxa"/>
            <w:tcBorders>
              <w:top w:val="nil"/>
              <w:left w:val="nil"/>
              <w:bottom w:val="single" w:sz="8" w:space="0" w:color="auto"/>
              <w:right w:val="single" w:sz="8" w:space="0" w:color="auto"/>
            </w:tcBorders>
            <w:shd w:val="clear" w:color="000000" w:fill="C0C0C0"/>
            <w:vAlign w:val="center"/>
            <w:hideMark/>
          </w:tcPr>
          <w:p w14:paraId="5DA0841A"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-10 963 475</w:t>
            </w:r>
          </w:p>
        </w:tc>
      </w:tr>
      <w:tr w:rsidR="0057156E" w:rsidRPr="0057156E" w14:paraId="70171603"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D1F87E5"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v tom: MPSVR SR</w:t>
            </w:r>
          </w:p>
        </w:tc>
        <w:tc>
          <w:tcPr>
            <w:tcW w:w="1360" w:type="dxa"/>
            <w:tcBorders>
              <w:top w:val="nil"/>
              <w:left w:val="nil"/>
              <w:bottom w:val="single" w:sz="8" w:space="0" w:color="auto"/>
              <w:right w:val="single" w:sz="8" w:space="0" w:color="auto"/>
            </w:tcBorders>
            <w:shd w:val="clear" w:color="auto" w:fill="auto"/>
            <w:vAlign w:val="center"/>
            <w:hideMark/>
          </w:tcPr>
          <w:p w14:paraId="6DAD5918"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2E3FE621"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-8 926 712</w:t>
            </w:r>
          </w:p>
        </w:tc>
        <w:tc>
          <w:tcPr>
            <w:tcW w:w="1360" w:type="dxa"/>
            <w:tcBorders>
              <w:top w:val="nil"/>
              <w:left w:val="nil"/>
              <w:bottom w:val="single" w:sz="8" w:space="0" w:color="auto"/>
              <w:right w:val="single" w:sz="8" w:space="0" w:color="auto"/>
            </w:tcBorders>
            <w:shd w:val="clear" w:color="auto" w:fill="auto"/>
            <w:vAlign w:val="center"/>
            <w:hideMark/>
          </w:tcPr>
          <w:p w14:paraId="646C55EE"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-10 014 367</w:t>
            </w:r>
          </w:p>
        </w:tc>
        <w:tc>
          <w:tcPr>
            <w:tcW w:w="1380" w:type="dxa"/>
            <w:tcBorders>
              <w:top w:val="nil"/>
              <w:left w:val="nil"/>
              <w:bottom w:val="single" w:sz="8" w:space="0" w:color="auto"/>
              <w:right w:val="single" w:sz="8" w:space="0" w:color="auto"/>
            </w:tcBorders>
            <w:shd w:val="clear" w:color="auto" w:fill="auto"/>
            <w:vAlign w:val="center"/>
            <w:hideMark/>
          </w:tcPr>
          <w:p w14:paraId="2B29726A"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-12 213 475</w:t>
            </w:r>
          </w:p>
        </w:tc>
      </w:tr>
      <w:tr w:rsidR="0057156E" w:rsidRPr="0057156E" w14:paraId="75CF7543"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40B45232"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v tom: VPS</w:t>
            </w:r>
          </w:p>
        </w:tc>
        <w:tc>
          <w:tcPr>
            <w:tcW w:w="1360" w:type="dxa"/>
            <w:tcBorders>
              <w:top w:val="nil"/>
              <w:left w:val="nil"/>
              <w:bottom w:val="single" w:sz="8" w:space="0" w:color="auto"/>
              <w:right w:val="single" w:sz="8" w:space="0" w:color="auto"/>
            </w:tcBorders>
            <w:shd w:val="clear" w:color="auto" w:fill="auto"/>
            <w:vAlign w:val="center"/>
            <w:hideMark/>
          </w:tcPr>
          <w:p w14:paraId="60C23196"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4F53723"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950 000</w:t>
            </w:r>
          </w:p>
        </w:tc>
        <w:tc>
          <w:tcPr>
            <w:tcW w:w="1360" w:type="dxa"/>
            <w:tcBorders>
              <w:top w:val="nil"/>
              <w:left w:val="nil"/>
              <w:bottom w:val="single" w:sz="8" w:space="0" w:color="auto"/>
              <w:right w:val="single" w:sz="8" w:space="0" w:color="auto"/>
            </w:tcBorders>
            <w:shd w:val="clear" w:color="auto" w:fill="auto"/>
            <w:vAlign w:val="center"/>
            <w:hideMark/>
          </w:tcPr>
          <w:p w14:paraId="1E5105EB"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1 100 000</w:t>
            </w:r>
          </w:p>
        </w:tc>
        <w:tc>
          <w:tcPr>
            <w:tcW w:w="1380" w:type="dxa"/>
            <w:tcBorders>
              <w:top w:val="nil"/>
              <w:left w:val="nil"/>
              <w:bottom w:val="single" w:sz="8" w:space="0" w:color="auto"/>
              <w:right w:val="single" w:sz="8" w:space="0" w:color="auto"/>
            </w:tcBorders>
            <w:shd w:val="clear" w:color="auto" w:fill="auto"/>
            <w:vAlign w:val="center"/>
            <w:hideMark/>
          </w:tcPr>
          <w:p w14:paraId="255CD7CC"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1 250 000</w:t>
            </w:r>
          </w:p>
        </w:tc>
      </w:tr>
      <w:tr w:rsidR="0057156E" w:rsidRPr="0057156E" w14:paraId="211C3044" w14:textId="77777777" w:rsidTr="0057156E">
        <w:trPr>
          <w:trHeight w:val="52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32D28879"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xml:space="preserve">z toho: </w:t>
            </w:r>
          </w:p>
        </w:tc>
        <w:tc>
          <w:tcPr>
            <w:tcW w:w="1360" w:type="dxa"/>
            <w:tcBorders>
              <w:top w:val="nil"/>
              <w:left w:val="nil"/>
              <w:bottom w:val="single" w:sz="8" w:space="0" w:color="auto"/>
              <w:right w:val="single" w:sz="8" w:space="0" w:color="auto"/>
            </w:tcBorders>
            <w:shd w:val="clear" w:color="auto" w:fill="auto"/>
            <w:vAlign w:val="center"/>
            <w:hideMark/>
          </w:tcPr>
          <w:p w14:paraId="51CA4A9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w:t>
            </w:r>
          </w:p>
        </w:tc>
        <w:tc>
          <w:tcPr>
            <w:tcW w:w="1440" w:type="dxa"/>
            <w:tcBorders>
              <w:top w:val="nil"/>
              <w:left w:val="nil"/>
              <w:bottom w:val="single" w:sz="8" w:space="0" w:color="auto"/>
              <w:right w:val="single" w:sz="8" w:space="0" w:color="auto"/>
            </w:tcBorders>
            <w:shd w:val="clear" w:color="auto" w:fill="auto"/>
            <w:vAlign w:val="center"/>
            <w:hideMark/>
          </w:tcPr>
          <w:p w14:paraId="589D863C"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w:t>
            </w:r>
          </w:p>
        </w:tc>
        <w:tc>
          <w:tcPr>
            <w:tcW w:w="1360" w:type="dxa"/>
            <w:tcBorders>
              <w:top w:val="nil"/>
              <w:left w:val="nil"/>
              <w:bottom w:val="single" w:sz="8" w:space="0" w:color="auto"/>
              <w:right w:val="single" w:sz="8" w:space="0" w:color="auto"/>
            </w:tcBorders>
            <w:shd w:val="clear" w:color="auto" w:fill="auto"/>
            <w:vAlign w:val="center"/>
            <w:hideMark/>
          </w:tcPr>
          <w:p w14:paraId="2E3388C9"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w:t>
            </w:r>
          </w:p>
        </w:tc>
        <w:tc>
          <w:tcPr>
            <w:tcW w:w="1380" w:type="dxa"/>
            <w:tcBorders>
              <w:top w:val="nil"/>
              <w:left w:val="nil"/>
              <w:bottom w:val="single" w:sz="8" w:space="0" w:color="auto"/>
              <w:right w:val="single" w:sz="8" w:space="0" w:color="auto"/>
            </w:tcBorders>
            <w:shd w:val="clear" w:color="auto" w:fill="auto"/>
            <w:vAlign w:val="center"/>
            <w:hideMark/>
          </w:tcPr>
          <w:p w14:paraId="0A134A75"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w:t>
            </w:r>
          </w:p>
        </w:tc>
      </w:tr>
      <w:tr w:rsidR="0057156E" w:rsidRPr="0057156E" w14:paraId="271C0B72"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174584D"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ŠR</w:t>
            </w:r>
          </w:p>
        </w:tc>
        <w:tc>
          <w:tcPr>
            <w:tcW w:w="1360" w:type="dxa"/>
            <w:tcBorders>
              <w:top w:val="nil"/>
              <w:left w:val="nil"/>
              <w:bottom w:val="single" w:sz="8" w:space="0" w:color="auto"/>
              <w:right w:val="single" w:sz="8" w:space="0" w:color="auto"/>
            </w:tcBorders>
            <w:shd w:val="clear" w:color="auto" w:fill="auto"/>
            <w:vAlign w:val="center"/>
            <w:hideMark/>
          </w:tcPr>
          <w:p w14:paraId="776C5344"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1C35AFB"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-7 976 712</w:t>
            </w:r>
          </w:p>
        </w:tc>
        <w:tc>
          <w:tcPr>
            <w:tcW w:w="1360" w:type="dxa"/>
            <w:tcBorders>
              <w:top w:val="nil"/>
              <w:left w:val="nil"/>
              <w:bottom w:val="single" w:sz="8" w:space="0" w:color="auto"/>
              <w:right w:val="single" w:sz="8" w:space="0" w:color="auto"/>
            </w:tcBorders>
            <w:shd w:val="clear" w:color="auto" w:fill="auto"/>
            <w:vAlign w:val="center"/>
            <w:hideMark/>
          </w:tcPr>
          <w:p w14:paraId="0E860BA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-8 914 367</w:t>
            </w:r>
          </w:p>
        </w:tc>
        <w:tc>
          <w:tcPr>
            <w:tcW w:w="1380" w:type="dxa"/>
            <w:tcBorders>
              <w:top w:val="nil"/>
              <w:left w:val="nil"/>
              <w:bottom w:val="single" w:sz="8" w:space="0" w:color="auto"/>
              <w:right w:val="single" w:sz="8" w:space="0" w:color="auto"/>
            </w:tcBorders>
            <w:shd w:val="clear" w:color="auto" w:fill="auto"/>
            <w:vAlign w:val="center"/>
            <w:hideMark/>
          </w:tcPr>
          <w:p w14:paraId="4779CF8C"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-10 963 475</w:t>
            </w:r>
          </w:p>
        </w:tc>
      </w:tr>
      <w:tr w:rsidR="0057156E" w:rsidRPr="0057156E" w14:paraId="752A10A6"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79EFE93B" w14:textId="77777777" w:rsidR="0057156E" w:rsidRPr="0057156E" w:rsidRDefault="0057156E" w:rsidP="0057156E">
            <w:pPr>
              <w:spacing w:after="0" w:line="240" w:lineRule="auto"/>
              <w:ind w:firstLineChars="100" w:firstLine="240"/>
              <w:rPr>
                <w:rFonts w:ascii="Times New Roman" w:eastAsia="Times New Roman" w:hAnsi="Times New Roman" w:cs="Times New Roman"/>
                <w:i/>
                <w:iCs/>
                <w:color w:val="000000"/>
                <w:sz w:val="24"/>
                <w:szCs w:val="24"/>
                <w:lang w:eastAsia="sk-SK"/>
              </w:rPr>
            </w:pPr>
            <w:r w:rsidRPr="0057156E">
              <w:rPr>
                <w:rFonts w:ascii="Times New Roman" w:eastAsia="Times New Roman" w:hAnsi="Times New Roman" w:cs="Times New Roman"/>
                <w:i/>
                <w:iCs/>
                <w:color w:val="000000"/>
                <w:sz w:val="24"/>
                <w:szCs w:val="24"/>
                <w:lang w:eastAsia="sk-SK"/>
              </w:rPr>
              <w:t>Rozpočtové prostriedky</w:t>
            </w:r>
          </w:p>
        </w:tc>
        <w:tc>
          <w:tcPr>
            <w:tcW w:w="1360" w:type="dxa"/>
            <w:tcBorders>
              <w:top w:val="nil"/>
              <w:left w:val="nil"/>
              <w:bottom w:val="single" w:sz="8" w:space="0" w:color="auto"/>
              <w:right w:val="single" w:sz="8" w:space="0" w:color="auto"/>
            </w:tcBorders>
            <w:shd w:val="clear" w:color="auto" w:fill="auto"/>
            <w:vAlign w:val="center"/>
            <w:hideMark/>
          </w:tcPr>
          <w:p w14:paraId="03D36DF4"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612DE44F"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1 045 000</w:t>
            </w:r>
          </w:p>
        </w:tc>
        <w:tc>
          <w:tcPr>
            <w:tcW w:w="1360" w:type="dxa"/>
            <w:tcBorders>
              <w:top w:val="nil"/>
              <w:left w:val="nil"/>
              <w:bottom w:val="single" w:sz="8" w:space="0" w:color="auto"/>
              <w:right w:val="single" w:sz="8" w:space="0" w:color="auto"/>
            </w:tcBorders>
            <w:shd w:val="clear" w:color="auto" w:fill="auto"/>
            <w:vAlign w:val="center"/>
            <w:hideMark/>
          </w:tcPr>
          <w:p w14:paraId="389C8D28"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1 115 000</w:t>
            </w:r>
          </w:p>
        </w:tc>
        <w:tc>
          <w:tcPr>
            <w:tcW w:w="1380" w:type="dxa"/>
            <w:tcBorders>
              <w:top w:val="nil"/>
              <w:left w:val="nil"/>
              <w:bottom w:val="single" w:sz="8" w:space="0" w:color="auto"/>
              <w:right w:val="single" w:sz="8" w:space="0" w:color="auto"/>
            </w:tcBorders>
            <w:shd w:val="clear" w:color="auto" w:fill="auto"/>
            <w:vAlign w:val="center"/>
            <w:hideMark/>
          </w:tcPr>
          <w:p w14:paraId="68E004EE"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1 265 000</w:t>
            </w:r>
          </w:p>
        </w:tc>
      </w:tr>
      <w:tr w:rsidR="0057156E" w:rsidRPr="0057156E" w14:paraId="5AA4A155"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9CDA99D" w14:textId="77777777" w:rsidR="0057156E" w:rsidRPr="0057156E" w:rsidRDefault="0057156E" w:rsidP="0057156E">
            <w:pPr>
              <w:spacing w:after="0" w:line="240" w:lineRule="auto"/>
              <w:ind w:firstLineChars="100" w:firstLine="240"/>
              <w:rPr>
                <w:rFonts w:ascii="Times New Roman" w:eastAsia="Times New Roman" w:hAnsi="Times New Roman" w:cs="Times New Roman"/>
                <w:i/>
                <w:iCs/>
                <w:color w:val="000000"/>
                <w:sz w:val="24"/>
                <w:szCs w:val="24"/>
                <w:lang w:eastAsia="sk-SK"/>
              </w:rPr>
            </w:pPr>
            <w:r w:rsidRPr="0057156E">
              <w:rPr>
                <w:rFonts w:ascii="Times New Roman" w:eastAsia="Times New Roman" w:hAnsi="Times New Roman" w:cs="Times New Roman"/>
                <w:i/>
                <w:iCs/>
                <w:color w:val="000000"/>
                <w:sz w:val="24"/>
                <w:szCs w:val="24"/>
                <w:lang w:eastAsia="sk-SK"/>
              </w:rPr>
              <w:t>EÚ zdroje</w:t>
            </w:r>
          </w:p>
        </w:tc>
        <w:tc>
          <w:tcPr>
            <w:tcW w:w="1360" w:type="dxa"/>
            <w:tcBorders>
              <w:top w:val="nil"/>
              <w:left w:val="nil"/>
              <w:bottom w:val="single" w:sz="8" w:space="0" w:color="auto"/>
              <w:right w:val="single" w:sz="8" w:space="0" w:color="auto"/>
            </w:tcBorders>
            <w:shd w:val="clear" w:color="auto" w:fill="auto"/>
            <w:vAlign w:val="center"/>
            <w:hideMark/>
          </w:tcPr>
          <w:p w14:paraId="11F0C8E0"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5D56EEDF"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-7 668 455</w:t>
            </w:r>
          </w:p>
        </w:tc>
        <w:tc>
          <w:tcPr>
            <w:tcW w:w="1360" w:type="dxa"/>
            <w:tcBorders>
              <w:top w:val="nil"/>
              <w:left w:val="nil"/>
              <w:bottom w:val="single" w:sz="8" w:space="0" w:color="auto"/>
              <w:right w:val="single" w:sz="8" w:space="0" w:color="auto"/>
            </w:tcBorders>
            <w:shd w:val="clear" w:color="auto" w:fill="auto"/>
            <w:vAlign w:val="center"/>
            <w:hideMark/>
          </w:tcPr>
          <w:p w14:paraId="6B16D560"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-8 524 962</w:t>
            </w:r>
          </w:p>
        </w:tc>
        <w:tc>
          <w:tcPr>
            <w:tcW w:w="1380" w:type="dxa"/>
            <w:tcBorders>
              <w:top w:val="nil"/>
              <w:left w:val="nil"/>
              <w:bottom w:val="single" w:sz="8" w:space="0" w:color="auto"/>
              <w:right w:val="single" w:sz="8" w:space="0" w:color="auto"/>
            </w:tcBorders>
            <w:shd w:val="clear" w:color="auto" w:fill="auto"/>
            <w:vAlign w:val="center"/>
            <w:hideMark/>
          </w:tcPr>
          <w:p w14:paraId="6604A115"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-10 394 203</w:t>
            </w:r>
          </w:p>
        </w:tc>
      </w:tr>
      <w:tr w:rsidR="0057156E" w:rsidRPr="0057156E" w14:paraId="048A4C2A"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78CE19A2" w14:textId="77777777" w:rsidR="0057156E" w:rsidRPr="0057156E" w:rsidRDefault="0057156E" w:rsidP="0057156E">
            <w:pPr>
              <w:spacing w:after="0" w:line="240" w:lineRule="auto"/>
              <w:ind w:firstLineChars="100" w:firstLine="240"/>
              <w:rPr>
                <w:rFonts w:ascii="Times New Roman" w:eastAsia="Times New Roman" w:hAnsi="Times New Roman" w:cs="Times New Roman"/>
                <w:i/>
                <w:iCs/>
                <w:color w:val="000000"/>
                <w:sz w:val="24"/>
                <w:szCs w:val="24"/>
                <w:lang w:eastAsia="sk-SK"/>
              </w:rPr>
            </w:pPr>
            <w:r w:rsidRPr="0057156E">
              <w:rPr>
                <w:rFonts w:ascii="Times New Roman" w:eastAsia="Times New Roman" w:hAnsi="Times New Roman" w:cs="Times New Roman"/>
                <w:i/>
                <w:iCs/>
                <w:color w:val="000000"/>
                <w:sz w:val="24"/>
                <w:szCs w:val="24"/>
                <w:lang w:eastAsia="sk-SK"/>
              </w:rPr>
              <w:t>spolufinancovanie</w:t>
            </w:r>
          </w:p>
        </w:tc>
        <w:tc>
          <w:tcPr>
            <w:tcW w:w="1360" w:type="dxa"/>
            <w:tcBorders>
              <w:top w:val="nil"/>
              <w:left w:val="nil"/>
              <w:bottom w:val="single" w:sz="8" w:space="0" w:color="auto"/>
              <w:right w:val="single" w:sz="8" w:space="0" w:color="auto"/>
            </w:tcBorders>
            <w:shd w:val="clear" w:color="auto" w:fill="auto"/>
            <w:vAlign w:val="center"/>
            <w:hideMark/>
          </w:tcPr>
          <w:p w14:paraId="15BA614D"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2A338DC8"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-1 353 257</w:t>
            </w:r>
          </w:p>
        </w:tc>
        <w:tc>
          <w:tcPr>
            <w:tcW w:w="1360" w:type="dxa"/>
            <w:tcBorders>
              <w:top w:val="nil"/>
              <w:left w:val="nil"/>
              <w:bottom w:val="single" w:sz="8" w:space="0" w:color="auto"/>
              <w:right w:val="single" w:sz="8" w:space="0" w:color="auto"/>
            </w:tcBorders>
            <w:shd w:val="clear" w:color="auto" w:fill="auto"/>
            <w:vAlign w:val="center"/>
            <w:hideMark/>
          </w:tcPr>
          <w:p w14:paraId="16D2FE16"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-1 504 405</w:t>
            </w:r>
          </w:p>
        </w:tc>
        <w:tc>
          <w:tcPr>
            <w:tcW w:w="1380" w:type="dxa"/>
            <w:tcBorders>
              <w:top w:val="nil"/>
              <w:left w:val="nil"/>
              <w:bottom w:val="single" w:sz="8" w:space="0" w:color="auto"/>
              <w:right w:val="single" w:sz="8" w:space="0" w:color="auto"/>
            </w:tcBorders>
            <w:shd w:val="clear" w:color="auto" w:fill="auto"/>
            <w:vAlign w:val="center"/>
            <w:hideMark/>
          </w:tcPr>
          <w:p w14:paraId="376A4FF5"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-1 834 271</w:t>
            </w:r>
          </w:p>
        </w:tc>
      </w:tr>
      <w:tr w:rsidR="0057156E" w:rsidRPr="0057156E" w14:paraId="31B0394D"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489898C9"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obce</w:t>
            </w:r>
          </w:p>
        </w:tc>
        <w:tc>
          <w:tcPr>
            <w:tcW w:w="1360" w:type="dxa"/>
            <w:tcBorders>
              <w:top w:val="nil"/>
              <w:left w:val="nil"/>
              <w:bottom w:val="single" w:sz="8" w:space="0" w:color="auto"/>
              <w:right w:val="single" w:sz="8" w:space="0" w:color="auto"/>
            </w:tcBorders>
            <w:shd w:val="clear" w:color="auto" w:fill="auto"/>
            <w:vAlign w:val="center"/>
            <w:hideMark/>
          </w:tcPr>
          <w:p w14:paraId="212A3355"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6B00155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7D3EFBF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745666BC"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312AFF2F"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0931451"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vyššie územné celky</w:t>
            </w:r>
          </w:p>
        </w:tc>
        <w:tc>
          <w:tcPr>
            <w:tcW w:w="1360" w:type="dxa"/>
            <w:tcBorders>
              <w:top w:val="nil"/>
              <w:left w:val="nil"/>
              <w:bottom w:val="single" w:sz="8" w:space="0" w:color="auto"/>
              <w:right w:val="single" w:sz="8" w:space="0" w:color="auto"/>
            </w:tcBorders>
            <w:shd w:val="clear" w:color="auto" w:fill="auto"/>
            <w:vAlign w:val="center"/>
            <w:hideMark/>
          </w:tcPr>
          <w:p w14:paraId="357F3CF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6D53C6BE"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41FC6B7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0BB4C660"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2900346B" w14:textId="77777777" w:rsidTr="0057156E">
        <w:trPr>
          <w:trHeight w:val="64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98C6B4A"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ostatné subjekty verejnej správy</w:t>
            </w:r>
          </w:p>
        </w:tc>
        <w:tc>
          <w:tcPr>
            <w:tcW w:w="1360" w:type="dxa"/>
            <w:tcBorders>
              <w:top w:val="nil"/>
              <w:left w:val="nil"/>
              <w:bottom w:val="single" w:sz="8" w:space="0" w:color="auto"/>
              <w:right w:val="single" w:sz="8" w:space="0" w:color="auto"/>
            </w:tcBorders>
            <w:shd w:val="clear" w:color="auto" w:fill="auto"/>
            <w:vAlign w:val="center"/>
            <w:hideMark/>
          </w:tcPr>
          <w:p w14:paraId="7AFCDF14"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5207035E"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721905C9"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44FFEBA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4EFDC515" w14:textId="77777777" w:rsidTr="0057156E">
        <w:trPr>
          <w:trHeight w:val="330"/>
        </w:trPr>
        <w:tc>
          <w:tcPr>
            <w:tcW w:w="3820" w:type="dxa"/>
            <w:tcBorders>
              <w:top w:val="nil"/>
              <w:left w:val="single" w:sz="8" w:space="0" w:color="auto"/>
              <w:bottom w:val="single" w:sz="8" w:space="0" w:color="auto"/>
              <w:right w:val="single" w:sz="8" w:space="0" w:color="auto"/>
            </w:tcBorders>
            <w:shd w:val="clear" w:color="000000" w:fill="BFBFBF"/>
            <w:vAlign w:val="center"/>
            <w:hideMark/>
          </w:tcPr>
          <w:p w14:paraId="07E7C30B"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Vplyv na počet zamestnancov </w:t>
            </w:r>
          </w:p>
        </w:tc>
        <w:tc>
          <w:tcPr>
            <w:tcW w:w="1360" w:type="dxa"/>
            <w:tcBorders>
              <w:top w:val="nil"/>
              <w:left w:val="nil"/>
              <w:bottom w:val="single" w:sz="8" w:space="0" w:color="auto"/>
              <w:right w:val="single" w:sz="8" w:space="0" w:color="auto"/>
            </w:tcBorders>
            <w:shd w:val="clear" w:color="000000" w:fill="BFBFBF"/>
            <w:vAlign w:val="center"/>
            <w:hideMark/>
          </w:tcPr>
          <w:p w14:paraId="61322C20"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BFBFBF"/>
            <w:vAlign w:val="center"/>
            <w:hideMark/>
          </w:tcPr>
          <w:p w14:paraId="5CD3AB21"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000000" w:fill="BFBFBF"/>
            <w:vAlign w:val="center"/>
            <w:hideMark/>
          </w:tcPr>
          <w:p w14:paraId="3F58F338"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000000" w:fill="BFBFBF"/>
            <w:vAlign w:val="center"/>
            <w:hideMark/>
          </w:tcPr>
          <w:p w14:paraId="52778A34"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46C3ED0E"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787E8873"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ŠR</w:t>
            </w:r>
          </w:p>
        </w:tc>
        <w:tc>
          <w:tcPr>
            <w:tcW w:w="1360" w:type="dxa"/>
            <w:tcBorders>
              <w:top w:val="nil"/>
              <w:left w:val="nil"/>
              <w:bottom w:val="single" w:sz="8" w:space="0" w:color="auto"/>
              <w:right w:val="single" w:sz="8" w:space="0" w:color="auto"/>
            </w:tcBorders>
            <w:shd w:val="clear" w:color="auto" w:fill="auto"/>
            <w:vAlign w:val="center"/>
            <w:hideMark/>
          </w:tcPr>
          <w:p w14:paraId="29458B1B"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6BF650DD"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6389281E"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1FD4EE3A"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12468612"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569FE96"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obce</w:t>
            </w:r>
          </w:p>
        </w:tc>
        <w:tc>
          <w:tcPr>
            <w:tcW w:w="1360" w:type="dxa"/>
            <w:tcBorders>
              <w:top w:val="nil"/>
              <w:left w:val="nil"/>
              <w:bottom w:val="single" w:sz="8" w:space="0" w:color="auto"/>
              <w:right w:val="single" w:sz="8" w:space="0" w:color="auto"/>
            </w:tcBorders>
            <w:shd w:val="clear" w:color="auto" w:fill="auto"/>
            <w:vAlign w:val="center"/>
            <w:hideMark/>
          </w:tcPr>
          <w:p w14:paraId="2E58ABCA"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AC3426C"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4FD7DB2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26FEA682"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0CAD4936"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369226E6"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vyššie územné celky</w:t>
            </w:r>
          </w:p>
        </w:tc>
        <w:tc>
          <w:tcPr>
            <w:tcW w:w="1360" w:type="dxa"/>
            <w:tcBorders>
              <w:top w:val="nil"/>
              <w:left w:val="nil"/>
              <w:bottom w:val="single" w:sz="8" w:space="0" w:color="auto"/>
              <w:right w:val="single" w:sz="8" w:space="0" w:color="auto"/>
            </w:tcBorders>
            <w:shd w:val="clear" w:color="auto" w:fill="auto"/>
            <w:vAlign w:val="center"/>
            <w:hideMark/>
          </w:tcPr>
          <w:p w14:paraId="1FEB0E8A"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799747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7515B2C6"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5C7842F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0417E03E" w14:textId="77777777" w:rsidTr="0057156E">
        <w:trPr>
          <w:trHeight w:val="64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EDE436D"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ostatné subjekty verejnej správy</w:t>
            </w:r>
          </w:p>
        </w:tc>
        <w:tc>
          <w:tcPr>
            <w:tcW w:w="1360" w:type="dxa"/>
            <w:tcBorders>
              <w:top w:val="nil"/>
              <w:left w:val="nil"/>
              <w:bottom w:val="single" w:sz="8" w:space="0" w:color="auto"/>
              <w:right w:val="single" w:sz="8" w:space="0" w:color="auto"/>
            </w:tcBorders>
            <w:shd w:val="clear" w:color="auto" w:fill="auto"/>
            <w:vAlign w:val="center"/>
            <w:hideMark/>
          </w:tcPr>
          <w:p w14:paraId="5FCDB03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70EF4045"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258179AD"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732596D2"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47A0127D" w14:textId="77777777" w:rsidTr="0057156E">
        <w:trPr>
          <w:trHeight w:val="330"/>
        </w:trPr>
        <w:tc>
          <w:tcPr>
            <w:tcW w:w="3820" w:type="dxa"/>
            <w:tcBorders>
              <w:top w:val="nil"/>
              <w:left w:val="single" w:sz="8" w:space="0" w:color="auto"/>
              <w:bottom w:val="single" w:sz="8" w:space="0" w:color="auto"/>
              <w:right w:val="single" w:sz="8" w:space="0" w:color="auto"/>
            </w:tcBorders>
            <w:shd w:val="clear" w:color="000000" w:fill="BFBFBF"/>
            <w:vAlign w:val="center"/>
            <w:hideMark/>
          </w:tcPr>
          <w:p w14:paraId="23025802"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Vplyv na mzdové výdavky</w:t>
            </w:r>
          </w:p>
        </w:tc>
        <w:tc>
          <w:tcPr>
            <w:tcW w:w="1360" w:type="dxa"/>
            <w:tcBorders>
              <w:top w:val="nil"/>
              <w:left w:val="nil"/>
              <w:bottom w:val="single" w:sz="8" w:space="0" w:color="auto"/>
              <w:right w:val="single" w:sz="8" w:space="0" w:color="auto"/>
            </w:tcBorders>
            <w:shd w:val="clear" w:color="000000" w:fill="C0C0C0"/>
            <w:vAlign w:val="center"/>
            <w:hideMark/>
          </w:tcPr>
          <w:p w14:paraId="2BF70205"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C0C0C0"/>
            <w:vAlign w:val="center"/>
            <w:hideMark/>
          </w:tcPr>
          <w:p w14:paraId="3E15439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000000" w:fill="C0C0C0"/>
            <w:vAlign w:val="center"/>
            <w:hideMark/>
          </w:tcPr>
          <w:p w14:paraId="50D00161"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000000" w:fill="C0C0C0"/>
            <w:vAlign w:val="center"/>
            <w:hideMark/>
          </w:tcPr>
          <w:p w14:paraId="56D1BF2D"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5AF580DA"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2F229E3"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ŠR</w:t>
            </w:r>
          </w:p>
        </w:tc>
        <w:tc>
          <w:tcPr>
            <w:tcW w:w="1360" w:type="dxa"/>
            <w:tcBorders>
              <w:top w:val="nil"/>
              <w:left w:val="nil"/>
              <w:bottom w:val="single" w:sz="8" w:space="0" w:color="auto"/>
              <w:right w:val="single" w:sz="8" w:space="0" w:color="auto"/>
            </w:tcBorders>
            <w:shd w:val="clear" w:color="auto" w:fill="auto"/>
            <w:vAlign w:val="center"/>
            <w:hideMark/>
          </w:tcPr>
          <w:p w14:paraId="7F3DD98E"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02D0129A"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036654B9"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07CCE839"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23F16AA5"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175D17F2"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obce</w:t>
            </w:r>
          </w:p>
        </w:tc>
        <w:tc>
          <w:tcPr>
            <w:tcW w:w="1360" w:type="dxa"/>
            <w:tcBorders>
              <w:top w:val="nil"/>
              <w:left w:val="nil"/>
              <w:bottom w:val="single" w:sz="8" w:space="0" w:color="auto"/>
              <w:right w:val="single" w:sz="8" w:space="0" w:color="auto"/>
            </w:tcBorders>
            <w:shd w:val="clear" w:color="auto" w:fill="auto"/>
            <w:vAlign w:val="center"/>
            <w:hideMark/>
          </w:tcPr>
          <w:p w14:paraId="696C6F4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7FF72614"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477CBB2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1725E5E6"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3A21E326"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7F94F75B"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vyššie územné celky</w:t>
            </w:r>
          </w:p>
        </w:tc>
        <w:tc>
          <w:tcPr>
            <w:tcW w:w="1360" w:type="dxa"/>
            <w:tcBorders>
              <w:top w:val="nil"/>
              <w:left w:val="nil"/>
              <w:bottom w:val="single" w:sz="8" w:space="0" w:color="auto"/>
              <w:right w:val="single" w:sz="8" w:space="0" w:color="auto"/>
            </w:tcBorders>
            <w:shd w:val="clear" w:color="auto" w:fill="auto"/>
            <w:vAlign w:val="center"/>
            <w:hideMark/>
          </w:tcPr>
          <w:p w14:paraId="10E25FD6"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57835F4B"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65EBB62E"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1EB8FF2B"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3CF3DA85" w14:textId="77777777" w:rsidTr="0057156E">
        <w:trPr>
          <w:trHeight w:val="64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4113EA11" w14:textId="77777777" w:rsidR="0057156E" w:rsidRPr="0057156E" w:rsidRDefault="0057156E" w:rsidP="0057156E">
            <w:pPr>
              <w:spacing w:after="0" w:line="240" w:lineRule="auto"/>
              <w:rPr>
                <w:rFonts w:ascii="Times New Roman" w:eastAsia="Times New Roman" w:hAnsi="Times New Roman" w:cs="Times New Roman"/>
                <w:b/>
                <w:bCs/>
                <w:i/>
                <w:iCs/>
                <w:color w:val="000000"/>
                <w:sz w:val="24"/>
                <w:szCs w:val="24"/>
                <w:lang w:eastAsia="sk-SK"/>
              </w:rPr>
            </w:pPr>
            <w:r w:rsidRPr="0057156E">
              <w:rPr>
                <w:rFonts w:ascii="Times New Roman" w:eastAsia="Times New Roman" w:hAnsi="Times New Roman" w:cs="Times New Roman"/>
                <w:b/>
                <w:bCs/>
                <w:i/>
                <w:iCs/>
                <w:color w:val="000000"/>
                <w:sz w:val="24"/>
                <w:szCs w:val="24"/>
                <w:lang w:eastAsia="sk-SK"/>
              </w:rPr>
              <w:t>- vplyv na ostatné subjekty verejnej správy</w:t>
            </w:r>
          </w:p>
        </w:tc>
        <w:tc>
          <w:tcPr>
            <w:tcW w:w="1360" w:type="dxa"/>
            <w:tcBorders>
              <w:top w:val="nil"/>
              <w:left w:val="nil"/>
              <w:bottom w:val="single" w:sz="8" w:space="0" w:color="auto"/>
              <w:right w:val="single" w:sz="8" w:space="0" w:color="auto"/>
            </w:tcBorders>
            <w:shd w:val="clear" w:color="auto" w:fill="auto"/>
            <w:vAlign w:val="center"/>
            <w:hideMark/>
          </w:tcPr>
          <w:p w14:paraId="34077008"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C61C54A"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6DDA6E50"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6FC6E95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0652979B" w14:textId="77777777" w:rsidTr="0057156E">
        <w:trPr>
          <w:trHeight w:val="645"/>
        </w:trPr>
        <w:tc>
          <w:tcPr>
            <w:tcW w:w="3820" w:type="dxa"/>
            <w:tcBorders>
              <w:top w:val="nil"/>
              <w:left w:val="single" w:sz="8" w:space="0" w:color="auto"/>
              <w:bottom w:val="single" w:sz="8" w:space="0" w:color="auto"/>
              <w:right w:val="single" w:sz="8" w:space="0" w:color="auto"/>
            </w:tcBorders>
            <w:shd w:val="clear" w:color="000000" w:fill="C0C0C0"/>
            <w:vAlign w:val="center"/>
            <w:hideMark/>
          </w:tcPr>
          <w:p w14:paraId="721307A4"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Financovanie zabezpečené v rozpočte</w:t>
            </w:r>
          </w:p>
        </w:tc>
        <w:tc>
          <w:tcPr>
            <w:tcW w:w="1360" w:type="dxa"/>
            <w:tcBorders>
              <w:top w:val="nil"/>
              <w:left w:val="nil"/>
              <w:bottom w:val="single" w:sz="8" w:space="0" w:color="auto"/>
              <w:right w:val="single" w:sz="8" w:space="0" w:color="auto"/>
            </w:tcBorders>
            <w:shd w:val="clear" w:color="000000" w:fill="BFBFBF"/>
            <w:vAlign w:val="center"/>
            <w:hideMark/>
          </w:tcPr>
          <w:p w14:paraId="5F190AEC"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BFBFBF"/>
            <w:vAlign w:val="center"/>
            <w:hideMark/>
          </w:tcPr>
          <w:p w14:paraId="5EC4F2B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95 000</w:t>
            </w:r>
          </w:p>
        </w:tc>
        <w:tc>
          <w:tcPr>
            <w:tcW w:w="1360" w:type="dxa"/>
            <w:tcBorders>
              <w:top w:val="nil"/>
              <w:left w:val="nil"/>
              <w:bottom w:val="single" w:sz="8" w:space="0" w:color="auto"/>
              <w:right w:val="single" w:sz="8" w:space="0" w:color="auto"/>
            </w:tcBorders>
            <w:shd w:val="clear" w:color="000000" w:fill="BFBFBF"/>
            <w:vAlign w:val="center"/>
            <w:hideMark/>
          </w:tcPr>
          <w:p w14:paraId="44A1829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15 000</w:t>
            </w:r>
          </w:p>
        </w:tc>
        <w:tc>
          <w:tcPr>
            <w:tcW w:w="1380" w:type="dxa"/>
            <w:tcBorders>
              <w:top w:val="nil"/>
              <w:left w:val="nil"/>
              <w:bottom w:val="single" w:sz="8" w:space="0" w:color="auto"/>
              <w:right w:val="single" w:sz="8" w:space="0" w:color="auto"/>
            </w:tcBorders>
            <w:shd w:val="clear" w:color="000000" w:fill="BFBFBF"/>
            <w:vAlign w:val="center"/>
            <w:hideMark/>
          </w:tcPr>
          <w:p w14:paraId="031CE38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15 000</w:t>
            </w:r>
          </w:p>
        </w:tc>
      </w:tr>
      <w:tr w:rsidR="0057156E" w:rsidRPr="0057156E" w14:paraId="42142386" w14:textId="77777777" w:rsidTr="0057156E">
        <w:trPr>
          <w:trHeight w:val="330"/>
        </w:trPr>
        <w:tc>
          <w:tcPr>
            <w:tcW w:w="3820" w:type="dxa"/>
            <w:tcBorders>
              <w:top w:val="nil"/>
              <w:left w:val="single" w:sz="8" w:space="0" w:color="auto"/>
              <w:bottom w:val="single" w:sz="8" w:space="0" w:color="auto"/>
              <w:right w:val="single" w:sz="8" w:space="0" w:color="auto"/>
            </w:tcBorders>
            <w:shd w:val="clear" w:color="000000" w:fill="BFBFBF"/>
            <w:vAlign w:val="center"/>
            <w:hideMark/>
          </w:tcPr>
          <w:p w14:paraId="298EC0B2"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Iné ako rozpočtové zdroje</w:t>
            </w:r>
          </w:p>
        </w:tc>
        <w:tc>
          <w:tcPr>
            <w:tcW w:w="1360" w:type="dxa"/>
            <w:tcBorders>
              <w:top w:val="nil"/>
              <w:left w:val="nil"/>
              <w:bottom w:val="single" w:sz="8" w:space="0" w:color="auto"/>
              <w:right w:val="single" w:sz="8" w:space="0" w:color="auto"/>
            </w:tcBorders>
            <w:shd w:val="clear" w:color="000000" w:fill="BFBFBF"/>
            <w:vAlign w:val="center"/>
            <w:hideMark/>
          </w:tcPr>
          <w:p w14:paraId="64833DA6"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BFBFBF"/>
            <w:vAlign w:val="center"/>
            <w:hideMark/>
          </w:tcPr>
          <w:p w14:paraId="19E107D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000000" w:fill="BFBFBF"/>
            <w:vAlign w:val="center"/>
            <w:hideMark/>
          </w:tcPr>
          <w:p w14:paraId="68F5E4D8"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000000" w:fill="BFBFBF"/>
            <w:vAlign w:val="center"/>
            <w:hideMark/>
          </w:tcPr>
          <w:p w14:paraId="3C591F5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r>
      <w:tr w:rsidR="0057156E" w:rsidRPr="0057156E" w14:paraId="1018235C" w14:textId="77777777" w:rsidTr="0057156E">
        <w:trPr>
          <w:trHeight w:val="645"/>
        </w:trPr>
        <w:tc>
          <w:tcPr>
            <w:tcW w:w="3820" w:type="dxa"/>
            <w:tcBorders>
              <w:top w:val="nil"/>
              <w:left w:val="single" w:sz="8" w:space="0" w:color="auto"/>
              <w:bottom w:val="single" w:sz="8" w:space="0" w:color="auto"/>
              <w:right w:val="single" w:sz="8" w:space="0" w:color="auto"/>
            </w:tcBorders>
            <w:shd w:val="clear" w:color="000000" w:fill="A6A6A6"/>
            <w:vAlign w:val="center"/>
            <w:hideMark/>
          </w:tcPr>
          <w:p w14:paraId="19A39A22"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Rozpočtovo nekrytý vplyv (+) / úspora (-)</w:t>
            </w:r>
          </w:p>
        </w:tc>
        <w:tc>
          <w:tcPr>
            <w:tcW w:w="1360" w:type="dxa"/>
            <w:tcBorders>
              <w:top w:val="nil"/>
              <w:left w:val="nil"/>
              <w:bottom w:val="single" w:sz="8" w:space="0" w:color="auto"/>
              <w:right w:val="single" w:sz="8" w:space="0" w:color="auto"/>
            </w:tcBorders>
            <w:shd w:val="clear" w:color="000000" w:fill="A6A6A6"/>
            <w:vAlign w:val="center"/>
            <w:hideMark/>
          </w:tcPr>
          <w:p w14:paraId="345CC4A6"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A6A6A6"/>
            <w:vAlign w:val="center"/>
            <w:hideMark/>
          </w:tcPr>
          <w:p w14:paraId="65F0D3EB"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-403 257</w:t>
            </w:r>
          </w:p>
        </w:tc>
        <w:tc>
          <w:tcPr>
            <w:tcW w:w="1360" w:type="dxa"/>
            <w:tcBorders>
              <w:top w:val="nil"/>
              <w:left w:val="nil"/>
              <w:bottom w:val="single" w:sz="8" w:space="0" w:color="auto"/>
              <w:right w:val="single" w:sz="8" w:space="0" w:color="auto"/>
            </w:tcBorders>
            <w:shd w:val="clear" w:color="000000" w:fill="A6A6A6"/>
            <w:vAlign w:val="center"/>
            <w:hideMark/>
          </w:tcPr>
          <w:p w14:paraId="62FEC060"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-404 405</w:t>
            </w:r>
          </w:p>
        </w:tc>
        <w:tc>
          <w:tcPr>
            <w:tcW w:w="1380" w:type="dxa"/>
            <w:tcBorders>
              <w:top w:val="nil"/>
              <w:left w:val="nil"/>
              <w:bottom w:val="single" w:sz="8" w:space="0" w:color="auto"/>
              <w:right w:val="single" w:sz="8" w:space="0" w:color="auto"/>
            </w:tcBorders>
            <w:shd w:val="clear" w:color="000000" w:fill="A6A6A6"/>
            <w:vAlign w:val="center"/>
            <w:hideMark/>
          </w:tcPr>
          <w:p w14:paraId="62271331"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-584 271</w:t>
            </w:r>
          </w:p>
        </w:tc>
      </w:tr>
      <w:tr w:rsidR="0057156E" w:rsidRPr="0057156E" w14:paraId="7E447063"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09112AC3"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v tom: MPSVR SR - spolufinancovanie</w:t>
            </w:r>
          </w:p>
        </w:tc>
        <w:tc>
          <w:tcPr>
            <w:tcW w:w="1360" w:type="dxa"/>
            <w:tcBorders>
              <w:top w:val="nil"/>
              <w:left w:val="nil"/>
              <w:bottom w:val="single" w:sz="8" w:space="0" w:color="auto"/>
              <w:right w:val="single" w:sz="8" w:space="0" w:color="auto"/>
            </w:tcBorders>
            <w:shd w:val="clear" w:color="auto" w:fill="auto"/>
            <w:vAlign w:val="center"/>
            <w:hideMark/>
          </w:tcPr>
          <w:p w14:paraId="72A22000"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50B2A3CC"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-1 353 257</w:t>
            </w:r>
          </w:p>
        </w:tc>
        <w:tc>
          <w:tcPr>
            <w:tcW w:w="1360" w:type="dxa"/>
            <w:tcBorders>
              <w:top w:val="nil"/>
              <w:left w:val="nil"/>
              <w:bottom w:val="single" w:sz="8" w:space="0" w:color="auto"/>
              <w:right w:val="single" w:sz="8" w:space="0" w:color="auto"/>
            </w:tcBorders>
            <w:shd w:val="clear" w:color="auto" w:fill="auto"/>
            <w:vAlign w:val="center"/>
            <w:hideMark/>
          </w:tcPr>
          <w:p w14:paraId="7042B66D"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-1 504 405</w:t>
            </w:r>
          </w:p>
        </w:tc>
        <w:tc>
          <w:tcPr>
            <w:tcW w:w="1380" w:type="dxa"/>
            <w:tcBorders>
              <w:top w:val="nil"/>
              <w:left w:val="nil"/>
              <w:bottom w:val="single" w:sz="8" w:space="0" w:color="auto"/>
              <w:right w:val="single" w:sz="8" w:space="0" w:color="auto"/>
            </w:tcBorders>
            <w:shd w:val="clear" w:color="auto" w:fill="auto"/>
            <w:vAlign w:val="center"/>
            <w:hideMark/>
          </w:tcPr>
          <w:p w14:paraId="4A5D7453"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-1 834 271</w:t>
            </w:r>
          </w:p>
        </w:tc>
      </w:tr>
      <w:tr w:rsidR="0057156E" w:rsidRPr="0057156E" w14:paraId="16AFD9BC"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229876CF"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v tom: VPS</w:t>
            </w:r>
          </w:p>
        </w:tc>
        <w:tc>
          <w:tcPr>
            <w:tcW w:w="1360" w:type="dxa"/>
            <w:tcBorders>
              <w:top w:val="nil"/>
              <w:left w:val="nil"/>
              <w:bottom w:val="single" w:sz="8" w:space="0" w:color="auto"/>
              <w:right w:val="single" w:sz="8" w:space="0" w:color="auto"/>
            </w:tcBorders>
            <w:shd w:val="clear" w:color="auto" w:fill="auto"/>
            <w:vAlign w:val="center"/>
            <w:hideMark/>
          </w:tcPr>
          <w:p w14:paraId="4E12ABF4"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3D5B97CB"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950 000</w:t>
            </w:r>
          </w:p>
        </w:tc>
        <w:tc>
          <w:tcPr>
            <w:tcW w:w="1360" w:type="dxa"/>
            <w:tcBorders>
              <w:top w:val="nil"/>
              <w:left w:val="nil"/>
              <w:bottom w:val="single" w:sz="8" w:space="0" w:color="auto"/>
              <w:right w:val="single" w:sz="8" w:space="0" w:color="auto"/>
            </w:tcBorders>
            <w:shd w:val="clear" w:color="auto" w:fill="auto"/>
            <w:vAlign w:val="center"/>
            <w:hideMark/>
          </w:tcPr>
          <w:p w14:paraId="7DDB0CA7"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1 100 000</w:t>
            </w:r>
          </w:p>
        </w:tc>
        <w:tc>
          <w:tcPr>
            <w:tcW w:w="1380" w:type="dxa"/>
            <w:tcBorders>
              <w:top w:val="nil"/>
              <w:left w:val="nil"/>
              <w:bottom w:val="single" w:sz="8" w:space="0" w:color="auto"/>
              <w:right w:val="single" w:sz="8" w:space="0" w:color="auto"/>
            </w:tcBorders>
            <w:shd w:val="clear" w:color="auto" w:fill="auto"/>
            <w:vAlign w:val="center"/>
            <w:hideMark/>
          </w:tcPr>
          <w:p w14:paraId="57814E90"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1 250 000</w:t>
            </w:r>
          </w:p>
        </w:tc>
      </w:tr>
    </w:tbl>
    <w:p w14:paraId="4A8E39FA" w14:textId="77777777" w:rsidR="0057156E" w:rsidRPr="0069022B" w:rsidRDefault="0057156E" w:rsidP="00C90A4E">
      <w:pPr>
        <w:spacing w:after="0" w:line="240" w:lineRule="auto"/>
        <w:rPr>
          <w:rFonts w:ascii="Times New Roman" w:eastAsia="Times New Roman" w:hAnsi="Times New Roman" w:cs="Times New Roman"/>
          <w:color w:val="000000"/>
          <w:sz w:val="20"/>
          <w:szCs w:val="20"/>
          <w:lang w:eastAsia="sk-SK"/>
        </w:rPr>
      </w:pPr>
    </w:p>
    <w:p w14:paraId="42766ADC" w14:textId="77777777" w:rsidR="00EE43F6" w:rsidRDefault="00EE43F6" w:rsidP="009E4753">
      <w:pPr>
        <w:spacing w:after="0" w:line="240" w:lineRule="auto"/>
        <w:jc w:val="center"/>
        <w:rPr>
          <w:rFonts w:ascii="Times New Roman" w:eastAsia="Times New Roman" w:hAnsi="Times New Roman" w:cs="Times New Roman"/>
          <w:sz w:val="20"/>
          <w:szCs w:val="20"/>
          <w:lang w:eastAsia="sk-SK"/>
        </w:rPr>
      </w:pPr>
    </w:p>
    <w:p w14:paraId="02095DB3"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3C5C4C5B" w14:textId="77777777" w:rsidR="007D5748" w:rsidRPr="0069022B" w:rsidRDefault="007D5748" w:rsidP="006F1986">
      <w:pPr>
        <w:spacing w:after="0" w:line="240" w:lineRule="auto"/>
        <w:jc w:val="both"/>
        <w:rPr>
          <w:rFonts w:ascii="Times New Roman" w:eastAsia="Times New Roman" w:hAnsi="Times New Roman" w:cs="Times New Roman"/>
          <w:b/>
          <w:bCs/>
          <w:sz w:val="12"/>
          <w:szCs w:val="24"/>
          <w:lang w:eastAsia="sk-SK"/>
        </w:rPr>
      </w:pPr>
    </w:p>
    <w:p w14:paraId="145D3CD1" w14:textId="4B66E258" w:rsidR="00AB6E0A" w:rsidRDefault="0070658F" w:rsidP="006F198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w:t>
      </w:r>
      <w:r w:rsidRPr="0070658F">
        <w:rPr>
          <w:rFonts w:ascii="Times New Roman" w:eastAsia="Times New Roman" w:hAnsi="Times New Roman" w:cs="Times New Roman"/>
          <w:bCs/>
          <w:sz w:val="24"/>
          <w:szCs w:val="24"/>
          <w:lang w:eastAsia="sk-SK"/>
        </w:rPr>
        <w:t xml:space="preserve">genda súvisiaca so zabezpečovaním evidencie a registrácie rodinných podnikov </w:t>
      </w:r>
      <w:r w:rsidR="0057156E">
        <w:rPr>
          <w:rFonts w:ascii="Times New Roman" w:eastAsia="Times New Roman" w:hAnsi="Times New Roman" w:cs="Times New Roman"/>
          <w:bCs/>
          <w:sz w:val="24"/>
          <w:szCs w:val="24"/>
          <w:lang w:eastAsia="sk-SK"/>
        </w:rPr>
        <w:t xml:space="preserve">(vrátane informačného systému) </w:t>
      </w:r>
      <w:r>
        <w:rPr>
          <w:rFonts w:ascii="Times New Roman" w:eastAsia="Times New Roman" w:hAnsi="Times New Roman" w:cs="Times New Roman"/>
          <w:bCs/>
          <w:sz w:val="24"/>
          <w:szCs w:val="24"/>
          <w:lang w:eastAsia="sk-SK"/>
        </w:rPr>
        <w:t>bude</w:t>
      </w:r>
      <w:r w:rsidRPr="0070658F">
        <w:rPr>
          <w:rFonts w:ascii="Times New Roman" w:eastAsia="Times New Roman" w:hAnsi="Times New Roman" w:cs="Times New Roman"/>
          <w:bCs/>
          <w:sz w:val="24"/>
          <w:szCs w:val="24"/>
          <w:lang w:eastAsia="sk-SK"/>
        </w:rPr>
        <w:t xml:space="preserve"> zabezpečená v rámci súčasného návrhu počtu zamestnancov a výdavkov kapitoly ministerstva práce zabezpečených v návrhu rozpočtu verejnej správy na roky 2022 až 2024, príp. prehodnotením súčasných kapacít existujúcich organizačných útvarov</w:t>
      </w:r>
      <w:r>
        <w:rPr>
          <w:rFonts w:ascii="Times New Roman" w:eastAsia="Times New Roman" w:hAnsi="Times New Roman" w:cs="Times New Roman"/>
          <w:bCs/>
          <w:sz w:val="24"/>
          <w:szCs w:val="24"/>
          <w:lang w:eastAsia="sk-SK"/>
        </w:rPr>
        <w:t xml:space="preserve">. </w:t>
      </w:r>
    </w:p>
    <w:p w14:paraId="37FD205C" w14:textId="77777777" w:rsidR="00AB6E0A" w:rsidRDefault="00AB6E0A" w:rsidP="006F198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14:paraId="679F7F9B" w14:textId="69172541" w:rsidR="007D5748" w:rsidRPr="0069022B" w:rsidRDefault="006F1986" w:rsidP="006F198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CA0DBD">
        <w:rPr>
          <w:rFonts w:ascii="Times New Roman" w:eastAsia="Times New Roman" w:hAnsi="Times New Roman" w:cs="Times New Roman"/>
          <w:bCs/>
          <w:sz w:val="24"/>
          <w:szCs w:val="24"/>
          <w:lang w:eastAsia="sk-SK"/>
        </w:rPr>
        <w:t>R</w:t>
      </w:r>
      <w:r w:rsidR="00C2630B" w:rsidRPr="00CA0DBD">
        <w:rPr>
          <w:rFonts w:ascii="Times New Roman" w:eastAsia="Times New Roman" w:hAnsi="Times New Roman" w:cs="Times New Roman"/>
          <w:bCs/>
          <w:sz w:val="24"/>
          <w:szCs w:val="24"/>
          <w:lang w:eastAsia="sk-SK"/>
        </w:rPr>
        <w:t>ozpočtovo nekryt</w:t>
      </w:r>
      <w:r w:rsidRPr="00CA0DBD">
        <w:rPr>
          <w:rFonts w:ascii="Times New Roman" w:eastAsia="Times New Roman" w:hAnsi="Times New Roman" w:cs="Times New Roman"/>
          <w:bCs/>
          <w:sz w:val="24"/>
          <w:szCs w:val="24"/>
          <w:lang w:eastAsia="sk-SK"/>
        </w:rPr>
        <w:t xml:space="preserve">ý </w:t>
      </w:r>
      <w:r w:rsidR="00063EEB">
        <w:rPr>
          <w:rFonts w:ascii="Times New Roman" w:eastAsia="Times New Roman" w:hAnsi="Times New Roman" w:cs="Times New Roman"/>
          <w:bCs/>
          <w:sz w:val="24"/>
          <w:szCs w:val="24"/>
          <w:lang w:eastAsia="sk-SK"/>
        </w:rPr>
        <w:t xml:space="preserve">vplyv </w:t>
      </w:r>
      <w:r w:rsidRPr="00CA0DBD">
        <w:rPr>
          <w:rFonts w:ascii="Times New Roman" w:eastAsia="Times New Roman" w:hAnsi="Times New Roman" w:cs="Times New Roman"/>
          <w:bCs/>
          <w:sz w:val="24"/>
          <w:szCs w:val="24"/>
          <w:lang w:eastAsia="sk-SK"/>
        </w:rPr>
        <w:t xml:space="preserve">v súvislosti s rozšírením právneho rámca na poskytovanie kompenzačnej pomoci </w:t>
      </w:r>
      <w:r w:rsidR="00147C5F">
        <w:rPr>
          <w:rFonts w:ascii="Times New Roman" w:eastAsia="Times New Roman" w:hAnsi="Times New Roman" w:cs="Times New Roman"/>
          <w:bCs/>
          <w:sz w:val="24"/>
          <w:szCs w:val="24"/>
          <w:lang w:eastAsia="sk-SK"/>
        </w:rPr>
        <w:t>je uvedený</w:t>
      </w:r>
      <w:r w:rsidRPr="00CA0DBD">
        <w:rPr>
          <w:rFonts w:ascii="Times New Roman" w:eastAsia="Times New Roman" w:hAnsi="Times New Roman" w:cs="Times New Roman"/>
          <w:bCs/>
          <w:sz w:val="24"/>
          <w:szCs w:val="24"/>
          <w:lang w:eastAsia="sk-SK"/>
        </w:rPr>
        <w:t xml:space="preserve"> zatiaľ len </w:t>
      </w:r>
      <w:r w:rsidR="00A33E6E" w:rsidRPr="00CA0DBD">
        <w:rPr>
          <w:rFonts w:ascii="Times New Roman" w:eastAsia="Times New Roman" w:hAnsi="Times New Roman" w:cs="Times New Roman"/>
          <w:bCs/>
          <w:sz w:val="24"/>
          <w:szCs w:val="24"/>
          <w:lang w:eastAsia="sk-SK"/>
        </w:rPr>
        <w:t>orientačne</w:t>
      </w:r>
      <w:r w:rsidR="0071238D" w:rsidRPr="00CA0DBD">
        <w:rPr>
          <w:rFonts w:ascii="Times New Roman" w:eastAsia="Times New Roman" w:hAnsi="Times New Roman" w:cs="Times New Roman"/>
          <w:bCs/>
          <w:sz w:val="24"/>
          <w:szCs w:val="24"/>
          <w:lang w:eastAsia="sk-SK"/>
        </w:rPr>
        <w:t>.</w:t>
      </w:r>
      <w:r w:rsidR="00B33BC8" w:rsidRPr="00CA0DBD">
        <w:rPr>
          <w:rFonts w:ascii="Times New Roman" w:eastAsia="Times New Roman" w:hAnsi="Times New Roman" w:cs="Times New Roman"/>
          <w:bCs/>
          <w:sz w:val="24"/>
          <w:szCs w:val="24"/>
          <w:lang w:eastAsia="sk-SK"/>
        </w:rPr>
        <w:t xml:space="preserve"> </w:t>
      </w:r>
      <w:r w:rsidR="0071238D" w:rsidRPr="00CA0DBD">
        <w:rPr>
          <w:rFonts w:ascii="Times New Roman" w:eastAsia="Times New Roman" w:hAnsi="Times New Roman" w:cs="Times New Roman"/>
          <w:bCs/>
          <w:sz w:val="24"/>
          <w:szCs w:val="24"/>
          <w:lang w:eastAsia="sk-SK"/>
        </w:rPr>
        <w:t xml:space="preserve">Návrhom sa upravuje len definičný rámec kompenzačnej pomoci, spôsob akým bude poskytovaná </w:t>
      </w:r>
      <w:r w:rsidR="00A33E6E" w:rsidRPr="00CA0DBD">
        <w:rPr>
          <w:rFonts w:ascii="Times New Roman" w:eastAsia="Times New Roman" w:hAnsi="Times New Roman" w:cs="Times New Roman"/>
          <w:bCs/>
          <w:sz w:val="24"/>
          <w:szCs w:val="24"/>
          <w:lang w:eastAsia="sk-SK"/>
        </w:rPr>
        <w:t xml:space="preserve">a zdroje financovania </w:t>
      </w:r>
      <w:r w:rsidR="0071238D" w:rsidRPr="00CA0DBD">
        <w:rPr>
          <w:rFonts w:ascii="Times New Roman" w:eastAsia="Times New Roman" w:hAnsi="Times New Roman" w:cs="Times New Roman"/>
          <w:bCs/>
          <w:sz w:val="24"/>
          <w:szCs w:val="24"/>
          <w:lang w:eastAsia="sk-SK"/>
        </w:rPr>
        <w:t xml:space="preserve">si zvolí poskytovateľ v zmysle vypracovanej schémy poskytovania kompenzačnej pomoci.  </w:t>
      </w:r>
      <w:r w:rsidR="009E4753" w:rsidRPr="00CA0DBD">
        <w:rPr>
          <w:rFonts w:ascii="Times New Roman" w:eastAsia="Times New Roman" w:hAnsi="Times New Roman" w:cs="Times New Roman"/>
          <w:bCs/>
          <w:sz w:val="24"/>
          <w:szCs w:val="24"/>
          <w:lang w:eastAsia="sk-SK"/>
        </w:rPr>
        <w:t>Na uvedenú kompenzačnú pomoc je potrebné vytvoriť rezervu v rámci kapitoly všeobecnej pokladničnej správy.</w:t>
      </w:r>
      <w:r w:rsidR="009E4753">
        <w:rPr>
          <w:rFonts w:ascii="Times New Roman" w:eastAsia="Times New Roman" w:hAnsi="Times New Roman" w:cs="Times New Roman"/>
          <w:bCs/>
          <w:sz w:val="24"/>
          <w:szCs w:val="24"/>
          <w:lang w:eastAsia="sk-SK"/>
        </w:rPr>
        <w:t xml:space="preserve"> </w:t>
      </w:r>
    </w:p>
    <w:p w14:paraId="75CB0F70" w14:textId="77777777" w:rsidR="00EE43F6" w:rsidRDefault="00EE43F6" w:rsidP="007D5748">
      <w:pPr>
        <w:spacing w:after="0" w:line="240" w:lineRule="auto"/>
        <w:rPr>
          <w:rFonts w:ascii="Times New Roman" w:eastAsia="Times New Roman" w:hAnsi="Times New Roman" w:cs="Times New Roman"/>
          <w:b/>
          <w:bCs/>
          <w:sz w:val="24"/>
          <w:szCs w:val="24"/>
          <w:lang w:eastAsia="sk-SK"/>
        </w:rPr>
      </w:pPr>
    </w:p>
    <w:p w14:paraId="6CEF5BB6"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14:paraId="359E3F5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12F1C282"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5FBFA208"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14:paraId="3CBFDCF1" w14:textId="69E8C44B" w:rsidR="00E56C97" w:rsidRDefault="00E56C97" w:rsidP="00E56C97">
      <w:pPr>
        <w:spacing w:after="0" w:line="240" w:lineRule="auto"/>
        <w:jc w:val="both"/>
        <w:rPr>
          <w:rFonts w:ascii="Times New Roman" w:eastAsia="Times New Roman" w:hAnsi="Times New Roman" w:cs="Times New Roman"/>
          <w:sz w:val="24"/>
          <w:szCs w:val="24"/>
          <w:u w:val="single"/>
          <w:lang w:eastAsia="sk-SK"/>
        </w:rPr>
      </w:pPr>
      <w:r w:rsidRPr="00E56C97">
        <w:rPr>
          <w:rFonts w:ascii="Times New Roman" w:eastAsia="Times New Roman" w:hAnsi="Times New Roman" w:cs="Times New Roman"/>
          <w:sz w:val="24"/>
          <w:szCs w:val="24"/>
          <w:u w:val="single"/>
          <w:lang w:eastAsia="sk-SK"/>
        </w:rPr>
        <w:t>Sociálna ekonomika</w:t>
      </w:r>
    </w:p>
    <w:p w14:paraId="06808683" w14:textId="77777777" w:rsidR="00037624" w:rsidRDefault="00037624" w:rsidP="00E56C97">
      <w:pPr>
        <w:spacing w:after="0" w:line="240" w:lineRule="auto"/>
        <w:jc w:val="both"/>
        <w:rPr>
          <w:rFonts w:ascii="Times New Roman" w:eastAsia="Times New Roman" w:hAnsi="Times New Roman" w:cs="Times New Roman"/>
          <w:sz w:val="24"/>
          <w:szCs w:val="24"/>
          <w:u w:val="single"/>
          <w:lang w:eastAsia="sk-SK"/>
        </w:rPr>
      </w:pPr>
    </w:p>
    <w:p w14:paraId="5DB29DDE" w14:textId="467C9CE6" w:rsidR="00432E55" w:rsidRDefault="00037624" w:rsidP="00037624">
      <w:pPr>
        <w:jc w:val="both"/>
        <w:rPr>
          <w:rFonts w:ascii="Times New Roman" w:hAnsi="Times New Roman" w:cs="Times New Roman"/>
          <w:sz w:val="24"/>
          <w:szCs w:val="20"/>
        </w:rPr>
      </w:pPr>
      <w:r w:rsidRPr="00037624">
        <w:rPr>
          <w:rFonts w:ascii="Times New Roman" w:hAnsi="Times New Roman" w:cs="Times New Roman"/>
          <w:sz w:val="24"/>
          <w:szCs w:val="20"/>
        </w:rPr>
        <w:t>Predložený materiál je v </w:t>
      </w:r>
      <w:r w:rsidR="0096286A">
        <w:rPr>
          <w:rFonts w:ascii="Times New Roman" w:hAnsi="Times New Roman" w:cs="Times New Roman"/>
          <w:sz w:val="24"/>
          <w:szCs w:val="20"/>
        </w:rPr>
        <w:t>oblasti</w:t>
      </w:r>
      <w:r w:rsidRPr="00037624">
        <w:rPr>
          <w:rFonts w:ascii="Times New Roman" w:hAnsi="Times New Roman" w:cs="Times New Roman"/>
          <w:sz w:val="24"/>
          <w:szCs w:val="20"/>
        </w:rPr>
        <w:t xml:space="preserve"> sociálnej ekonomiky zameraný na posilnenie a podporenie priaznivého prostredia pre rozvoj sociálnej ekonomiky na Slovensku. Vychádza z poznatkov a problémov z aplikačnej praxe, z ktorej vyplynula potreba úpravy, spresnenia alebo doplnenia niektorých ustanovení zákona o sociálnej ekonomike a niektorých ďalších zákonov. </w:t>
      </w:r>
      <w:r w:rsidR="00432E55" w:rsidRPr="00432E55">
        <w:rPr>
          <w:rFonts w:ascii="Times New Roman" w:hAnsi="Times New Roman" w:cs="Times New Roman"/>
          <w:sz w:val="24"/>
          <w:szCs w:val="20"/>
        </w:rPr>
        <w:t>Návrh má vniesť do tejto oblasti poriadok v zmysle ustálenia pojmov a regulácie, odstrániť prekážky brániace rozvoju sociálnej ekonomiky a dotvoriť a zefektívniť systém podpory pre subjekty sociálnej ekonomiky.</w:t>
      </w:r>
    </w:p>
    <w:p w14:paraId="0BB50E15" w14:textId="6BAF44CC" w:rsidR="00037624" w:rsidRPr="00037624" w:rsidRDefault="00037624" w:rsidP="00E56C97">
      <w:pPr>
        <w:spacing w:after="0" w:line="240" w:lineRule="auto"/>
        <w:jc w:val="both"/>
        <w:rPr>
          <w:rFonts w:ascii="Times New Roman" w:eastAsia="Times New Roman" w:hAnsi="Times New Roman" w:cs="Times New Roman"/>
          <w:sz w:val="24"/>
          <w:szCs w:val="24"/>
          <w:lang w:eastAsia="sk-SK"/>
        </w:rPr>
      </w:pPr>
      <w:r w:rsidRPr="00037624">
        <w:rPr>
          <w:rFonts w:ascii="Times New Roman" w:eastAsia="Times New Roman" w:hAnsi="Times New Roman" w:cs="Times New Roman"/>
          <w:sz w:val="24"/>
          <w:szCs w:val="24"/>
          <w:lang w:eastAsia="sk-SK"/>
        </w:rPr>
        <w:t xml:space="preserve">Novelizačné body s vplyvom na rozpočet verejnej správy: </w:t>
      </w:r>
    </w:p>
    <w:p w14:paraId="6F715578" w14:textId="77777777" w:rsidR="00E56C97" w:rsidRDefault="00E56C97" w:rsidP="00E56C97">
      <w:pPr>
        <w:spacing w:after="0" w:line="240" w:lineRule="auto"/>
        <w:jc w:val="both"/>
        <w:rPr>
          <w:rFonts w:ascii="Times New Roman" w:eastAsia="Times New Roman" w:hAnsi="Times New Roman" w:cs="Times New Roman"/>
          <w:sz w:val="24"/>
          <w:szCs w:val="24"/>
          <w:lang w:eastAsia="sk-SK"/>
        </w:rPr>
      </w:pPr>
    </w:p>
    <w:p w14:paraId="1CB4C638" w14:textId="49829C8A" w:rsidR="00066690" w:rsidRDefault="00D23991" w:rsidP="00066690">
      <w:pPr>
        <w:jc w:val="both"/>
      </w:pPr>
      <w:r w:rsidRPr="00D23991">
        <w:rPr>
          <w:rFonts w:ascii="Times New Roman" w:hAnsi="Times New Roman" w:cs="Times New Roman"/>
          <w:sz w:val="24"/>
          <w:szCs w:val="20"/>
        </w:rPr>
        <w:t>Čl. I, bod</w:t>
      </w:r>
      <w:r>
        <w:rPr>
          <w:rFonts w:ascii="Times New Roman" w:hAnsi="Times New Roman" w:cs="Times New Roman"/>
          <w:sz w:val="24"/>
          <w:szCs w:val="20"/>
        </w:rPr>
        <w:t xml:space="preserve"> 51 (§ 16 ods. 5)</w:t>
      </w:r>
      <w:r w:rsidR="000F29E2">
        <w:rPr>
          <w:rFonts w:ascii="Times New Roman" w:hAnsi="Times New Roman" w:cs="Times New Roman"/>
          <w:sz w:val="24"/>
          <w:szCs w:val="20"/>
        </w:rPr>
        <w:t>: R</w:t>
      </w:r>
      <w:r w:rsidR="000F29E2" w:rsidRPr="005651FF">
        <w:rPr>
          <w:rFonts w:ascii="Times New Roman" w:hAnsi="Times New Roman" w:cs="Times New Roman"/>
          <w:sz w:val="24"/>
          <w:szCs w:val="20"/>
        </w:rPr>
        <w:t xml:space="preserve">ozširuje </w:t>
      </w:r>
      <w:r w:rsidR="000F29E2">
        <w:rPr>
          <w:rFonts w:ascii="Times New Roman" w:hAnsi="Times New Roman" w:cs="Times New Roman"/>
          <w:sz w:val="24"/>
          <w:szCs w:val="20"/>
        </w:rPr>
        <w:t xml:space="preserve">sa </w:t>
      </w:r>
      <w:r w:rsidR="000F29E2" w:rsidRPr="005651FF">
        <w:rPr>
          <w:rFonts w:ascii="Times New Roman" w:hAnsi="Times New Roman" w:cs="Times New Roman"/>
          <w:sz w:val="24"/>
          <w:szCs w:val="20"/>
        </w:rPr>
        <w:t xml:space="preserve">okruh prijímateľov investičnej pomoci vo forme </w:t>
      </w:r>
      <w:r w:rsidR="00F009FC">
        <w:rPr>
          <w:rFonts w:ascii="Times New Roman" w:hAnsi="Times New Roman" w:cs="Times New Roman"/>
          <w:sz w:val="24"/>
          <w:szCs w:val="20"/>
        </w:rPr>
        <w:t>nenávratného finančného príspevku</w:t>
      </w:r>
      <w:r w:rsidR="0099088E">
        <w:rPr>
          <w:rFonts w:ascii="Times New Roman" w:hAnsi="Times New Roman" w:cs="Times New Roman"/>
          <w:sz w:val="24"/>
          <w:szCs w:val="20"/>
        </w:rPr>
        <w:t xml:space="preserve"> (NFP)</w:t>
      </w:r>
      <w:r w:rsidR="00F009FC">
        <w:rPr>
          <w:rFonts w:ascii="Times New Roman" w:hAnsi="Times New Roman" w:cs="Times New Roman"/>
          <w:sz w:val="24"/>
          <w:szCs w:val="20"/>
        </w:rPr>
        <w:t xml:space="preserve"> a </w:t>
      </w:r>
      <w:r w:rsidR="000F29E2" w:rsidRPr="005651FF">
        <w:rPr>
          <w:rFonts w:ascii="Times New Roman" w:hAnsi="Times New Roman" w:cs="Times New Roman"/>
          <w:sz w:val="24"/>
          <w:szCs w:val="20"/>
        </w:rPr>
        <w:t>dotácie. Navrhuje sa, aby sa uveden</w:t>
      </w:r>
      <w:r w:rsidR="000F29E2">
        <w:rPr>
          <w:rFonts w:ascii="Times New Roman" w:hAnsi="Times New Roman" w:cs="Times New Roman"/>
          <w:sz w:val="24"/>
          <w:szCs w:val="20"/>
        </w:rPr>
        <w:t xml:space="preserve">á forma investičnej pomoci mohla </w:t>
      </w:r>
      <w:r w:rsidR="000F29E2" w:rsidRPr="005651FF">
        <w:rPr>
          <w:rFonts w:ascii="Times New Roman" w:hAnsi="Times New Roman" w:cs="Times New Roman"/>
          <w:sz w:val="24"/>
          <w:szCs w:val="20"/>
        </w:rPr>
        <w:t>poskytovať aj registrovaným sociálnym podnikom, ktoré nevyužívajú 100% zisku po zdanení na dosiahnutie pozitívneho sociálneho vplyvu. Po poskytnutí</w:t>
      </w:r>
      <w:r w:rsidR="00973747">
        <w:rPr>
          <w:rFonts w:ascii="Times New Roman" w:hAnsi="Times New Roman" w:cs="Times New Roman"/>
          <w:sz w:val="24"/>
          <w:szCs w:val="20"/>
        </w:rPr>
        <w:t xml:space="preserve"> nenávratného finančného príspevku alebo</w:t>
      </w:r>
      <w:r w:rsidR="000F29E2" w:rsidRPr="005651FF">
        <w:rPr>
          <w:rFonts w:ascii="Times New Roman" w:hAnsi="Times New Roman" w:cs="Times New Roman"/>
          <w:sz w:val="24"/>
          <w:szCs w:val="20"/>
        </w:rPr>
        <w:t xml:space="preserve"> dotácie sú tieto podniky povinné použiť sumu vo výške 100% zisku po zdanení v úhrne za obdobie piatich rokov od poskytnutia tejto investičnej pomoci na dosiahnutie pozitívneho sociálneho vplyvu.</w:t>
      </w:r>
      <w:r w:rsidR="000F29E2">
        <w:rPr>
          <w:rFonts w:ascii="Times New Roman" w:hAnsi="Times New Roman" w:cs="Times New Roman"/>
          <w:sz w:val="24"/>
          <w:szCs w:val="20"/>
        </w:rPr>
        <w:t xml:space="preserve"> </w:t>
      </w:r>
    </w:p>
    <w:p w14:paraId="22E73686" w14:textId="7CD3F1E7" w:rsidR="009C4821" w:rsidRDefault="009C4821" w:rsidP="009C4821">
      <w:pPr>
        <w:jc w:val="both"/>
        <w:rPr>
          <w:rFonts w:ascii="Times New Roman" w:hAnsi="Times New Roman" w:cs="Times New Roman"/>
          <w:color w:val="FF0000"/>
          <w:sz w:val="24"/>
          <w:szCs w:val="20"/>
        </w:rPr>
      </w:pPr>
      <w:r>
        <w:rPr>
          <w:rFonts w:ascii="Times New Roman" w:hAnsi="Times New Roman" w:cs="Times New Roman"/>
          <w:sz w:val="24"/>
        </w:rPr>
        <w:t>Čl. I, bod 5</w:t>
      </w:r>
      <w:r w:rsidR="00D23991">
        <w:rPr>
          <w:rFonts w:ascii="Times New Roman" w:hAnsi="Times New Roman" w:cs="Times New Roman"/>
          <w:sz w:val="24"/>
        </w:rPr>
        <w:t xml:space="preserve">3 </w:t>
      </w:r>
      <w:r w:rsidR="00D23991" w:rsidRPr="00D23991">
        <w:rPr>
          <w:rFonts w:ascii="Times New Roman" w:hAnsi="Times New Roman" w:cs="Times New Roman"/>
          <w:sz w:val="24"/>
        </w:rPr>
        <w:t>[§ 17 ods. 1 sa vypúšťa písmeno g)]</w:t>
      </w:r>
      <w:r>
        <w:rPr>
          <w:rFonts w:ascii="Times New Roman" w:hAnsi="Times New Roman" w:cs="Times New Roman"/>
          <w:sz w:val="24"/>
        </w:rPr>
        <w:t xml:space="preserve">: </w:t>
      </w:r>
      <w:r w:rsidRPr="001F103B">
        <w:rPr>
          <w:rFonts w:ascii="Times New Roman" w:hAnsi="Times New Roman" w:cs="Times New Roman"/>
          <w:sz w:val="24"/>
          <w:szCs w:val="20"/>
        </w:rPr>
        <w:t xml:space="preserve">Navrhuje sa vypustenie úľavy na dani z príjmov zo Zákona č. 112/2018 Z. z. o sociálnej ekonomike a sociálnych podnikoch, konkrétne zo zoznamu foriem investičnej pomoci, ktoré je možné poskytnúť sociálnym podnikom. Dôvodom tejto úpravy je rozšírenie možností využitia daňovej </w:t>
      </w:r>
      <w:r w:rsidRPr="001F103B">
        <w:rPr>
          <w:rFonts w:ascii="Times New Roman" w:hAnsi="Times New Roman" w:cs="Times New Roman"/>
          <w:sz w:val="24"/>
          <w:szCs w:val="20"/>
        </w:rPr>
        <w:lastRenderedPageBreak/>
        <w:t xml:space="preserve">úľavy, nakoľko jej zaradenie pod investičnú pomoc spôsobilo neželané zúženie použitia výhradne na účel podpory investície alebo prípravy projektu investície. </w:t>
      </w:r>
      <w:r>
        <w:rPr>
          <w:rFonts w:ascii="Times New Roman" w:hAnsi="Times New Roman" w:cs="Times New Roman"/>
          <w:sz w:val="24"/>
          <w:szCs w:val="20"/>
        </w:rPr>
        <w:t>R</w:t>
      </w:r>
      <w:r w:rsidRPr="001F103B">
        <w:rPr>
          <w:rFonts w:ascii="Times New Roman" w:hAnsi="Times New Roman" w:cs="Times New Roman"/>
          <w:sz w:val="24"/>
          <w:szCs w:val="20"/>
        </w:rPr>
        <w:t>egistrované sociálne podniky spĺňajúce podmienky priznania daňovej úľavy</w:t>
      </w:r>
      <w:r>
        <w:rPr>
          <w:rFonts w:ascii="Times New Roman" w:hAnsi="Times New Roman" w:cs="Times New Roman"/>
          <w:sz w:val="24"/>
          <w:szCs w:val="20"/>
        </w:rPr>
        <w:t xml:space="preserve"> ju budú </w:t>
      </w:r>
      <w:r w:rsidR="005E3C13">
        <w:rPr>
          <w:rFonts w:ascii="Times New Roman" w:hAnsi="Times New Roman" w:cs="Times New Roman"/>
          <w:sz w:val="24"/>
          <w:szCs w:val="20"/>
        </w:rPr>
        <w:t>m</w:t>
      </w:r>
      <w:r w:rsidRPr="001F103B">
        <w:rPr>
          <w:rFonts w:ascii="Times New Roman" w:hAnsi="Times New Roman" w:cs="Times New Roman"/>
          <w:sz w:val="24"/>
          <w:szCs w:val="20"/>
        </w:rPr>
        <w:t>ôcť využiť akýmkoľvek spôsobom v súlade s § 30d zákona č. 595/2003 o dani z príjmov, t.j. na</w:t>
      </w:r>
      <w:r>
        <w:rPr>
          <w:rFonts w:ascii="Times New Roman" w:hAnsi="Times New Roman" w:cs="Times New Roman"/>
          <w:sz w:val="24"/>
          <w:szCs w:val="20"/>
        </w:rPr>
        <w:t xml:space="preserve"> účely </w:t>
      </w:r>
      <w:r w:rsidRPr="001F103B">
        <w:rPr>
          <w:rFonts w:ascii="Times New Roman" w:hAnsi="Times New Roman" w:cs="Times New Roman"/>
          <w:sz w:val="24"/>
          <w:szCs w:val="20"/>
        </w:rPr>
        <w:t xml:space="preserve">dosiahnutia pozitívneho sociálneho vplyvu. Úľava na dani z príjmov sa tak pre mnohé registrované sociálne podniky stane dostupnejšou formou pomoci. </w:t>
      </w:r>
    </w:p>
    <w:p w14:paraId="1FE46670" w14:textId="3A6FFA4B" w:rsidR="005E3C13" w:rsidRDefault="00D23991" w:rsidP="005E3C13">
      <w:pPr>
        <w:spacing w:after="0"/>
        <w:jc w:val="both"/>
        <w:rPr>
          <w:rFonts w:ascii="Times New Roman" w:hAnsi="Times New Roman" w:cs="Times New Roman"/>
          <w:sz w:val="24"/>
        </w:rPr>
      </w:pPr>
      <w:r w:rsidRPr="00D23991">
        <w:rPr>
          <w:rFonts w:ascii="Times New Roman" w:hAnsi="Times New Roman" w:cs="Times New Roman"/>
          <w:sz w:val="24"/>
        </w:rPr>
        <w:t>Čl. I, bod 56 (§ 18 o</w:t>
      </w:r>
      <w:r>
        <w:rPr>
          <w:rFonts w:ascii="Times New Roman" w:hAnsi="Times New Roman" w:cs="Times New Roman"/>
          <w:sz w:val="24"/>
        </w:rPr>
        <w:t>ds. 2 druhá veta a tretia veta)</w:t>
      </w:r>
      <w:r w:rsidR="005E3C13">
        <w:rPr>
          <w:rFonts w:ascii="Times New Roman" w:hAnsi="Times New Roman" w:cs="Times New Roman"/>
          <w:sz w:val="24"/>
        </w:rPr>
        <w:t xml:space="preserve">: </w:t>
      </w:r>
      <w:r w:rsidR="005E3C13" w:rsidRPr="005346CA">
        <w:rPr>
          <w:rFonts w:ascii="Times New Roman" w:hAnsi="Times New Roman" w:cs="Times New Roman"/>
        </w:rPr>
        <w:t>N</w:t>
      </w:r>
      <w:r w:rsidR="005E3C13" w:rsidRPr="005346CA">
        <w:rPr>
          <w:rFonts w:ascii="Times New Roman" w:hAnsi="Times New Roman" w:cs="Times New Roman"/>
          <w:sz w:val="24"/>
        </w:rPr>
        <w:t xml:space="preserve">avrhuje sa úprava definície maximálnej výšky investičnej pomoci vo forme nenávratného finančného príspevku alebo dotácie, ktorú možno poskytnúť integračnému sociálnemu podniku na vytvorenie pracovných miest. Aktuálne je táto maximálna výška definovaná v absolútnych hodnotách, pričom návrhom sa má naviazať na mzdový vývoj v hospodárstve Slovenskej republiky, a čiastočne aj na veľkosť podnikov. </w:t>
      </w:r>
      <w:r w:rsidR="005E3C13">
        <w:rPr>
          <w:rFonts w:ascii="Times New Roman" w:hAnsi="Times New Roman" w:cs="Times New Roman"/>
          <w:sz w:val="24"/>
        </w:rPr>
        <w:t>N</w:t>
      </w:r>
      <w:r w:rsidR="005E3C13" w:rsidRPr="005346CA">
        <w:rPr>
          <w:rFonts w:ascii="Times New Roman" w:hAnsi="Times New Roman" w:cs="Times New Roman"/>
          <w:sz w:val="24"/>
        </w:rPr>
        <w:t xml:space="preserve">avrhovaná definícia </w:t>
      </w:r>
      <w:r w:rsidR="005E3C13">
        <w:rPr>
          <w:rFonts w:ascii="Times New Roman" w:hAnsi="Times New Roman" w:cs="Times New Roman"/>
          <w:sz w:val="24"/>
        </w:rPr>
        <w:t xml:space="preserve">tak </w:t>
      </w:r>
      <w:r w:rsidR="005E3C13" w:rsidRPr="005346CA">
        <w:rPr>
          <w:rFonts w:ascii="Times New Roman" w:hAnsi="Times New Roman" w:cs="Times New Roman"/>
          <w:sz w:val="24"/>
        </w:rPr>
        <w:t>predíde problémom s inflácio</w:t>
      </w:r>
      <w:r w:rsidR="005E3C13">
        <w:rPr>
          <w:rFonts w:ascii="Times New Roman" w:hAnsi="Times New Roman" w:cs="Times New Roman"/>
          <w:sz w:val="24"/>
        </w:rPr>
        <w:t xml:space="preserve">u a znižovaním hodnoty limitov. </w:t>
      </w:r>
    </w:p>
    <w:p w14:paraId="38E38607" w14:textId="77777777" w:rsidR="005E3C13" w:rsidRDefault="005E3C13" w:rsidP="005E3C13">
      <w:pPr>
        <w:spacing w:after="0"/>
        <w:jc w:val="both"/>
        <w:rPr>
          <w:rFonts w:ascii="Times New Roman" w:hAnsi="Times New Roman" w:cs="Times New Roman"/>
          <w:sz w:val="24"/>
        </w:rPr>
      </w:pPr>
    </w:p>
    <w:p w14:paraId="1E20624D" w14:textId="4ADC2781" w:rsidR="005E3C13" w:rsidRPr="00D17473" w:rsidRDefault="00D23991" w:rsidP="005E3C13">
      <w:pPr>
        <w:spacing w:after="0"/>
        <w:jc w:val="both"/>
        <w:rPr>
          <w:rFonts w:ascii="Times New Roman" w:hAnsi="Times New Roman" w:cs="Times New Roman"/>
          <w:sz w:val="24"/>
        </w:rPr>
      </w:pPr>
      <w:r w:rsidRPr="0074141D">
        <w:rPr>
          <w:rFonts w:ascii="Times New Roman" w:hAnsi="Times New Roman" w:cs="Times New Roman"/>
          <w:sz w:val="24"/>
        </w:rPr>
        <w:t xml:space="preserve">Čl. I, bod </w:t>
      </w:r>
      <w:r>
        <w:rPr>
          <w:rFonts w:ascii="Times New Roman" w:hAnsi="Times New Roman" w:cs="Times New Roman"/>
          <w:sz w:val="24"/>
        </w:rPr>
        <w:t xml:space="preserve">57 </w:t>
      </w:r>
      <w:r w:rsidRPr="00DC396C">
        <w:rPr>
          <w:rFonts w:ascii="Times New Roman" w:hAnsi="Times New Roman" w:cs="Times New Roman"/>
          <w:sz w:val="24"/>
        </w:rPr>
        <w:t>(§ 19 ods. 1)</w:t>
      </w:r>
      <w:r w:rsidR="005E3C13" w:rsidRPr="00D17473">
        <w:rPr>
          <w:rFonts w:ascii="Times New Roman" w:hAnsi="Times New Roman" w:cs="Times New Roman"/>
          <w:sz w:val="24"/>
        </w:rPr>
        <w:t xml:space="preserve">: </w:t>
      </w:r>
      <w:r w:rsidR="005E3C13">
        <w:rPr>
          <w:rFonts w:ascii="Times New Roman" w:hAnsi="Times New Roman" w:cs="Times New Roman"/>
          <w:sz w:val="24"/>
        </w:rPr>
        <w:t xml:space="preserve">Stanovujú sa </w:t>
      </w:r>
      <w:r w:rsidR="005E3C13" w:rsidRPr="00D17473">
        <w:rPr>
          <w:rFonts w:ascii="Times New Roman" w:hAnsi="Times New Roman" w:cs="Times New Roman"/>
          <w:sz w:val="24"/>
        </w:rPr>
        <w:t>nové situácie, kedy je možné podnikom v širšom priestore sociálnej ekonomiky poskytnúť kompenzačnú pomoc. Ide o :</w:t>
      </w:r>
    </w:p>
    <w:p w14:paraId="5B67EB4E" w14:textId="77777777" w:rsidR="005E3C13" w:rsidRPr="00D17473" w:rsidRDefault="005E3C13" w:rsidP="005E3C13">
      <w:pPr>
        <w:pStyle w:val="Odsekzoznamu"/>
        <w:numPr>
          <w:ilvl w:val="0"/>
          <w:numId w:val="14"/>
        </w:numPr>
        <w:spacing w:after="160" w:line="259" w:lineRule="auto"/>
        <w:jc w:val="both"/>
        <w:rPr>
          <w:rFonts w:ascii="Times New Roman" w:hAnsi="Times New Roman" w:cs="Times New Roman"/>
          <w:sz w:val="24"/>
        </w:rPr>
      </w:pPr>
      <w:r w:rsidRPr="00D17473">
        <w:rPr>
          <w:rFonts w:ascii="Times New Roman" w:hAnsi="Times New Roman" w:cs="Times New Roman"/>
          <w:sz w:val="24"/>
        </w:rPr>
        <w:t>kompenzáciu podnikov, ktoré s cieľom dosahovania pozitívneho sociálneho vplyvu pôsobia na trhu, ktorý  z dôvodu svojej nedostatočnej veľkosti, obmedzenej kúpnej sily, či iných špecifík dlhodobo neumožňuje dosiahnuť vyrovnané hospodárenie pri inak preukázateľnom napĺňaní verejného záujmu alebo komunitného záujmu; alebo</w:t>
      </w:r>
    </w:p>
    <w:p w14:paraId="3CBAE62E" w14:textId="77777777" w:rsidR="005E3C13" w:rsidRPr="00D17473" w:rsidRDefault="005E3C13" w:rsidP="005E3C13">
      <w:pPr>
        <w:pStyle w:val="Odsekzoznamu"/>
        <w:numPr>
          <w:ilvl w:val="0"/>
          <w:numId w:val="14"/>
        </w:numPr>
        <w:spacing w:after="160" w:line="259" w:lineRule="auto"/>
        <w:jc w:val="both"/>
        <w:rPr>
          <w:rFonts w:ascii="Times New Roman" w:hAnsi="Times New Roman" w:cs="Times New Roman"/>
          <w:sz w:val="24"/>
        </w:rPr>
      </w:pPr>
      <w:r w:rsidRPr="00D17473">
        <w:rPr>
          <w:rFonts w:ascii="Times New Roman" w:hAnsi="Times New Roman" w:cs="Times New Roman"/>
          <w:sz w:val="24"/>
        </w:rPr>
        <w:t>náhradu škody spôsobenej prírodnou katastrofou; alebo</w:t>
      </w:r>
    </w:p>
    <w:p w14:paraId="691D3A31" w14:textId="4521EA74" w:rsidR="005E3C13" w:rsidRPr="00D17473" w:rsidRDefault="005E3C13" w:rsidP="00864D32">
      <w:pPr>
        <w:pStyle w:val="Odsekzoznamu"/>
        <w:numPr>
          <w:ilvl w:val="0"/>
          <w:numId w:val="14"/>
        </w:numPr>
        <w:spacing w:after="0" w:line="259" w:lineRule="auto"/>
        <w:jc w:val="both"/>
        <w:rPr>
          <w:rFonts w:ascii="Times New Roman" w:hAnsi="Times New Roman" w:cs="Times New Roman"/>
          <w:sz w:val="24"/>
        </w:rPr>
      </w:pPr>
      <w:r w:rsidRPr="00D17473">
        <w:rPr>
          <w:rFonts w:ascii="Times New Roman" w:hAnsi="Times New Roman" w:cs="Times New Roman"/>
          <w:sz w:val="24"/>
        </w:rPr>
        <w:t xml:space="preserve">náhradu škody spôsobenej dôsledkami </w:t>
      </w:r>
      <w:r w:rsidR="00864D32" w:rsidRPr="00864D32">
        <w:rPr>
          <w:rFonts w:ascii="Times New Roman" w:hAnsi="Times New Roman" w:cs="Times New Roman"/>
          <w:sz w:val="24"/>
        </w:rPr>
        <w:t xml:space="preserve">situácie, ktorá bola dôvodom </w:t>
      </w:r>
      <w:r w:rsidRPr="00D17473">
        <w:rPr>
          <w:rFonts w:ascii="Times New Roman" w:hAnsi="Times New Roman" w:cs="Times New Roman"/>
          <w:sz w:val="24"/>
        </w:rPr>
        <w:t>vyhlásenia mimoriadnej situácie, núdzového stavu alebo výnimočného stavu podľa osobitného predpisu.</w:t>
      </w:r>
    </w:p>
    <w:p w14:paraId="0B99961C" w14:textId="77777777" w:rsidR="005E3C13" w:rsidRDefault="005E3C13" w:rsidP="005E3C13">
      <w:pPr>
        <w:spacing w:after="0"/>
        <w:jc w:val="both"/>
        <w:rPr>
          <w:rFonts w:ascii="Times New Roman" w:hAnsi="Times New Roman" w:cs="Times New Roman"/>
          <w:sz w:val="24"/>
        </w:rPr>
      </w:pPr>
    </w:p>
    <w:p w14:paraId="733E6B68" w14:textId="3BFAC298" w:rsidR="005E3C13" w:rsidRDefault="00973747" w:rsidP="005E3C13">
      <w:pPr>
        <w:jc w:val="both"/>
        <w:rPr>
          <w:rFonts w:ascii="Times New Roman" w:hAnsi="Times New Roman" w:cs="Times New Roman"/>
          <w:sz w:val="24"/>
          <w:szCs w:val="20"/>
        </w:rPr>
      </w:pPr>
      <w:r>
        <w:rPr>
          <w:rFonts w:ascii="Times New Roman" w:hAnsi="Times New Roman" w:cs="Times New Roman"/>
          <w:sz w:val="24"/>
          <w:szCs w:val="20"/>
        </w:rPr>
        <w:t>Čl. IV, bod 5</w:t>
      </w:r>
      <w:r w:rsidR="00FD5325">
        <w:rPr>
          <w:rFonts w:ascii="Times New Roman" w:hAnsi="Times New Roman" w:cs="Times New Roman"/>
          <w:sz w:val="24"/>
          <w:szCs w:val="20"/>
        </w:rPr>
        <w:t xml:space="preserve"> </w:t>
      </w:r>
      <w:r w:rsidR="00FD5325" w:rsidRPr="00FD5325">
        <w:rPr>
          <w:rFonts w:ascii="Times New Roman" w:hAnsi="Times New Roman" w:cs="Times New Roman"/>
          <w:sz w:val="24"/>
          <w:szCs w:val="20"/>
        </w:rPr>
        <w:t>(§ 53g ods. 4)</w:t>
      </w:r>
      <w:r w:rsidRPr="0074141D">
        <w:rPr>
          <w:rFonts w:ascii="Times New Roman" w:hAnsi="Times New Roman" w:cs="Times New Roman"/>
          <w:sz w:val="24"/>
          <w:szCs w:val="20"/>
        </w:rPr>
        <w:t xml:space="preserve">: </w:t>
      </w:r>
      <w:r w:rsidR="005E3C13" w:rsidRPr="00E17D71">
        <w:rPr>
          <w:rFonts w:ascii="Times New Roman" w:hAnsi="Times New Roman" w:cs="Times New Roman"/>
          <w:sz w:val="24"/>
          <w:szCs w:val="20"/>
        </w:rPr>
        <w:t xml:space="preserve"> Zavádza sa alikvotné krátenie maximálnej výšky vyrovnávacieho príspevku integračnému podniku tak, aby zodpovedala pracovnému pomeru dohodnutému na ustanovený týždenný pracovný čas. Ak je pracovný pomer dohodnutý na kratší pracovný čas, maximálna výška príspevku sa má pomerne krátiť.</w:t>
      </w:r>
      <w:r w:rsidR="005E3C13">
        <w:rPr>
          <w:rFonts w:ascii="Times New Roman" w:hAnsi="Times New Roman" w:cs="Times New Roman"/>
          <w:sz w:val="24"/>
          <w:szCs w:val="20"/>
        </w:rPr>
        <w:t xml:space="preserve"> </w:t>
      </w:r>
    </w:p>
    <w:p w14:paraId="2DFC67AA" w14:textId="5B1741B1" w:rsidR="005B1833" w:rsidRPr="0056767F" w:rsidRDefault="00EC137C" w:rsidP="005B1833">
      <w:pPr>
        <w:spacing w:after="0"/>
        <w:jc w:val="both"/>
        <w:rPr>
          <w:rFonts w:ascii="Times New Roman" w:hAnsi="Times New Roman" w:cs="Times New Roman"/>
          <w:sz w:val="24"/>
        </w:rPr>
      </w:pPr>
      <w:r>
        <w:rPr>
          <w:rFonts w:ascii="Times New Roman" w:hAnsi="Times New Roman" w:cs="Times New Roman"/>
          <w:sz w:val="24"/>
        </w:rPr>
        <w:t>Čl. IV</w:t>
      </w:r>
      <w:r w:rsidR="005B1833">
        <w:rPr>
          <w:rFonts w:ascii="Times New Roman" w:hAnsi="Times New Roman" w:cs="Times New Roman"/>
          <w:sz w:val="24"/>
        </w:rPr>
        <w:t xml:space="preserve">, bod </w:t>
      </w:r>
      <w:r w:rsidR="007A6FD8">
        <w:rPr>
          <w:rFonts w:ascii="Times New Roman" w:hAnsi="Times New Roman" w:cs="Times New Roman"/>
          <w:sz w:val="24"/>
        </w:rPr>
        <w:t>4</w:t>
      </w:r>
      <w:r w:rsidR="00FD5325">
        <w:rPr>
          <w:rFonts w:ascii="Times New Roman" w:hAnsi="Times New Roman" w:cs="Times New Roman"/>
          <w:sz w:val="24"/>
        </w:rPr>
        <w:t xml:space="preserve"> </w:t>
      </w:r>
      <w:r w:rsidR="00FD5325" w:rsidRPr="00FD5325">
        <w:rPr>
          <w:rFonts w:ascii="Times New Roman" w:hAnsi="Times New Roman" w:cs="Times New Roman"/>
          <w:sz w:val="24"/>
        </w:rPr>
        <w:t>[§ 53g ods. 3 písm. a) a b)]</w:t>
      </w:r>
      <w:r w:rsidR="005B1833">
        <w:rPr>
          <w:rFonts w:ascii="Times New Roman" w:hAnsi="Times New Roman" w:cs="Times New Roman"/>
          <w:sz w:val="24"/>
        </w:rPr>
        <w:t xml:space="preserve">: </w:t>
      </w:r>
      <w:r w:rsidR="005B1833" w:rsidRPr="0056767F">
        <w:rPr>
          <w:rFonts w:ascii="Times New Roman" w:hAnsi="Times New Roman" w:cs="Times New Roman"/>
          <w:sz w:val="24"/>
        </w:rPr>
        <w:t xml:space="preserve">Navrhuje sa zjednotenie výšky vyrovnávacieho príspevku poskytovaného integračnému podniku (podľa § 53g zákona č. 5/2004 Z. z. o službách zamestnanosti) s maximálnym stropom, ktorý sa môže poskytnúť v súlade s Nariadením Komisie (EÚ) č. 651/2014 zo 17. júna 2014 o vyhlásení určitých kategórií pomoci za zlučiteľné s vnútorným trhom podľa článkov 107 a 108 zmluvy. Návrhom dôjde k navýšeniu výšky vyrovnávacích príspevkov poskytovaných na mzdové náklady spojené so zamestnávaním znevýhodnených osôb, ktoré nie sú znevýhodnené z dôvodu dlhodobej nezamestnanosti, dosiahnutého nižšieho vzdelania, alebo zdravotného znevýhodnenia, z výšky 40 % oprávnených nákladov skutočne </w:t>
      </w:r>
      <w:r w:rsidR="005B1833" w:rsidRPr="0056767F">
        <w:rPr>
          <w:rFonts w:ascii="Times New Roman" w:hAnsi="Times New Roman" w:cs="Times New Roman"/>
          <w:sz w:val="24"/>
        </w:rPr>
        <w:lastRenderedPageBreak/>
        <w:t xml:space="preserve">vynaložených na zamestnanca (najviac vo výške 40 % z celkovej ceny práce vypočítanej z priemernej mzdy) na výšku 50 % oprávnených nákladov skutočne vynaložených na zamestnanca (najviac vo výške 50 % z celkovej ceny práce vypočítanej z priemernej mzdy). </w:t>
      </w:r>
      <w:r w:rsidR="005B1833">
        <w:rPr>
          <w:rFonts w:ascii="Times New Roman" w:hAnsi="Times New Roman" w:cs="Times New Roman"/>
          <w:sz w:val="24"/>
        </w:rPr>
        <w:t xml:space="preserve">Zároveň sa navrhuje pre zdravotne znevýhodnené osoby, ktoré nie sú uznané za invalidné, znížiť výšku poskytovania príspevku z </w:t>
      </w:r>
      <w:r w:rsidR="005B1833" w:rsidRPr="0056767F">
        <w:rPr>
          <w:rFonts w:ascii="Times New Roman" w:hAnsi="Times New Roman" w:cs="Times New Roman"/>
          <w:sz w:val="24"/>
        </w:rPr>
        <w:t xml:space="preserve">výšky </w:t>
      </w:r>
      <w:r w:rsidR="005B1833">
        <w:rPr>
          <w:rFonts w:ascii="Times New Roman" w:hAnsi="Times New Roman" w:cs="Times New Roman"/>
          <w:sz w:val="24"/>
        </w:rPr>
        <w:t>75</w:t>
      </w:r>
      <w:r w:rsidR="005B1833" w:rsidRPr="0056767F">
        <w:rPr>
          <w:rFonts w:ascii="Times New Roman" w:hAnsi="Times New Roman" w:cs="Times New Roman"/>
          <w:sz w:val="24"/>
        </w:rPr>
        <w:t xml:space="preserve"> % oprávnených nákladov skutočne vynaložených na zamestnanca (</w:t>
      </w:r>
      <w:r w:rsidR="005B1833">
        <w:rPr>
          <w:rFonts w:ascii="Times New Roman" w:hAnsi="Times New Roman" w:cs="Times New Roman"/>
          <w:sz w:val="24"/>
        </w:rPr>
        <w:t>najviac vo výške 75</w:t>
      </w:r>
      <w:r w:rsidR="005B1833" w:rsidRPr="0056767F">
        <w:rPr>
          <w:rFonts w:ascii="Times New Roman" w:hAnsi="Times New Roman" w:cs="Times New Roman"/>
          <w:sz w:val="24"/>
        </w:rPr>
        <w:t xml:space="preserve"> % z celkovej ceny práce vypočítane</w:t>
      </w:r>
      <w:r w:rsidR="00EE5BFB">
        <w:rPr>
          <w:rFonts w:ascii="Times New Roman" w:hAnsi="Times New Roman" w:cs="Times New Roman"/>
          <w:sz w:val="24"/>
        </w:rPr>
        <w:t xml:space="preserve">j z priemernej mzdy) </w:t>
      </w:r>
      <w:r w:rsidR="00EE5BFB" w:rsidRPr="00EC137C">
        <w:rPr>
          <w:rFonts w:ascii="Times New Roman" w:hAnsi="Times New Roman" w:cs="Times New Roman"/>
          <w:sz w:val="24"/>
        </w:rPr>
        <w:t>na výšku 5</w:t>
      </w:r>
      <w:r w:rsidR="005B1833" w:rsidRPr="00EC137C">
        <w:rPr>
          <w:rFonts w:ascii="Times New Roman" w:hAnsi="Times New Roman" w:cs="Times New Roman"/>
          <w:sz w:val="24"/>
        </w:rPr>
        <w:t xml:space="preserve">5 % oprávnených nákladov skutočne vynaložených na zamestnanca (najviac vo výške </w:t>
      </w:r>
      <w:r w:rsidR="00EE5BFB" w:rsidRPr="00EC137C">
        <w:rPr>
          <w:rFonts w:ascii="Times New Roman" w:hAnsi="Times New Roman" w:cs="Times New Roman"/>
          <w:sz w:val="24"/>
        </w:rPr>
        <w:t>5</w:t>
      </w:r>
      <w:r w:rsidR="005B1833" w:rsidRPr="00EC137C">
        <w:rPr>
          <w:rFonts w:ascii="Times New Roman" w:hAnsi="Times New Roman" w:cs="Times New Roman"/>
          <w:sz w:val="24"/>
        </w:rPr>
        <w:t>5 % z celkovej ceny práce</w:t>
      </w:r>
      <w:r w:rsidR="005B1833" w:rsidRPr="0056767F">
        <w:rPr>
          <w:rFonts w:ascii="Times New Roman" w:hAnsi="Times New Roman" w:cs="Times New Roman"/>
          <w:sz w:val="24"/>
        </w:rPr>
        <w:t xml:space="preserve"> vypočítanej z priemernej mzdy)</w:t>
      </w:r>
      <w:r w:rsidR="005B1833">
        <w:rPr>
          <w:rFonts w:ascii="Times New Roman" w:hAnsi="Times New Roman" w:cs="Times New Roman"/>
          <w:sz w:val="24"/>
        </w:rPr>
        <w:t xml:space="preserve">. </w:t>
      </w:r>
    </w:p>
    <w:p w14:paraId="6270C57D" w14:textId="77777777" w:rsidR="005B1833" w:rsidRPr="00E17D71" w:rsidRDefault="005B1833" w:rsidP="005E3C13">
      <w:pPr>
        <w:jc w:val="both"/>
        <w:rPr>
          <w:rFonts w:ascii="Times New Roman" w:hAnsi="Times New Roman" w:cs="Times New Roman"/>
          <w:sz w:val="24"/>
          <w:szCs w:val="20"/>
        </w:rPr>
      </w:pPr>
    </w:p>
    <w:p w14:paraId="29E27948" w14:textId="501EB775" w:rsidR="00E56C97" w:rsidRDefault="00E56C97" w:rsidP="00E56C97">
      <w:pPr>
        <w:spacing w:after="0" w:line="240" w:lineRule="auto"/>
        <w:jc w:val="both"/>
        <w:rPr>
          <w:rFonts w:ascii="Times New Roman" w:eastAsia="Times New Roman" w:hAnsi="Times New Roman" w:cs="Times New Roman"/>
          <w:sz w:val="24"/>
          <w:szCs w:val="24"/>
          <w:u w:val="single"/>
          <w:lang w:eastAsia="sk-SK"/>
        </w:rPr>
      </w:pPr>
      <w:r w:rsidRPr="00E56C97">
        <w:rPr>
          <w:rFonts w:ascii="Times New Roman" w:eastAsia="Times New Roman" w:hAnsi="Times New Roman" w:cs="Times New Roman"/>
          <w:sz w:val="24"/>
          <w:szCs w:val="24"/>
          <w:u w:val="single"/>
          <w:lang w:eastAsia="sk-SK"/>
        </w:rPr>
        <w:t>Rodinná ekonomika</w:t>
      </w:r>
    </w:p>
    <w:p w14:paraId="3DEF44AA" w14:textId="77777777" w:rsidR="00037624" w:rsidRPr="00E56C97" w:rsidRDefault="00037624" w:rsidP="00E56C97">
      <w:pPr>
        <w:spacing w:after="0" w:line="240" w:lineRule="auto"/>
        <w:jc w:val="both"/>
        <w:rPr>
          <w:rFonts w:ascii="Times New Roman" w:eastAsia="Times New Roman" w:hAnsi="Times New Roman" w:cs="Times New Roman"/>
          <w:sz w:val="24"/>
          <w:szCs w:val="24"/>
          <w:u w:val="single"/>
          <w:lang w:eastAsia="sk-SK"/>
        </w:rPr>
      </w:pPr>
    </w:p>
    <w:p w14:paraId="2147F8AA" w14:textId="0849BF52" w:rsidR="001E5171" w:rsidRPr="00037624" w:rsidRDefault="001E5171" w:rsidP="00037624">
      <w:pPr>
        <w:jc w:val="both"/>
        <w:rPr>
          <w:rFonts w:ascii="Times New Roman" w:hAnsi="Times New Roman" w:cs="Times New Roman"/>
          <w:sz w:val="24"/>
          <w:szCs w:val="20"/>
        </w:rPr>
      </w:pPr>
      <w:r w:rsidRPr="00037624">
        <w:rPr>
          <w:rFonts w:ascii="Times New Roman" w:hAnsi="Times New Roman" w:cs="Times New Roman"/>
          <w:sz w:val="24"/>
          <w:szCs w:val="20"/>
        </w:rPr>
        <w:t xml:space="preserve">Predložený materiál vytvára inštitucionálny rámec pre problematiku rodinnej ekonomiky, ktorý môže slúžiť ako právny základ na podporu rodinného podnikania. Definuje sa rodinný podnik a jeho základné definičné znaky. Vymedzujú sa podmienky evidencie a registrácie rodinných podnikov a určujú povinnosti registrovaných rodinných podnikov. </w:t>
      </w:r>
    </w:p>
    <w:p w14:paraId="103D6F41" w14:textId="293C9FF0" w:rsidR="001E5171" w:rsidRPr="00037624" w:rsidRDefault="001E5171" w:rsidP="00037624">
      <w:pPr>
        <w:jc w:val="both"/>
        <w:rPr>
          <w:rFonts w:ascii="Times New Roman" w:hAnsi="Times New Roman" w:cs="Times New Roman"/>
          <w:sz w:val="24"/>
          <w:szCs w:val="20"/>
        </w:rPr>
      </w:pPr>
      <w:r w:rsidRPr="00037624">
        <w:rPr>
          <w:rFonts w:ascii="Times New Roman" w:hAnsi="Times New Roman" w:cs="Times New Roman"/>
          <w:sz w:val="24"/>
          <w:szCs w:val="20"/>
        </w:rPr>
        <w:t>Navrhuje sa, že rodinným podnikom môže byť obchodná spoločnosť, družstvo alebo fyzická osoba – podnikateľ, pričom od ostatných podnikateľských subjektov rodinný podnik odlišuje existencia rodinných väzieb a</w:t>
      </w:r>
      <w:r w:rsidR="00D02373" w:rsidRPr="00037624">
        <w:rPr>
          <w:rFonts w:ascii="Times New Roman" w:hAnsi="Times New Roman" w:cs="Times New Roman"/>
          <w:sz w:val="24"/>
          <w:szCs w:val="20"/>
        </w:rPr>
        <w:t xml:space="preserve"> cieľ, ktorým je okrem dosahovania zisku či ekonomickej udržateľnosti aj rozvíjanie rodinných väzieb a posilňovanie rodinných hodnôt a kvality rodinného života. </w:t>
      </w:r>
    </w:p>
    <w:p w14:paraId="626EF0EA" w14:textId="39353529" w:rsidR="00D02373" w:rsidRPr="00037624" w:rsidRDefault="00D02373" w:rsidP="00037624">
      <w:pPr>
        <w:jc w:val="both"/>
        <w:rPr>
          <w:rFonts w:ascii="Times New Roman" w:hAnsi="Times New Roman" w:cs="Times New Roman"/>
          <w:sz w:val="24"/>
          <w:szCs w:val="20"/>
        </w:rPr>
      </w:pPr>
      <w:r w:rsidRPr="00037624">
        <w:rPr>
          <w:rFonts w:ascii="Times New Roman" w:hAnsi="Times New Roman" w:cs="Times New Roman"/>
          <w:sz w:val="24"/>
          <w:szCs w:val="20"/>
        </w:rPr>
        <w:t xml:space="preserve">Ďalej sa navrhuje, že podnik, ktorý spĺňa základné definičné znaky rodinného podniku, môže požiadať o zaradenie do evidencie rodinných podnikov. Takto evidovaný rodinný podnik bude oprávnený uvádzať </w:t>
      </w:r>
      <w:r w:rsidRPr="00EC137C">
        <w:rPr>
          <w:rFonts w:ascii="Times New Roman" w:hAnsi="Times New Roman" w:cs="Times New Roman"/>
          <w:sz w:val="24"/>
          <w:szCs w:val="20"/>
        </w:rPr>
        <w:t>označenie „rodinný podnik“ alebo skratku r. p..</w:t>
      </w:r>
      <w:r w:rsidRPr="00037624">
        <w:rPr>
          <w:rFonts w:ascii="Times New Roman" w:hAnsi="Times New Roman" w:cs="Times New Roman"/>
          <w:sz w:val="24"/>
          <w:szCs w:val="20"/>
        </w:rPr>
        <w:t xml:space="preserve"> </w:t>
      </w:r>
    </w:p>
    <w:p w14:paraId="13905628" w14:textId="3D9BC761" w:rsidR="006F500F" w:rsidRPr="00037624" w:rsidRDefault="006F500F" w:rsidP="00037624">
      <w:pPr>
        <w:spacing w:after="0"/>
        <w:jc w:val="both"/>
        <w:rPr>
          <w:rFonts w:ascii="Times New Roman" w:hAnsi="Times New Roman" w:cs="Times New Roman"/>
          <w:sz w:val="24"/>
          <w:szCs w:val="20"/>
        </w:rPr>
      </w:pPr>
      <w:r w:rsidRPr="00037624">
        <w:rPr>
          <w:rFonts w:ascii="Times New Roman" w:hAnsi="Times New Roman" w:cs="Times New Roman"/>
          <w:sz w:val="24"/>
          <w:szCs w:val="20"/>
        </w:rPr>
        <w:t xml:space="preserve">Návrh ustanovuje ďalej podmienky na priznanie štatútu „registrovaného rodinného podniku“. O zaradenie do registra rodinných podnikov môže požiadať subjekt, ktorý spĺňa základné znaky </w:t>
      </w:r>
      <w:r w:rsidRPr="004853EC">
        <w:rPr>
          <w:rFonts w:ascii="Times New Roman" w:hAnsi="Times New Roman" w:cs="Times New Roman"/>
          <w:sz w:val="24"/>
          <w:szCs w:val="20"/>
        </w:rPr>
        <w:t xml:space="preserve">rodinného podniku, aktívne vykonáva hospodársku činnosť, a zároveň sa zaväzuje použiť najmenej </w:t>
      </w:r>
      <w:r w:rsidR="00FB73D9" w:rsidRPr="004853EC">
        <w:rPr>
          <w:rFonts w:ascii="Times New Roman" w:hAnsi="Times New Roman" w:cs="Times New Roman"/>
          <w:sz w:val="24"/>
          <w:szCs w:val="20"/>
        </w:rPr>
        <w:t xml:space="preserve">12 </w:t>
      </w:r>
      <w:r w:rsidRPr="004853EC">
        <w:rPr>
          <w:rFonts w:ascii="Times New Roman" w:hAnsi="Times New Roman" w:cs="Times New Roman"/>
          <w:sz w:val="24"/>
          <w:szCs w:val="20"/>
        </w:rPr>
        <w:t>% zisku po</w:t>
      </w:r>
      <w:r w:rsidRPr="00037624">
        <w:rPr>
          <w:rFonts w:ascii="Times New Roman" w:hAnsi="Times New Roman" w:cs="Times New Roman"/>
          <w:sz w:val="24"/>
          <w:szCs w:val="20"/>
        </w:rPr>
        <w:t xml:space="preserve"> zdanení na posilnenie svojich vnútorných a vonkajších vzťahov, a to najmä na: </w:t>
      </w:r>
    </w:p>
    <w:p w14:paraId="77A335F3" w14:textId="65A086A6" w:rsidR="006F500F" w:rsidRPr="00037624" w:rsidRDefault="006F500F" w:rsidP="00037624">
      <w:pPr>
        <w:pStyle w:val="Odsekzoznamu"/>
        <w:numPr>
          <w:ilvl w:val="0"/>
          <w:numId w:val="14"/>
        </w:numPr>
        <w:spacing w:after="160" w:line="259" w:lineRule="auto"/>
        <w:jc w:val="both"/>
        <w:rPr>
          <w:rFonts w:ascii="Times New Roman" w:hAnsi="Times New Roman" w:cs="Times New Roman"/>
          <w:sz w:val="24"/>
        </w:rPr>
      </w:pPr>
      <w:r w:rsidRPr="00037624">
        <w:rPr>
          <w:rFonts w:ascii="Times New Roman" w:hAnsi="Times New Roman" w:cs="Times New Roman"/>
          <w:sz w:val="24"/>
        </w:rPr>
        <w:t xml:space="preserve">vzdelávanie členov spoločnej rodiny </w:t>
      </w:r>
    </w:p>
    <w:p w14:paraId="4B59B32F" w14:textId="559BC46A" w:rsidR="006F500F" w:rsidRPr="00037624" w:rsidRDefault="006F500F" w:rsidP="00037624">
      <w:pPr>
        <w:pStyle w:val="Odsekzoznamu"/>
        <w:numPr>
          <w:ilvl w:val="0"/>
          <w:numId w:val="14"/>
        </w:numPr>
        <w:spacing w:after="160" w:line="259" w:lineRule="auto"/>
        <w:jc w:val="both"/>
        <w:rPr>
          <w:rFonts w:ascii="Times New Roman" w:hAnsi="Times New Roman" w:cs="Times New Roman"/>
          <w:sz w:val="24"/>
        </w:rPr>
      </w:pPr>
      <w:r w:rsidRPr="00037624">
        <w:rPr>
          <w:rFonts w:ascii="Times New Roman" w:hAnsi="Times New Roman" w:cs="Times New Roman"/>
          <w:sz w:val="24"/>
        </w:rPr>
        <w:t xml:space="preserve">dôchodkové zabezpečenie členov spoločnej rodiny </w:t>
      </w:r>
    </w:p>
    <w:p w14:paraId="4B3BE82B" w14:textId="2FF6293A" w:rsidR="006F500F" w:rsidRPr="00037624" w:rsidRDefault="006F500F" w:rsidP="00037624">
      <w:pPr>
        <w:pStyle w:val="Odsekzoznamu"/>
        <w:numPr>
          <w:ilvl w:val="0"/>
          <w:numId w:val="14"/>
        </w:numPr>
        <w:spacing w:after="160" w:line="259" w:lineRule="auto"/>
        <w:jc w:val="both"/>
        <w:rPr>
          <w:rFonts w:ascii="Times New Roman" w:hAnsi="Times New Roman" w:cs="Times New Roman"/>
          <w:sz w:val="24"/>
        </w:rPr>
      </w:pPr>
      <w:r w:rsidRPr="00037624">
        <w:rPr>
          <w:rFonts w:ascii="Times New Roman" w:hAnsi="Times New Roman" w:cs="Times New Roman"/>
          <w:sz w:val="24"/>
        </w:rPr>
        <w:t>rek</w:t>
      </w:r>
      <w:r w:rsidR="00AB08B1">
        <w:rPr>
          <w:rFonts w:ascii="Times New Roman" w:hAnsi="Times New Roman" w:cs="Times New Roman"/>
          <w:sz w:val="24"/>
        </w:rPr>
        <w:t>reačné</w:t>
      </w:r>
      <w:r w:rsidRPr="00037624">
        <w:rPr>
          <w:rFonts w:ascii="Times New Roman" w:hAnsi="Times New Roman" w:cs="Times New Roman"/>
          <w:sz w:val="24"/>
        </w:rPr>
        <w:t xml:space="preserve"> pobyty členov spoločnej rodiny a zamestnancov registrovaného rodinného podniku </w:t>
      </w:r>
    </w:p>
    <w:p w14:paraId="54468825" w14:textId="15F081E0" w:rsidR="006F500F" w:rsidRPr="00037624" w:rsidRDefault="006F500F" w:rsidP="00037624">
      <w:pPr>
        <w:pStyle w:val="Odsekzoznamu"/>
        <w:numPr>
          <w:ilvl w:val="0"/>
          <w:numId w:val="14"/>
        </w:numPr>
        <w:spacing w:after="160" w:line="259" w:lineRule="auto"/>
        <w:jc w:val="both"/>
        <w:rPr>
          <w:rFonts w:ascii="Times New Roman" w:hAnsi="Times New Roman" w:cs="Times New Roman"/>
          <w:sz w:val="24"/>
        </w:rPr>
      </w:pPr>
      <w:r w:rsidRPr="00037624">
        <w:rPr>
          <w:rFonts w:ascii="Times New Roman" w:hAnsi="Times New Roman" w:cs="Times New Roman"/>
          <w:sz w:val="24"/>
        </w:rPr>
        <w:t>zdravotnú starostlivosť členov spoločnej rodiny a zamestnancov registrovaného rodinného podniku</w:t>
      </w:r>
    </w:p>
    <w:p w14:paraId="7411BE88" w14:textId="03A5B32C" w:rsidR="006F500F" w:rsidRPr="00037624" w:rsidRDefault="006F500F" w:rsidP="00037624">
      <w:pPr>
        <w:pStyle w:val="Odsekzoznamu"/>
        <w:numPr>
          <w:ilvl w:val="0"/>
          <w:numId w:val="14"/>
        </w:numPr>
        <w:spacing w:after="160" w:line="259" w:lineRule="auto"/>
        <w:jc w:val="both"/>
        <w:rPr>
          <w:rFonts w:ascii="Times New Roman" w:hAnsi="Times New Roman" w:cs="Times New Roman"/>
          <w:sz w:val="24"/>
        </w:rPr>
      </w:pPr>
      <w:r w:rsidRPr="00037624">
        <w:rPr>
          <w:rFonts w:ascii="Times New Roman" w:hAnsi="Times New Roman" w:cs="Times New Roman"/>
          <w:sz w:val="24"/>
        </w:rPr>
        <w:t>sociálnu pomoc a starostlivosť o členov spoločnej rodiny.</w:t>
      </w:r>
    </w:p>
    <w:p w14:paraId="02587039" w14:textId="032FDA52" w:rsidR="00CC1AD3" w:rsidRPr="00037624" w:rsidRDefault="00CC1AD3" w:rsidP="00037624">
      <w:pPr>
        <w:jc w:val="both"/>
        <w:rPr>
          <w:rFonts w:ascii="Times New Roman" w:hAnsi="Times New Roman" w:cs="Times New Roman"/>
          <w:sz w:val="24"/>
          <w:szCs w:val="20"/>
        </w:rPr>
      </w:pPr>
      <w:r w:rsidRPr="00037624">
        <w:rPr>
          <w:rFonts w:ascii="Times New Roman" w:hAnsi="Times New Roman" w:cs="Times New Roman"/>
          <w:sz w:val="24"/>
          <w:szCs w:val="20"/>
        </w:rPr>
        <w:lastRenderedPageBreak/>
        <w:t xml:space="preserve">Registrovaným rodinným podnikom môže byť aj registrovaný sociálny podnik. V tomto prípade podmienka využívania 100% zisku po zdanení na dosiahnutie hlavného cieľa </w:t>
      </w:r>
      <w:r w:rsidRPr="004853EC">
        <w:rPr>
          <w:rFonts w:ascii="Times New Roman" w:hAnsi="Times New Roman" w:cs="Times New Roman"/>
          <w:sz w:val="24"/>
          <w:szCs w:val="20"/>
        </w:rPr>
        <w:t xml:space="preserve">registrovaného sociálneho podniku sa považuje za splnenú, ak registrovaný sociálny podnik </w:t>
      </w:r>
      <w:r w:rsidR="00FB73D9" w:rsidRPr="004853EC">
        <w:rPr>
          <w:rFonts w:ascii="Times New Roman" w:hAnsi="Times New Roman" w:cs="Times New Roman"/>
          <w:sz w:val="24"/>
          <w:szCs w:val="20"/>
        </w:rPr>
        <w:t xml:space="preserve">využíva 88 </w:t>
      </w:r>
      <w:r w:rsidRPr="004853EC">
        <w:rPr>
          <w:rFonts w:ascii="Times New Roman" w:hAnsi="Times New Roman" w:cs="Times New Roman"/>
          <w:sz w:val="24"/>
          <w:szCs w:val="20"/>
        </w:rPr>
        <w:t>% zisku po zdanení na dosiahnuti</w:t>
      </w:r>
      <w:r w:rsidR="00FB73D9" w:rsidRPr="004853EC">
        <w:rPr>
          <w:rFonts w:ascii="Times New Roman" w:hAnsi="Times New Roman" w:cs="Times New Roman"/>
          <w:sz w:val="24"/>
          <w:szCs w:val="20"/>
        </w:rPr>
        <w:t>e hlavného sociálneho cieľa a 12</w:t>
      </w:r>
      <w:r w:rsidRPr="004853EC">
        <w:rPr>
          <w:rFonts w:ascii="Times New Roman" w:hAnsi="Times New Roman" w:cs="Times New Roman"/>
          <w:sz w:val="24"/>
          <w:szCs w:val="20"/>
        </w:rPr>
        <w:t xml:space="preserve"> % zisku po zdanení ako registrovaný rodinný podnik.</w:t>
      </w:r>
    </w:p>
    <w:p w14:paraId="7F2AABE1" w14:textId="6563C897" w:rsidR="006F500F" w:rsidRPr="00037624" w:rsidRDefault="006F500F" w:rsidP="00037624">
      <w:pPr>
        <w:jc w:val="both"/>
        <w:rPr>
          <w:rFonts w:ascii="Times New Roman" w:hAnsi="Times New Roman" w:cs="Times New Roman"/>
          <w:sz w:val="24"/>
          <w:szCs w:val="20"/>
        </w:rPr>
      </w:pPr>
      <w:r w:rsidRPr="00037624">
        <w:rPr>
          <w:rFonts w:ascii="Times New Roman" w:hAnsi="Times New Roman" w:cs="Times New Roman"/>
          <w:sz w:val="24"/>
          <w:szCs w:val="20"/>
        </w:rPr>
        <w:t>Návrh stanovuje povinnosti registrovaných rodinných podnikov a</w:t>
      </w:r>
      <w:r w:rsidR="00B77F7E" w:rsidRPr="00037624">
        <w:rPr>
          <w:rFonts w:ascii="Times New Roman" w:hAnsi="Times New Roman" w:cs="Times New Roman"/>
          <w:sz w:val="24"/>
          <w:szCs w:val="20"/>
        </w:rPr>
        <w:t xml:space="preserve"> vymedzuje nové </w:t>
      </w:r>
      <w:r w:rsidRPr="00037624">
        <w:rPr>
          <w:rFonts w:ascii="Times New Roman" w:hAnsi="Times New Roman" w:cs="Times New Roman"/>
          <w:sz w:val="24"/>
          <w:szCs w:val="20"/>
        </w:rPr>
        <w:t xml:space="preserve">kompetencie Ministerstva práce, sociálnych vecí a rodiny (MPSVR), </w:t>
      </w:r>
      <w:r w:rsidR="00B77F7E" w:rsidRPr="00037624">
        <w:rPr>
          <w:rFonts w:ascii="Times New Roman" w:hAnsi="Times New Roman" w:cs="Times New Roman"/>
          <w:sz w:val="24"/>
          <w:szCs w:val="20"/>
        </w:rPr>
        <w:t>medzi ktoré patrí najmä zabezpečovan</w:t>
      </w:r>
      <w:r w:rsidR="00877C76">
        <w:rPr>
          <w:rFonts w:ascii="Times New Roman" w:hAnsi="Times New Roman" w:cs="Times New Roman"/>
          <w:sz w:val="24"/>
          <w:szCs w:val="20"/>
        </w:rPr>
        <w:t>ie evidencie rodinných podnikov</w:t>
      </w:r>
      <w:r w:rsidR="00B77F7E" w:rsidRPr="00037624">
        <w:rPr>
          <w:rFonts w:ascii="Times New Roman" w:hAnsi="Times New Roman" w:cs="Times New Roman"/>
          <w:sz w:val="24"/>
          <w:szCs w:val="20"/>
        </w:rPr>
        <w:t xml:space="preserve"> a priznávanie a zrušovanie štatútu registrovaného rodinného podniku. </w:t>
      </w:r>
    </w:p>
    <w:p w14:paraId="3DB84A7E" w14:textId="032DB2F5" w:rsidR="00B77F7E" w:rsidRPr="00037624" w:rsidRDefault="00037624" w:rsidP="00037624">
      <w:pPr>
        <w:jc w:val="both"/>
        <w:rPr>
          <w:rFonts w:ascii="Times New Roman" w:hAnsi="Times New Roman" w:cs="Times New Roman"/>
          <w:sz w:val="24"/>
          <w:szCs w:val="20"/>
        </w:rPr>
      </w:pPr>
      <w:r>
        <w:rPr>
          <w:rFonts w:ascii="Times New Roman" w:hAnsi="Times New Roman" w:cs="Times New Roman"/>
          <w:sz w:val="24"/>
          <w:szCs w:val="20"/>
        </w:rPr>
        <w:t>Navrhuje sa zriadenie evidencie rodinných podnikov a registra</w:t>
      </w:r>
      <w:r w:rsidR="00B77F7E" w:rsidRPr="00037624">
        <w:rPr>
          <w:rFonts w:ascii="Times New Roman" w:hAnsi="Times New Roman" w:cs="Times New Roman"/>
          <w:sz w:val="24"/>
          <w:szCs w:val="20"/>
        </w:rPr>
        <w:t xml:space="preserve"> rodinných podnikov, vymedzuje sa zoznam zapisovaných údajov</w:t>
      </w:r>
      <w:r w:rsidR="00196CA8" w:rsidRPr="00037624">
        <w:rPr>
          <w:rFonts w:ascii="Times New Roman" w:hAnsi="Times New Roman" w:cs="Times New Roman"/>
          <w:sz w:val="24"/>
          <w:szCs w:val="20"/>
        </w:rPr>
        <w:t xml:space="preserve"> a upravuje prístup k informáciám.</w:t>
      </w:r>
    </w:p>
    <w:p w14:paraId="0C3E2662" w14:textId="77777777" w:rsidR="00B77F7E" w:rsidRDefault="00B77F7E" w:rsidP="006F500F">
      <w:pPr>
        <w:spacing w:after="0" w:line="240" w:lineRule="auto"/>
        <w:jc w:val="both"/>
        <w:rPr>
          <w:rFonts w:ascii="Times New Roman" w:eastAsia="Times New Roman" w:hAnsi="Times New Roman" w:cs="Times New Roman"/>
          <w:sz w:val="24"/>
          <w:szCs w:val="24"/>
          <w:lang w:eastAsia="sk-SK"/>
        </w:rPr>
      </w:pPr>
    </w:p>
    <w:p w14:paraId="032A3F53" w14:textId="77777777" w:rsidR="00B215AC" w:rsidRDefault="00B215AC" w:rsidP="007D5748">
      <w:pPr>
        <w:spacing w:after="0" w:line="240" w:lineRule="auto"/>
        <w:ind w:firstLine="708"/>
        <w:jc w:val="both"/>
        <w:rPr>
          <w:rFonts w:ascii="Times New Roman" w:eastAsia="Times New Roman" w:hAnsi="Times New Roman" w:cs="Times New Roman"/>
          <w:sz w:val="24"/>
          <w:szCs w:val="24"/>
          <w:lang w:eastAsia="sk-SK"/>
        </w:rPr>
      </w:pPr>
    </w:p>
    <w:p w14:paraId="0CBA61F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654DB153"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7098A08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2A526F8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378D287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3D57482F" w14:textId="2251F33F" w:rsidR="007D5748" w:rsidRPr="007D5748" w:rsidRDefault="00AF7930"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nová služba alebo nariadenie (alebo ich zrušenie)</w:t>
      </w:r>
    </w:p>
    <w:p w14:paraId="587907D1" w14:textId="28D0258C" w:rsidR="007D5748" w:rsidRPr="007D5748" w:rsidRDefault="00AF7930"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007D5748" w:rsidRPr="007D5748">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kombinovaný návrh</w:t>
      </w:r>
    </w:p>
    <w:p w14:paraId="362DC77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14:paraId="154A520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F39FE6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4EE0CAA5" w14:textId="77777777" w:rsid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20CAFC00" w14:textId="77777777" w:rsidR="008D30D5" w:rsidRDefault="008D30D5" w:rsidP="007D5748">
      <w:pPr>
        <w:spacing w:after="0" w:line="240" w:lineRule="auto"/>
        <w:rPr>
          <w:rFonts w:ascii="Times New Roman" w:eastAsia="Times New Roman" w:hAnsi="Times New Roman" w:cs="Times New Roman"/>
          <w:b/>
          <w:bCs/>
          <w:sz w:val="24"/>
          <w:szCs w:val="24"/>
          <w:lang w:eastAsia="sk-SK"/>
        </w:rPr>
      </w:pPr>
    </w:p>
    <w:p w14:paraId="3E6F5BD9" w14:textId="77777777" w:rsidR="001748AC" w:rsidRDefault="001748AC" w:rsidP="001748AC">
      <w:pPr>
        <w:spacing w:after="0" w:line="240" w:lineRule="auto"/>
        <w:jc w:val="both"/>
        <w:rPr>
          <w:rFonts w:ascii="Times New Roman" w:eastAsia="Times New Roman" w:hAnsi="Times New Roman" w:cs="Times New Roman"/>
          <w:sz w:val="24"/>
          <w:szCs w:val="24"/>
          <w:lang w:eastAsia="sk-SK"/>
        </w:rPr>
      </w:pPr>
    </w:p>
    <w:p w14:paraId="512370AB" w14:textId="123D4813" w:rsidR="001748AC" w:rsidRDefault="001748AC" w:rsidP="001748AC">
      <w:pPr>
        <w:spacing w:after="0" w:line="240" w:lineRule="auto"/>
        <w:jc w:val="both"/>
        <w:rPr>
          <w:rFonts w:ascii="Times New Roman" w:eastAsia="Times New Roman" w:hAnsi="Times New Roman" w:cs="Times New Roman"/>
          <w:sz w:val="24"/>
          <w:szCs w:val="24"/>
          <w:u w:val="single"/>
          <w:lang w:eastAsia="sk-SK"/>
        </w:rPr>
      </w:pPr>
      <w:r w:rsidRPr="001748AC">
        <w:rPr>
          <w:rFonts w:ascii="Times New Roman" w:eastAsia="Times New Roman" w:hAnsi="Times New Roman" w:cs="Times New Roman"/>
          <w:sz w:val="24"/>
          <w:szCs w:val="24"/>
          <w:u w:val="single"/>
          <w:lang w:eastAsia="sk-SK"/>
        </w:rPr>
        <w:t xml:space="preserve">Sociálna ekonomika </w:t>
      </w:r>
    </w:p>
    <w:p w14:paraId="409C2D10" w14:textId="77777777" w:rsidR="0023410E" w:rsidRDefault="0023410E" w:rsidP="001748AC">
      <w:pPr>
        <w:spacing w:after="0" w:line="240" w:lineRule="auto"/>
        <w:jc w:val="both"/>
        <w:rPr>
          <w:rFonts w:ascii="Times New Roman" w:eastAsia="Times New Roman" w:hAnsi="Times New Roman" w:cs="Times New Roman"/>
          <w:sz w:val="24"/>
          <w:szCs w:val="24"/>
          <w:u w:val="single"/>
          <w:lang w:eastAsia="sk-SK"/>
        </w:rPr>
      </w:pPr>
    </w:p>
    <w:p w14:paraId="597EF824" w14:textId="0A63A2CE" w:rsidR="0023410E" w:rsidRPr="00177384" w:rsidRDefault="0023410E" w:rsidP="001748AC">
      <w:pPr>
        <w:spacing w:after="0" w:line="240" w:lineRule="auto"/>
        <w:jc w:val="both"/>
        <w:rPr>
          <w:rFonts w:ascii="Times New Roman" w:eastAsia="Times New Roman" w:hAnsi="Times New Roman" w:cs="Times New Roman"/>
          <w:color w:val="000000" w:themeColor="text1"/>
          <w:sz w:val="24"/>
          <w:szCs w:val="24"/>
          <w:lang w:eastAsia="sk-SK"/>
        </w:rPr>
      </w:pPr>
      <w:r w:rsidRPr="0023410E">
        <w:rPr>
          <w:rFonts w:ascii="Times New Roman" w:eastAsia="Times New Roman" w:hAnsi="Times New Roman" w:cs="Times New Roman"/>
          <w:sz w:val="24"/>
          <w:szCs w:val="24"/>
          <w:lang w:eastAsia="sk-SK"/>
        </w:rPr>
        <w:t>Aktuálne</w:t>
      </w:r>
      <w:r w:rsidR="001B47DF">
        <w:rPr>
          <w:rFonts w:ascii="Times New Roman" w:eastAsia="Times New Roman" w:hAnsi="Times New Roman" w:cs="Times New Roman"/>
          <w:sz w:val="24"/>
          <w:szCs w:val="24"/>
          <w:lang w:eastAsia="sk-SK"/>
        </w:rPr>
        <w:t xml:space="preserve"> (k 7.6.2022)</w:t>
      </w:r>
      <w:r w:rsidRPr="0023410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je </w:t>
      </w:r>
      <w:r w:rsidRPr="00EC137C">
        <w:rPr>
          <w:rFonts w:ascii="Times New Roman" w:eastAsia="Times New Roman" w:hAnsi="Times New Roman" w:cs="Times New Roman"/>
          <w:color w:val="000000" w:themeColor="text1"/>
          <w:sz w:val="24"/>
          <w:szCs w:val="24"/>
          <w:lang w:eastAsia="sk-SK"/>
        </w:rPr>
        <w:t xml:space="preserve">registrovaných </w:t>
      </w:r>
      <w:r w:rsidR="00FB73D9" w:rsidRPr="00EC137C">
        <w:rPr>
          <w:rFonts w:ascii="Times New Roman" w:eastAsia="Times New Roman" w:hAnsi="Times New Roman" w:cs="Times New Roman"/>
          <w:color w:val="000000" w:themeColor="text1"/>
          <w:sz w:val="24"/>
          <w:szCs w:val="24"/>
          <w:lang w:eastAsia="sk-SK"/>
        </w:rPr>
        <w:t>514</w:t>
      </w:r>
      <w:r w:rsidRPr="00EC137C">
        <w:rPr>
          <w:rFonts w:ascii="Times New Roman" w:eastAsia="Times New Roman" w:hAnsi="Times New Roman" w:cs="Times New Roman"/>
          <w:color w:val="000000" w:themeColor="text1"/>
          <w:sz w:val="24"/>
          <w:szCs w:val="24"/>
          <w:lang w:eastAsia="sk-SK"/>
        </w:rPr>
        <w:t xml:space="preserve"> sociálnych</w:t>
      </w:r>
      <w:r w:rsidRPr="00177384">
        <w:rPr>
          <w:rFonts w:ascii="Times New Roman" w:eastAsia="Times New Roman" w:hAnsi="Times New Roman" w:cs="Times New Roman"/>
          <w:color w:val="000000" w:themeColor="text1"/>
          <w:sz w:val="24"/>
          <w:szCs w:val="24"/>
          <w:lang w:eastAsia="sk-SK"/>
        </w:rPr>
        <w:t xml:space="preserve"> podnikov. Odhaduje sa, že v nasledujúcich rokoch sa počet registrovaných sociálnych podnikov zvýši nasledovne:</w:t>
      </w:r>
    </w:p>
    <w:p w14:paraId="2B72A9C7" w14:textId="4BD37F66" w:rsidR="0023410E" w:rsidRPr="00177384" w:rsidRDefault="00FF0428" w:rsidP="0023410E">
      <w:pPr>
        <w:pStyle w:val="Odsekzoznamu"/>
        <w:numPr>
          <w:ilvl w:val="0"/>
          <w:numId w:val="16"/>
        </w:numPr>
        <w:spacing w:after="0" w:line="259"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v roku 2023</w:t>
      </w:r>
      <w:r w:rsidR="0023410E" w:rsidRPr="00177384">
        <w:rPr>
          <w:rFonts w:ascii="Times New Roman" w:hAnsi="Times New Roman" w:cs="Times New Roman"/>
          <w:color w:val="000000" w:themeColor="text1"/>
          <w:sz w:val="24"/>
        </w:rPr>
        <w:t xml:space="preserve"> bude na Slovensku </w:t>
      </w:r>
      <w:r>
        <w:rPr>
          <w:rFonts w:ascii="Times New Roman" w:hAnsi="Times New Roman" w:cs="Times New Roman"/>
          <w:color w:val="000000" w:themeColor="text1"/>
          <w:sz w:val="24"/>
        </w:rPr>
        <w:t>550</w:t>
      </w:r>
      <w:r w:rsidR="004F7593" w:rsidRPr="00177384">
        <w:rPr>
          <w:rFonts w:ascii="Times New Roman" w:hAnsi="Times New Roman" w:cs="Times New Roman"/>
          <w:color w:val="000000" w:themeColor="text1"/>
          <w:sz w:val="24"/>
        </w:rPr>
        <w:t xml:space="preserve"> registrovaných sociálnych</w:t>
      </w:r>
      <w:r w:rsidR="0023410E" w:rsidRPr="00177384">
        <w:rPr>
          <w:rFonts w:ascii="Times New Roman" w:hAnsi="Times New Roman" w:cs="Times New Roman"/>
          <w:color w:val="000000" w:themeColor="text1"/>
          <w:sz w:val="24"/>
        </w:rPr>
        <w:t xml:space="preserve"> podnikov </w:t>
      </w:r>
    </w:p>
    <w:p w14:paraId="4DF94C02" w14:textId="643E6DFC" w:rsidR="004F7593" w:rsidRPr="00177384" w:rsidRDefault="00FF0428" w:rsidP="004F7593">
      <w:pPr>
        <w:pStyle w:val="Odsekzoznamu"/>
        <w:numPr>
          <w:ilvl w:val="0"/>
          <w:numId w:val="16"/>
        </w:numPr>
        <w:spacing w:after="0" w:line="259"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v roku 2024</w:t>
      </w:r>
      <w:r w:rsidR="004F7593" w:rsidRPr="00177384">
        <w:rPr>
          <w:rFonts w:ascii="Times New Roman" w:hAnsi="Times New Roman" w:cs="Times New Roman"/>
          <w:color w:val="000000" w:themeColor="text1"/>
          <w:sz w:val="24"/>
        </w:rPr>
        <w:t xml:space="preserve"> bude na Slovensku</w:t>
      </w:r>
      <w:r>
        <w:rPr>
          <w:rFonts w:ascii="Times New Roman" w:hAnsi="Times New Roman" w:cs="Times New Roman"/>
          <w:color w:val="000000" w:themeColor="text1"/>
          <w:sz w:val="24"/>
        </w:rPr>
        <w:t xml:space="preserve"> 60</w:t>
      </w:r>
      <w:r w:rsidR="00177384" w:rsidRPr="00177384">
        <w:rPr>
          <w:rFonts w:ascii="Times New Roman" w:hAnsi="Times New Roman" w:cs="Times New Roman"/>
          <w:color w:val="000000" w:themeColor="text1"/>
          <w:sz w:val="24"/>
        </w:rPr>
        <w:t>0</w:t>
      </w:r>
      <w:r w:rsidR="004F7593" w:rsidRPr="00177384">
        <w:rPr>
          <w:rFonts w:ascii="Times New Roman" w:hAnsi="Times New Roman" w:cs="Times New Roman"/>
          <w:color w:val="000000" w:themeColor="text1"/>
          <w:sz w:val="24"/>
        </w:rPr>
        <w:t xml:space="preserve"> registrovaných sociálnych podnikov </w:t>
      </w:r>
    </w:p>
    <w:p w14:paraId="6FE5C32A" w14:textId="37347562" w:rsidR="004F7593" w:rsidRPr="00177384" w:rsidRDefault="00FF0428" w:rsidP="004F7593">
      <w:pPr>
        <w:pStyle w:val="Odsekzoznamu"/>
        <w:numPr>
          <w:ilvl w:val="0"/>
          <w:numId w:val="16"/>
        </w:numPr>
        <w:spacing w:after="0" w:line="259"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v roku 2025</w:t>
      </w:r>
      <w:r w:rsidR="004F7593" w:rsidRPr="00177384">
        <w:rPr>
          <w:rFonts w:ascii="Times New Roman" w:hAnsi="Times New Roman" w:cs="Times New Roman"/>
          <w:color w:val="000000" w:themeColor="text1"/>
          <w:sz w:val="24"/>
        </w:rPr>
        <w:t xml:space="preserve"> bude na Slovensku </w:t>
      </w:r>
      <w:r>
        <w:rPr>
          <w:rFonts w:ascii="Times New Roman" w:hAnsi="Times New Roman" w:cs="Times New Roman"/>
          <w:color w:val="000000" w:themeColor="text1"/>
          <w:sz w:val="24"/>
        </w:rPr>
        <w:t>65</w:t>
      </w:r>
      <w:r w:rsidR="00177384" w:rsidRPr="00177384">
        <w:rPr>
          <w:rFonts w:ascii="Times New Roman" w:hAnsi="Times New Roman" w:cs="Times New Roman"/>
          <w:color w:val="000000" w:themeColor="text1"/>
          <w:sz w:val="24"/>
        </w:rPr>
        <w:t>0</w:t>
      </w:r>
      <w:r w:rsidR="004F7593" w:rsidRPr="00177384">
        <w:rPr>
          <w:rFonts w:ascii="Times New Roman" w:hAnsi="Times New Roman" w:cs="Times New Roman"/>
          <w:color w:val="000000" w:themeColor="text1"/>
          <w:sz w:val="24"/>
        </w:rPr>
        <w:t xml:space="preserve"> registrovaných sociálnych podnikov </w:t>
      </w:r>
    </w:p>
    <w:p w14:paraId="26FE8439" w14:textId="713F6B08" w:rsidR="001748AC" w:rsidRPr="001748AC" w:rsidRDefault="001748AC" w:rsidP="001748AC">
      <w:pPr>
        <w:spacing w:after="0" w:line="240" w:lineRule="auto"/>
        <w:jc w:val="both"/>
        <w:rPr>
          <w:rFonts w:ascii="Times New Roman" w:eastAsia="Times New Roman" w:hAnsi="Times New Roman" w:cs="Times New Roman"/>
          <w:sz w:val="24"/>
          <w:szCs w:val="24"/>
          <w:lang w:eastAsia="sk-SK"/>
        </w:rPr>
      </w:pPr>
      <w:r w:rsidRPr="00177384">
        <w:rPr>
          <w:rFonts w:ascii="Times New Roman" w:eastAsia="Times New Roman" w:hAnsi="Times New Roman" w:cs="Times New Roman"/>
          <w:color w:val="000000" w:themeColor="text1"/>
          <w:sz w:val="24"/>
          <w:szCs w:val="24"/>
          <w:lang w:eastAsia="sk-SK"/>
        </w:rPr>
        <w:t xml:space="preserve">Predpoklady vývoja objemu aktivít pre jednotlivé </w:t>
      </w:r>
      <w:r>
        <w:rPr>
          <w:rFonts w:ascii="Times New Roman" w:eastAsia="Times New Roman" w:hAnsi="Times New Roman" w:cs="Times New Roman"/>
          <w:sz w:val="24"/>
          <w:szCs w:val="24"/>
          <w:lang w:eastAsia="sk-SK"/>
        </w:rPr>
        <w:t xml:space="preserve">novelizačné body sú uvedené v častiach </w:t>
      </w:r>
      <w:r w:rsidR="0096286A" w:rsidRPr="0096286A">
        <w:rPr>
          <w:rFonts w:ascii="Times New Roman" w:eastAsia="Times New Roman" w:hAnsi="Times New Roman" w:cs="Times New Roman"/>
          <w:sz w:val="24"/>
          <w:szCs w:val="24"/>
          <w:lang w:eastAsia="sk-SK"/>
        </w:rPr>
        <w:t xml:space="preserve">2.2.4.1 </w:t>
      </w:r>
      <w:r>
        <w:rPr>
          <w:rFonts w:ascii="Times New Roman" w:eastAsia="Times New Roman" w:hAnsi="Times New Roman" w:cs="Times New Roman"/>
          <w:sz w:val="24"/>
          <w:szCs w:val="24"/>
          <w:lang w:eastAsia="sk-SK"/>
        </w:rPr>
        <w:t>Kvantifikácia príjmov a </w:t>
      </w:r>
      <w:r w:rsidR="0096286A">
        <w:rPr>
          <w:rFonts w:ascii="Times New Roman" w:eastAsia="Times New Roman" w:hAnsi="Times New Roman" w:cs="Times New Roman"/>
          <w:sz w:val="24"/>
          <w:szCs w:val="24"/>
          <w:lang w:eastAsia="sk-SK"/>
        </w:rPr>
        <w:t>2.2.4.2</w:t>
      </w:r>
      <w:r w:rsidR="0096286A" w:rsidRPr="0096286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Kvantifikácia výdavkov. </w:t>
      </w:r>
    </w:p>
    <w:p w14:paraId="1CF2308D" w14:textId="77777777" w:rsidR="001748AC" w:rsidRDefault="001748AC" w:rsidP="001748AC">
      <w:pPr>
        <w:spacing w:after="240" w:line="240" w:lineRule="auto"/>
        <w:jc w:val="both"/>
        <w:rPr>
          <w:rFonts w:ascii="Times New Roman" w:eastAsia="Times New Roman" w:hAnsi="Times New Roman" w:cs="Times New Roman"/>
          <w:sz w:val="24"/>
          <w:szCs w:val="24"/>
          <w:lang w:eastAsia="sk-SK"/>
        </w:rPr>
      </w:pPr>
    </w:p>
    <w:p w14:paraId="5402B2E1" w14:textId="0AAD0A40" w:rsidR="001748AC" w:rsidRDefault="001748AC" w:rsidP="001748AC">
      <w:pPr>
        <w:spacing w:after="0" w:line="240" w:lineRule="auto"/>
        <w:jc w:val="both"/>
        <w:rPr>
          <w:rFonts w:ascii="Times New Roman" w:eastAsia="Times New Roman" w:hAnsi="Times New Roman" w:cs="Times New Roman"/>
          <w:sz w:val="24"/>
          <w:szCs w:val="24"/>
          <w:u w:val="single"/>
          <w:lang w:eastAsia="sk-SK"/>
        </w:rPr>
      </w:pPr>
      <w:r w:rsidRPr="001748AC">
        <w:rPr>
          <w:rFonts w:ascii="Times New Roman" w:eastAsia="Times New Roman" w:hAnsi="Times New Roman" w:cs="Times New Roman"/>
          <w:sz w:val="24"/>
          <w:szCs w:val="24"/>
          <w:u w:val="single"/>
          <w:lang w:eastAsia="sk-SK"/>
        </w:rPr>
        <w:t xml:space="preserve">Rodinná ekonomika </w:t>
      </w:r>
    </w:p>
    <w:p w14:paraId="2B6EE3A9" w14:textId="77777777" w:rsidR="001748AC" w:rsidRPr="001748AC" w:rsidRDefault="001748AC" w:rsidP="001748AC">
      <w:pPr>
        <w:spacing w:after="0" w:line="240" w:lineRule="auto"/>
        <w:jc w:val="both"/>
        <w:rPr>
          <w:rFonts w:ascii="Times New Roman" w:eastAsia="Times New Roman" w:hAnsi="Times New Roman" w:cs="Times New Roman"/>
          <w:sz w:val="24"/>
          <w:szCs w:val="24"/>
          <w:u w:val="single"/>
          <w:lang w:eastAsia="sk-SK"/>
        </w:rPr>
      </w:pPr>
    </w:p>
    <w:p w14:paraId="24D8751C" w14:textId="01D3C63B" w:rsidR="00C476D7" w:rsidRPr="00AE77E1" w:rsidRDefault="00196CA8" w:rsidP="001748AC">
      <w:pPr>
        <w:spacing w:after="0" w:line="240" w:lineRule="auto"/>
        <w:jc w:val="both"/>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Účinnosť právnej úpravy týkajúcej</w:t>
      </w:r>
      <w:r w:rsidR="00C476D7" w:rsidRPr="00AE77E1">
        <w:rPr>
          <w:rFonts w:ascii="Times New Roman" w:eastAsia="Times New Roman" w:hAnsi="Times New Roman" w:cs="Times New Roman"/>
          <w:sz w:val="24"/>
          <w:szCs w:val="24"/>
          <w:lang w:eastAsia="sk-SK"/>
        </w:rPr>
        <w:t xml:space="preserve"> sa rodinnej ekonomiky je navrhovaná </w:t>
      </w:r>
      <w:r w:rsidR="004A2AAF" w:rsidRPr="00AE77E1">
        <w:rPr>
          <w:rFonts w:ascii="Times New Roman" w:eastAsia="Times New Roman" w:hAnsi="Times New Roman" w:cs="Times New Roman"/>
          <w:sz w:val="24"/>
          <w:szCs w:val="24"/>
          <w:lang w:eastAsia="sk-SK"/>
        </w:rPr>
        <w:t xml:space="preserve">od </w:t>
      </w:r>
      <w:r w:rsidR="004931E2" w:rsidRPr="00EC137C">
        <w:rPr>
          <w:rFonts w:ascii="Times New Roman" w:eastAsia="Times New Roman" w:hAnsi="Times New Roman" w:cs="Times New Roman"/>
          <w:sz w:val="24"/>
          <w:szCs w:val="24"/>
          <w:lang w:eastAsia="sk-SK"/>
        </w:rPr>
        <w:t>1.1</w:t>
      </w:r>
      <w:r w:rsidR="00C61F50" w:rsidRPr="00EC137C">
        <w:rPr>
          <w:rFonts w:ascii="Times New Roman" w:eastAsia="Times New Roman" w:hAnsi="Times New Roman" w:cs="Times New Roman"/>
          <w:sz w:val="24"/>
          <w:szCs w:val="24"/>
          <w:lang w:eastAsia="sk-SK"/>
        </w:rPr>
        <w:t>.</w:t>
      </w:r>
      <w:r w:rsidR="004931E2" w:rsidRPr="00EC137C">
        <w:rPr>
          <w:rFonts w:ascii="Times New Roman" w:eastAsia="Times New Roman" w:hAnsi="Times New Roman" w:cs="Times New Roman"/>
          <w:sz w:val="24"/>
          <w:szCs w:val="24"/>
          <w:lang w:eastAsia="sk-SK"/>
        </w:rPr>
        <w:t>2023</w:t>
      </w:r>
      <w:r w:rsidR="004A2AAF" w:rsidRPr="00EC137C">
        <w:rPr>
          <w:rFonts w:ascii="Times New Roman" w:eastAsia="Times New Roman" w:hAnsi="Times New Roman" w:cs="Times New Roman"/>
          <w:sz w:val="24"/>
          <w:szCs w:val="24"/>
          <w:lang w:eastAsia="sk-SK"/>
        </w:rPr>
        <w:t>.</w:t>
      </w:r>
      <w:r w:rsidR="004A2AAF" w:rsidRPr="00AE77E1">
        <w:rPr>
          <w:rFonts w:ascii="Times New Roman" w:eastAsia="Times New Roman" w:hAnsi="Times New Roman" w:cs="Times New Roman"/>
          <w:sz w:val="24"/>
          <w:szCs w:val="24"/>
          <w:lang w:eastAsia="sk-SK"/>
        </w:rPr>
        <w:t xml:space="preserve"> </w:t>
      </w:r>
      <w:r w:rsidR="00343D39" w:rsidRPr="00AE77E1">
        <w:rPr>
          <w:rFonts w:ascii="Times New Roman" w:eastAsia="Times New Roman" w:hAnsi="Times New Roman" w:cs="Times New Roman"/>
          <w:sz w:val="24"/>
          <w:szCs w:val="24"/>
          <w:lang w:eastAsia="sk-SK"/>
        </w:rPr>
        <w:t xml:space="preserve">Odhaduje </w:t>
      </w:r>
      <w:r w:rsidR="00C476D7" w:rsidRPr="00AE77E1">
        <w:rPr>
          <w:rFonts w:ascii="Times New Roman" w:eastAsia="Times New Roman" w:hAnsi="Times New Roman" w:cs="Times New Roman"/>
          <w:sz w:val="24"/>
          <w:szCs w:val="24"/>
          <w:lang w:eastAsia="sk-SK"/>
        </w:rPr>
        <w:t>sa, že:</w:t>
      </w:r>
    </w:p>
    <w:p w14:paraId="719F4CD1" w14:textId="321F6D07" w:rsidR="003668C6" w:rsidRPr="00AE77E1" w:rsidRDefault="004931E2" w:rsidP="003668C6">
      <w:pPr>
        <w:pStyle w:val="Odsekzoznamu"/>
        <w:numPr>
          <w:ilvl w:val="0"/>
          <w:numId w:val="16"/>
        </w:numPr>
        <w:spacing w:after="0" w:line="259" w:lineRule="auto"/>
        <w:jc w:val="both"/>
        <w:rPr>
          <w:rFonts w:ascii="Times New Roman" w:hAnsi="Times New Roman" w:cs="Times New Roman"/>
          <w:sz w:val="24"/>
        </w:rPr>
      </w:pPr>
      <w:r>
        <w:rPr>
          <w:rFonts w:ascii="Times New Roman" w:hAnsi="Times New Roman" w:cs="Times New Roman"/>
          <w:sz w:val="24"/>
        </w:rPr>
        <w:lastRenderedPageBreak/>
        <w:t>v roku 2023</w:t>
      </w:r>
      <w:r w:rsidR="00C61F50" w:rsidRPr="00AE77E1">
        <w:rPr>
          <w:rFonts w:ascii="Times New Roman" w:hAnsi="Times New Roman" w:cs="Times New Roman"/>
          <w:sz w:val="24"/>
        </w:rPr>
        <w:t xml:space="preserve"> bude na Slovensku evidovaných 2 000 a registrovaných 75</w:t>
      </w:r>
      <w:r w:rsidR="003668C6" w:rsidRPr="00AE77E1">
        <w:rPr>
          <w:rFonts w:ascii="Times New Roman" w:hAnsi="Times New Roman" w:cs="Times New Roman"/>
          <w:sz w:val="24"/>
        </w:rPr>
        <w:t xml:space="preserve"> rodinných podnikov </w:t>
      </w:r>
    </w:p>
    <w:p w14:paraId="0752E943" w14:textId="2E6BCBA5" w:rsidR="003668C6" w:rsidRPr="00AE77E1" w:rsidRDefault="004931E2" w:rsidP="003668C6">
      <w:pPr>
        <w:pStyle w:val="Odsekzoznamu"/>
        <w:numPr>
          <w:ilvl w:val="0"/>
          <w:numId w:val="16"/>
        </w:numPr>
        <w:spacing w:after="0" w:line="259" w:lineRule="auto"/>
        <w:jc w:val="both"/>
        <w:rPr>
          <w:rFonts w:ascii="Times New Roman" w:hAnsi="Times New Roman" w:cs="Times New Roman"/>
          <w:sz w:val="24"/>
        </w:rPr>
      </w:pPr>
      <w:r>
        <w:rPr>
          <w:rFonts w:ascii="Times New Roman" w:hAnsi="Times New Roman" w:cs="Times New Roman"/>
          <w:sz w:val="24"/>
        </w:rPr>
        <w:t>v roku 2024</w:t>
      </w:r>
      <w:r w:rsidR="003668C6" w:rsidRPr="00AE77E1">
        <w:rPr>
          <w:rFonts w:ascii="Times New Roman" w:hAnsi="Times New Roman" w:cs="Times New Roman"/>
          <w:sz w:val="24"/>
        </w:rPr>
        <w:t xml:space="preserve"> bude na Slovensku evidovaných</w:t>
      </w:r>
      <w:r w:rsidR="00C61F50" w:rsidRPr="00AE77E1">
        <w:rPr>
          <w:rFonts w:ascii="Times New Roman" w:hAnsi="Times New Roman" w:cs="Times New Roman"/>
          <w:sz w:val="24"/>
        </w:rPr>
        <w:t xml:space="preserve"> 6</w:t>
      </w:r>
      <w:r w:rsidR="003668C6" w:rsidRPr="00AE77E1">
        <w:rPr>
          <w:rFonts w:ascii="Times New Roman" w:hAnsi="Times New Roman" w:cs="Times New Roman"/>
          <w:sz w:val="24"/>
        </w:rPr>
        <w:t xml:space="preserve"> 000 a regist</w:t>
      </w:r>
      <w:r w:rsidR="00343D39" w:rsidRPr="00AE77E1">
        <w:rPr>
          <w:rFonts w:ascii="Times New Roman" w:hAnsi="Times New Roman" w:cs="Times New Roman"/>
          <w:sz w:val="24"/>
        </w:rPr>
        <w:t xml:space="preserve">rovaných </w:t>
      </w:r>
      <w:r w:rsidR="00C61F50" w:rsidRPr="00AE77E1">
        <w:rPr>
          <w:rFonts w:ascii="Times New Roman" w:hAnsi="Times New Roman" w:cs="Times New Roman"/>
          <w:sz w:val="24"/>
        </w:rPr>
        <w:t>165</w:t>
      </w:r>
      <w:r w:rsidR="00343D39" w:rsidRPr="00AE77E1">
        <w:rPr>
          <w:rFonts w:ascii="Times New Roman" w:hAnsi="Times New Roman" w:cs="Times New Roman"/>
          <w:sz w:val="24"/>
        </w:rPr>
        <w:t xml:space="preserve"> rodinných podnikov</w:t>
      </w:r>
    </w:p>
    <w:p w14:paraId="12CB6238" w14:textId="30361784" w:rsidR="003668C6" w:rsidRPr="00AE77E1" w:rsidRDefault="004931E2" w:rsidP="003668C6">
      <w:pPr>
        <w:pStyle w:val="Odsekzoznamu"/>
        <w:numPr>
          <w:ilvl w:val="0"/>
          <w:numId w:val="16"/>
        </w:numPr>
        <w:spacing w:after="0" w:line="259" w:lineRule="auto"/>
        <w:jc w:val="both"/>
        <w:rPr>
          <w:rFonts w:ascii="Times New Roman" w:hAnsi="Times New Roman" w:cs="Times New Roman"/>
          <w:sz w:val="24"/>
        </w:rPr>
      </w:pPr>
      <w:r>
        <w:rPr>
          <w:rFonts w:ascii="Times New Roman" w:hAnsi="Times New Roman" w:cs="Times New Roman"/>
          <w:sz w:val="24"/>
        </w:rPr>
        <w:t>v roku 2025</w:t>
      </w:r>
      <w:r w:rsidR="003668C6" w:rsidRPr="00AE77E1">
        <w:rPr>
          <w:rFonts w:ascii="Times New Roman" w:hAnsi="Times New Roman" w:cs="Times New Roman"/>
          <w:sz w:val="24"/>
        </w:rPr>
        <w:t xml:space="preserve"> bude na Slovensku evidovaných </w:t>
      </w:r>
      <w:r w:rsidR="00C61F50" w:rsidRPr="00AE77E1">
        <w:rPr>
          <w:rFonts w:ascii="Times New Roman" w:hAnsi="Times New Roman" w:cs="Times New Roman"/>
          <w:sz w:val="24"/>
        </w:rPr>
        <w:t>8 000 a registrovaných 425</w:t>
      </w:r>
      <w:r w:rsidR="003668C6" w:rsidRPr="00AE77E1">
        <w:rPr>
          <w:rFonts w:ascii="Times New Roman" w:hAnsi="Times New Roman" w:cs="Times New Roman"/>
          <w:sz w:val="24"/>
        </w:rPr>
        <w:t xml:space="preserve"> rodinných podnikov </w:t>
      </w:r>
    </w:p>
    <w:p w14:paraId="0FBE4957" w14:textId="423B224A" w:rsidR="00D7001B" w:rsidRPr="00C61F50" w:rsidRDefault="00D7001B" w:rsidP="003668C6">
      <w:pPr>
        <w:spacing w:after="0" w:line="240" w:lineRule="auto"/>
        <w:ind w:left="285" w:hanging="285"/>
        <w:jc w:val="both"/>
        <w:rPr>
          <w:rFonts w:ascii="Times New Roman" w:eastAsia="Times New Roman" w:hAnsi="Times New Roman" w:cs="Times New Roman"/>
          <w:color w:val="FF0000"/>
          <w:sz w:val="24"/>
          <w:szCs w:val="24"/>
          <w:highlight w:val="yellow"/>
          <w:lang w:eastAsia="sk-SK"/>
        </w:rPr>
      </w:pPr>
    </w:p>
    <w:p w14:paraId="0968A5C7" w14:textId="77777777" w:rsidR="007D5748" w:rsidRPr="00AE77E1" w:rsidRDefault="007D5748" w:rsidP="007D5748">
      <w:pPr>
        <w:spacing w:after="0" w:line="240" w:lineRule="auto"/>
        <w:jc w:val="right"/>
        <w:rPr>
          <w:rFonts w:ascii="Times New Roman" w:eastAsia="Times New Roman" w:hAnsi="Times New Roman" w:cs="Times New Roman"/>
          <w:sz w:val="20"/>
          <w:szCs w:val="20"/>
          <w:lang w:eastAsia="sk-SK"/>
        </w:rPr>
      </w:pPr>
      <w:r w:rsidRPr="00AE77E1">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AE77E1" w14:paraId="4C868A37" w14:textId="77777777" w:rsidTr="005E67AA">
        <w:trPr>
          <w:cantSplit/>
          <w:trHeight w:val="70"/>
        </w:trPr>
        <w:tc>
          <w:tcPr>
            <w:tcW w:w="4530" w:type="dxa"/>
            <w:vMerge w:val="restart"/>
            <w:shd w:val="clear" w:color="auto" w:fill="BFBFBF" w:themeFill="background1" w:themeFillShade="BF"/>
            <w:vAlign w:val="center"/>
          </w:tcPr>
          <w:p w14:paraId="0EAC6D68" w14:textId="77777777" w:rsidR="007D5748" w:rsidRPr="00AE77E1"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E77E1">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14:paraId="07EDE568" w14:textId="77777777" w:rsidR="007D5748" w:rsidRPr="00AE77E1"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E77E1">
              <w:rPr>
                <w:rFonts w:ascii="Times New Roman" w:eastAsia="Times New Roman" w:hAnsi="Times New Roman" w:cs="Times New Roman"/>
                <w:b/>
                <w:bCs/>
                <w:sz w:val="24"/>
                <w:szCs w:val="24"/>
                <w:lang w:eastAsia="sk-SK"/>
              </w:rPr>
              <w:t>Odhadované objemy</w:t>
            </w:r>
          </w:p>
        </w:tc>
      </w:tr>
      <w:tr w:rsidR="004931E2" w:rsidRPr="00AE77E1" w14:paraId="5B21C35A" w14:textId="77777777" w:rsidTr="005E67AA">
        <w:trPr>
          <w:cantSplit/>
          <w:trHeight w:val="70"/>
        </w:trPr>
        <w:tc>
          <w:tcPr>
            <w:tcW w:w="4530" w:type="dxa"/>
            <w:vMerge/>
            <w:shd w:val="clear" w:color="auto" w:fill="BFBFBF" w:themeFill="background1" w:themeFillShade="BF"/>
          </w:tcPr>
          <w:p w14:paraId="60714C1A" w14:textId="77777777" w:rsidR="004931E2" w:rsidRPr="00AE77E1" w:rsidRDefault="004931E2" w:rsidP="004931E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75815F67" w14:textId="07EF8088" w:rsidR="004931E2" w:rsidRPr="00AE77E1" w:rsidRDefault="004931E2" w:rsidP="004931E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E77E1">
              <w:rPr>
                <w:rFonts w:ascii="Times New Roman" w:eastAsia="Times New Roman" w:hAnsi="Times New Roman" w:cs="Times New Roman"/>
                <w:b/>
                <w:bCs/>
                <w:sz w:val="24"/>
                <w:szCs w:val="24"/>
                <w:lang w:eastAsia="sk-SK"/>
              </w:rPr>
              <w:t>2022</w:t>
            </w:r>
          </w:p>
        </w:tc>
        <w:tc>
          <w:tcPr>
            <w:tcW w:w="1134" w:type="dxa"/>
            <w:shd w:val="clear" w:color="auto" w:fill="BFBFBF" w:themeFill="background1" w:themeFillShade="BF"/>
            <w:vAlign w:val="center"/>
          </w:tcPr>
          <w:p w14:paraId="7F35EA13" w14:textId="6AC21EC4" w:rsidR="004931E2" w:rsidRPr="00AE77E1" w:rsidRDefault="004931E2" w:rsidP="004931E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E77E1">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14:paraId="5261DE40" w14:textId="431A12C7" w:rsidR="004931E2" w:rsidRPr="00AE77E1" w:rsidRDefault="004931E2" w:rsidP="004931E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E77E1">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14:paraId="0F982721" w14:textId="0B46D83F" w:rsidR="004931E2" w:rsidRPr="00AE77E1" w:rsidRDefault="004931E2" w:rsidP="004931E2">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177384" w:rsidRPr="00AE77E1" w14:paraId="1F1FE2A7" w14:textId="77777777" w:rsidTr="00C90A4E">
        <w:trPr>
          <w:trHeight w:val="70"/>
        </w:trPr>
        <w:tc>
          <w:tcPr>
            <w:tcW w:w="4530" w:type="dxa"/>
          </w:tcPr>
          <w:p w14:paraId="7DB654CE" w14:textId="11D5995C" w:rsidR="00177384" w:rsidRPr="00AE77E1" w:rsidRDefault="00177384" w:rsidP="00177384">
            <w:pPr>
              <w:spacing w:after="0" w:line="240" w:lineRule="auto"/>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Počet registrovaných sociálnych podnikov</w:t>
            </w:r>
          </w:p>
        </w:tc>
        <w:tc>
          <w:tcPr>
            <w:tcW w:w="1134" w:type="dxa"/>
            <w:vAlign w:val="bottom"/>
          </w:tcPr>
          <w:p w14:paraId="56E0546D" w14:textId="5C13FF8E" w:rsidR="00177384" w:rsidRPr="00AE77E1" w:rsidRDefault="00FB73D9" w:rsidP="00177384">
            <w:pPr>
              <w:spacing w:after="0" w:line="240" w:lineRule="auto"/>
              <w:jc w:val="right"/>
              <w:rPr>
                <w:rFonts w:ascii="Times New Roman" w:eastAsia="Times New Roman" w:hAnsi="Times New Roman" w:cs="Times New Roman"/>
                <w:sz w:val="24"/>
                <w:szCs w:val="24"/>
                <w:lang w:eastAsia="sk-SK"/>
              </w:rPr>
            </w:pPr>
            <w:r w:rsidRPr="00EC137C">
              <w:rPr>
                <w:rFonts w:ascii="Times New Roman" w:eastAsia="Times New Roman" w:hAnsi="Times New Roman" w:cs="Times New Roman"/>
                <w:sz w:val="24"/>
                <w:szCs w:val="24"/>
                <w:lang w:eastAsia="sk-SK"/>
              </w:rPr>
              <w:t>514</w:t>
            </w:r>
          </w:p>
        </w:tc>
        <w:tc>
          <w:tcPr>
            <w:tcW w:w="1134" w:type="dxa"/>
            <w:vAlign w:val="bottom"/>
          </w:tcPr>
          <w:p w14:paraId="7713C185" w14:textId="48DA5C6C" w:rsidR="00177384" w:rsidRPr="00AE77E1" w:rsidRDefault="004931E2" w:rsidP="0017738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550</w:t>
            </w:r>
          </w:p>
        </w:tc>
        <w:tc>
          <w:tcPr>
            <w:tcW w:w="1134" w:type="dxa"/>
            <w:vAlign w:val="bottom"/>
          </w:tcPr>
          <w:p w14:paraId="4BF4090C" w14:textId="37FAE4D4" w:rsidR="00177384" w:rsidRPr="00AE77E1" w:rsidRDefault="004931E2" w:rsidP="0017738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r w:rsidR="00177384" w:rsidRPr="00AE77E1">
              <w:rPr>
                <w:rFonts w:ascii="Times New Roman" w:eastAsia="Times New Roman" w:hAnsi="Times New Roman" w:cs="Times New Roman"/>
                <w:sz w:val="24"/>
                <w:szCs w:val="24"/>
                <w:lang w:eastAsia="sk-SK"/>
              </w:rPr>
              <w:t>00</w:t>
            </w:r>
          </w:p>
        </w:tc>
        <w:tc>
          <w:tcPr>
            <w:tcW w:w="1134" w:type="dxa"/>
            <w:vAlign w:val="bottom"/>
          </w:tcPr>
          <w:p w14:paraId="6C0BE367" w14:textId="6B41B2C4" w:rsidR="00177384" w:rsidRPr="00AE77E1" w:rsidRDefault="004931E2" w:rsidP="0017738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r w:rsidR="00177384" w:rsidRPr="00AE77E1">
              <w:rPr>
                <w:rFonts w:ascii="Times New Roman" w:eastAsia="Times New Roman" w:hAnsi="Times New Roman" w:cs="Times New Roman"/>
                <w:sz w:val="24"/>
                <w:szCs w:val="24"/>
                <w:lang w:eastAsia="sk-SK"/>
              </w:rPr>
              <w:t>50</w:t>
            </w:r>
          </w:p>
        </w:tc>
      </w:tr>
      <w:tr w:rsidR="005E67AA" w:rsidRPr="00AE77E1" w14:paraId="0A24B8D7" w14:textId="77777777" w:rsidTr="006B3C6F">
        <w:trPr>
          <w:trHeight w:val="70"/>
        </w:trPr>
        <w:tc>
          <w:tcPr>
            <w:tcW w:w="4530" w:type="dxa"/>
          </w:tcPr>
          <w:p w14:paraId="39502D89" w14:textId="02CD43A0" w:rsidR="005E67AA" w:rsidRPr="00AE77E1" w:rsidRDefault="00C476D7" w:rsidP="004651CB">
            <w:pPr>
              <w:spacing w:after="0" w:line="240" w:lineRule="auto"/>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Počet evidovaných rodinných podnikov</w:t>
            </w:r>
          </w:p>
        </w:tc>
        <w:tc>
          <w:tcPr>
            <w:tcW w:w="1134" w:type="dxa"/>
            <w:vAlign w:val="center"/>
          </w:tcPr>
          <w:p w14:paraId="53EFB271" w14:textId="77777777" w:rsidR="005E67AA" w:rsidRPr="00AE77E1" w:rsidRDefault="005E67AA"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0</w:t>
            </w:r>
          </w:p>
        </w:tc>
        <w:tc>
          <w:tcPr>
            <w:tcW w:w="1134" w:type="dxa"/>
            <w:vAlign w:val="center"/>
          </w:tcPr>
          <w:p w14:paraId="2D9D7271" w14:textId="0C1F54BD" w:rsidR="005E67AA" w:rsidRPr="00AE77E1" w:rsidRDefault="00C61F50"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2</w:t>
            </w:r>
            <w:r w:rsidR="00343D39" w:rsidRPr="00AE77E1">
              <w:rPr>
                <w:rFonts w:ascii="Times New Roman" w:eastAsia="Times New Roman" w:hAnsi="Times New Roman" w:cs="Times New Roman"/>
                <w:sz w:val="24"/>
                <w:szCs w:val="24"/>
                <w:lang w:eastAsia="sk-SK"/>
              </w:rPr>
              <w:t xml:space="preserve"> 000</w:t>
            </w:r>
          </w:p>
        </w:tc>
        <w:tc>
          <w:tcPr>
            <w:tcW w:w="1134" w:type="dxa"/>
            <w:vAlign w:val="center"/>
          </w:tcPr>
          <w:p w14:paraId="0C3C2748" w14:textId="609CDC58" w:rsidR="005E67AA" w:rsidRPr="00AE77E1" w:rsidRDefault="00C61F50"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6</w:t>
            </w:r>
            <w:r w:rsidR="00343D39" w:rsidRPr="00AE77E1">
              <w:rPr>
                <w:rFonts w:ascii="Times New Roman" w:eastAsia="Times New Roman" w:hAnsi="Times New Roman" w:cs="Times New Roman"/>
                <w:sz w:val="24"/>
                <w:szCs w:val="24"/>
                <w:lang w:eastAsia="sk-SK"/>
              </w:rPr>
              <w:t xml:space="preserve"> 000</w:t>
            </w:r>
          </w:p>
        </w:tc>
        <w:tc>
          <w:tcPr>
            <w:tcW w:w="1134" w:type="dxa"/>
            <w:vAlign w:val="center"/>
          </w:tcPr>
          <w:p w14:paraId="7ABB9A8B" w14:textId="200A26AC" w:rsidR="005E67AA" w:rsidRPr="00AE77E1" w:rsidRDefault="00C61F50"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8</w:t>
            </w:r>
            <w:r w:rsidR="00C476D7" w:rsidRPr="00AE77E1">
              <w:rPr>
                <w:rFonts w:ascii="Times New Roman" w:eastAsia="Times New Roman" w:hAnsi="Times New Roman" w:cs="Times New Roman"/>
                <w:sz w:val="24"/>
                <w:szCs w:val="24"/>
                <w:lang w:eastAsia="sk-SK"/>
              </w:rPr>
              <w:t xml:space="preserve"> 000</w:t>
            </w:r>
          </w:p>
        </w:tc>
      </w:tr>
      <w:tr w:rsidR="007D5748" w:rsidRPr="00FB68F5" w14:paraId="0A60552E" w14:textId="77777777" w:rsidTr="006B3C6F">
        <w:trPr>
          <w:trHeight w:val="70"/>
        </w:trPr>
        <w:tc>
          <w:tcPr>
            <w:tcW w:w="4530" w:type="dxa"/>
          </w:tcPr>
          <w:p w14:paraId="3DD3CAC6" w14:textId="36EA42D7" w:rsidR="007D5748" w:rsidRPr="00AE77E1" w:rsidRDefault="00C476D7" w:rsidP="00C476D7">
            <w:pPr>
              <w:spacing w:after="0" w:line="240" w:lineRule="auto"/>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Počet registrovaných rodinných podnikov</w:t>
            </w:r>
          </w:p>
        </w:tc>
        <w:tc>
          <w:tcPr>
            <w:tcW w:w="1134" w:type="dxa"/>
            <w:vAlign w:val="center"/>
          </w:tcPr>
          <w:p w14:paraId="0116F064" w14:textId="77777777" w:rsidR="007D5748" w:rsidRPr="00AE77E1" w:rsidRDefault="005E67AA"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0</w:t>
            </w:r>
          </w:p>
        </w:tc>
        <w:tc>
          <w:tcPr>
            <w:tcW w:w="1134" w:type="dxa"/>
            <w:vAlign w:val="center"/>
          </w:tcPr>
          <w:p w14:paraId="6810D35D" w14:textId="4E8693A9" w:rsidR="007D5748" w:rsidRPr="00AE77E1" w:rsidRDefault="00C61F50"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75</w:t>
            </w:r>
          </w:p>
        </w:tc>
        <w:tc>
          <w:tcPr>
            <w:tcW w:w="1134" w:type="dxa"/>
            <w:vAlign w:val="center"/>
          </w:tcPr>
          <w:p w14:paraId="688988FA" w14:textId="0A6B5212" w:rsidR="007D5748" w:rsidRPr="00AE77E1" w:rsidRDefault="00C61F50"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165</w:t>
            </w:r>
          </w:p>
        </w:tc>
        <w:tc>
          <w:tcPr>
            <w:tcW w:w="1134" w:type="dxa"/>
            <w:vAlign w:val="center"/>
          </w:tcPr>
          <w:p w14:paraId="7F58BD3A" w14:textId="38D2BD5B" w:rsidR="007D5748" w:rsidRPr="00FB68F5" w:rsidRDefault="00C61F50" w:rsidP="00FB68F5">
            <w:pPr>
              <w:spacing w:after="0" w:line="240" w:lineRule="auto"/>
              <w:jc w:val="right"/>
              <w:rPr>
                <w:rFonts w:ascii="Times New Roman" w:eastAsia="Times New Roman" w:hAnsi="Times New Roman" w:cs="Times New Roman"/>
                <w:sz w:val="24"/>
                <w:szCs w:val="24"/>
                <w:lang w:eastAsia="sk-SK"/>
              </w:rPr>
            </w:pPr>
            <w:r w:rsidRPr="00AE77E1">
              <w:rPr>
                <w:rFonts w:ascii="Times New Roman" w:eastAsia="Times New Roman" w:hAnsi="Times New Roman" w:cs="Times New Roman"/>
                <w:sz w:val="24"/>
                <w:szCs w:val="24"/>
                <w:lang w:eastAsia="sk-SK"/>
              </w:rPr>
              <w:t>425</w:t>
            </w:r>
          </w:p>
        </w:tc>
      </w:tr>
    </w:tbl>
    <w:p w14:paraId="539E0088" w14:textId="77777777" w:rsidR="007D5748" w:rsidRPr="000E18ED" w:rsidRDefault="007D5748" w:rsidP="007D5748">
      <w:pPr>
        <w:spacing w:after="0" w:line="240" w:lineRule="auto"/>
        <w:rPr>
          <w:rFonts w:ascii="Times New Roman" w:eastAsia="Times New Roman" w:hAnsi="Times New Roman" w:cs="Times New Roman"/>
          <w:color w:val="FF0000"/>
          <w:sz w:val="24"/>
          <w:szCs w:val="24"/>
          <w:lang w:eastAsia="sk-SK"/>
        </w:rPr>
      </w:pPr>
    </w:p>
    <w:p w14:paraId="6F873D1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32408E54"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71A0EBA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4C9BD50F" w14:textId="77777777" w:rsidR="005A30FC" w:rsidRPr="006139BF" w:rsidRDefault="005A30FC" w:rsidP="005A30FC">
      <w:pPr>
        <w:spacing w:after="0" w:line="240" w:lineRule="auto"/>
        <w:rPr>
          <w:rFonts w:ascii="Times New Roman" w:hAnsi="Times New Roman" w:cs="Verdana"/>
          <w:b/>
          <w:bCs/>
          <w:iCs/>
          <w:sz w:val="24"/>
          <w:szCs w:val="24"/>
        </w:rPr>
      </w:pPr>
      <w:r w:rsidRPr="006139BF">
        <w:rPr>
          <w:rFonts w:ascii="Times New Roman" w:hAnsi="Times New Roman" w:cs="Verdana"/>
          <w:b/>
          <w:bCs/>
          <w:iCs/>
          <w:sz w:val="24"/>
          <w:szCs w:val="24"/>
        </w:rPr>
        <w:t>2.2.4.1 Kvantifikácia príjmov</w:t>
      </w:r>
    </w:p>
    <w:p w14:paraId="11497BF1"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E93D8E3" w14:textId="47E04597" w:rsidR="00F26DC4" w:rsidRPr="00D15F15" w:rsidRDefault="00D15F15" w:rsidP="00384D6A">
      <w:pPr>
        <w:tabs>
          <w:tab w:val="num" w:pos="1080"/>
        </w:tabs>
        <w:spacing w:after="0" w:line="240" w:lineRule="auto"/>
        <w:jc w:val="both"/>
        <w:rPr>
          <w:rFonts w:ascii="Times New Roman" w:eastAsia="Times New Roman" w:hAnsi="Times New Roman" w:cs="Times New Roman"/>
          <w:b/>
          <w:bCs/>
          <w:sz w:val="24"/>
          <w:szCs w:val="20"/>
          <w:u w:val="single"/>
          <w:lang w:eastAsia="sk-SK"/>
        </w:rPr>
      </w:pPr>
      <w:r w:rsidRPr="00D15F15">
        <w:rPr>
          <w:rFonts w:ascii="Times New Roman" w:eastAsia="Times New Roman" w:hAnsi="Times New Roman" w:cs="Times New Roman"/>
          <w:b/>
          <w:bCs/>
          <w:sz w:val="24"/>
          <w:szCs w:val="20"/>
          <w:u w:val="single"/>
          <w:lang w:eastAsia="sk-SK"/>
        </w:rPr>
        <w:t>Sociálna ekonomika</w:t>
      </w:r>
    </w:p>
    <w:p w14:paraId="6C1DA217" w14:textId="77777777" w:rsidR="00D15F15" w:rsidRDefault="00D15F15" w:rsidP="00384D6A">
      <w:pPr>
        <w:tabs>
          <w:tab w:val="num" w:pos="1080"/>
        </w:tabs>
        <w:spacing w:after="0" w:line="240" w:lineRule="auto"/>
        <w:jc w:val="both"/>
        <w:rPr>
          <w:rFonts w:ascii="Times New Roman" w:eastAsia="Times New Roman" w:hAnsi="Times New Roman" w:cs="Times New Roman"/>
          <w:b/>
          <w:bCs/>
          <w:sz w:val="24"/>
          <w:szCs w:val="20"/>
          <w:lang w:eastAsia="sk-SK"/>
        </w:rPr>
      </w:pPr>
    </w:p>
    <w:p w14:paraId="01DA87CD" w14:textId="235EF7DA" w:rsidR="00D15F15" w:rsidRDefault="00D15F15" w:rsidP="00384D6A">
      <w:pPr>
        <w:tabs>
          <w:tab w:val="num" w:pos="1080"/>
        </w:tabs>
        <w:spacing w:after="0" w:line="240" w:lineRule="auto"/>
        <w:jc w:val="both"/>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 xml:space="preserve">Zníženie príjmov z daní z príjmov </w:t>
      </w:r>
      <w:r w:rsidR="00B5199D">
        <w:rPr>
          <w:rFonts w:ascii="Times New Roman" w:eastAsia="Times New Roman" w:hAnsi="Times New Roman" w:cs="Times New Roman"/>
          <w:b/>
          <w:bCs/>
          <w:sz w:val="24"/>
          <w:szCs w:val="20"/>
          <w:lang w:eastAsia="sk-SK"/>
        </w:rPr>
        <w:t xml:space="preserve">právnickej osoby </w:t>
      </w:r>
      <w:r>
        <w:rPr>
          <w:rFonts w:ascii="Times New Roman" w:eastAsia="Times New Roman" w:hAnsi="Times New Roman" w:cs="Times New Roman"/>
          <w:b/>
          <w:bCs/>
          <w:sz w:val="24"/>
          <w:szCs w:val="20"/>
          <w:lang w:eastAsia="sk-SK"/>
        </w:rPr>
        <w:t>v súvislosti so zvýšením dostupnosti daňovej úľavy pre sociálne podniky</w:t>
      </w:r>
    </w:p>
    <w:p w14:paraId="61303B90" w14:textId="77777777" w:rsidR="00D15F15" w:rsidRDefault="00D15F15" w:rsidP="00384D6A">
      <w:pPr>
        <w:tabs>
          <w:tab w:val="num" w:pos="1080"/>
        </w:tabs>
        <w:spacing w:after="0" w:line="240" w:lineRule="auto"/>
        <w:jc w:val="both"/>
        <w:rPr>
          <w:rFonts w:ascii="Times New Roman" w:eastAsia="Times New Roman" w:hAnsi="Times New Roman" w:cs="Times New Roman"/>
          <w:b/>
          <w:bCs/>
          <w:sz w:val="24"/>
          <w:szCs w:val="20"/>
          <w:lang w:eastAsia="sk-SK"/>
        </w:rPr>
      </w:pPr>
    </w:p>
    <w:p w14:paraId="60E43DD7" w14:textId="09D4C197" w:rsidR="00D15F15" w:rsidRDefault="00D15F15" w:rsidP="00D15F15">
      <w:pPr>
        <w:jc w:val="both"/>
        <w:rPr>
          <w:rFonts w:ascii="Times New Roman" w:hAnsi="Times New Roman" w:cs="Times New Roman"/>
          <w:color w:val="FF0000"/>
          <w:sz w:val="24"/>
          <w:szCs w:val="20"/>
        </w:rPr>
      </w:pPr>
      <w:r w:rsidRPr="004F7593">
        <w:rPr>
          <w:rFonts w:ascii="Times New Roman" w:hAnsi="Times New Roman" w:cs="Times New Roman"/>
          <w:sz w:val="24"/>
          <w:szCs w:val="20"/>
        </w:rPr>
        <w:t xml:space="preserve">Navrhuje sa vypustenie úľavy na dani z príjmov zo Zákona č. 112/2018 Z. z. o sociálnej ekonomike a sociálnych podnikoch, konkrétne zo zoznamu foriem investičnej pomoci, ktoré je možné poskytnúť sociálnym podnikom. </w:t>
      </w:r>
      <w:r w:rsidR="0023410E" w:rsidRPr="004F7593">
        <w:rPr>
          <w:rFonts w:ascii="Times New Roman" w:hAnsi="Times New Roman" w:cs="Times New Roman"/>
          <w:sz w:val="24"/>
          <w:szCs w:val="20"/>
        </w:rPr>
        <w:t>Cieľom</w:t>
      </w:r>
      <w:r w:rsidRPr="004F7593">
        <w:rPr>
          <w:rFonts w:ascii="Times New Roman" w:hAnsi="Times New Roman" w:cs="Times New Roman"/>
          <w:sz w:val="24"/>
          <w:szCs w:val="20"/>
        </w:rPr>
        <w:t xml:space="preserve"> tejto úpravy je rozšírenie možností využitia daňovej úľavy, nakoľko jej zaradenie pod investičnú pomoc spôsobilo neželané zúženie použitia výhradne na účel podpory investície alebo prípravy projektu investície. Registrované sociálne podniky spĺňajúce podmienky priznania daňovej úľavy ju budú môcť využiť akýmkoľvek spôsobom v súlade s § 30d zákona č. 595/2003 o dani z príjmov, t.j. na účely dosiahnutia pozitívneho sociálneho vplyvu. Úľava na dani z príjmov sa tak pre mnohé registrované sociálne podniky stane dostupnejšou formou pomoci.</w:t>
      </w:r>
      <w:r w:rsidRPr="001F103B">
        <w:rPr>
          <w:rFonts w:ascii="Times New Roman" w:hAnsi="Times New Roman" w:cs="Times New Roman"/>
          <w:sz w:val="24"/>
          <w:szCs w:val="20"/>
        </w:rPr>
        <w:t xml:space="preserve"> </w:t>
      </w:r>
    </w:p>
    <w:tbl>
      <w:tblPr>
        <w:tblStyle w:val="Mriekatabuky"/>
        <w:tblW w:w="9067" w:type="dxa"/>
        <w:tblLook w:val="04A0" w:firstRow="1" w:lastRow="0" w:firstColumn="1" w:lastColumn="0" w:noHBand="0" w:noVBand="1"/>
      </w:tblPr>
      <w:tblGrid>
        <w:gridCol w:w="4680"/>
        <w:gridCol w:w="696"/>
        <w:gridCol w:w="1230"/>
        <w:gridCol w:w="1230"/>
        <w:gridCol w:w="1231"/>
      </w:tblGrid>
      <w:tr w:rsidR="0023410E" w:rsidRPr="00467E4E" w14:paraId="3F3389E8" w14:textId="77777777" w:rsidTr="00021446">
        <w:tc>
          <w:tcPr>
            <w:tcW w:w="4680" w:type="dxa"/>
          </w:tcPr>
          <w:p w14:paraId="0693050B" w14:textId="77777777" w:rsidR="0023410E" w:rsidRPr="00467E4E" w:rsidRDefault="0023410E" w:rsidP="002444FA">
            <w:pPr>
              <w:jc w:val="both"/>
              <w:rPr>
                <w:rFonts w:ascii="Times New Roman" w:eastAsia="Times New Roman" w:hAnsi="Times New Roman" w:cs="Times New Roman"/>
                <w:sz w:val="24"/>
                <w:szCs w:val="24"/>
                <w:lang w:eastAsia="sk-SK"/>
              </w:rPr>
            </w:pPr>
          </w:p>
        </w:tc>
        <w:tc>
          <w:tcPr>
            <w:tcW w:w="696" w:type="dxa"/>
          </w:tcPr>
          <w:p w14:paraId="513527B3" w14:textId="1C7991D0" w:rsidR="0023410E" w:rsidRPr="00005063" w:rsidRDefault="00021446"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2022</w:t>
            </w:r>
          </w:p>
        </w:tc>
        <w:tc>
          <w:tcPr>
            <w:tcW w:w="1230" w:type="dxa"/>
          </w:tcPr>
          <w:p w14:paraId="7F40DA69" w14:textId="62FB2541" w:rsidR="0023410E" w:rsidRPr="00005063" w:rsidRDefault="00021446"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2023</w:t>
            </w:r>
          </w:p>
        </w:tc>
        <w:tc>
          <w:tcPr>
            <w:tcW w:w="1230" w:type="dxa"/>
          </w:tcPr>
          <w:p w14:paraId="7607ECEC" w14:textId="5178D8D9" w:rsidR="0023410E" w:rsidRPr="00005063" w:rsidRDefault="00021446"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2024</w:t>
            </w:r>
          </w:p>
        </w:tc>
        <w:tc>
          <w:tcPr>
            <w:tcW w:w="1231" w:type="dxa"/>
          </w:tcPr>
          <w:p w14:paraId="29190076" w14:textId="3846D28E" w:rsidR="0023410E" w:rsidRPr="00005063" w:rsidRDefault="00021446"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2025</w:t>
            </w:r>
          </w:p>
        </w:tc>
      </w:tr>
      <w:tr w:rsidR="00021446" w:rsidRPr="00467E4E" w14:paraId="2A437465" w14:textId="77777777" w:rsidTr="00021446">
        <w:trPr>
          <w:trHeight w:val="432"/>
        </w:trPr>
        <w:tc>
          <w:tcPr>
            <w:tcW w:w="4680" w:type="dxa"/>
          </w:tcPr>
          <w:p w14:paraId="373E575B" w14:textId="6E61469B" w:rsidR="00021446" w:rsidRPr="0023410E" w:rsidRDefault="00021446" w:rsidP="00021446">
            <w:pPr>
              <w:rPr>
                <w:rFonts w:ascii="Arial Narrow" w:hAnsi="Arial Narrow"/>
                <w:color w:val="000000"/>
              </w:rPr>
            </w:pPr>
            <w:r w:rsidRPr="002444FA">
              <w:rPr>
                <w:rFonts w:ascii="Times New Roman" w:eastAsia="Times New Roman" w:hAnsi="Times New Roman" w:cs="Times New Roman"/>
                <w:sz w:val="24"/>
                <w:szCs w:val="24"/>
                <w:lang w:eastAsia="sk-SK"/>
              </w:rPr>
              <w:t>Odhadovaný počet RSP, ktoré využijú daňovú úľavu na iné účely</w:t>
            </w:r>
            <w:r>
              <w:rPr>
                <w:rFonts w:ascii="Times New Roman" w:eastAsia="Times New Roman" w:hAnsi="Times New Roman" w:cs="Times New Roman"/>
                <w:sz w:val="24"/>
                <w:szCs w:val="24"/>
                <w:lang w:eastAsia="sk-SK"/>
              </w:rPr>
              <w:t xml:space="preserve"> ako investičnú pomoc</w:t>
            </w:r>
          </w:p>
        </w:tc>
        <w:tc>
          <w:tcPr>
            <w:tcW w:w="696" w:type="dxa"/>
            <w:vAlign w:val="center"/>
          </w:tcPr>
          <w:p w14:paraId="6DAA223C" w14:textId="6795B58D" w:rsidR="00021446" w:rsidRPr="00467E4E" w:rsidRDefault="00021446" w:rsidP="00021446">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230" w:type="dxa"/>
            <w:vAlign w:val="center"/>
          </w:tcPr>
          <w:p w14:paraId="32F05261" w14:textId="2DEFD770" w:rsidR="00021446" w:rsidRPr="00467E4E" w:rsidRDefault="00021446" w:rsidP="00021446">
            <w:pPr>
              <w:jc w:val="right"/>
              <w:rPr>
                <w:rFonts w:ascii="Times New Roman" w:eastAsia="Times New Roman" w:hAnsi="Times New Roman" w:cs="Times New Roman"/>
                <w:sz w:val="24"/>
                <w:szCs w:val="24"/>
                <w:lang w:eastAsia="sk-SK"/>
              </w:rPr>
            </w:pPr>
            <w:r w:rsidRPr="00021446">
              <w:rPr>
                <w:rFonts w:ascii="Times New Roman" w:eastAsia="Times New Roman" w:hAnsi="Times New Roman" w:cs="Times New Roman"/>
                <w:sz w:val="24"/>
                <w:szCs w:val="24"/>
                <w:lang w:eastAsia="sk-SK"/>
              </w:rPr>
              <w:t>56</w:t>
            </w:r>
          </w:p>
        </w:tc>
        <w:tc>
          <w:tcPr>
            <w:tcW w:w="1230" w:type="dxa"/>
            <w:vAlign w:val="center"/>
          </w:tcPr>
          <w:p w14:paraId="4895335F" w14:textId="6528BA61" w:rsidR="00021446" w:rsidRPr="00467E4E" w:rsidRDefault="00021446" w:rsidP="00021446">
            <w:pPr>
              <w:jc w:val="right"/>
              <w:rPr>
                <w:rFonts w:ascii="Times New Roman" w:eastAsia="Times New Roman" w:hAnsi="Times New Roman" w:cs="Times New Roman"/>
                <w:sz w:val="24"/>
                <w:szCs w:val="24"/>
                <w:lang w:eastAsia="sk-SK"/>
              </w:rPr>
            </w:pPr>
            <w:r w:rsidRPr="00021446">
              <w:rPr>
                <w:rFonts w:ascii="Times New Roman" w:eastAsia="Times New Roman" w:hAnsi="Times New Roman" w:cs="Times New Roman"/>
                <w:sz w:val="24"/>
                <w:szCs w:val="24"/>
                <w:lang w:eastAsia="sk-SK"/>
              </w:rPr>
              <w:t>61</w:t>
            </w:r>
          </w:p>
        </w:tc>
        <w:tc>
          <w:tcPr>
            <w:tcW w:w="1231" w:type="dxa"/>
            <w:vAlign w:val="center"/>
          </w:tcPr>
          <w:p w14:paraId="1EE09F14" w14:textId="6682FB25" w:rsidR="00021446" w:rsidRPr="00467E4E" w:rsidRDefault="00021446" w:rsidP="00021446">
            <w:pPr>
              <w:jc w:val="right"/>
              <w:rPr>
                <w:rFonts w:ascii="Times New Roman" w:eastAsia="Times New Roman" w:hAnsi="Times New Roman" w:cs="Times New Roman"/>
                <w:sz w:val="24"/>
                <w:szCs w:val="24"/>
                <w:lang w:eastAsia="sk-SK"/>
              </w:rPr>
            </w:pPr>
            <w:r w:rsidRPr="00021446">
              <w:rPr>
                <w:rFonts w:ascii="Times New Roman" w:eastAsia="Times New Roman" w:hAnsi="Times New Roman" w:cs="Times New Roman"/>
                <w:sz w:val="24"/>
                <w:szCs w:val="24"/>
                <w:lang w:eastAsia="sk-SK"/>
              </w:rPr>
              <w:t>67</w:t>
            </w:r>
          </w:p>
        </w:tc>
      </w:tr>
      <w:tr w:rsidR="0023410E" w:rsidRPr="00467E4E" w14:paraId="78967F3D" w14:textId="77777777" w:rsidTr="00021446">
        <w:tc>
          <w:tcPr>
            <w:tcW w:w="4680" w:type="dxa"/>
          </w:tcPr>
          <w:p w14:paraId="5D72C749" w14:textId="2A1992F7" w:rsidR="0023410E" w:rsidRPr="0023410E" w:rsidRDefault="004F7593" w:rsidP="0023410E">
            <w:pPr>
              <w:rPr>
                <w:rFonts w:ascii="Times New Roman" w:eastAsia="Times New Roman" w:hAnsi="Times New Roman" w:cs="Times New Roman"/>
                <w:sz w:val="24"/>
                <w:szCs w:val="24"/>
                <w:lang w:eastAsia="sk-SK"/>
              </w:rPr>
            </w:pPr>
            <w:r w:rsidRPr="004F7593">
              <w:rPr>
                <w:rFonts w:ascii="Times New Roman" w:eastAsia="Times New Roman" w:hAnsi="Times New Roman" w:cs="Times New Roman"/>
                <w:sz w:val="24"/>
                <w:szCs w:val="24"/>
                <w:lang w:eastAsia="sk-SK"/>
              </w:rPr>
              <w:t>Odhadované priemerné % využitia zisku na hlavný cieľ</w:t>
            </w:r>
          </w:p>
        </w:tc>
        <w:tc>
          <w:tcPr>
            <w:tcW w:w="696" w:type="dxa"/>
            <w:vAlign w:val="center"/>
          </w:tcPr>
          <w:p w14:paraId="17543249" w14:textId="7562DC94" w:rsidR="0023410E" w:rsidRPr="00467E4E" w:rsidRDefault="00DB7467"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230" w:type="dxa"/>
            <w:vAlign w:val="center"/>
          </w:tcPr>
          <w:p w14:paraId="1419CA2D" w14:textId="1A87C49F" w:rsidR="0023410E" w:rsidRPr="00467E4E" w:rsidRDefault="002444FA"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90 %</w:t>
            </w:r>
          </w:p>
        </w:tc>
        <w:tc>
          <w:tcPr>
            <w:tcW w:w="1230" w:type="dxa"/>
            <w:vAlign w:val="center"/>
          </w:tcPr>
          <w:p w14:paraId="3C6DE7E8" w14:textId="658EB52B" w:rsidR="0023410E" w:rsidRPr="00467E4E" w:rsidRDefault="002444FA"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90 %</w:t>
            </w:r>
          </w:p>
        </w:tc>
        <w:tc>
          <w:tcPr>
            <w:tcW w:w="1231" w:type="dxa"/>
            <w:vAlign w:val="center"/>
          </w:tcPr>
          <w:p w14:paraId="5F6674AA" w14:textId="2EC90F4F" w:rsidR="0023410E" w:rsidRPr="00467E4E" w:rsidRDefault="002444FA"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90 %</w:t>
            </w:r>
          </w:p>
        </w:tc>
      </w:tr>
      <w:tr w:rsidR="004F7593" w:rsidRPr="00467E4E" w14:paraId="7B9566A9" w14:textId="77777777" w:rsidTr="00021446">
        <w:tc>
          <w:tcPr>
            <w:tcW w:w="4680" w:type="dxa"/>
          </w:tcPr>
          <w:p w14:paraId="1D30E954" w14:textId="60E8DC02" w:rsidR="004F7593" w:rsidRPr="004F7593" w:rsidRDefault="004F7593" w:rsidP="0023410E">
            <w:pPr>
              <w:rPr>
                <w:rFonts w:ascii="Times New Roman" w:eastAsia="Times New Roman" w:hAnsi="Times New Roman" w:cs="Times New Roman"/>
                <w:sz w:val="24"/>
                <w:szCs w:val="24"/>
                <w:lang w:eastAsia="sk-SK"/>
              </w:rPr>
            </w:pPr>
            <w:r w:rsidRPr="004F7593">
              <w:rPr>
                <w:rFonts w:ascii="Times New Roman" w:eastAsia="Times New Roman" w:hAnsi="Times New Roman" w:cs="Times New Roman"/>
                <w:sz w:val="24"/>
                <w:szCs w:val="24"/>
                <w:lang w:eastAsia="sk-SK"/>
              </w:rPr>
              <w:t>Priemerný odhadovaný zisk</w:t>
            </w:r>
            <w:r w:rsidR="00496A72">
              <w:rPr>
                <w:rFonts w:ascii="Times New Roman" w:eastAsia="Times New Roman" w:hAnsi="Times New Roman" w:cs="Times New Roman"/>
                <w:sz w:val="24"/>
                <w:szCs w:val="24"/>
                <w:lang w:eastAsia="sk-SK"/>
              </w:rPr>
              <w:t xml:space="preserve"> RSP</w:t>
            </w:r>
          </w:p>
        </w:tc>
        <w:tc>
          <w:tcPr>
            <w:tcW w:w="696" w:type="dxa"/>
            <w:vAlign w:val="center"/>
          </w:tcPr>
          <w:p w14:paraId="787406E4" w14:textId="6CB50B5B" w:rsidR="004F7593" w:rsidRPr="00467E4E" w:rsidRDefault="00DB7467"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230" w:type="dxa"/>
            <w:vAlign w:val="center"/>
          </w:tcPr>
          <w:p w14:paraId="16394EB1" w14:textId="725D179F" w:rsidR="004F7593" w:rsidRPr="00467E4E" w:rsidRDefault="002444FA"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10 000</w:t>
            </w:r>
          </w:p>
        </w:tc>
        <w:tc>
          <w:tcPr>
            <w:tcW w:w="1230" w:type="dxa"/>
            <w:vAlign w:val="center"/>
          </w:tcPr>
          <w:p w14:paraId="2F8CAB80" w14:textId="78602B5D" w:rsidR="004F7593" w:rsidRPr="00467E4E" w:rsidRDefault="002444FA"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10 000</w:t>
            </w:r>
          </w:p>
        </w:tc>
        <w:tc>
          <w:tcPr>
            <w:tcW w:w="1231" w:type="dxa"/>
            <w:vAlign w:val="center"/>
          </w:tcPr>
          <w:p w14:paraId="429C271D" w14:textId="1C6C91B0" w:rsidR="004F7593" w:rsidRPr="00467E4E" w:rsidRDefault="002444FA" w:rsidP="002444F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10 000</w:t>
            </w:r>
          </w:p>
        </w:tc>
      </w:tr>
      <w:tr w:rsidR="00021446" w:rsidRPr="00467E4E" w14:paraId="3C952E65" w14:textId="77777777" w:rsidTr="00021446">
        <w:tc>
          <w:tcPr>
            <w:tcW w:w="4680" w:type="dxa"/>
          </w:tcPr>
          <w:p w14:paraId="2F5526BF" w14:textId="77777777" w:rsidR="00021446" w:rsidRPr="00467E4E" w:rsidRDefault="00021446" w:rsidP="00021446">
            <w:pPr>
              <w:rPr>
                <w:rFonts w:ascii="Times New Roman" w:eastAsia="Times New Roman" w:hAnsi="Times New Roman" w:cs="Times New Roman"/>
                <w:b/>
                <w:sz w:val="24"/>
                <w:szCs w:val="24"/>
                <w:lang w:eastAsia="sk-SK"/>
              </w:rPr>
            </w:pPr>
            <w:r w:rsidRPr="00467E4E">
              <w:rPr>
                <w:rFonts w:ascii="Times New Roman" w:eastAsia="Times New Roman" w:hAnsi="Times New Roman" w:cs="Times New Roman"/>
                <w:b/>
                <w:sz w:val="24"/>
                <w:szCs w:val="24"/>
                <w:lang w:eastAsia="sk-SK"/>
              </w:rPr>
              <w:t>Príjmy verejnej správy spolu (eur)</w:t>
            </w:r>
          </w:p>
        </w:tc>
        <w:tc>
          <w:tcPr>
            <w:tcW w:w="696" w:type="dxa"/>
            <w:vAlign w:val="center"/>
          </w:tcPr>
          <w:p w14:paraId="70BC3B76" w14:textId="153943B5" w:rsidR="00021446" w:rsidRPr="00021446" w:rsidRDefault="00021446" w:rsidP="00021446">
            <w:pPr>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w:t>
            </w:r>
          </w:p>
        </w:tc>
        <w:tc>
          <w:tcPr>
            <w:tcW w:w="1230" w:type="dxa"/>
            <w:vAlign w:val="center"/>
          </w:tcPr>
          <w:p w14:paraId="0042020D" w14:textId="306D3031" w:rsidR="00021446" w:rsidRPr="00021446" w:rsidRDefault="00021446" w:rsidP="00021446">
            <w:pPr>
              <w:jc w:val="right"/>
              <w:rPr>
                <w:rFonts w:ascii="Times New Roman" w:eastAsia="Times New Roman" w:hAnsi="Times New Roman" w:cs="Times New Roman"/>
                <w:b/>
                <w:sz w:val="24"/>
                <w:szCs w:val="24"/>
                <w:lang w:eastAsia="sk-SK"/>
              </w:rPr>
            </w:pPr>
            <w:r w:rsidRPr="00021446">
              <w:rPr>
                <w:rFonts w:ascii="Times New Roman" w:eastAsia="Times New Roman" w:hAnsi="Times New Roman" w:cs="Times New Roman"/>
                <w:b/>
                <w:sz w:val="24"/>
                <w:szCs w:val="24"/>
                <w:lang w:eastAsia="sk-SK"/>
              </w:rPr>
              <w:t>-105 000</w:t>
            </w:r>
          </w:p>
        </w:tc>
        <w:tc>
          <w:tcPr>
            <w:tcW w:w="1230" w:type="dxa"/>
            <w:vAlign w:val="center"/>
          </w:tcPr>
          <w:p w14:paraId="7F555AA6" w14:textId="63421E5E" w:rsidR="00021446" w:rsidRPr="00021446" w:rsidRDefault="00021446" w:rsidP="00021446">
            <w:pPr>
              <w:jc w:val="right"/>
              <w:rPr>
                <w:rFonts w:ascii="Times New Roman" w:eastAsia="Times New Roman" w:hAnsi="Times New Roman" w:cs="Times New Roman"/>
                <w:b/>
                <w:sz w:val="24"/>
                <w:szCs w:val="24"/>
                <w:lang w:eastAsia="sk-SK"/>
              </w:rPr>
            </w:pPr>
            <w:r w:rsidRPr="00021446">
              <w:rPr>
                <w:rFonts w:ascii="Times New Roman" w:eastAsia="Times New Roman" w:hAnsi="Times New Roman" w:cs="Times New Roman"/>
                <w:b/>
                <w:sz w:val="24"/>
                <w:szCs w:val="24"/>
                <w:lang w:eastAsia="sk-SK"/>
              </w:rPr>
              <w:t>-115 500</w:t>
            </w:r>
          </w:p>
        </w:tc>
        <w:tc>
          <w:tcPr>
            <w:tcW w:w="1231" w:type="dxa"/>
            <w:vAlign w:val="center"/>
          </w:tcPr>
          <w:p w14:paraId="08839FC6" w14:textId="18EBE9E4" w:rsidR="00021446" w:rsidRPr="00021446" w:rsidRDefault="00021446" w:rsidP="00021446">
            <w:pPr>
              <w:jc w:val="right"/>
              <w:rPr>
                <w:rFonts w:ascii="Times New Roman" w:eastAsia="Times New Roman" w:hAnsi="Times New Roman" w:cs="Times New Roman"/>
                <w:b/>
                <w:sz w:val="24"/>
                <w:szCs w:val="24"/>
                <w:lang w:eastAsia="sk-SK"/>
              </w:rPr>
            </w:pPr>
            <w:r w:rsidRPr="00021446">
              <w:rPr>
                <w:rFonts w:ascii="Times New Roman" w:eastAsia="Times New Roman" w:hAnsi="Times New Roman" w:cs="Times New Roman"/>
                <w:b/>
                <w:sz w:val="24"/>
                <w:szCs w:val="24"/>
                <w:lang w:eastAsia="sk-SK"/>
              </w:rPr>
              <w:t>-126 000</w:t>
            </w:r>
          </w:p>
        </w:tc>
      </w:tr>
      <w:tr w:rsidR="00021446" w:rsidRPr="00467E4E" w14:paraId="7751AD5E" w14:textId="77777777" w:rsidTr="00021446">
        <w:tc>
          <w:tcPr>
            <w:tcW w:w="4680" w:type="dxa"/>
          </w:tcPr>
          <w:p w14:paraId="638F7D73" w14:textId="333B0A73" w:rsidR="00021446" w:rsidRPr="00467E4E" w:rsidRDefault="00021446" w:rsidP="00021446">
            <w:pPr>
              <w:rPr>
                <w:rFonts w:ascii="Times New Roman" w:eastAsia="Times New Roman" w:hAnsi="Times New Roman" w:cs="Times New Roman"/>
                <w:sz w:val="24"/>
                <w:szCs w:val="24"/>
                <w:lang w:eastAsia="sk-SK"/>
              </w:rPr>
            </w:pPr>
            <w:r w:rsidRPr="00467E4E">
              <w:rPr>
                <w:rFonts w:ascii="Times New Roman" w:eastAsia="Times New Roman" w:hAnsi="Times New Roman" w:cs="Times New Roman"/>
                <w:sz w:val="24"/>
                <w:szCs w:val="24"/>
                <w:lang w:eastAsia="sk-SK"/>
              </w:rPr>
              <w:t xml:space="preserve"> - z toho </w:t>
            </w:r>
            <w:r>
              <w:rPr>
                <w:rFonts w:ascii="Times New Roman" w:eastAsia="Times New Roman" w:hAnsi="Times New Roman" w:cs="Times New Roman"/>
                <w:sz w:val="24"/>
                <w:szCs w:val="24"/>
                <w:lang w:eastAsia="sk-SK"/>
              </w:rPr>
              <w:t>VPS</w:t>
            </w:r>
            <w:r w:rsidRPr="00467E4E">
              <w:rPr>
                <w:rFonts w:ascii="Times New Roman" w:eastAsia="Times New Roman" w:hAnsi="Times New Roman" w:cs="Times New Roman"/>
                <w:sz w:val="24"/>
                <w:szCs w:val="24"/>
                <w:lang w:eastAsia="sk-SK"/>
              </w:rPr>
              <w:t xml:space="preserve"> </w:t>
            </w:r>
          </w:p>
        </w:tc>
        <w:tc>
          <w:tcPr>
            <w:tcW w:w="696" w:type="dxa"/>
            <w:vAlign w:val="center"/>
          </w:tcPr>
          <w:p w14:paraId="12CC7DF2" w14:textId="7EF30A5F" w:rsidR="00021446" w:rsidRPr="00021446" w:rsidRDefault="00021446" w:rsidP="00021446">
            <w:pPr>
              <w:jc w:val="right"/>
              <w:rPr>
                <w:rFonts w:ascii="Times New Roman" w:eastAsia="Times New Roman" w:hAnsi="Times New Roman" w:cs="Times New Roman"/>
                <w:b/>
                <w:sz w:val="24"/>
                <w:szCs w:val="24"/>
                <w:lang w:eastAsia="sk-SK"/>
              </w:rPr>
            </w:pPr>
            <w:r w:rsidRPr="00021446">
              <w:rPr>
                <w:rFonts w:ascii="Times New Roman" w:eastAsia="Times New Roman" w:hAnsi="Times New Roman" w:cs="Times New Roman"/>
                <w:b/>
                <w:sz w:val="24"/>
                <w:szCs w:val="24"/>
                <w:lang w:eastAsia="sk-SK"/>
              </w:rPr>
              <w:t>-</w:t>
            </w:r>
          </w:p>
        </w:tc>
        <w:tc>
          <w:tcPr>
            <w:tcW w:w="1230" w:type="dxa"/>
            <w:vAlign w:val="center"/>
          </w:tcPr>
          <w:p w14:paraId="4A08663C" w14:textId="4356FA11" w:rsidR="00021446" w:rsidRPr="00467E4E" w:rsidRDefault="00021446" w:rsidP="00021446">
            <w:pPr>
              <w:jc w:val="right"/>
              <w:rPr>
                <w:rFonts w:ascii="Times New Roman" w:eastAsia="Times New Roman" w:hAnsi="Times New Roman" w:cs="Times New Roman"/>
                <w:sz w:val="24"/>
                <w:szCs w:val="24"/>
                <w:lang w:eastAsia="sk-SK"/>
              </w:rPr>
            </w:pPr>
            <w:r w:rsidRPr="00021446">
              <w:rPr>
                <w:rFonts w:ascii="Times New Roman" w:eastAsia="Times New Roman" w:hAnsi="Times New Roman" w:cs="Times New Roman"/>
                <w:sz w:val="24"/>
                <w:szCs w:val="24"/>
                <w:lang w:eastAsia="sk-SK"/>
              </w:rPr>
              <w:t>-105 000</w:t>
            </w:r>
          </w:p>
        </w:tc>
        <w:tc>
          <w:tcPr>
            <w:tcW w:w="1230" w:type="dxa"/>
            <w:vAlign w:val="center"/>
          </w:tcPr>
          <w:p w14:paraId="3F46E3EA" w14:textId="54C84192" w:rsidR="00021446" w:rsidRPr="002444FA" w:rsidRDefault="00021446" w:rsidP="00021446">
            <w:pPr>
              <w:jc w:val="right"/>
              <w:rPr>
                <w:rFonts w:ascii="Times New Roman" w:eastAsia="Times New Roman" w:hAnsi="Times New Roman" w:cs="Times New Roman"/>
                <w:sz w:val="24"/>
                <w:szCs w:val="24"/>
                <w:lang w:eastAsia="sk-SK"/>
              </w:rPr>
            </w:pPr>
            <w:r w:rsidRPr="00021446">
              <w:rPr>
                <w:rFonts w:ascii="Times New Roman" w:eastAsia="Times New Roman" w:hAnsi="Times New Roman" w:cs="Times New Roman"/>
                <w:sz w:val="24"/>
                <w:szCs w:val="24"/>
                <w:lang w:eastAsia="sk-SK"/>
              </w:rPr>
              <w:t>-115 500</w:t>
            </w:r>
          </w:p>
        </w:tc>
        <w:tc>
          <w:tcPr>
            <w:tcW w:w="1231" w:type="dxa"/>
            <w:vAlign w:val="center"/>
          </w:tcPr>
          <w:p w14:paraId="1DA252DD" w14:textId="0AAAF5DB" w:rsidR="00021446" w:rsidRPr="002444FA" w:rsidRDefault="00021446" w:rsidP="00021446">
            <w:pPr>
              <w:jc w:val="right"/>
              <w:rPr>
                <w:rFonts w:ascii="Times New Roman" w:eastAsia="Times New Roman" w:hAnsi="Times New Roman" w:cs="Times New Roman"/>
                <w:sz w:val="24"/>
                <w:szCs w:val="24"/>
                <w:lang w:eastAsia="sk-SK"/>
              </w:rPr>
            </w:pPr>
            <w:r w:rsidRPr="00021446">
              <w:rPr>
                <w:rFonts w:ascii="Times New Roman" w:eastAsia="Times New Roman" w:hAnsi="Times New Roman" w:cs="Times New Roman"/>
                <w:sz w:val="24"/>
                <w:szCs w:val="24"/>
                <w:lang w:eastAsia="sk-SK"/>
              </w:rPr>
              <w:t>-126 000</w:t>
            </w:r>
          </w:p>
        </w:tc>
      </w:tr>
    </w:tbl>
    <w:p w14:paraId="2284EF7C" w14:textId="77777777" w:rsidR="00D15F15" w:rsidRDefault="00D15F15" w:rsidP="00384D6A">
      <w:pPr>
        <w:tabs>
          <w:tab w:val="num" w:pos="1080"/>
        </w:tabs>
        <w:spacing w:after="0" w:line="240" w:lineRule="auto"/>
        <w:jc w:val="both"/>
        <w:rPr>
          <w:rFonts w:ascii="Times New Roman" w:eastAsia="Times New Roman" w:hAnsi="Times New Roman" w:cs="Times New Roman"/>
          <w:b/>
          <w:bCs/>
          <w:sz w:val="24"/>
          <w:szCs w:val="20"/>
          <w:lang w:eastAsia="sk-SK"/>
        </w:rPr>
      </w:pPr>
    </w:p>
    <w:p w14:paraId="2FF63234" w14:textId="77777777" w:rsidR="004F7593" w:rsidRDefault="004F7593" w:rsidP="004F7593">
      <w:pPr>
        <w:tabs>
          <w:tab w:val="num" w:pos="1080"/>
        </w:tabs>
        <w:spacing w:after="0" w:line="240" w:lineRule="auto"/>
        <w:jc w:val="both"/>
        <w:rPr>
          <w:rFonts w:ascii="Times New Roman" w:eastAsia="Times New Roman" w:hAnsi="Times New Roman" w:cs="Times New Roman"/>
          <w:b/>
          <w:bCs/>
          <w:sz w:val="24"/>
          <w:szCs w:val="20"/>
          <w:u w:val="single"/>
          <w:lang w:eastAsia="sk-SK"/>
        </w:rPr>
      </w:pPr>
    </w:p>
    <w:p w14:paraId="7FE6EA1A" w14:textId="77777777" w:rsidR="00D15F15" w:rsidRDefault="00D15F15" w:rsidP="00384D6A">
      <w:pPr>
        <w:tabs>
          <w:tab w:val="num" w:pos="1080"/>
        </w:tabs>
        <w:spacing w:after="0" w:line="240" w:lineRule="auto"/>
        <w:jc w:val="both"/>
        <w:rPr>
          <w:rFonts w:ascii="Times New Roman" w:eastAsia="Times New Roman" w:hAnsi="Times New Roman" w:cs="Times New Roman"/>
          <w:b/>
          <w:bCs/>
          <w:sz w:val="24"/>
          <w:szCs w:val="20"/>
          <w:lang w:eastAsia="sk-SK"/>
        </w:rPr>
      </w:pPr>
    </w:p>
    <w:p w14:paraId="0291CFF4" w14:textId="77777777" w:rsidR="004F7593" w:rsidRDefault="004F7593" w:rsidP="00384D6A">
      <w:pPr>
        <w:tabs>
          <w:tab w:val="num" w:pos="1080"/>
        </w:tabs>
        <w:spacing w:after="0" w:line="240" w:lineRule="auto"/>
        <w:jc w:val="both"/>
        <w:rPr>
          <w:rFonts w:ascii="Times New Roman" w:eastAsia="Times New Roman" w:hAnsi="Times New Roman" w:cs="Times New Roman"/>
          <w:b/>
          <w:bCs/>
          <w:sz w:val="24"/>
          <w:szCs w:val="20"/>
          <w:lang w:eastAsia="sk-SK"/>
        </w:rPr>
      </w:pPr>
    </w:p>
    <w:p w14:paraId="241864E5" w14:textId="77777777" w:rsidR="00CF30D2" w:rsidRDefault="00CF30D2" w:rsidP="00CF30D2">
      <w:pPr>
        <w:spacing w:after="0" w:line="240" w:lineRule="auto"/>
        <w:ind w:firstLine="708"/>
        <w:jc w:val="both"/>
        <w:rPr>
          <w:rFonts w:ascii="Times New Roman" w:eastAsia="Times New Roman" w:hAnsi="Times New Roman" w:cs="Times New Roman"/>
          <w:sz w:val="24"/>
          <w:szCs w:val="24"/>
          <w:lang w:eastAsia="sk-SK"/>
        </w:rPr>
      </w:pPr>
    </w:p>
    <w:p w14:paraId="67877B26" w14:textId="77777777" w:rsidR="00794519" w:rsidRPr="00384D6A" w:rsidRDefault="00794519" w:rsidP="00C833BB">
      <w:pPr>
        <w:tabs>
          <w:tab w:val="num" w:pos="1080"/>
        </w:tabs>
        <w:spacing w:after="0" w:line="240" w:lineRule="auto"/>
        <w:jc w:val="both"/>
        <w:rPr>
          <w:rFonts w:ascii="Times New Roman" w:eastAsia="Times New Roman" w:hAnsi="Times New Roman" w:cs="Times New Roman"/>
          <w:b/>
          <w:bCs/>
          <w:sz w:val="24"/>
          <w:szCs w:val="20"/>
          <w:lang w:eastAsia="sk-SK"/>
        </w:rPr>
        <w:sectPr w:rsidR="00794519" w:rsidRPr="00384D6A" w:rsidSect="002A703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14:paraId="20B70E29" w14:textId="77777777" w:rsid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tbl>
      <w:tblPr>
        <w:tblW w:w="5000" w:type="pct"/>
        <w:tblCellMar>
          <w:left w:w="70" w:type="dxa"/>
          <w:right w:w="70" w:type="dxa"/>
        </w:tblCellMar>
        <w:tblLook w:val="04A0" w:firstRow="1" w:lastRow="0" w:firstColumn="1" w:lastColumn="0" w:noHBand="0" w:noVBand="1"/>
      </w:tblPr>
      <w:tblGrid>
        <w:gridCol w:w="3640"/>
        <w:gridCol w:w="1594"/>
        <w:gridCol w:w="1843"/>
        <w:gridCol w:w="1703"/>
        <w:gridCol w:w="1558"/>
        <w:gridCol w:w="3644"/>
      </w:tblGrid>
      <w:tr w:rsidR="00250401" w:rsidRPr="009200AF" w14:paraId="2C2B8553" w14:textId="77777777" w:rsidTr="00792B2F">
        <w:trPr>
          <w:trHeight w:val="320"/>
        </w:trPr>
        <w:tc>
          <w:tcPr>
            <w:tcW w:w="1302"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9292507" w14:textId="32EBE352" w:rsidR="00250401" w:rsidRPr="002444FA" w:rsidRDefault="00250401" w:rsidP="00BC5CE6">
            <w:pPr>
              <w:spacing w:after="0" w:line="240" w:lineRule="auto"/>
              <w:jc w:val="center"/>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 xml:space="preserve">Príjmy (v eurách) – </w:t>
            </w:r>
            <w:r w:rsidR="00BC5CE6">
              <w:rPr>
                <w:rFonts w:ascii="Times New Roman" w:eastAsia="Times New Roman" w:hAnsi="Times New Roman" w:cs="Times New Roman"/>
                <w:b/>
                <w:bCs/>
                <w:color w:val="000000"/>
                <w:sz w:val="24"/>
                <w:szCs w:val="24"/>
                <w:lang w:eastAsia="sk-SK"/>
              </w:rPr>
              <w:t>VPS</w:t>
            </w:r>
          </w:p>
        </w:tc>
        <w:tc>
          <w:tcPr>
            <w:tcW w:w="2395" w:type="pct"/>
            <w:gridSpan w:val="4"/>
            <w:tcBorders>
              <w:top w:val="single" w:sz="8" w:space="0" w:color="auto"/>
              <w:left w:val="nil"/>
              <w:bottom w:val="single" w:sz="8" w:space="0" w:color="auto"/>
              <w:right w:val="single" w:sz="8" w:space="0" w:color="000000"/>
            </w:tcBorders>
            <w:shd w:val="clear" w:color="000000" w:fill="BFBFBF"/>
            <w:vAlign w:val="center"/>
            <w:hideMark/>
          </w:tcPr>
          <w:p w14:paraId="0A7E2196" w14:textId="77777777" w:rsidR="00250401" w:rsidRPr="002444FA" w:rsidRDefault="00250401" w:rsidP="00792B2F">
            <w:pPr>
              <w:spacing w:after="0" w:line="240" w:lineRule="auto"/>
              <w:jc w:val="center"/>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Vplyv na rozpočet verejnej správy</w:t>
            </w:r>
          </w:p>
        </w:tc>
        <w:tc>
          <w:tcPr>
            <w:tcW w:w="1303" w:type="pct"/>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23DB3922" w14:textId="77777777" w:rsidR="00250401" w:rsidRPr="002444FA" w:rsidRDefault="00250401" w:rsidP="00792B2F">
            <w:pPr>
              <w:spacing w:after="0" w:line="240" w:lineRule="auto"/>
              <w:jc w:val="center"/>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poznámka</w:t>
            </w:r>
          </w:p>
        </w:tc>
      </w:tr>
      <w:tr w:rsidR="00D530BD" w:rsidRPr="009200AF" w14:paraId="5BEFB22E" w14:textId="77777777" w:rsidTr="00792B2F">
        <w:trPr>
          <w:trHeight w:val="310"/>
        </w:trPr>
        <w:tc>
          <w:tcPr>
            <w:tcW w:w="1302" w:type="pct"/>
            <w:vMerge/>
            <w:tcBorders>
              <w:top w:val="single" w:sz="8" w:space="0" w:color="auto"/>
              <w:left w:val="single" w:sz="8" w:space="0" w:color="auto"/>
              <w:bottom w:val="single" w:sz="8" w:space="0" w:color="000000"/>
              <w:right w:val="single" w:sz="8" w:space="0" w:color="auto"/>
            </w:tcBorders>
            <w:vAlign w:val="center"/>
            <w:hideMark/>
          </w:tcPr>
          <w:p w14:paraId="1CA68EEE" w14:textId="77777777" w:rsidR="00D530BD" w:rsidRPr="002444FA" w:rsidRDefault="00D530BD" w:rsidP="00D530BD">
            <w:pPr>
              <w:spacing w:after="0" w:line="240" w:lineRule="auto"/>
              <w:rPr>
                <w:rFonts w:ascii="Times New Roman" w:eastAsia="Times New Roman" w:hAnsi="Times New Roman" w:cs="Times New Roman"/>
                <w:b/>
                <w:bCs/>
                <w:color w:val="000000"/>
                <w:sz w:val="24"/>
                <w:szCs w:val="24"/>
                <w:lang w:eastAsia="sk-SK"/>
              </w:rPr>
            </w:pPr>
          </w:p>
        </w:tc>
        <w:tc>
          <w:tcPr>
            <w:tcW w:w="570" w:type="pct"/>
            <w:tcBorders>
              <w:top w:val="nil"/>
              <w:left w:val="nil"/>
              <w:bottom w:val="single" w:sz="8" w:space="0" w:color="auto"/>
              <w:right w:val="single" w:sz="8" w:space="0" w:color="auto"/>
            </w:tcBorders>
            <w:shd w:val="clear" w:color="000000" w:fill="BFBFBF"/>
            <w:vAlign w:val="center"/>
            <w:hideMark/>
          </w:tcPr>
          <w:p w14:paraId="3CC608C4" w14:textId="0DD8A1A1" w:rsidR="00D530BD" w:rsidRPr="002444FA"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2022</w:t>
            </w:r>
          </w:p>
        </w:tc>
        <w:tc>
          <w:tcPr>
            <w:tcW w:w="659" w:type="pct"/>
            <w:tcBorders>
              <w:top w:val="nil"/>
              <w:left w:val="nil"/>
              <w:bottom w:val="single" w:sz="8" w:space="0" w:color="auto"/>
              <w:right w:val="single" w:sz="8" w:space="0" w:color="auto"/>
            </w:tcBorders>
            <w:shd w:val="clear" w:color="000000" w:fill="BFBFBF"/>
            <w:vAlign w:val="center"/>
            <w:hideMark/>
          </w:tcPr>
          <w:p w14:paraId="144B2BE9" w14:textId="5CF75878" w:rsidR="00D530BD" w:rsidRPr="002444FA"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2023</w:t>
            </w:r>
          </w:p>
        </w:tc>
        <w:tc>
          <w:tcPr>
            <w:tcW w:w="609" w:type="pct"/>
            <w:tcBorders>
              <w:top w:val="nil"/>
              <w:left w:val="nil"/>
              <w:bottom w:val="single" w:sz="8" w:space="0" w:color="auto"/>
              <w:right w:val="single" w:sz="8" w:space="0" w:color="auto"/>
            </w:tcBorders>
            <w:shd w:val="clear" w:color="000000" w:fill="BFBFBF"/>
            <w:vAlign w:val="center"/>
            <w:hideMark/>
          </w:tcPr>
          <w:p w14:paraId="22E041EB" w14:textId="4C851CB3" w:rsidR="00D530BD" w:rsidRPr="002444FA"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557" w:type="pct"/>
            <w:tcBorders>
              <w:top w:val="nil"/>
              <w:left w:val="nil"/>
              <w:bottom w:val="single" w:sz="8" w:space="0" w:color="auto"/>
              <w:right w:val="single" w:sz="8" w:space="0" w:color="auto"/>
            </w:tcBorders>
            <w:shd w:val="clear" w:color="000000" w:fill="BFBFBF"/>
            <w:vAlign w:val="center"/>
            <w:hideMark/>
          </w:tcPr>
          <w:p w14:paraId="104D97A9" w14:textId="1CE97052" w:rsidR="00D530BD" w:rsidRPr="002444FA"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303" w:type="pct"/>
            <w:vMerge/>
            <w:tcBorders>
              <w:top w:val="single" w:sz="8" w:space="0" w:color="auto"/>
              <w:left w:val="single" w:sz="8" w:space="0" w:color="auto"/>
              <w:bottom w:val="single" w:sz="8" w:space="0" w:color="000000"/>
              <w:right w:val="single" w:sz="8" w:space="0" w:color="auto"/>
            </w:tcBorders>
            <w:vAlign w:val="center"/>
            <w:hideMark/>
          </w:tcPr>
          <w:p w14:paraId="0BBFE638" w14:textId="77777777" w:rsidR="00D530BD" w:rsidRPr="002444FA" w:rsidRDefault="00D530BD" w:rsidP="00D530BD">
            <w:pPr>
              <w:spacing w:after="0" w:line="240" w:lineRule="auto"/>
              <w:rPr>
                <w:rFonts w:ascii="Times New Roman" w:eastAsia="Times New Roman" w:hAnsi="Times New Roman" w:cs="Times New Roman"/>
                <w:b/>
                <w:bCs/>
                <w:color w:val="000000"/>
                <w:sz w:val="24"/>
                <w:szCs w:val="24"/>
                <w:lang w:eastAsia="sk-SK"/>
              </w:rPr>
            </w:pPr>
          </w:p>
        </w:tc>
      </w:tr>
      <w:tr w:rsidR="005C28B5" w:rsidRPr="009200AF" w14:paraId="44DF09F2" w14:textId="77777777" w:rsidTr="00792B2F">
        <w:trPr>
          <w:trHeight w:val="370"/>
        </w:trPr>
        <w:tc>
          <w:tcPr>
            <w:tcW w:w="1302" w:type="pct"/>
            <w:tcBorders>
              <w:top w:val="nil"/>
              <w:left w:val="single" w:sz="8" w:space="0" w:color="auto"/>
              <w:bottom w:val="single" w:sz="8" w:space="0" w:color="auto"/>
              <w:right w:val="single" w:sz="8" w:space="0" w:color="auto"/>
            </w:tcBorders>
            <w:shd w:val="clear" w:color="auto" w:fill="auto"/>
            <w:vAlign w:val="center"/>
            <w:hideMark/>
          </w:tcPr>
          <w:p w14:paraId="159385A0" w14:textId="77777777" w:rsidR="005C28B5" w:rsidRPr="002444FA" w:rsidRDefault="005C28B5" w:rsidP="005C28B5">
            <w:pPr>
              <w:spacing w:after="0" w:line="240" w:lineRule="auto"/>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Daňové príjmy (100)</w:t>
            </w:r>
            <w:r w:rsidRPr="002444FA">
              <w:rPr>
                <w:rFonts w:ascii="Times New Roman" w:eastAsia="Times New Roman" w:hAnsi="Times New Roman" w:cs="Times New Roman"/>
                <w:b/>
                <w:bCs/>
                <w:color w:val="000000"/>
                <w:sz w:val="24"/>
                <w:szCs w:val="24"/>
                <w:vertAlign w:val="superscript"/>
                <w:lang w:eastAsia="sk-SK"/>
              </w:rPr>
              <w:t>1</w:t>
            </w:r>
          </w:p>
        </w:tc>
        <w:tc>
          <w:tcPr>
            <w:tcW w:w="570" w:type="pct"/>
            <w:tcBorders>
              <w:top w:val="nil"/>
              <w:left w:val="nil"/>
              <w:bottom w:val="single" w:sz="8" w:space="0" w:color="auto"/>
              <w:right w:val="single" w:sz="8" w:space="0" w:color="auto"/>
            </w:tcBorders>
            <w:shd w:val="clear" w:color="auto" w:fill="auto"/>
            <w:vAlign w:val="center"/>
            <w:hideMark/>
          </w:tcPr>
          <w:p w14:paraId="577A08B7" w14:textId="77777777" w:rsidR="005C28B5" w:rsidRPr="002444FA" w:rsidRDefault="005C28B5" w:rsidP="005C28B5">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auto" w:fill="auto"/>
            <w:vAlign w:val="center"/>
          </w:tcPr>
          <w:p w14:paraId="7FAD3A28" w14:textId="63086892"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-105 000</w:t>
            </w:r>
          </w:p>
        </w:tc>
        <w:tc>
          <w:tcPr>
            <w:tcW w:w="609" w:type="pct"/>
            <w:tcBorders>
              <w:top w:val="nil"/>
              <w:left w:val="nil"/>
              <w:bottom w:val="single" w:sz="8" w:space="0" w:color="auto"/>
              <w:right w:val="single" w:sz="8" w:space="0" w:color="auto"/>
            </w:tcBorders>
            <w:shd w:val="clear" w:color="auto" w:fill="auto"/>
            <w:vAlign w:val="center"/>
          </w:tcPr>
          <w:p w14:paraId="339CFD07" w14:textId="31478FAE"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-115 500</w:t>
            </w:r>
          </w:p>
        </w:tc>
        <w:tc>
          <w:tcPr>
            <w:tcW w:w="557" w:type="pct"/>
            <w:tcBorders>
              <w:top w:val="nil"/>
              <w:left w:val="nil"/>
              <w:bottom w:val="single" w:sz="8" w:space="0" w:color="auto"/>
              <w:right w:val="single" w:sz="8" w:space="0" w:color="auto"/>
            </w:tcBorders>
            <w:shd w:val="clear" w:color="auto" w:fill="auto"/>
            <w:vAlign w:val="center"/>
          </w:tcPr>
          <w:p w14:paraId="28A3CFFC" w14:textId="763FE319"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-126 000</w:t>
            </w:r>
          </w:p>
        </w:tc>
        <w:tc>
          <w:tcPr>
            <w:tcW w:w="1303" w:type="pct"/>
            <w:tcBorders>
              <w:top w:val="nil"/>
              <w:left w:val="nil"/>
              <w:bottom w:val="single" w:sz="8" w:space="0" w:color="auto"/>
              <w:right w:val="single" w:sz="8" w:space="0" w:color="auto"/>
            </w:tcBorders>
            <w:shd w:val="clear" w:color="auto" w:fill="auto"/>
            <w:noWrap/>
            <w:vAlign w:val="center"/>
            <w:hideMark/>
          </w:tcPr>
          <w:p w14:paraId="2F6EB33D" w14:textId="77777777" w:rsidR="005C28B5" w:rsidRPr="002444FA" w:rsidRDefault="005C28B5" w:rsidP="005C28B5">
            <w:pPr>
              <w:spacing w:after="0" w:line="240" w:lineRule="auto"/>
              <w:rPr>
                <w:rFonts w:ascii="Times New Roman" w:eastAsia="Times New Roman" w:hAnsi="Times New Roman" w:cs="Times New Roman"/>
                <w:color w:val="000000"/>
                <w:sz w:val="24"/>
                <w:szCs w:val="24"/>
                <w:lang w:eastAsia="sk-SK"/>
              </w:rPr>
            </w:pPr>
            <w:r w:rsidRPr="002444FA">
              <w:rPr>
                <w:rFonts w:ascii="Times New Roman" w:eastAsia="Times New Roman" w:hAnsi="Times New Roman" w:cs="Times New Roman"/>
                <w:color w:val="000000"/>
                <w:sz w:val="24"/>
                <w:szCs w:val="24"/>
                <w:lang w:eastAsia="sk-SK"/>
              </w:rPr>
              <w:t> </w:t>
            </w:r>
          </w:p>
        </w:tc>
      </w:tr>
      <w:tr w:rsidR="005C28B5" w:rsidRPr="009200AF" w14:paraId="157346EC" w14:textId="77777777" w:rsidTr="00792B2F">
        <w:trPr>
          <w:trHeight w:val="530"/>
        </w:trPr>
        <w:tc>
          <w:tcPr>
            <w:tcW w:w="1302" w:type="pct"/>
            <w:tcBorders>
              <w:top w:val="nil"/>
              <w:left w:val="single" w:sz="8" w:space="0" w:color="auto"/>
              <w:bottom w:val="single" w:sz="8" w:space="0" w:color="auto"/>
              <w:right w:val="single" w:sz="8" w:space="0" w:color="auto"/>
            </w:tcBorders>
            <w:shd w:val="clear" w:color="auto" w:fill="auto"/>
            <w:vAlign w:val="center"/>
          </w:tcPr>
          <w:p w14:paraId="6F7B0806" w14:textId="306D590A" w:rsidR="005C28B5" w:rsidRPr="002444FA" w:rsidRDefault="005C28B5" w:rsidP="005C28B5">
            <w:pPr>
              <w:spacing w:after="0" w:line="240" w:lineRule="auto"/>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 xml:space="preserve">- príjmy z dane z príjmov </w:t>
            </w:r>
            <w:r>
              <w:rPr>
                <w:rFonts w:ascii="Times New Roman" w:eastAsia="Times New Roman" w:hAnsi="Times New Roman" w:cs="Times New Roman"/>
                <w:b/>
                <w:bCs/>
                <w:color w:val="000000"/>
                <w:sz w:val="24"/>
                <w:szCs w:val="24"/>
                <w:lang w:eastAsia="sk-SK"/>
              </w:rPr>
              <w:t>P</w:t>
            </w:r>
            <w:r w:rsidRPr="002444FA">
              <w:rPr>
                <w:rFonts w:ascii="Times New Roman" w:eastAsia="Times New Roman" w:hAnsi="Times New Roman" w:cs="Times New Roman"/>
                <w:b/>
                <w:bCs/>
                <w:color w:val="000000"/>
                <w:sz w:val="24"/>
                <w:szCs w:val="24"/>
                <w:lang w:eastAsia="sk-SK"/>
              </w:rPr>
              <w:t>O (111)</w:t>
            </w:r>
          </w:p>
        </w:tc>
        <w:tc>
          <w:tcPr>
            <w:tcW w:w="570" w:type="pct"/>
            <w:tcBorders>
              <w:top w:val="nil"/>
              <w:left w:val="nil"/>
              <w:bottom w:val="single" w:sz="8" w:space="0" w:color="auto"/>
              <w:right w:val="single" w:sz="8" w:space="0" w:color="auto"/>
            </w:tcBorders>
            <w:shd w:val="clear" w:color="auto" w:fill="auto"/>
            <w:vAlign w:val="center"/>
          </w:tcPr>
          <w:p w14:paraId="5DEFC6D0" w14:textId="77777777" w:rsidR="005C28B5" w:rsidRPr="002444FA" w:rsidRDefault="005C28B5" w:rsidP="005C28B5">
            <w:pPr>
              <w:spacing w:after="0" w:line="240" w:lineRule="auto"/>
              <w:jc w:val="right"/>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auto" w:fill="auto"/>
            <w:vAlign w:val="center"/>
          </w:tcPr>
          <w:p w14:paraId="52AB047C" w14:textId="1E3A319C"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-105 000</w:t>
            </w:r>
          </w:p>
        </w:tc>
        <w:tc>
          <w:tcPr>
            <w:tcW w:w="609" w:type="pct"/>
            <w:tcBorders>
              <w:top w:val="nil"/>
              <w:left w:val="nil"/>
              <w:bottom w:val="single" w:sz="8" w:space="0" w:color="auto"/>
              <w:right w:val="single" w:sz="8" w:space="0" w:color="auto"/>
            </w:tcBorders>
            <w:shd w:val="clear" w:color="auto" w:fill="auto"/>
            <w:vAlign w:val="center"/>
          </w:tcPr>
          <w:p w14:paraId="05D7EA9B" w14:textId="132E5E8A"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-115 500</w:t>
            </w:r>
          </w:p>
        </w:tc>
        <w:tc>
          <w:tcPr>
            <w:tcW w:w="557" w:type="pct"/>
            <w:tcBorders>
              <w:top w:val="nil"/>
              <w:left w:val="nil"/>
              <w:bottom w:val="single" w:sz="8" w:space="0" w:color="auto"/>
              <w:right w:val="single" w:sz="8" w:space="0" w:color="auto"/>
            </w:tcBorders>
            <w:shd w:val="clear" w:color="auto" w:fill="auto"/>
            <w:vAlign w:val="center"/>
          </w:tcPr>
          <w:p w14:paraId="475002D1" w14:textId="59A30462"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-126 000</w:t>
            </w:r>
          </w:p>
        </w:tc>
        <w:tc>
          <w:tcPr>
            <w:tcW w:w="1303" w:type="pct"/>
            <w:tcBorders>
              <w:top w:val="nil"/>
              <w:left w:val="nil"/>
              <w:bottom w:val="single" w:sz="8" w:space="0" w:color="auto"/>
              <w:right w:val="single" w:sz="8" w:space="0" w:color="auto"/>
            </w:tcBorders>
            <w:shd w:val="clear" w:color="auto" w:fill="auto"/>
            <w:vAlign w:val="center"/>
          </w:tcPr>
          <w:p w14:paraId="6388E2D7" w14:textId="28673E66" w:rsidR="005C28B5" w:rsidRDefault="005C28B5" w:rsidP="005C28B5">
            <w:pPr>
              <w:spacing w:after="0" w:line="240" w:lineRule="auto"/>
              <w:rPr>
                <w:rFonts w:ascii="Times New Roman" w:eastAsia="Times New Roman" w:hAnsi="Times New Roman" w:cs="Times New Roman"/>
                <w:color w:val="000000"/>
                <w:sz w:val="20"/>
                <w:szCs w:val="20"/>
                <w:lang w:eastAsia="sk-SK"/>
              </w:rPr>
            </w:pPr>
            <w:r w:rsidRPr="00250401">
              <w:rPr>
                <w:rFonts w:ascii="Times New Roman" w:eastAsia="Times New Roman" w:hAnsi="Times New Roman" w:cs="Times New Roman"/>
                <w:color w:val="000000"/>
                <w:sz w:val="20"/>
                <w:szCs w:val="20"/>
                <w:lang w:eastAsia="sk-SK"/>
              </w:rPr>
              <w:t>Zníženie príjmov z daní z príjmov v súvislosti so zvýšením dostupnosti daňovej úľavy pre sociálne podniky</w:t>
            </w:r>
          </w:p>
        </w:tc>
      </w:tr>
      <w:tr w:rsidR="00250401" w:rsidRPr="009200AF" w14:paraId="4111848D" w14:textId="77777777" w:rsidTr="00792B2F">
        <w:trPr>
          <w:trHeight w:val="370"/>
        </w:trPr>
        <w:tc>
          <w:tcPr>
            <w:tcW w:w="1302" w:type="pct"/>
            <w:tcBorders>
              <w:top w:val="nil"/>
              <w:left w:val="single" w:sz="8" w:space="0" w:color="auto"/>
              <w:bottom w:val="single" w:sz="8" w:space="0" w:color="auto"/>
              <w:right w:val="single" w:sz="8" w:space="0" w:color="auto"/>
            </w:tcBorders>
            <w:shd w:val="clear" w:color="auto" w:fill="auto"/>
            <w:vAlign w:val="center"/>
            <w:hideMark/>
          </w:tcPr>
          <w:p w14:paraId="02748608" w14:textId="77777777" w:rsidR="00250401" w:rsidRPr="002444FA" w:rsidRDefault="00250401" w:rsidP="00792B2F">
            <w:pPr>
              <w:spacing w:after="0" w:line="240" w:lineRule="auto"/>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Nedaňové príjmy (200)</w:t>
            </w:r>
            <w:r w:rsidRPr="002444FA">
              <w:rPr>
                <w:rFonts w:ascii="Times New Roman" w:eastAsia="Times New Roman" w:hAnsi="Times New Roman" w:cs="Times New Roman"/>
                <w:b/>
                <w:bCs/>
                <w:color w:val="000000"/>
                <w:sz w:val="24"/>
                <w:szCs w:val="24"/>
                <w:vertAlign w:val="superscript"/>
                <w:lang w:eastAsia="sk-SK"/>
              </w:rPr>
              <w:t>1</w:t>
            </w:r>
          </w:p>
        </w:tc>
        <w:tc>
          <w:tcPr>
            <w:tcW w:w="570" w:type="pct"/>
            <w:tcBorders>
              <w:top w:val="nil"/>
              <w:left w:val="nil"/>
              <w:bottom w:val="single" w:sz="8" w:space="0" w:color="auto"/>
              <w:right w:val="single" w:sz="8" w:space="0" w:color="auto"/>
            </w:tcBorders>
            <w:shd w:val="clear" w:color="auto" w:fill="auto"/>
            <w:vAlign w:val="center"/>
            <w:hideMark/>
          </w:tcPr>
          <w:p w14:paraId="4B46A085"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auto" w:fill="auto"/>
            <w:vAlign w:val="center"/>
            <w:hideMark/>
          </w:tcPr>
          <w:p w14:paraId="6F88F053"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09" w:type="pct"/>
            <w:tcBorders>
              <w:top w:val="nil"/>
              <w:left w:val="nil"/>
              <w:bottom w:val="single" w:sz="8" w:space="0" w:color="auto"/>
              <w:right w:val="single" w:sz="8" w:space="0" w:color="auto"/>
            </w:tcBorders>
            <w:shd w:val="clear" w:color="auto" w:fill="auto"/>
            <w:vAlign w:val="center"/>
            <w:hideMark/>
          </w:tcPr>
          <w:p w14:paraId="7378811B"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557" w:type="pct"/>
            <w:tcBorders>
              <w:top w:val="nil"/>
              <w:left w:val="nil"/>
              <w:bottom w:val="single" w:sz="8" w:space="0" w:color="auto"/>
              <w:right w:val="single" w:sz="8" w:space="0" w:color="auto"/>
            </w:tcBorders>
            <w:shd w:val="clear" w:color="auto" w:fill="auto"/>
            <w:vAlign w:val="center"/>
            <w:hideMark/>
          </w:tcPr>
          <w:p w14:paraId="70FDEACE"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1303" w:type="pct"/>
            <w:tcBorders>
              <w:top w:val="nil"/>
              <w:left w:val="nil"/>
              <w:bottom w:val="single" w:sz="8" w:space="0" w:color="auto"/>
              <w:right w:val="single" w:sz="8" w:space="0" w:color="auto"/>
            </w:tcBorders>
            <w:shd w:val="clear" w:color="auto" w:fill="auto"/>
            <w:noWrap/>
            <w:vAlign w:val="center"/>
            <w:hideMark/>
          </w:tcPr>
          <w:p w14:paraId="5825E6BB" w14:textId="77777777" w:rsidR="00250401" w:rsidRPr="002444FA" w:rsidRDefault="00250401" w:rsidP="00792B2F">
            <w:pPr>
              <w:spacing w:after="0" w:line="240" w:lineRule="auto"/>
              <w:rPr>
                <w:rFonts w:ascii="Times New Roman" w:eastAsia="Times New Roman" w:hAnsi="Times New Roman" w:cs="Times New Roman"/>
                <w:color w:val="000000"/>
                <w:sz w:val="24"/>
                <w:szCs w:val="24"/>
                <w:lang w:eastAsia="sk-SK"/>
              </w:rPr>
            </w:pPr>
            <w:r w:rsidRPr="002444FA">
              <w:rPr>
                <w:rFonts w:ascii="Times New Roman" w:eastAsia="Times New Roman" w:hAnsi="Times New Roman" w:cs="Times New Roman"/>
                <w:color w:val="000000"/>
                <w:sz w:val="24"/>
                <w:szCs w:val="24"/>
                <w:lang w:eastAsia="sk-SK"/>
              </w:rPr>
              <w:t> </w:t>
            </w:r>
          </w:p>
        </w:tc>
      </w:tr>
      <w:tr w:rsidR="00250401" w:rsidRPr="009200AF" w14:paraId="0B4C9DB5" w14:textId="77777777" w:rsidTr="00792B2F">
        <w:trPr>
          <w:trHeight w:val="370"/>
        </w:trPr>
        <w:tc>
          <w:tcPr>
            <w:tcW w:w="1302" w:type="pct"/>
            <w:tcBorders>
              <w:top w:val="nil"/>
              <w:left w:val="single" w:sz="8" w:space="0" w:color="auto"/>
              <w:bottom w:val="single" w:sz="8" w:space="0" w:color="auto"/>
              <w:right w:val="single" w:sz="8" w:space="0" w:color="auto"/>
            </w:tcBorders>
            <w:shd w:val="clear" w:color="auto" w:fill="auto"/>
            <w:vAlign w:val="center"/>
            <w:hideMark/>
          </w:tcPr>
          <w:p w14:paraId="5816EF49" w14:textId="77777777" w:rsidR="00250401" w:rsidRPr="002444FA" w:rsidRDefault="00250401" w:rsidP="00792B2F">
            <w:pPr>
              <w:spacing w:after="0" w:line="240" w:lineRule="auto"/>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Granty a transfery (300)</w:t>
            </w:r>
            <w:r w:rsidRPr="002444FA">
              <w:rPr>
                <w:rFonts w:ascii="Times New Roman" w:eastAsia="Times New Roman" w:hAnsi="Times New Roman" w:cs="Times New Roman"/>
                <w:b/>
                <w:bCs/>
                <w:color w:val="000000"/>
                <w:sz w:val="24"/>
                <w:szCs w:val="24"/>
                <w:vertAlign w:val="superscript"/>
                <w:lang w:eastAsia="sk-SK"/>
              </w:rPr>
              <w:t>1</w:t>
            </w:r>
          </w:p>
        </w:tc>
        <w:tc>
          <w:tcPr>
            <w:tcW w:w="570" w:type="pct"/>
            <w:tcBorders>
              <w:top w:val="nil"/>
              <w:left w:val="nil"/>
              <w:bottom w:val="single" w:sz="8" w:space="0" w:color="auto"/>
              <w:right w:val="single" w:sz="8" w:space="0" w:color="auto"/>
            </w:tcBorders>
            <w:shd w:val="clear" w:color="auto" w:fill="auto"/>
            <w:vAlign w:val="center"/>
            <w:hideMark/>
          </w:tcPr>
          <w:p w14:paraId="02E6AA1A"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auto" w:fill="auto"/>
            <w:vAlign w:val="center"/>
            <w:hideMark/>
          </w:tcPr>
          <w:p w14:paraId="66184E1B"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09" w:type="pct"/>
            <w:tcBorders>
              <w:top w:val="nil"/>
              <w:left w:val="nil"/>
              <w:bottom w:val="single" w:sz="8" w:space="0" w:color="auto"/>
              <w:right w:val="single" w:sz="8" w:space="0" w:color="auto"/>
            </w:tcBorders>
            <w:shd w:val="clear" w:color="auto" w:fill="auto"/>
            <w:vAlign w:val="center"/>
            <w:hideMark/>
          </w:tcPr>
          <w:p w14:paraId="4D795786"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557" w:type="pct"/>
            <w:tcBorders>
              <w:top w:val="nil"/>
              <w:left w:val="nil"/>
              <w:bottom w:val="single" w:sz="8" w:space="0" w:color="auto"/>
              <w:right w:val="single" w:sz="8" w:space="0" w:color="auto"/>
            </w:tcBorders>
            <w:shd w:val="clear" w:color="auto" w:fill="auto"/>
            <w:vAlign w:val="center"/>
            <w:hideMark/>
          </w:tcPr>
          <w:p w14:paraId="431F87DF"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1303" w:type="pct"/>
            <w:tcBorders>
              <w:top w:val="nil"/>
              <w:left w:val="nil"/>
              <w:bottom w:val="single" w:sz="8" w:space="0" w:color="auto"/>
              <w:right w:val="single" w:sz="8" w:space="0" w:color="auto"/>
            </w:tcBorders>
            <w:shd w:val="clear" w:color="auto" w:fill="auto"/>
            <w:noWrap/>
            <w:vAlign w:val="center"/>
            <w:hideMark/>
          </w:tcPr>
          <w:p w14:paraId="2BAC47D6" w14:textId="77777777" w:rsidR="00250401" w:rsidRPr="002444FA" w:rsidRDefault="00250401" w:rsidP="00792B2F">
            <w:pPr>
              <w:spacing w:after="0" w:line="240" w:lineRule="auto"/>
              <w:rPr>
                <w:rFonts w:ascii="Times New Roman" w:eastAsia="Times New Roman" w:hAnsi="Times New Roman" w:cs="Times New Roman"/>
                <w:color w:val="000000"/>
                <w:sz w:val="24"/>
                <w:szCs w:val="24"/>
                <w:lang w:eastAsia="sk-SK"/>
              </w:rPr>
            </w:pPr>
            <w:r w:rsidRPr="002444FA">
              <w:rPr>
                <w:rFonts w:ascii="Times New Roman" w:eastAsia="Times New Roman" w:hAnsi="Times New Roman" w:cs="Times New Roman"/>
                <w:color w:val="000000"/>
                <w:sz w:val="24"/>
                <w:szCs w:val="24"/>
                <w:lang w:eastAsia="sk-SK"/>
              </w:rPr>
              <w:t> </w:t>
            </w:r>
          </w:p>
        </w:tc>
      </w:tr>
      <w:tr w:rsidR="00250401" w:rsidRPr="009200AF" w14:paraId="42BEE029" w14:textId="77777777" w:rsidTr="00792B2F">
        <w:trPr>
          <w:trHeight w:val="610"/>
        </w:trPr>
        <w:tc>
          <w:tcPr>
            <w:tcW w:w="1302" w:type="pct"/>
            <w:tcBorders>
              <w:top w:val="nil"/>
              <w:left w:val="single" w:sz="8" w:space="0" w:color="auto"/>
              <w:bottom w:val="single" w:sz="8" w:space="0" w:color="auto"/>
              <w:right w:val="single" w:sz="8" w:space="0" w:color="auto"/>
            </w:tcBorders>
            <w:shd w:val="clear" w:color="auto" w:fill="auto"/>
            <w:vAlign w:val="center"/>
            <w:hideMark/>
          </w:tcPr>
          <w:p w14:paraId="154AEEBD" w14:textId="77777777" w:rsidR="00250401" w:rsidRPr="002444FA" w:rsidRDefault="00250401" w:rsidP="00792B2F">
            <w:pPr>
              <w:spacing w:after="0" w:line="240" w:lineRule="auto"/>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570" w:type="pct"/>
            <w:tcBorders>
              <w:top w:val="nil"/>
              <w:left w:val="nil"/>
              <w:bottom w:val="single" w:sz="8" w:space="0" w:color="auto"/>
              <w:right w:val="single" w:sz="8" w:space="0" w:color="auto"/>
            </w:tcBorders>
            <w:shd w:val="clear" w:color="000000" w:fill="FFFF99"/>
            <w:vAlign w:val="center"/>
            <w:hideMark/>
          </w:tcPr>
          <w:p w14:paraId="76B59529"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000000" w:fill="FFFF99"/>
            <w:vAlign w:val="center"/>
            <w:hideMark/>
          </w:tcPr>
          <w:p w14:paraId="2F283131"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09" w:type="pct"/>
            <w:tcBorders>
              <w:top w:val="nil"/>
              <w:left w:val="nil"/>
              <w:bottom w:val="single" w:sz="8" w:space="0" w:color="auto"/>
              <w:right w:val="single" w:sz="8" w:space="0" w:color="auto"/>
            </w:tcBorders>
            <w:shd w:val="clear" w:color="000000" w:fill="FFFF99"/>
            <w:vAlign w:val="center"/>
            <w:hideMark/>
          </w:tcPr>
          <w:p w14:paraId="33F402D6"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557" w:type="pct"/>
            <w:tcBorders>
              <w:top w:val="nil"/>
              <w:left w:val="nil"/>
              <w:bottom w:val="single" w:sz="8" w:space="0" w:color="auto"/>
              <w:right w:val="single" w:sz="8" w:space="0" w:color="auto"/>
            </w:tcBorders>
            <w:shd w:val="clear" w:color="000000" w:fill="FFFF99"/>
            <w:vAlign w:val="center"/>
            <w:hideMark/>
          </w:tcPr>
          <w:p w14:paraId="331DA402"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1303" w:type="pct"/>
            <w:tcBorders>
              <w:top w:val="nil"/>
              <w:left w:val="nil"/>
              <w:bottom w:val="single" w:sz="8" w:space="0" w:color="auto"/>
              <w:right w:val="single" w:sz="8" w:space="0" w:color="auto"/>
            </w:tcBorders>
            <w:shd w:val="clear" w:color="auto" w:fill="auto"/>
            <w:noWrap/>
            <w:vAlign w:val="center"/>
            <w:hideMark/>
          </w:tcPr>
          <w:p w14:paraId="1329B985" w14:textId="77777777" w:rsidR="00250401" w:rsidRPr="002444FA" w:rsidRDefault="00250401" w:rsidP="00792B2F">
            <w:pPr>
              <w:spacing w:after="0" w:line="240" w:lineRule="auto"/>
              <w:rPr>
                <w:rFonts w:ascii="Times New Roman" w:eastAsia="Times New Roman" w:hAnsi="Times New Roman" w:cs="Times New Roman"/>
                <w:color w:val="000000"/>
                <w:sz w:val="24"/>
                <w:szCs w:val="24"/>
                <w:lang w:eastAsia="sk-SK"/>
              </w:rPr>
            </w:pPr>
            <w:r w:rsidRPr="002444FA">
              <w:rPr>
                <w:rFonts w:ascii="Times New Roman" w:eastAsia="Times New Roman" w:hAnsi="Times New Roman" w:cs="Times New Roman"/>
                <w:color w:val="000000"/>
                <w:sz w:val="24"/>
                <w:szCs w:val="24"/>
                <w:lang w:eastAsia="sk-SK"/>
              </w:rPr>
              <w:t> </w:t>
            </w:r>
          </w:p>
        </w:tc>
      </w:tr>
      <w:tr w:rsidR="00250401" w:rsidRPr="009200AF" w14:paraId="4707E072" w14:textId="77777777" w:rsidTr="00792B2F">
        <w:trPr>
          <w:trHeight w:val="610"/>
        </w:trPr>
        <w:tc>
          <w:tcPr>
            <w:tcW w:w="1302" w:type="pct"/>
            <w:tcBorders>
              <w:top w:val="nil"/>
              <w:left w:val="single" w:sz="8" w:space="0" w:color="auto"/>
              <w:bottom w:val="single" w:sz="8" w:space="0" w:color="auto"/>
              <w:right w:val="single" w:sz="8" w:space="0" w:color="auto"/>
            </w:tcBorders>
            <w:shd w:val="clear" w:color="auto" w:fill="auto"/>
            <w:vAlign w:val="center"/>
            <w:hideMark/>
          </w:tcPr>
          <w:p w14:paraId="2FAA4B41" w14:textId="77777777" w:rsidR="00250401" w:rsidRPr="002444FA" w:rsidRDefault="00250401" w:rsidP="00792B2F">
            <w:pPr>
              <w:spacing w:after="0" w:line="240" w:lineRule="auto"/>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Prijaté úvery, pôžičky a návratné finančné výpomoci (500)</w:t>
            </w:r>
          </w:p>
        </w:tc>
        <w:tc>
          <w:tcPr>
            <w:tcW w:w="570" w:type="pct"/>
            <w:tcBorders>
              <w:top w:val="nil"/>
              <w:left w:val="nil"/>
              <w:bottom w:val="single" w:sz="8" w:space="0" w:color="auto"/>
              <w:right w:val="single" w:sz="8" w:space="0" w:color="auto"/>
            </w:tcBorders>
            <w:shd w:val="clear" w:color="000000" w:fill="FFFF99"/>
            <w:vAlign w:val="center"/>
            <w:hideMark/>
          </w:tcPr>
          <w:p w14:paraId="3315C598"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000000" w:fill="FFFF99"/>
            <w:vAlign w:val="center"/>
            <w:hideMark/>
          </w:tcPr>
          <w:p w14:paraId="654A2EE9"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09" w:type="pct"/>
            <w:tcBorders>
              <w:top w:val="nil"/>
              <w:left w:val="nil"/>
              <w:bottom w:val="single" w:sz="8" w:space="0" w:color="auto"/>
              <w:right w:val="single" w:sz="8" w:space="0" w:color="auto"/>
            </w:tcBorders>
            <w:shd w:val="clear" w:color="000000" w:fill="FFFF99"/>
            <w:vAlign w:val="center"/>
            <w:hideMark/>
          </w:tcPr>
          <w:p w14:paraId="69F6808D"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557" w:type="pct"/>
            <w:tcBorders>
              <w:top w:val="nil"/>
              <w:left w:val="nil"/>
              <w:bottom w:val="single" w:sz="8" w:space="0" w:color="auto"/>
              <w:right w:val="single" w:sz="8" w:space="0" w:color="auto"/>
            </w:tcBorders>
            <w:shd w:val="clear" w:color="000000" w:fill="FFFF99"/>
            <w:vAlign w:val="center"/>
            <w:hideMark/>
          </w:tcPr>
          <w:p w14:paraId="30AE8E3F" w14:textId="77777777" w:rsidR="00250401" w:rsidRPr="002444FA" w:rsidRDefault="00250401" w:rsidP="00792B2F">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1303" w:type="pct"/>
            <w:tcBorders>
              <w:top w:val="nil"/>
              <w:left w:val="nil"/>
              <w:bottom w:val="single" w:sz="8" w:space="0" w:color="auto"/>
              <w:right w:val="single" w:sz="8" w:space="0" w:color="auto"/>
            </w:tcBorders>
            <w:shd w:val="clear" w:color="auto" w:fill="auto"/>
            <w:noWrap/>
            <w:vAlign w:val="center"/>
            <w:hideMark/>
          </w:tcPr>
          <w:p w14:paraId="3393C561" w14:textId="77777777" w:rsidR="00250401" w:rsidRPr="002444FA" w:rsidRDefault="00250401" w:rsidP="00792B2F">
            <w:pPr>
              <w:spacing w:after="0" w:line="240" w:lineRule="auto"/>
              <w:rPr>
                <w:rFonts w:ascii="Times New Roman" w:eastAsia="Times New Roman" w:hAnsi="Times New Roman" w:cs="Times New Roman"/>
                <w:color w:val="000000"/>
                <w:sz w:val="24"/>
                <w:szCs w:val="24"/>
                <w:lang w:eastAsia="sk-SK"/>
              </w:rPr>
            </w:pPr>
            <w:r w:rsidRPr="002444FA">
              <w:rPr>
                <w:rFonts w:ascii="Times New Roman" w:eastAsia="Times New Roman" w:hAnsi="Times New Roman" w:cs="Times New Roman"/>
                <w:color w:val="000000"/>
                <w:sz w:val="24"/>
                <w:szCs w:val="24"/>
                <w:lang w:eastAsia="sk-SK"/>
              </w:rPr>
              <w:t> </w:t>
            </w:r>
          </w:p>
        </w:tc>
      </w:tr>
      <w:tr w:rsidR="005C28B5" w:rsidRPr="009200AF" w14:paraId="0DDE6532" w14:textId="77777777" w:rsidTr="00792B2F">
        <w:trPr>
          <w:trHeight w:val="320"/>
        </w:trPr>
        <w:tc>
          <w:tcPr>
            <w:tcW w:w="1302" w:type="pct"/>
            <w:tcBorders>
              <w:top w:val="nil"/>
              <w:left w:val="single" w:sz="8" w:space="0" w:color="auto"/>
              <w:bottom w:val="single" w:sz="8" w:space="0" w:color="auto"/>
              <w:right w:val="single" w:sz="8" w:space="0" w:color="auto"/>
            </w:tcBorders>
            <w:shd w:val="clear" w:color="000000" w:fill="BFBFBF"/>
            <w:vAlign w:val="center"/>
            <w:hideMark/>
          </w:tcPr>
          <w:p w14:paraId="143A56D3" w14:textId="77777777" w:rsidR="005C28B5" w:rsidRPr="002444FA" w:rsidRDefault="005C28B5" w:rsidP="005C28B5">
            <w:pPr>
              <w:spacing w:after="0" w:line="240" w:lineRule="auto"/>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Dopad na príjmy verejnej správy celkom</w:t>
            </w:r>
          </w:p>
        </w:tc>
        <w:tc>
          <w:tcPr>
            <w:tcW w:w="570" w:type="pct"/>
            <w:tcBorders>
              <w:top w:val="nil"/>
              <w:left w:val="nil"/>
              <w:bottom w:val="single" w:sz="8" w:space="0" w:color="auto"/>
              <w:right w:val="single" w:sz="8" w:space="0" w:color="auto"/>
            </w:tcBorders>
            <w:shd w:val="clear" w:color="000000" w:fill="BFBFBF"/>
            <w:vAlign w:val="center"/>
            <w:hideMark/>
          </w:tcPr>
          <w:p w14:paraId="1D21953A" w14:textId="77777777" w:rsidR="005C28B5" w:rsidRPr="002444FA" w:rsidRDefault="005C28B5" w:rsidP="005C28B5">
            <w:pPr>
              <w:spacing w:after="0" w:line="240" w:lineRule="auto"/>
              <w:jc w:val="right"/>
              <w:rPr>
                <w:rFonts w:ascii="Times New Roman" w:eastAsia="Times New Roman" w:hAnsi="Times New Roman" w:cs="Times New Roman"/>
                <w:b/>
                <w:bCs/>
                <w:color w:val="000000"/>
                <w:sz w:val="24"/>
                <w:szCs w:val="24"/>
                <w:lang w:eastAsia="sk-SK"/>
              </w:rPr>
            </w:pPr>
            <w:r w:rsidRPr="002444FA">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000000" w:fill="BFBFBF"/>
            <w:vAlign w:val="center"/>
            <w:hideMark/>
          </w:tcPr>
          <w:p w14:paraId="2C668ADE" w14:textId="4BA607DA"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-105 000</w:t>
            </w:r>
          </w:p>
        </w:tc>
        <w:tc>
          <w:tcPr>
            <w:tcW w:w="609" w:type="pct"/>
            <w:tcBorders>
              <w:top w:val="nil"/>
              <w:left w:val="nil"/>
              <w:bottom w:val="single" w:sz="8" w:space="0" w:color="auto"/>
              <w:right w:val="single" w:sz="8" w:space="0" w:color="auto"/>
            </w:tcBorders>
            <w:shd w:val="clear" w:color="000000" w:fill="BFBFBF"/>
            <w:vAlign w:val="center"/>
            <w:hideMark/>
          </w:tcPr>
          <w:p w14:paraId="74EA3459" w14:textId="704E9EBF"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-115 500</w:t>
            </w:r>
          </w:p>
        </w:tc>
        <w:tc>
          <w:tcPr>
            <w:tcW w:w="557" w:type="pct"/>
            <w:tcBorders>
              <w:top w:val="nil"/>
              <w:left w:val="nil"/>
              <w:bottom w:val="single" w:sz="8" w:space="0" w:color="auto"/>
              <w:right w:val="single" w:sz="8" w:space="0" w:color="auto"/>
            </w:tcBorders>
            <w:shd w:val="clear" w:color="000000" w:fill="BFBFBF"/>
            <w:vAlign w:val="center"/>
            <w:hideMark/>
          </w:tcPr>
          <w:p w14:paraId="57E72208" w14:textId="3EC3E00E"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-126 000</w:t>
            </w:r>
          </w:p>
        </w:tc>
        <w:tc>
          <w:tcPr>
            <w:tcW w:w="1303" w:type="pct"/>
            <w:tcBorders>
              <w:top w:val="nil"/>
              <w:left w:val="nil"/>
              <w:bottom w:val="single" w:sz="8" w:space="0" w:color="auto"/>
              <w:right w:val="single" w:sz="8" w:space="0" w:color="auto"/>
            </w:tcBorders>
            <w:shd w:val="clear" w:color="000000" w:fill="BFBFBF"/>
            <w:noWrap/>
            <w:vAlign w:val="center"/>
            <w:hideMark/>
          </w:tcPr>
          <w:p w14:paraId="591175BB" w14:textId="77777777" w:rsidR="005C28B5" w:rsidRPr="002444FA" w:rsidRDefault="005C28B5" w:rsidP="005C28B5">
            <w:pPr>
              <w:spacing w:after="0" w:line="240" w:lineRule="auto"/>
              <w:rPr>
                <w:rFonts w:ascii="Times New Roman" w:eastAsia="Times New Roman" w:hAnsi="Times New Roman" w:cs="Times New Roman"/>
                <w:color w:val="000000"/>
                <w:sz w:val="24"/>
                <w:szCs w:val="24"/>
                <w:lang w:eastAsia="sk-SK"/>
              </w:rPr>
            </w:pPr>
            <w:r w:rsidRPr="002444FA">
              <w:rPr>
                <w:rFonts w:ascii="Times New Roman" w:eastAsia="Times New Roman" w:hAnsi="Times New Roman" w:cs="Times New Roman"/>
                <w:color w:val="000000"/>
                <w:sz w:val="24"/>
                <w:szCs w:val="24"/>
                <w:lang w:eastAsia="sk-SK"/>
              </w:rPr>
              <w:t> </w:t>
            </w:r>
          </w:p>
        </w:tc>
      </w:tr>
    </w:tbl>
    <w:p w14:paraId="4C491511" w14:textId="7B5F9D57" w:rsidR="00075752" w:rsidRDefault="0007575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1E241E33" w14:textId="77777777" w:rsidR="00E716C4" w:rsidRDefault="00E716C4"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5000" w:type="pct"/>
        <w:tblCellMar>
          <w:left w:w="70" w:type="dxa"/>
          <w:right w:w="70" w:type="dxa"/>
        </w:tblCellMar>
        <w:tblLook w:val="04A0" w:firstRow="1" w:lastRow="0" w:firstColumn="1" w:lastColumn="0" w:noHBand="0" w:noVBand="1"/>
      </w:tblPr>
      <w:tblGrid>
        <w:gridCol w:w="3676"/>
        <w:gridCol w:w="1558"/>
        <w:gridCol w:w="1843"/>
        <w:gridCol w:w="1723"/>
        <w:gridCol w:w="1524"/>
        <w:gridCol w:w="3658"/>
      </w:tblGrid>
      <w:tr w:rsidR="00E716C4" w:rsidRPr="00E716C4" w14:paraId="08BD1852" w14:textId="77777777" w:rsidTr="00E716C4">
        <w:trPr>
          <w:trHeight w:val="330"/>
        </w:trPr>
        <w:tc>
          <w:tcPr>
            <w:tcW w:w="1315"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06ADC26" w14:textId="77777777" w:rsidR="00E716C4" w:rsidRPr="00E716C4" w:rsidRDefault="00E716C4" w:rsidP="00E716C4">
            <w:pPr>
              <w:spacing w:after="0" w:line="240" w:lineRule="auto"/>
              <w:jc w:val="center"/>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Príjmy (v eurách) – MPSVR SR</w:t>
            </w:r>
          </w:p>
        </w:tc>
        <w:tc>
          <w:tcPr>
            <w:tcW w:w="2377" w:type="pct"/>
            <w:gridSpan w:val="4"/>
            <w:tcBorders>
              <w:top w:val="single" w:sz="8" w:space="0" w:color="auto"/>
              <w:left w:val="nil"/>
              <w:bottom w:val="single" w:sz="8" w:space="0" w:color="auto"/>
              <w:right w:val="single" w:sz="8" w:space="0" w:color="000000"/>
            </w:tcBorders>
            <w:shd w:val="clear" w:color="000000" w:fill="BFBFBF"/>
            <w:vAlign w:val="center"/>
            <w:hideMark/>
          </w:tcPr>
          <w:p w14:paraId="6E8C636A" w14:textId="77777777" w:rsidR="00E716C4" w:rsidRPr="00E716C4" w:rsidRDefault="00E716C4" w:rsidP="00E716C4">
            <w:pPr>
              <w:spacing w:after="0" w:line="240" w:lineRule="auto"/>
              <w:jc w:val="center"/>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Vplyv na rozpočet verejnej správy</w:t>
            </w:r>
          </w:p>
        </w:tc>
        <w:tc>
          <w:tcPr>
            <w:tcW w:w="1308" w:type="pct"/>
            <w:vMerge w:val="restart"/>
            <w:tcBorders>
              <w:top w:val="single" w:sz="8" w:space="0" w:color="auto"/>
              <w:left w:val="nil"/>
              <w:bottom w:val="single" w:sz="8" w:space="0" w:color="000000"/>
              <w:right w:val="single" w:sz="8" w:space="0" w:color="auto"/>
            </w:tcBorders>
            <w:shd w:val="clear" w:color="000000" w:fill="BFBFBF"/>
            <w:noWrap/>
            <w:vAlign w:val="center"/>
            <w:hideMark/>
          </w:tcPr>
          <w:p w14:paraId="1ACEC089" w14:textId="77777777" w:rsidR="00E716C4" w:rsidRPr="00E716C4" w:rsidRDefault="00E716C4" w:rsidP="00E716C4">
            <w:pPr>
              <w:spacing w:after="0" w:line="240" w:lineRule="auto"/>
              <w:jc w:val="center"/>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poznámka</w:t>
            </w:r>
          </w:p>
        </w:tc>
      </w:tr>
      <w:tr w:rsidR="00D530BD" w:rsidRPr="00E716C4" w14:paraId="5D3B50BD" w14:textId="77777777" w:rsidTr="00E716C4">
        <w:trPr>
          <w:trHeight w:val="330"/>
        </w:trPr>
        <w:tc>
          <w:tcPr>
            <w:tcW w:w="1315" w:type="pct"/>
            <w:vMerge/>
            <w:tcBorders>
              <w:top w:val="single" w:sz="8" w:space="0" w:color="auto"/>
              <w:left w:val="single" w:sz="8" w:space="0" w:color="auto"/>
              <w:bottom w:val="single" w:sz="8" w:space="0" w:color="000000"/>
              <w:right w:val="single" w:sz="8" w:space="0" w:color="auto"/>
            </w:tcBorders>
            <w:vAlign w:val="center"/>
            <w:hideMark/>
          </w:tcPr>
          <w:p w14:paraId="595ABF61" w14:textId="77777777" w:rsidR="00D530BD" w:rsidRPr="00E716C4" w:rsidRDefault="00D530BD" w:rsidP="00D530BD">
            <w:pPr>
              <w:spacing w:after="0" w:line="240" w:lineRule="auto"/>
              <w:rPr>
                <w:rFonts w:ascii="Times New Roman" w:eastAsia="Times New Roman" w:hAnsi="Times New Roman" w:cs="Times New Roman"/>
                <w:b/>
                <w:bCs/>
                <w:color w:val="000000"/>
                <w:sz w:val="24"/>
                <w:szCs w:val="24"/>
                <w:lang w:eastAsia="sk-SK"/>
              </w:rPr>
            </w:pPr>
          </w:p>
        </w:tc>
        <w:tc>
          <w:tcPr>
            <w:tcW w:w="557" w:type="pct"/>
            <w:tcBorders>
              <w:top w:val="nil"/>
              <w:left w:val="nil"/>
              <w:bottom w:val="single" w:sz="8" w:space="0" w:color="auto"/>
              <w:right w:val="single" w:sz="8" w:space="0" w:color="auto"/>
            </w:tcBorders>
            <w:shd w:val="clear" w:color="000000" w:fill="BFBFBF"/>
            <w:vAlign w:val="center"/>
            <w:hideMark/>
          </w:tcPr>
          <w:p w14:paraId="096CD1EB" w14:textId="4A64E75C" w:rsidR="00D530BD" w:rsidRPr="00E716C4"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2022</w:t>
            </w:r>
          </w:p>
        </w:tc>
        <w:tc>
          <w:tcPr>
            <w:tcW w:w="659" w:type="pct"/>
            <w:tcBorders>
              <w:top w:val="nil"/>
              <w:left w:val="nil"/>
              <w:bottom w:val="single" w:sz="8" w:space="0" w:color="auto"/>
              <w:right w:val="single" w:sz="8" w:space="0" w:color="auto"/>
            </w:tcBorders>
            <w:shd w:val="clear" w:color="000000" w:fill="BFBFBF"/>
            <w:vAlign w:val="center"/>
            <w:hideMark/>
          </w:tcPr>
          <w:p w14:paraId="2EBDEA81" w14:textId="29DFA4D2" w:rsidR="00D530BD" w:rsidRPr="00E716C4"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2023</w:t>
            </w:r>
          </w:p>
        </w:tc>
        <w:tc>
          <w:tcPr>
            <w:tcW w:w="616" w:type="pct"/>
            <w:tcBorders>
              <w:top w:val="nil"/>
              <w:left w:val="nil"/>
              <w:bottom w:val="single" w:sz="8" w:space="0" w:color="auto"/>
              <w:right w:val="single" w:sz="8" w:space="0" w:color="auto"/>
            </w:tcBorders>
            <w:shd w:val="clear" w:color="000000" w:fill="BFBFBF"/>
            <w:vAlign w:val="center"/>
            <w:hideMark/>
          </w:tcPr>
          <w:p w14:paraId="46DA314D" w14:textId="67314F97" w:rsidR="00D530BD" w:rsidRPr="00E716C4"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545" w:type="pct"/>
            <w:tcBorders>
              <w:top w:val="nil"/>
              <w:left w:val="nil"/>
              <w:bottom w:val="single" w:sz="8" w:space="0" w:color="auto"/>
              <w:right w:val="single" w:sz="8" w:space="0" w:color="auto"/>
            </w:tcBorders>
            <w:shd w:val="clear" w:color="000000" w:fill="BFBFBF"/>
            <w:vAlign w:val="center"/>
            <w:hideMark/>
          </w:tcPr>
          <w:p w14:paraId="3BA23A07" w14:textId="1ABD857E" w:rsidR="00D530BD" w:rsidRPr="00E716C4" w:rsidRDefault="00D530BD" w:rsidP="00D530B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308" w:type="pct"/>
            <w:vMerge/>
            <w:tcBorders>
              <w:top w:val="single" w:sz="8" w:space="0" w:color="auto"/>
              <w:left w:val="nil"/>
              <w:bottom w:val="single" w:sz="8" w:space="0" w:color="000000"/>
              <w:right w:val="single" w:sz="8" w:space="0" w:color="auto"/>
            </w:tcBorders>
            <w:vAlign w:val="center"/>
            <w:hideMark/>
          </w:tcPr>
          <w:p w14:paraId="5998FD53" w14:textId="77777777" w:rsidR="00D530BD" w:rsidRPr="00E716C4" w:rsidRDefault="00D530BD" w:rsidP="00D530BD">
            <w:pPr>
              <w:spacing w:after="0" w:line="240" w:lineRule="auto"/>
              <w:rPr>
                <w:rFonts w:ascii="Times New Roman" w:eastAsia="Times New Roman" w:hAnsi="Times New Roman" w:cs="Times New Roman"/>
                <w:b/>
                <w:bCs/>
                <w:color w:val="000000"/>
                <w:sz w:val="24"/>
                <w:szCs w:val="24"/>
                <w:lang w:eastAsia="sk-SK"/>
              </w:rPr>
            </w:pPr>
          </w:p>
        </w:tc>
      </w:tr>
      <w:tr w:rsidR="00E716C4" w:rsidRPr="00E716C4" w14:paraId="58D6E8B6" w14:textId="77777777" w:rsidTr="00E716C4">
        <w:trPr>
          <w:trHeight w:val="390"/>
        </w:trPr>
        <w:tc>
          <w:tcPr>
            <w:tcW w:w="1315" w:type="pct"/>
            <w:tcBorders>
              <w:top w:val="nil"/>
              <w:left w:val="single" w:sz="8" w:space="0" w:color="auto"/>
              <w:bottom w:val="single" w:sz="8" w:space="0" w:color="auto"/>
              <w:right w:val="single" w:sz="8" w:space="0" w:color="auto"/>
            </w:tcBorders>
            <w:shd w:val="clear" w:color="auto" w:fill="auto"/>
            <w:vAlign w:val="center"/>
            <w:hideMark/>
          </w:tcPr>
          <w:p w14:paraId="4795389A" w14:textId="77777777" w:rsidR="00E716C4" w:rsidRPr="00E716C4" w:rsidRDefault="00E716C4" w:rsidP="00E716C4">
            <w:pPr>
              <w:spacing w:after="0" w:line="240" w:lineRule="auto"/>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Daňové príjmy (100)</w:t>
            </w:r>
            <w:r w:rsidRPr="00E716C4">
              <w:rPr>
                <w:rFonts w:ascii="Times New Roman" w:eastAsia="Times New Roman" w:hAnsi="Times New Roman" w:cs="Times New Roman"/>
                <w:b/>
                <w:bCs/>
                <w:color w:val="000000"/>
                <w:sz w:val="24"/>
                <w:szCs w:val="24"/>
                <w:vertAlign w:val="superscript"/>
                <w:lang w:eastAsia="sk-SK"/>
              </w:rPr>
              <w:t>1</w:t>
            </w:r>
          </w:p>
        </w:tc>
        <w:tc>
          <w:tcPr>
            <w:tcW w:w="557" w:type="pct"/>
            <w:tcBorders>
              <w:top w:val="nil"/>
              <w:left w:val="nil"/>
              <w:bottom w:val="single" w:sz="8" w:space="0" w:color="auto"/>
              <w:right w:val="single" w:sz="8" w:space="0" w:color="auto"/>
            </w:tcBorders>
            <w:shd w:val="clear" w:color="auto" w:fill="auto"/>
            <w:vAlign w:val="center"/>
            <w:hideMark/>
          </w:tcPr>
          <w:p w14:paraId="42A952E6"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auto" w:fill="auto"/>
            <w:vAlign w:val="center"/>
            <w:hideMark/>
          </w:tcPr>
          <w:p w14:paraId="74DE0B0E"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16" w:type="pct"/>
            <w:tcBorders>
              <w:top w:val="nil"/>
              <w:left w:val="nil"/>
              <w:bottom w:val="single" w:sz="8" w:space="0" w:color="auto"/>
              <w:right w:val="single" w:sz="8" w:space="0" w:color="auto"/>
            </w:tcBorders>
            <w:shd w:val="clear" w:color="auto" w:fill="auto"/>
            <w:vAlign w:val="center"/>
            <w:hideMark/>
          </w:tcPr>
          <w:p w14:paraId="055B1F8F"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545" w:type="pct"/>
            <w:tcBorders>
              <w:top w:val="nil"/>
              <w:left w:val="nil"/>
              <w:bottom w:val="single" w:sz="8" w:space="0" w:color="auto"/>
              <w:right w:val="single" w:sz="8" w:space="0" w:color="auto"/>
            </w:tcBorders>
            <w:shd w:val="clear" w:color="auto" w:fill="auto"/>
            <w:vAlign w:val="center"/>
            <w:hideMark/>
          </w:tcPr>
          <w:p w14:paraId="13D67403"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1308" w:type="pct"/>
            <w:tcBorders>
              <w:top w:val="nil"/>
              <w:left w:val="nil"/>
              <w:bottom w:val="single" w:sz="8" w:space="0" w:color="auto"/>
              <w:right w:val="single" w:sz="8" w:space="0" w:color="auto"/>
            </w:tcBorders>
            <w:shd w:val="clear" w:color="auto" w:fill="auto"/>
            <w:noWrap/>
            <w:vAlign w:val="center"/>
            <w:hideMark/>
          </w:tcPr>
          <w:p w14:paraId="252D605F" w14:textId="77777777" w:rsidR="00E716C4" w:rsidRPr="00E716C4" w:rsidRDefault="00E716C4" w:rsidP="00E716C4">
            <w:pPr>
              <w:spacing w:after="0" w:line="240" w:lineRule="auto"/>
              <w:rPr>
                <w:rFonts w:ascii="Times New Roman" w:eastAsia="Times New Roman" w:hAnsi="Times New Roman" w:cs="Times New Roman"/>
                <w:color w:val="000000"/>
                <w:sz w:val="24"/>
                <w:szCs w:val="24"/>
                <w:lang w:eastAsia="sk-SK"/>
              </w:rPr>
            </w:pPr>
            <w:r w:rsidRPr="00E716C4">
              <w:rPr>
                <w:rFonts w:ascii="Times New Roman" w:eastAsia="Times New Roman" w:hAnsi="Times New Roman" w:cs="Times New Roman"/>
                <w:color w:val="000000"/>
                <w:sz w:val="24"/>
                <w:szCs w:val="24"/>
                <w:lang w:eastAsia="sk-SK"/>
              </w:rPr>
              <w:t> </w:t>
            </w:r>
          </w:p>
        </w:tc>
      </w:tr>
      <w:tr w:rsidR="00E716C4" w:rsidRPr="00E716C4" w14:paraId="28524315" w14:textId="77777777" w:rsidTr="00E716C4">
        <w:trPr>
          <w:trHeight w:val="390"/>
        </w:trPr>
        <w:tc>
          <w:tcPr>
            <w:tcW w:w="1315" w:type="pct"/>
            <w:tcBorders>
              <w:top w:val="nil"/>
              <w:left w:val="single" w:sz="8" w:space="0" w:color="auto"/>
              <w:bottom w:val="single" w:sz="8" w:space="0" w:color="auto"/>
              <w:right w:val="single" w:sz="8" w:space="0" w:color="auto"/>
            </w:tcBorders>
            <w:shd w:val="clear" w:color="auto" w:fill="auto"/>
            <w:vAlign w:val="center"/>
            <w:hideMark/>
          </w:tcPr>
          <w:p w14:paraId="47AA83E8" w14:textId="77777777" w:rsidR="00E716C4" w:rsidRPr="00E716C4" w:rsidRDefault="00E716C4" w:rsidP="00E716C4">
            <w:pPr>
              <w:spacing w:after="0" w:line="240" w:lineRule="auto"/>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Nedaňové príjmy (200)</w:t>
            </w:r>
            <w:r w:rsidRPr="00E716C4">
              <w:rPr>
                <w:rFonts w:ascii="Times New Roman" w:eastAsia="Times New Roman" w:hAnsi="Times New Roman" w:cs="Times New Roman"/>
                <w:b/>
                <w:bCs/>
                <w:color w:val="000000"/>
                <w:sz w:val="24"/>
                <w:szCs w:val="24"/>
                <w:vertAlign w:val="superscript"/>
                <w:lang w:eastAsia="sk-SK"/>
              </w:rPr>
              <w:t>1</w:t>
            </w:r>
          </w:p>
        </w:tc>
        <w:tc>
          <w:tcPr>
            <w:tcW w:w="557" w:type="pct"/>
            <w:tcBorders>
              <w:top w:val="nil"/>
              <w:left w:val="nil"/>
              <w:bottom w:val="single" w:sz="8" w:space="0" w:color="auto"/>
              <w:right w:val="single" w:sz="8" w:space="0" w:color="auto"/>
            </w:tcBorders>
            <w:shd w:val="clear" w:color="auto" w:fill="auto"/>
            <w:vAlign w:val="center"/>
            <w:hideMark/>
          </w:tcPr>
          <w:p w14:paraId="7393236F"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auto" w:fill="auto"/>
            <w:vAlign w:val="center"/>
            <w:hideMark/>
          </w:tcPr>
          <w:p w14:paraId="6EC35674"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16" w:type="pct"/>
            <w:tcBorders>
              <w:top w:val="nil"/>
              <w:left w:val="nil"/>
              <w:bottom w:val="single" w:sz="8" w:space="0" w:color="auto"/>
              <w:right w:val="single" w:sz="8" w:space="0" w:color="auto"/>
            </w:tcBorders>
            <w:shd w:val="clear" w:color="auto" w:fill="auto"/>
            <w:vAlign w:val="center"/>
            <w:hideMark/>
          </w:tcPr>
          <w:p w14:paraId="56D8872A"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545" w:type="pct"/>
            <w:tcBorders>
              <w:top w:val="nil"/>
              <w:left w:val="nil"/>
              <w:bottom w:val="single" w:sz="8" w:space="0" w:color="auto"/>
              <w:right w:val="single" w:sz="8" w:space="0" w:color="auto"/>
            </w:tcBorders>
            <w:shd w:val="clear" w:color="auto" w:fill="auto"/>
            <w:vAlign w:val="center"/>
            <w:hideMark/>
          </w:tcPr>
          <w:p w14:paraId="4BC64D2B"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1308" w:type="pct"/>
            <w:tcBorders>
              <w:top w:val="nil"/>
              <w:left w:val="nil"/>
              <w:bottom w:val="single" w:sz="8" w:space="0" w:color="auto"/>
              <w:right w:val="single" w:sz="8" w:space="0" w:color="auto"/>
            </w:tcBorders>
            <w:shd w:val="clear" w:color="auto" w:fill="auto"/>
            <w:noWrap/>
            <w:vAlign w:val="center"/>
            <w:hideMark/>
          </w:tcPr>
          <w:p w14:paraId="118B4E94" w14:textId="77777777" w:rsidR="00E716C4" w:rsidRPr="00E716C4" w:rsidRDefault="00E716C4" w:rsidP="00E716C4">
            <w:pPr>
              <w:spacing w:after="0" w:line="240" w:lineRule="auto"/>
              <w:rPr>
                <w:rFonts w:ascii="Times New Roman" w:eastAsia="Times New Roman" w:hAnsi="Times New Roman" w:cs="Times New Roman"/>
                <w:color w:val="000000"/>
                <w:sz w:val="24"/>
                <w:szCs w:val="24"/>
                <w:lang w:eastAsia="sk-SK"/>
              </w:rPr>
            </w:pPr>
            <w:r w:rsidRPr="00E716C4">
              <w:rPr>
                <w:rFonts w:ascii="Times New Roman" w:eastAsia="Times New Roman" w:hAnsi="Times New Roman" w:cs="Times New Roman"/>
                <w:color w:val="000000"/>
                <w:sz w:val="24"/>
                <w:szCs w:val="24"/>
                <w:lang w:eastAsia="sk-SK"/>
              </w:rPr>
              <w:t> </w:t>
            </w:r>
          </w:p>
        </w:tc>
      </w:tr>
      <w:tr w:rsidR="005C28B5" w:rsidRPr="00E716C4" w14:paraId="6F0868B5" w14:textId="77777777" w:rsidTr="00E716C4">
        <w:trPr>
          <w:trHeight w:val="525"/>
        </w:trPr>
        <w:tc>
          <w:tcPr>
            <w:tcW w:w="1315" w:type="pct"/>
            <w:tcBorders>
              <w:top w:val="nil"/>
              <w:left w:val="single" w:sz="8" w:space="0" w:color="auto"/>
              <w:bottom w:val="single" w:sz="8" w:space="0" w:color="auto"/>
              <w:right w:val="single" w:sz="8" w:space="0" w:color="auto"/>
            </w:tcBorders>
            <w:shd w:val="clear" w:color="auto" w:fill="auto"/>
            <w:vAlign w:val="center"/>
            <w:hideMark/>
          </w:tcPr>
          <w:p w14:paraId="76E442C2" w14:textId="77777777" w:rsidR="005C28B5" w:rsidRPr="00E716C4" w:rsidRDefault="005C28B5" w:rsidP="005C28B5">
            <w:pPr>
              <w:spacing w:after="0" w:line="240" w:lineRule="auto"/>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Granty a transfery (300)</w:t>
            </w:r>
            <w:r w:rsidRPr="00E716C4">
              <w:rPr>
                <w:rFonts w:ascii="Times New Roman" w:eastAsia="Times New Roman" w:hAnsi="Times New Roman" w:cs="Times New Roman"/>
                <w:b/>
                <w:bCs/>
                <w:color w:val="000000"/>
                <w:sz w:val="24"/>
                <w:szCs w:val="24"/>
                <w:vertAlign w:val="superscript"/>
                <w:lang w:eastAsia="sk-SK"/>
              </w:rPr>
              <w:t>1</w:t>
            </w:r>
          </w:p>
        </w:tc>
        <w:tc>
          <w:tcPr>
            <w:tcW w:w="557" w:type="pct"/>
            <w:tcBorders>
              <w:top w:val="nil"/>
              <w:left w:val="nil"/>
              <w:bottom w:val="single" w:sz="8" w:space="0" w:color="auto"/>
              <w:right w:val="single" w:sz="8" w:space="0" w:color="auto"/>
            </w:tcBorders>
            <w:shd w:val="clear" w:color="auto" w:fill="auto"/>
            <w:vAlign w:val="center"/>
            <w:hideMark/>
          </w:tcPr>
          <w:p w14:paraId="2DE20D48" w14:textId="77777777" w:rsidR="005C28B5" w:rsidRPr="00E716C4" w:rsidRDefault="005C28B5" w:rsidP="005C28B5">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auto" w:fill="auto"/>
            <w:vAlign w:val="center"/>
            <w:hideMark/>
          </w:tcPr>
          <w:p w14:paraId="54243FEC" w14:textId="1D08CADA"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-7 668 455</w:t>
            </w:r>
          </w:p>
        </w:tc>
        <w:tc>
          <w:tcPr>
            <w:tcW w:w="616" w:type="pct"/>
            <w:tcBorders>
              <w:top w:val="nil"/>
              <w:left w:val="nil"/>
              <w:bottom w:val="single" w:sz="8" w:space="0" w:color="auto"/>
              <w:right w:val="single" w:sz="8" w:space="0" w:color="auto"/>
            </w:tcBorders>
            <w:shd w:val="clear" w:color="auto" w:fill="auto"/>
            <w:vAlign w:val="center"/>
            <w:hideMark/>
          </w:tcPr>
          <w:p w14:paraId="0DB5267E" w14:textId="35B836FE"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-8 524 962</w:t>
            </w:r>
          </w:p>
        </w:tc>
        <w:tc>
          <w:tcPr>
            <w:tcW w:w="545" w:type="pct"/>
            <w:tcBorders>
              <w:top w:val="nil"/>
              <w:left w:val="nil"/>
              <w:bottom w:val="single" w:sz="8" w:space="0" w:color="auto"/>
              <w:right w:val="single" w:sz="8" w:space="0" w:color="auto"/>
            </w:tcBorders>
            <w:shd w:val="clear" w:color="auto" w:fill="auto"/>
            <w:vAlign w:val="center"/>
            <w:hideMark/>
          </w:tcPr>
          <w:p w14:paraId="79925682" w14:textId="02EF10A9"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-10 394 203</w:t>
            </w:r>
          </w:p>
        </w:tc>
        <w:tc>
          <w:tcPr>
            <w:tcW w:w="1308" w:type="pct"/>
            <w:tcBorders>
              <w:top w:val="nil"/>
              <w:left w:val="nil"/>
              <w:bottom w:val="single" w:sz="8" w:space="0" w:color="auto"/>
              <w:right w:val="single" w:sz="8" w:space="0" w:color="auto"/>
            </w:tcBorders>
            <w:shd w:val="clear" w:color="auto" w:fill="auto"/>
            <w:vAlign w:val="center"/>
            <w:hideMark/>
          </w:tcPr>
          <w:p w14:paraId="7E0DB5E7" w14:textId="77777777" w:rsidR="005C28B5" w:rsidRPr="00E716C4" w:rsidRDefault="005C28B5" w:rsidP="005C28B5">
            <w:pPr>
              <w:spacing w:after="0" w:line="240" w:lineRule="auto"/>
              <w:rPr>
                <w:rFonts w:ascii="Times New Roman" w:eastAsia="Times New Roman" w:hAnsi="Times New Roman" w:cs="Times New Roman"/>
                <w:color w:val="000000"/>
                <w:sz w:val="20"/>
                <w:szCs w:val="20"/>
                <w:lang w:eastAsia="sk-SK"/>
              </w:rPr>
            </w:pPr>
            <w:r w:rsidRPr="00E716C4">
              <w:rPr>
                <w:rFonts w:ascii="Times New Roman" w:eastAsia="Times New Roman" w:hAnsi="Times New Roman" w:cs="Times New Roman"/>
                <w:color w:val="000000"/>
                <w:sz w:val="20"/>
                <w:szCs w:val="20"/>
                <w:lang w:eastAsia="sk-SK"/>
              </w:rPr>
              <w:t>Zníženie príjmov z EÚ zdrojov v súvislosti so znížením výdavkov.</w:t>
            </w:r>
          </w:p>
        </w:tc>
      </w:tr>
      <w:tr w:rsidR="00E716C4" w:rsidRPr="00E716C4" w14:paraId="4B126F0F" w14:textId="77777777" w:rsidTr="00E716C4">
        <w:trPr>
          <w:trHeight w:val="960"/>
        </w:trPr>
        <w:tc>
          <w:tcPr>
            <w:tcW w:w="1315" w:type="pct"/>
            <w:tcBorders>
              <w:top w:val="nil"/>
              <w:left w:val="single" w:sz="8" w:space="0" w:color="auto"/>
              <w:bottom w:val="single" w:sz="8" w:space="0" w:color="auto"/>
              <w:right w:val="single" w:sz="8" w:space="0" w:color="auto"/>
            </w:tcBorders>
            <w:shd w:val="clear" w:color="auto" w:fill="auto"/>
            <w:vAlign w:val="center"/>
            <w:hideMark/>
          </w:tcPr>
          <w:p w14:paraId="30A5E975" w14:textId="77777777" w:rsidR="00E716C4" w:rsidRPr="00E716C4" w:rsidRDefault="00E716C4" w:rsidP="00E716C4">
            <w:pPr>
              <w:spacing w:after="0" w:line="240" w:lineRule="auto"/>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Príjmy z transakcií s finančnými aktívami a finančnými pasívami (400)</w:t>
            </w:r>
          </w:p>
        </w:tc>
        <w:tc>
          <w:tcPr>
            <w:tcW w:w="557" w:type="pct"/>
            <w:tcBorders>
              <w:top w:val="nil"/>
              <w:left w:val="nil"/>
              <w:bottom w:val="single" w:sz="8" w:space="0" w:color="auto"/>
              <w:right w:val="single" w:sz="8" w:space="0" w:color="auto"/>
            </w:tcBorders>
            <w:shd w:val="clear" w:color="000000" w:fill="FFFF99"/>
            <w:vAlign w:val="center"/>
            <w:hideMark/>
          </w:tcPr>
          <w:p w14:paraId="67F9F129"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000000" w:fill="FFFF99"/>
            <w:vAlign w:val="center"/>
            <w:hideMark/>
          </w:tcPr>
          <w:p w14:paraId="7AA5B2EB"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16" w:type="pct"/>
            <w:tcBorders>
              <w:top w:val="nil"/>
              <w:left w:val="nil"/>
              <w:bottom w:val="single" w:sz="8" w:space="0" w:color="auto"/>
              <w:right w:val="single" w:sz="8" w:space="0" w:color="auto"/>
            </w:tcBorders>
            <w:shd w:val="clear" w:color="000000" w:fill="FFFF99"/>
            <w:vAlign w:val="center"/>
            <w:hideMark/>
          </w:tcPr>
          <w:p w14:paraId="41CDD955"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545" w:type="pct"/>
            <w:tcBorders>
              <w:top w:val="nil"/>
              <w:left w:val="nil"/>
              <w:bottom w:val="single" w:sz="8" w:space="0" w:color="auto"/>
              <w:right w:val="single" w:sz="8" w:space="0" w:color="auto"/>
            </w:tcBorders>
            <w:shd w:val="clear" w:color="000000" w:fill="FFFF99"/>
            <w:vAlign w:val="center"/>
            <w:hideMark/>
          </w:tcPr>
          <w:p w14:paraId="11176461"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1308" w:type="pct"/>
            <w:tcBorders>
              <w:top w:val="nil"/>
              <w:left w:val="nil"/>
              <w:bottom w:val="single" w:sz="8" w:space="0" w:color="auto"/>
              <w:right w:val="single" w:sz="8" w:space="0" w:color="auto"/>
            </w:tcBorders>
            <w:shd w:val="clear" w:color="auto" w:fill="auto"/>
            <w:noWrap/>
            <w:vAlign w:val="center"/>
            <w:hideMark/>
          </w:tcPr>
          <w:p w14:paraId="49729030" w14:textId="77777777" w:rsidR="00E716C4" w:rsidRPr="00E716C4" w:rsidRDefault="00E716C4" w:rsidP="00E716C4">
            <w:pPr>
              <w:spacing w:after="0" w:line="240" w:lineRule="auto"/>
              <w:rPr>
                <w:rFonts w:ascii="Times New Roman" w:eastAsia="Times New Roman" w:hAnsi="Times New Roman" w:cs="Times New Roman"/>
                <w:color w:val="000000"/>
                <w:sz w:val="24"/>
                <w:szCs w:val="24"/>
                <w:lang w:eastAsia="sk-SK"/>
              </w:rPr>
            </w:pPr>
            <w:r w:rsidRPr="00E716C4">
              <w:rPr>
                <w:rFonts w:ascii="Times New Roman" w:eastAsia="Times New Roman" w:hAnsi="Times New Roman" w:cs="Times New Roman"/>
                <w:color w:val="000000"/>
                <w:sz w:val="24"/>
                <w:szCs w:val="24"/>
                <w:lang w:eastAsia="sk-SK"/>
              </w:rPr>
              <w:t> </w:t>
            </w:r>
          </w:p>
        </w:tc>
      </w:tr>
      <w:tr w:rsidR="00E716C4" w:rsidRPr="00E716C4" w14:paraId="1746E6EF" w14:textId="77777777" w:rsidTr="00E716C4">
        <w:trPr>
          <w:trHeight w:val="645"/>
        </w:trPr>
        <w:tc>
          <w:tcPr>
            <w:tcW w:w="1315" w:type="pct"/>
            <w:tcBorders>
              <w:top w:val="nil"/>
              <w:left w:val="single" w:sz="8" w:space="0" w:color="auto"/>
              <w:bottom w:val="single" w:sz="8" w:space="0" w:color="auto"/>
              <w:right w:val="single" w:sz="8" w:space="0" w:color="auto"/>
            </w:tcBorders>
            <w:shd w:val="clear" w:color="auto" w:fill="auto"/>
            <w:vAlign w:val="center"/>
            <w:hideMark/>
          </w:tcPr>
          <w:p w14:paraId="1D3B6253" w14:textId="77777777" w:rsidR="00E716C4" w:rsidRPr="00E716C4" w:rsidRDefault="00E716C4" w:rsidP="00E716C4">
            <w:pPr>
              <w:spacing w:after="0" w:line="240" w:lineRule="auto"/>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Prijaté úvery, pôžičky a návratné finančné výpomoci (500)</w:t>
            </w:r>
          </w:p>
        </w:tc>
        <w:tc>
          <w:tcPr>
            <w:tcW w:w="557" w:type="pct"/>
            <w:tcBorders>
              <w:top w:val="nil"/>
              <w:left w:val="nil"/>
              <w:bottom w:val="single" w:sz="8" w:space="0" w:color="auto"/>
              <w:right w:val="single" w:sz="8" w:space="0" w:color="auto"/>
            </w:tcBorders>
            <w:shd w:val="clear" w:color="000000" w:fill="FFFF99"/>
            <w:vAlign w:val="center"/>
            <w:hideMark/>
          </w:tcPr>
          <w:p w14:paraId="0A37D5C2"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000000" w:fill="FFFF99"/>
            <w:vAlign w:val="center"/>
            <w:hideMark/>
          </w:tcPr>
          <w:p w14:paraId="1B103185"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16" w:type="pct"/>
            <w:tcBorders>
              <w:top w:val="nil"/>
              <w:left w:val="nil"/>
              <w:bottom w:val="single" w:sz="8" w:space="0" w:color="auto"/>
              <w:right w:val="single" w:sz="8" w:space="0" w:color="auto"/>
            </w:tcBorders>
            <w:shd w:val="clear" w:color="000000" w:fill="FFFF99"/>
            <w:vAlign w:val="center"/>
            <w:hideMark/>
          </w:tcPr>
          <w:p w14:paraId="57487E14"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545" w:type="pct"/>
            <w:tcBorders>
              <w:top w:val="nil"/>
              <w:left w:val="nil"/>
              <w:bottom w:val="single" w:sz="8" w:space="0" w:color="auto"/>
              <w:right w:val="single" w:sz="8" w:space="0" w:color="auto"/>
            </w:tcBorders>
            <w:shd w:val="clear" w:color="000000" w:fill="FFFF99"/>
            <w:vAlign w:val="center"/>
            <w:hideMark/>
          </w:tcPr>
          <w:p w14:paraId="1319990A" w14:textId="77777777" w:rsidR="00E716C4" w:rsidRPr="00E716C4" w:rsidRDefault="00E716C4" w:rsidP="00E716C4">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1308" w:type="pct"/>
            <w:tcBorders>
              <w:top w:val="nil"/>
              <w:left w:val="nil"/>
              <w:bottom w:val="single" w:sz="8" w:space="0" w:color="auto"/>
              <w:right w:val="single" w:sz="8" w:space="0" w:color="auto"/>
            </w:tcBorders>
            <w:shd w:val="clear" w:color="auto" w:fill="auto"/>
            <w:noWrap/>
            <w:vAlign w:val="center"/>
            <w:hideMark/>
          </w:tcPr>
          <w:p w14:paraId="5810CAF4" w14:textId="77777777" w:rsidR="00E716C4" w:rsidRPr="00E716C4" w:rsidRDefault="00E716C4" w:rsidP="00E716C4">
            <w:pPr>
              <w:spacing w:after="0" w:line="240" w:lineRule="auto"/>
              <w:rPr>
                <w:rFonts w:ascii="Times New Roman" w:eastAsia="Times New Roman" w:hAnsi="Times New Roman" w:cs="Times New Roman"/>
                <w:color w:val="000000"/>
                <w:sz w:val="24"/>
                <w:szCs w:val="24"/>
                <w:lang w:eastAsia="sk-SK"/>
              </w:rPr>
            </w:pPr>
            <w:r w:rsidRPr="00E716C4">
              <w:rPr>
                <w:rFonts w:ascii="Times New Roman" w:eastAsia="Times New Roman" w:hAnsi="Times New Roman" w:cs="Times New Roman"/>
                <w:color w:val="000000"/>
                <w:sz w:val="24"/>
                <w:szCs w:val="24"/>
                <w:lang w:eastAsia="sk-SK"/>
              </w:rPr>
              <w:t> </w:t>
            </w:r>
          </w:p>
        </w:tc>
      </w:tr>
      <w:tr w:rsidR="005C28B5" w:rsidRPr="00E716C4" w14:paraId="0CF65A81" w14:textId="77777777" w:rsidTr="00E716C4">
        <w:trPr>
          <w:trHeight w:val="645"/>
        </w:trPr>
        <w:tc>
          <w:tcPr>
            <w:tcW w:w="1315" w:type="pct"/>
            <w:tcBorders>
              <w:top w:val="nil"/>
              <w:left w:val="single" w:sz="8" w:space="0" w:color="auto"/>
              <w:bottom w:val="single" w:sz="8" w:space="0" w:color="auto"/>
              <w:right w:val="single" w:sz="8" w:space="0" w:color="auto"/>
            </w:tcBorders>
            <w:shd w:val="clear" w:color="000000" w:fill="BFBFBF"/>
            <w:vAlign w:val="center"/>
            <w:hideMark/>
          </w:tcPr>
          <w:p w14:paraId="16160EB5" w14:textId="77777777" w:rsidR="005C28B5" w:rsidRPr="00E716C4" w:rsidRDefault="005C28B5" w:rsidP="005C28B5">
            <w:pPr>
              <w:spacing w:after="0" w:line="240" w:lineRule="auto"/>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Dopad na príjmy verejnej správy celkom</w:t>
            </w:r>
          </w:p>
        </w:tc>
        <w:tc>
          <w:tcPr>
            <w:tcW w:w="557" w:type="pct"/>
            <w:tcBorders>
              <w:top w:val="nil"/>
              <w:left w:val="nil"/>
              <w:bottom w:val="single" w:sz="8" w:space="0" w:color="auto"/>
              <w:right w:val="single" w:sz="8" w:space="0" w:color="auto"/>
            </w:tcBorders>
            <w:shd w:val="clear" w:color="000000" w:fill="BFBFBF"/>
            <w:vAlign w:val="center"/>
            <w:hideMark/>
          </w:tcPr>
          <w:p w14:paraId="673EEBDA" w14:textId="77777777" w:rsidR="005C28B5" w:rsidRPr="00E716C4" w:rsidRDefault="005C28B5" w:rsidP="005C28B5">
            <w:pPr>
              <w:spacing w:after="0" w:line="240" w:lineRule="auto"/>
              <w:jc w:val="right"/>
              <w:rPr>
                <w:rFonts w:ascii="Times New Roman" w:eastAsia="Times New Roman" w:hAnsi="Times New Roman" w:cs="Times New Roman"/>
                <w:b/>
                <w:bCs/>
                <w:color w:val="000000"/>
                <w:sz w:val="24"/>
                <w:szCs w:val="24"/>
                <w:lang w:eastAsia="sk-SK"/>
              </w:rPr>
            </w:pPr>
            <w:r w:rsidRPr="00E716C4">
              <w:rPr>
                <w:rFonts w:ascii="Times New Roman" w:eastAsia="Times New Roman" w:hAnsi="Times New Roman" w:cs="Times New Roman"/>
                <w:b/>
                <w:bCs/>
                <w:color w:val="000000"/>
                <w:sz w:val="24"/>
                <w:szCs w:val="24"/>
                <w:lang w:eastAsia="sk-SK"/>
              </w:rPr>
              <w:t>0</w:t>
            </w:r>
          </w:p>
        </w:tc>
        <w:tc>
          <w:tcPr>
            <w:tcW w:w="659" w:type="pct"/>
            <w:tcBorders>
              <w:top w:val="nil"/>
              <w:left w:val="nil"/>
              <w:bottom w:val="single" w:sz="8" w:space="0" w:color="auto"/>
              <w:right w:val="single" w:sz="8" w:space="0" w:color="auto"/>
            </w:tcBorders>
            <w:shd w:val="clear" w:color="000000" w:fill="BFBFBF"/>
            <w:vAlign w:val="center"/>
            <w:hideMark/>
          </w:tcPr>
          <w:p w14:paraId="73EAE994" w14:textId="67DCD6D4"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-7 668 455</w:t>
            </w:r>
          </w:p>
        </w:tc>
        <w:tc>
          <w:tcPr>
            <w:tcW w:w="616" w:type="pct"/>
            <w:tcBorders>
              <w:top w:val="nil"/>
              <w:left w:val="nil"/>
              <w:bottom w:val="single" w:sz="8" w:space="0" w:color="auto"/>
              <w:right w:val="single" w:sz="8" w:space="0" w:color="auto"/>
            </w:tcBorders>
            <w:shd w:val="clear" w:color="000000" w:fill="BFBFBF"/>
            <w:vAlign w:val="center"/>
            <w:hideMark/>
          </w:tcPr>
          <w:p w14:paraId="160FB560" w14:textId="5DE504F0"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-8 524 962</w:t>
            </w:r>
          </w:p>
        </w:tc>
        <w:tc>
          <w:tcPr>
            <w:tcW w:w="545" w:type="pct"/>
            <w:tcBorders>
              <w:top w:val="nil"/>
              <w:left w:val="nil"/>
              <w:bottom w:val="single" w:sz="8" w:space="0" w:color="auto"/>
              <w:right w:val="single" w:sz="8" w:space="0" w:color="auto"/>
            </w:tcBorders>
            <w:shd w:val="clear" w:color="000000" w:fill="BFBFBF"/>
            <w:vAlign w:val="center"/>
            <w:hideMark/>
          </w:tcPr>
          <w:p w14:paraId="73ADD8D9" w14:textId="08879630" w:rsidR="005C28B5" w:rsidRPr="005C28B5" w:rsidRDefault="005C28B5" w:rsidP="005C28B5">
            <w:pPr>
              <w:spacing w:after="0" w:line="240" w:lineRule="auto"/>
              <w:jc w:val="right"/>
              <w:rPr>
                <w:rFonts w:ascii="Times New Roman" w:eastAsia="Times New Roman" w:hAnsi="Times New Roman" w:cs="Times New Roman"/>
                <w:b/>
                <w:color w:val="000000"/>
                <w:sz w:val="24"/>
                <w:szCs w:val="24"/>
                <w:lang w:eastAsia="sk-SK"/>
              </w:rPr>
            </w:pPr>
            <w:r w:rsidRPr="005C28B5">
              <w:rPr>
                <w:rFonts w:ascii="Times New Roman" w:eastAsia="Times New Roman" w:hAnsi="Times New Roman" w:cs="Times New Roman"/>
                <w:b/>
                <w:color w:val="000000"/>
                <w:sz w:val="24"/>
                <w:szCs w:val="24"/>
                <w:lang w:eastAsia="sk-SK"/>
              </w:rPr>
              <w:t>-10 394 203</w:t>
            </w:r>
          </w:p>
        </w:tc>
        <w:tc>
          <w:tcPr>
            <w:tcW w:w="1308" w:type="pct"/>
            <w:tcBorders>
              <w:top w:val="nil"/>
              <w:left w:val="nil"/>
              <w:bottom w:val="single" w:sz="8" w:space="0" w:color="auto"/>
              <w:right w:val="single" w:sz="8" w:space="0" w:color="auto"/>
            </w:tcBorders>
            <w:shd w:val="clear" w:color="000000" w:fill="BFBFBF"/>
            <w:noWrap/>
            <w:vAlign w:val="center"/>
            <w:hideMark/>
          </w:tcPr>
          <w:p w14:paraId="6F64E6C7" w14:textId="77777777" w:rsidR="005C28B5" w:rsidRPr="00E716C4" w:rsidRDefault="005C28B5" w:rsidP="005C28B5">
            <w:pPr>
              <w:spacing w:after="0" w:line="240" w:lineRule="auto"/>
              <w:rPr>
                <w:rFonts w:ascii="Times New Roman" w:eastAsia="Times New Roman" w:hAnsi="Times New Roman" w:cs="Times New Roman"/>
                <w:color w:val="000000"/>
                <w:sz w:val="24"/>
                <w:szCs w:val="24"/>
                <w:lang w:eastAsia="sk-SK"/>
              </w:rPr>
            </w:pPr>
            <w:r w:rsidRPr="00E716C4">
              <w:rPr>
                <w:rFonts w:ascii="Times New Roman" w:eastAsia="Times New Roman" w:hAnsi="Times New Roman" w:cs="Times New Roman"/>
                <w:color w:val="000000"/>
                <w:sz w:val="24"/>
                <w:szCs w:val="24"/>
                <w:lang w:eastAsia="sk-SK"/>
              </w:rPr>
              <w:t> </w:t>
            </w:r>
          </w:p>
        </w:tc>
      </w:tr>
    </w:tbl>
    <w:p w14:paraId="65BAE039" w14:textId="05D613BC" w:rsidR="00E716C4" w:rsidRDefault="00E716C4"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1985F8C" w14:textId="70CED397" w:rsidR="00075752" w:rsidRDefault="00075752"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99828D0" w14:textId="77777777" w:rsidR="00075752" w:rsidRDefault="00075752" w:rsidP="007D5748">
      <w:pPr>
        <w:tabs>
          <w:tab w:val="num" w:pos="1080"/>
        </w:tabs>
        <w:spacing w:after="0" w:line="240" w:lineRule="auto"/>
        <w:jc w:val="both"/>
        <w:rPr>
          <w:rFonts w:ascii="Times New Roman" w:eastAsia="Times New Roman" w:hAnsi="Times New Roman" w:cs="Times New Roman"/>
          <w:bCs/>
          <w:sz w:val="24"/>
          <w:szCs w:val="20"/>
          <w:lang w:eastAsia="sk-SK"/>
        </w:rPr>
        <w:sectPr w:rsidR="00075752">
          <w:pgSz w:w="16838" w:h="11906" w:orient="landscape"/>
          <w:pgMar w:top="1418" w:right="1418" w:bottom="1418" w:left="1418" w:header="709" w:footer="709" w:gutter="0"/>
          <w:cols w:space="708"/>
          <w:docGrid w:linePitch="360"/>
        </w:sectPr>
      </w:pPr>
    </w:p>
    <w:p w14:paraId="2ECE2243" w14:textId="77777777" w:rsidR="00727B20" w:rsidRPr="007D5748" w:rsidRDefault="00727B20"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F0841BE" w14:textId="631407A4" w:rsidR="00E85585" w:rsidRDefault="00E85585" w:rsidP="00E85585">
      <w:pPr>
        <w:spacing w:after="0" w:line="240" w:lineRule="auto"/>
        <w:rPr>
          <w:rFonts w:ascii="Times New Roman" w:hAnsi="Times New Roman" w:cs="Verdana"/>
          <w:b/>
          <w:bCs/>
          <w:iCs/>
          <w:sz w:val="24"/>
          <w:szCs w:val="24"/>
        </w:rPr>
      </w:pPr>
      <w:r>
        <w:rPr>
          <w:rFonts w:ascii="Times New Roman" w:hAnsi="Times New Roman" w:cs="Verdana"/>
          <w:b/>
          <w:bCs/>
          <w:iCs/>
          <w:sz w:val="24"/>
          <w:szCs w:val="24"/>
        </w:rPr>
        <w:t>2.2.4.2 Kvantifikácia výdavkov</w:t>
      </w:r>
    </w:p>
    <w:p w14:paraId="7D272DC6" w14:textId="77777777" w:rsidR="00E85585" w:rsidRDefault="00E85585" w:rsidP="00E85585">
      <w:pPr>
        <w:spacing w:after="0" w:line="240" w:lineRule="auto"/>
        <w:rPr>
          <w:rFonts w:ascii="Times New Roman" w:hAnsi="Times New Roman" w:cs="Verdana"/>
          <w:b/>
          <w:bCs/>
          <w:iCs/>
          <w:sz w:val="24"/>
          <w:szCs w:val="24"/>
        </w:rPr>
      </w:pPr>
    </w:p>
    <w:p w14:paraId="5D7C6F22" w14:textId="124983EC" w:rsidR="00010307" w:rsidRPr="00D15F15" w:rsidRDefault="00D15F15" w:rsidP="00E85585">
      <w:pPr>
        <w:spacing w:after="0" w:line="240" w:lineRule="auto"/>
        <w:rPr>
          <w:rFonts w:ascii="Times New Roman" w:hAnsi="Times New Roman" w:cs="Verdana"/>
          <w:b/>
          <w:bCs/>
          <w:iCs/>
          <w:sz w:val="24"/>
          <w:szCs w:val="24"/>
          <w:u w:val="single"/>
        </w:rPr>
      </w:pPr>
      <w:r w:rsidRPr="00D15F15">
        <w:rPr>
          <w:rFonts w:ascii="Times New Roman" w:hAnsi="Times New Roman" w:cs="Verdana"/>
          <w:b/>
          <w:bCs/>
          <w:iCs/>
          <w:sz w:val="24"/>
          <w:szCs w:val="24"/>
          <w:u w:val="single"/>
        </w:rPr>
        <w:t>Sociálna ekonomika</w:t>
      </w:r>
    </w:p>
    <w:p w14:paraId="0BFA50EF" w14:textId="77777777" w:rsidR="00D15F15" w:rsidRDefault="00D15F15" w:rsidP="00E85585">
      <w:pPr>
        <w:spacing w:after="0" w:line="240" w:lineRule="auto"/>
        <w:rPr>
          <w:rFonts w:ascii="Times New Roman" w:hAnsi="Times New Roman" w:cs="Verdana"/>
          <w:b/>
          <w:bCs/>
          <w:iCs/>
          <w:color w:val="FF0000"/>
          <w:sz w:val="24"/>
          <w:szCs w:val="24"/>
        </w:rPr>
      </w:pPr>
    </w:p>
    <w:p w14:paraId="6193E59B" w14:textId="1290368C" w:rsidR="00496A72" w:rsidRPr="00496A72" w:rsidRDefault="00496A72" w:rsidP="00496A72">
      <w:pPr>
        <w:jc w:val="both"/>
        <w:rPr>
          <w:rFonts w:ascii="Times New Roman" w:hAnsi="Times New Roman" w:cs="Times New Roman"/>
          <w:b/>
          <w:sz w:val="24"/>
          <w:szCs w:val="20"/>
          <w:highlight w:val="yellow"/>
        </w:rPr>
      </w:pPr>
      <w:r w:rsidRPr="00496A72">
        <w:rPr>
          <w:rFonts w:ascii="Times New Roman" w:hAnsi="Times New Roman" w:cs="Times New Roman"/>
          <w:b/>
          <w:sz w:val="24"/>
          <w:szCs w:val="20"/>
        </w:rPr>
        <w:t xml:space="preserve">Zvýšenie výdavkov v súvislosti s rozšírením okruhu prijímateľov investičnej pomoci vo forme </w:t>
      </w:r>
      <w:r w:rsidR="000C6AC5">
        <w:rPr>
          <w:rFonts w:ascii="Times New Roman" w:hAnsi="Times New Roman" w:cs="Times New Roman"/>
          <w:b/>
          <w:sz w:val="24"/>
          <w:szCs w:val="20"/>
        </w:rPr>
        <w:t xml:space="preserve">nenávratného finančného príspevku alebo </w:t>
      </w:r>
      <w:r w:rsidRPr="00496A72">
        <w:rPr>
          <w:rFonts w:ascii="Times New Roman" w:hAnsi="Times New Roman" w:cs="Times New Roman"/>
          <w:b/>
          <w:sz w:val="24"/>
          <w:szCs w:val="20"/>
        </w:rPr>
        <w:t xml:space="preserve">dotácie </w:t>
      </w:r>
    </w:p>
    <w:p w14:paraId="4A4DFF17" w14:textId="6B0E44C8" w:rsidR="00D15F15" w:rsidRDefault="00622123" w:rsidP="00622123">
      <w:pPr>
        <w:jc w:val="both"/>
        <w:rPr>
          <w:rFonts w:ascii="Times New Roman" w:hAnsi="Times New Roman" w:cs="Times New Roman"/>
          <w:sz w:val="24"/>
          <w:szCs w:val="20"/>
        </w:rPr>
      </w:pPr>
      <w:r>
        <w:rPr>
          <w:rFonts w:ascii="Times New Roman" w:hAnsi="Times New Roman" w:cs="Times New Roman"/>
          <w:sz w:val="24"/>
          <w:szCs w:val="20"/>
        </w:rPr>
        <w:t>R</w:t>
      </w:r>
      <w:r w:rsidRPr="005651FF">
        <w:rPr>
          <w:rFonts w:ascii="Times New Roman" w:hAnsi="Times New Roman" w:cs="Times New Roman"/>
          <w:sz w:val="24"/>
          <w:szCs w:val="20"/>
        </w:rPr>
        <w:t xml:space="preserve">ozširuje </w:t>
      </w:r>
      <w:r>
        <w:rPr>
          <w:rFonts w:ascii="Times New Roman" w:hAnsi="Times New Roman" w:cs="Times New Roman"/>
          <w:sz w:val="24"/>
          <w:szCs w:val="20"/>
        </w:rPr>
        <w:t xml:space="preserve">sa </w:t>
      </w:r>
      <w:r w:rsidRPr="005651FF">
        <w:rPr>
          <w:rFonts w:ascii="Times New Roman" w:hAnsi="Times New Roman" w:cs="Times New Roman"/>
          <w:sz w:val="24"/>
          <w:szCs w:val="20"/>
        </w:rPr>
        <w:t>okruh prijímateľov investičnej pomoci vo forme dotácie. Navrhuje sa, aby sa uveden</w:t>
      </w:r>
      <w:r>
        <w:rPr>
          <w:rFonts w:ascii="Times New Roman" w:hAnsi="Times New Roman" w:cs="Times New Roman"/>
          <w:sz w:val="24"/>
          <w:szCs w:val="20"/>
        </w:rPr>
        <w:t xml:space="preserve">á forma investičnej pomoci mohla </w:t>
      </w:r>
      <w:r w:rsidRPr="005651FF">
        <w:rPr>
          <w:rFonts w:ascii="Times New Roman" w:hAnsi="Times New Roman" w:cs="Times New Roman"/>
          <w:sz w:val="24"/>
          <w:szCs w:val="20"/>
        </w:rPr>
        <w:t>poskytovať aj registrovaným sociálnym podnikom, ktoré nevyužívajú 100% zisku po zdanení na dosiahnutie po</w:t>
      </w:r>
      <w:r>
        <w:rPr>
          <w:rFonts w:ascii="Times New Roman" w:hAnsi="Times New Roman" w:cs="Times New Roman"/>
          <w:sz w:val="24"/>
          <w:szCs w:val="20"/>
        </w:rPr>
        <w:t>zitívneho sociálneho vplyvu</w:t>
      </w:r>
      <w:r w:rsidR="00D15F15" w:rsidRPr="00496A72">
        <w:rPr>
          <w:rFonts w:ascii="Times New Roman" w:hAnsi="Times New Roman" w:cs="Times New Roman"/>
          <w:sz w:val="24"/>
          <w:szCs w:val="20"/>
        </w:rPr>
        <w:t xml:space="preserve">. </w:t>
      </w:r>
    </w:p>
    <w:tbl>
      <w:tblPr>
        <w:tblStyle w:val="Mriekatabuky"/>
        <w:tblW w:w="9067" w:type="dxa"/>
        <w:tblLook w:val="04A0" w:firstRow="1" w:lastRow="0" w:firstColumn="1" w:lastColumn="0" w:noHBand="0" w:noVBand="1"/>
      </w:tblPr>
      <w:tblGrid>
        <w:gridCol w:w="3681"/>
        <w:gridCol w:w="797"/>
        <w:gridCol w:w="1329"/>
        <w:gridCol w:w="1559"/>
        <w:gridCol w:w="1701"/>
      </w:tblGrid>
      <w:tr w:rsidR="00496A72" w:rsidRPr="00467E4E" w14:paraId="32403069" w14:textId="77777777" w:rsidTr="003C2A43">
        <w:tc>
          <w:tcPr>
            <w:tcW w:w="3681" w:type="dxa"/>
          </w:tcPr>
          <w:p w14:paraId="241386B7" w14:textId="77777777" w:rsidR="00496A72" w:rsidRPr="00467E4E" w:rsidRDefault="00496A72" w:rsidP="002444FA">
            <w:pPr>
              <w:jc w:val="both"/>
              <w:rPr>
                <w:rFonts w:ascii="Times New Roman" w:eastAsia="Times New Roman" w:hAnsi="Times New Roman" w:cs="Times New Roman"/>
                <w:sz w:val="24"/>
                <w:szCs w:val="24"/>
                <w:lang w:eastAsia="sk-SK"/>
              </w:rPr>
            </w:pPr>
          </w:p>
        </w:tc>
        <w:tc>
          <w:tcPr>
            <w:tcW w:w="797" w:type="dxa"/>
          </w:tcPr>
          <w:p w14:paraId="1C23E0C4" w14:textId="4D3FCDC9" w:rsidR="00496A72"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2022</w:t>
            </w:r>
          </w:p>
        </w:tc>
        <w:tc>
          <w:tcPr>
            <w:tcW w:w="1329" w:type="dxa"/>
          </w:tcPr>
          <w:p w14:paraId="27728137" w14:textId="171E59E0" w:rsidR="00496A72"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2023</w:t>
            </w:r>
          </w:p>
        </w:tc>
        <w:tc>
          <w:tcPr>
            <w:tcW w:w="1559" w:type="dxa"/>
          </w:tcPr>
          <w:p w14:paraId="6ED3F5CB" w14:textId="4854550F" w:rsidR="00496A72"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2024</w:t>
            </w:r>
          </w:p>
        </w:tc>
        <w:tc>
          <w:tcPr>
            <w:tcW w:w="1701" w:type="dxa"/>
          </w:tcPr>
          <w:p w14:paraId="54894C47" w14:textId="6D698DB9" w:rsidR="00496A72"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2025</w:t>
            </w:r>
          </w:p>
        </w:tc>
      </w:tr>
      <w:tr w:rsidR="003C2A43" w:rsidRPr="00467E4E" w14:paraId="3AB75806" w14:textId="77777777" w:rsidTr="003C2A43">
        <w:trPr>
          <w:trHeight w:val="432"/>
        </w:trPr>
        <w:tc>
          <w:tcPr>
            <w:tcW w:w="3681" w:type="dxa"/>
          </w:tcPr>
          <w:p w14:paraId="638E0635" w14:textId="2E387864" w:rsidR="003C2A43" w:rsidRPr="00496A72" w:rsidRDefault="003C2A43" w:rsidP="003C2A43">
            <w:pPr>
              <w:rPr>
                <w:rFonts w:ascii="Times New Roman" w:eastAsia="Times New Roman" w:hAnsi="Times New Roman" w:cs="Times New Roman"/>
                <w:sz w:val="24"/>
                <w:szCs w:val="24"/>
                <w:lang w:eastAsia="sk-SK"/>
              </w:rPr>
            </w:pPr>
            <w:r w:rsidRPr="00496A72">
              <w:rPr>
                <w:rFonts w:ascii="Times New Roman" w:eastAsia="Times New Roman" w:hAnsi="Times New Roman" w:cs="Times New Roman"/>
                <w:sz w:val="24"/>
                <w:szCs w:val="24"/>
                <w:lang w:eastAsia="sk-SK"/>
              </w:rPr>
              <w:t>Odhadovaný počet RSP, ktorým vznikne a vyu</w:t>
            </w:r>
            <w:r>
              <w:rPr>
                <w:rFonts w:ascii="Times New Roman" w:eastAsia="Times New Roman" w:hAnsi="Times New Roman" w:cs="Times New Roman"/>
                <w:sz w:val="24"/>
                <w:szCs w:val="24"/>
                <w:lang w:eastAsia="sk-SK"/>
              </w:rPr>
              <w:t>žijú nárok na</w:t>
            </w:r>
            <w:r w:rsidRPr="00496A72">
              <w:rPr>
                <w:rFonts w:ascii="Times New Roman" w:eastAsia="Times New Roman" w:hAnsi="Times New Roman" w:cs="Times New Roman"/>
                <w:sz w:val="24"/>
                <w:szCs w:val="24"/>
                <w:lang w:eastAsia="sk-SK"/>
              </w:rPr>
              <w:t xml:space="preserve"> dotáciu</w:t>
            </w:r>
          </w:p>
        </w:tc>
        <w:tc>
          <w:tcPr>
            <w:tcW w:w="797" w:type="dxa"/>
            <w:vAlign w:val="center"/>
          </w:tcPr>
          <w:p w14:paraId="5A9105D4" w14:textId="49EB4BBA"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08998969" w14:textId="2643BDBC"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16</w:t>
            </w:r>
          </w:p>
        </w:tc>
        <w:tc>
          <w:tcPr>
            <w:tcW w:w="1559" w:type="dxa"/>
            <w:vAlign w:val="center"/>
          </w:tcPr>
          <w:p w14:paraId="05392A22" w14:textId="1FF78A80"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17</w:t>
            </w:r>
          </w:p>
        </w:tc>
        <w:tc>
          <w:tcPr>
            <w:tcW w:w="1701" w:type="dxa"/>
            <w:vAlign w:val="center"/>
          </w:tcPr>
          <w:p w14:paraId="7D121B89" w14:textId="0691C423"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19</w:t>
            </w:r>
          </w:p>
        </w:tc>
      </w:tr>
      <w:tr w:rsidR="004E5CEA" w:rsidRPr="00467E4E" w14:paraId="7D4A9BA1" w14:textId="77777777" w:rsidTr="003C2A43">
        <w:tc>
          <w:tcPr>
            <w:tcW w:w="3681" w:type="dxa"/>
          </w:tcPr>
          <w:p w14:paraId="26B89E65" w14:textId="476F62B4" w:rsidR="004E5CEA" w:rsidRPr="00467E4E" w:rsidRDefault="004E5CEA" w:rsidP="004E5CE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Odhadovaná priemerná </w:t>
            </w:r>
            <w:r w:rsidRPr="00496A72">
              <w:rPr>
                <w:rFonts w:ascii="Times New Roman" w:eastAsia="Times New Roman" w:hAnsi="Times New Roman" w:cs="Times New Roman"/>
                <w:sz w:val="24"/>
                <w:szCs w:val="24"/>
                <w:lang w:eastAsia="sk-SK"/>
              </w:rPr>
              <w:t>výška dotácie</w:t>
            </w:r>
          </w:p>
        </w:tc>
        <w:tc>
          <w:tcPr>
            <w:tcW w:w="797" w:type="dxa"/>
            <w:vAlign w:val="center"/>
          </w:tcPr>
          <w:p w14:paraId="13A155B9" w14:textId="38F0AC06" w:rsidR="004E5CEA" w:rsidRPr="00467E4E" w:rsidRDefault="00A85C16" w:rsidP="004E5CEA">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2F624332" w14:textId="7E33F26C" w:rsidR="004E5CEA" w:rsidRPr="00467E4E" w:rsidRDefault="004E5CEA" w:rsidP="004E5CEA">
            <w:pPr>
              <w:jc w:val="right"/>
              <w:rPr>
                <w:rFonts w:ascii="Times New Roman" w:eastAsia="Times New Roman" w:hAnsi="Times New Roman" w:cs="Times New Roman"/>
                <w:sz w:val="24"/>
                <w:szCs w:val="24"/>
                <w:lang w:eastAsia="sk-SK"/>
              </w:rPr>
            </w:pPr>
            <w:r w:rsidRPr="004E5CEA">
              <w:rPr>
                <w:rFonts w:ascii="Times New Roman" w:eastAsia="Times New Roman" w:hAnsi="Times New Roman" w:cs="Times New Roman"/>
                <w:sz w:val="24"/>
                <w:szCs w:val="24"/>
                <w:lang w:eastAsia="sk-SK"/>
              </w:rPr>
              <w:t>10 000</w:t>
            </w:r>
          </w:p>
        </w:tc>
        <w:tc>
          <w:tcPr>
            <w:tcW w:w="1559" w:type="dxa"/>
            <w:vAlign w:val="center"/>
          </w:tcPr>
          <w:p w14:paraId="67B89659" w14:textId="4921A40E" w:rsidR="004E5CEA" w:rsidRPr="00467E4E" w:rsidRDefault="004E5CEA" w:rsidP="004E5CEA">
            <w:pPr>
              <w:jc w:val="right"/>
              <w:rPr>
                <w:rFonts w:ascii="Times New Roman" w:eastAsia="Times New Roman" w:hAnsi="Times New Roman" w:cs="Times New Roman"/>
                <w:sz w:val="24"/>
                <w:szCs w:val="24"/>
                <w:lang w:eastAsia="sk-SK"/>
              </w:rPr>
            </w:pPr>
            <w:r w:rsidRPr="004E5CEA">
              <w:rPr>
                <w:rFonts w:ascii="Times New Roman" w:eastAsia="Times New Roman" w:hAnsi="Times New Roman" w:cs="Times New Roman"/>
                <w:sz w:val="24"/>
                <w:szCs w:val="24"/>
                <w:lang w:eastAsia="sk-SK"/>
              </w:rPr>
              <w:t>10 000</w:t>
            </w:r>
          </w:p>
        </w:tc>
        <w:tc>
          <w:tcPr>
            <w:tcW w:w="1701" w:type="dxa"/>
            <w:vAlign w:val="center"/>
          </w:tcPr>
          <w:p w14:paraId="2F6CD596" w14:textId="43673686" w:rsidR="004E5CEA" w:rsidRPr="00467E4E" w:rsidRDefault="004E5CEA" w:rsidP="004E5CEA">
            <w:pPr>
              <w:jc w:val="right"/>
              <w:rPr>
                <w:rFonts w:ascii="Times New Roman" w:eastAsia="Times New Roman" w:hAnsi="Times New Roman" w:cs="Times New Roman"/>
                <w:sz w:val="24"/>
                <w:szCs w:val="24"/>
                <w:lang w:eastAsia="sk-SK"/>
              </w:rPr>
            </w:pPr>
            <w:r w:rsidRPr="004E5CEA">
              <w:rPr>
                <w:rFonts w:ascii="Times New Roman" w:eastAsia="Times New Roman" w:hAnsi="Times New Roman" w:cs="Times New Roman"/>
                <w:sz w:val="24"/>
                <w:szCs w:val="24"/>
                <w:lang w:eastAsia="sk-SK"/>
              </w:rPr>
              <w:t>10 000</w:t>
            </w:r>
          </w:p>
        </w:tc>
      </w:tr>
      <w:tr w:rsidR="003C2A43" w:rsidRPr="00467E4E" w14:paraId="3FB1A011" w14:textId="77777777" w:rsidTr="003C2A43">
        <w:tc>
          <w:tcPr>
            <w:tcW w:w="3681" w:type="dxa"/>
          </w:tcPr>
          <w:p w14:paraId="6CEE8C3C" w14:textId="03A3A981" w:rsidR="003C2A43" w:rsidRPr="00467E4E" w:rsidRDefault="003C2A43" w:rsidP="003C2A43">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Výdavky</w:t>
            </w:r>
            <w:r w:rsidRPr="00467E4E">
              <w:rPr>
                <w:rFonts w:ascii="Times New Roman" w:eastAsia="Times New Roman" w:hAnsi="Times New Roman" w:cs="Times New Roman"/>
                <w:b/>
                <w:sz w:val="24"/>
                <w:szCs w:val="24"/>
                <w:lang w:eastAsia="sk-SK"/>
              </w:rPr>
              <w:t xml:space="preserve"> verejnej správy spolu (eur)</w:t>
            </w:r>
          </w:p>
        </w:tc>
        <w:tc>
          <w:tcPr>
            <w:tcW w:w="797" w:type="dxa"/>
            <w:vAlign w:val="center"/>
          </w:tcPr>
          <w:p w14:paraId="1686DC06" w14:textId="325413EB" w:rsidR="003C2A43" w:rsidRPr="004E6CB2" w:rsidRDefault="003C2A43" w:rsidP="003C2A43">
            <w:pPr>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w:t>
            </w:r>
          </w:p>
        </w:tc>
        <w:tc>
          <w:tcPr>
            <w:tcW w:w="1329" w:type="dxa"/>
            <w:vAlign w:val="center"/>
          </w:tcPr>
          <w:p w14:paraId="4EB3A054" w14:textId="2CB692B4"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157 143</w:t>
            </w:r>
          </w:p>
        </w:tc>
        <w:tc>
          <w:tcPr>
            <w:tcW w:w="1559" w:type="dxa"/>
            <w:vAlign w:val="center"/>
          </w:tcPr>
          <w:p w14:paraId="5C1AA1A9" w14:textId="32501125"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171 429</w:t>
            </w:r>
          </w:p>
        </w:tc>
        <w:tc>
          <w:tcPr>
            <w:tcW w:w="1701" w:type="dxa"/>
            <w:vAlign w:val="center"/>
          </w:tcPr>
          <w:p w14:paraId="04B8C6DC" w14:textId="76E134D4"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185 714</w:t>
            </w:r>
          </w:p>
        </w:tc>
      </w:tr>
      <w:tr w:rsidR="003C2A43" w:rsidRPr="00467E4E" w14:paraId="7502B0F3" w14:textId="77777777" w:rsidTr="003C2A43">
        <w:tc>
          <w:tcPr>
            <w:tcW w:w="3681" w:type="dxa"/>
          </w:tcPr>
          <w:p w14:paraId="1C568438" w14:textId="1463B9E9" w:rsidR="003C2A43" w:rsidRPr="00467E4E" w:rsidRDefault="003C2A43" w:rsidP="003C2A43">
            <w:pPr>
              <w:rPr>
                <w:rFonts w:ascii="Times New Roman" w:eastAsia="Times New Roman" w:hAnsi="Times New Roman" w:cs="Times New Roman"/>
                <w:sz w:val="24"/>
                <w:szCs w:val="24"/>
                <w:lang w:eastAsia="sk-SK"/>
              </w:rPr>
            </w:pPr>
            <w:r w:rsidRPr="00467E4E">
              <w:rPr>
                <w:rFonts w:ascii="Times New Roman" w:eastAsia="Times New Roman" w:hAnsi="Times New Roman" w:cs="Times New Roman"/>
                <w:sz w:val="24"/>
                <w:szCs w:val="24"/>
                <w:lang w:eastAsia="sk-SK"/>
              </w:rPr>
              <w:t xml:space="preserve"> - z </w:t>
            </w:r>
            <w:r w:rsidRPr="00DD5C90">
              <w:rPr>
                <w:rFonts w:ascii="Times New Roman" w:eastAsia="Times New Roman" w:hAnsi="Times New Roman" w:cs="Times New Roman"/>
                <w:sz w:val="24"/>
                <w:szCs w:val="24"/>
                <w:lang w:eastAsia="sk-SK"/>
              </w:rPr>
              <w:t>toho EÚ zdroje</w:t>
            </w:r>
          </w:p>
        </w:tc>
        <w:tc>
          <w:tcPr>
            <w:tcW w:w="797" w:type="dxa"/>
            <w:vAlign w:val="center"/>
          </w:tcPr>
          <w:p w14:paraId="3E1B1C3B" w14:textId="61547EB3"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3116CCA4" w14:textId="02A1FF91"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133 571</w:t>
            </w:r>
          </w:p>
        </w:tc>
        <w:tc>
          <w:tcPr>
            <w:tcW w:w="1559" w:type="dxa"/>
            <w:vAlign w:val="center"/>
          </w:tcPr>
          <w:p w14:paraId="52B574D0" w14:textId="7B465A67" w:rsidR="003C2A43" w:rsidRPr="00DD5C90"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145 714</w:t>
            </w:r>
          </w:p>
        </w:tc>
        <w:tc>
          <w:tcPr>
            <w:tcW w:w="1701" w:type="dxa"/>
            <w:vAlign w:val="center"/>
          </w:tcPr>
          <w:p w14:paraId="164F231C" w14:textId="0E5F59FA" w:rsidR="003C2A43" w:rsidRPr="00DD5C90"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157 857</w:t>
            </w:r>
          </w:p>
        </w:tc>
      </w:tr>
      <w:tr w:rsidR="003C2A43" w:rsidRPr="00467E4E" w14:paraId="2BC44696" w14:textId="77777777" w:rsidTr="003C2A43">
        <w:tc>
          <w:tcPr>
            <w:tcW w:w="3681" w:type="dxa"/>
          </w:tcPr>
          <w:p w14:paraId="352E4279" w14:textId="6CF07756" w:rsidR="003C2A43" w:rsidRPr="00467E4E" w:rsidRDefault="003C2A43" w:rsidP="003C2A43">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 z toho spolufinancovanie (MPSVRSR)</w:t>
            </w:r>
          </w:p>
        </w:tc>
        <w:tc>
          <w:tcPr>
            <w:tcW w:w="797" w:type="dxa"/>
            <w:vAlign w:val="center"/>
          </w:tcPr>
          <w:p w14:paraId="4AB8EB4E" w14:textId="2F5088B6"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3327F6E3" w14:textId="039532FC"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23 571</w:t>
            </w:r>
          </w:p>
        </w:tc>
        <w:tc>
          <w:tcPr>
            <w:tcW w:w="1559" w:type="dxa"/>
            <w:shd w:val="clear" w:color="auto" w:fill="auto"/>
            <w:vAlign w:val="center"/>
          </w:tcPr>
          <w:p w14:paraId="1F373D5B" w14:textId="3BB9D045" w:rsidR="003C2A43" w:rsidRPr="00DD5C90"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25 714</w:t>
            </w:r>
          </w:p>
        </w:tc>
        <w:tc>
          <w:tcPr>
            <w:tcW w:w="1701" w:type="dxa"/>
            <w:shd w:val="clear" w:color="auto" w:fill="auto"/>
            <w:vAlign w:val="center"/>
          </w:tcPr>
          <w:p w14:paraId="25398C33" w14:textId="25D1A5BC" w:rsidR="003C2A43" w:rsidRPr="00DD5C90"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27 857</w:t>
            </w:r>
          </w:p>
        </w:tc>
      </w:tr>
    </w:tbl>
    <w:p w14:paraId="02135D59" w14:textId="77777777" w:rsidR="00496A72" w:rsidRDefault="00496A72" w:rsidP="00D15F15">
      <w:pPr>
        <w:jc w:val="both"/>
        <w:rPr>
          <w:rFonts w:ascii="Times New Roman" w:hAnsi="Times New Roman" w:cs="Times New Roman"/>
          <w:sz w:val="24"/>
          <w:szCs w:val="20"/>
        </w:rPr>
      </w:pPr>
    </w:p>
    <w:p w14:paraId="3BF0CD1D" w14:textId="3FEC781F" w:rsidR="00496A72" w:rsidRPr="00496A72" w:rsidRDefault="00DB7335" w:rsidP="00D15F15">
      <w:pPr>
        <w:jc w:val="both"/>
        <w:rPr>
          <w:rFonts w:ascii="Times New Roman" w:hAnsi="Times New Roman" w:cs="Times New Roman"/>
          <w:b/>
          <w:sz w:val="24"/>
          <w:szCs w:val="20"/>
        </w:rPr>
      </w:pPr>
      <w:r w:rsidRPr="00DB7335">
        <w:rPr>
          <w:rFonts w:ascii="Times New Roman" w:hAnsi="Times New Roman" w:cs="Times New Roman"/>
          <w:b/>
          <w:sz w:val="24"/>
          <w:szCs w:val="20"/>
        </w:rPr>
        <w:t>Zmena</w:t>
      </w:r>
      <w:r w:rsidR="00496A72" w:rsidRPr="00496A72">
        <w:rPr>
          <w:rFonts w:ascii="Times New Roman" w:hAnsi="Times New Roman" w:cs="Times New Roman"/>
          <w:b/>
          <w:color w:val="FF0000"/>
          <w:sz w:val="24"/>
          <w:szCs w:val="20"/>
        </w:rPr>
        <w:t xml:space="preserve"> </w:t>
      </w:r>
      <w:r w:rsidR="00496A72" w:rsidRPr="00496A72">
        <w:rPr>
          <w:rFonts w:ascii="Times New Roman" w:hAnsi="Times New Roman" w:cs="Times New Roman"/>
          <w:b/>
          <w:sz w:val="24"/>
          <w:szCs w:val="20"/>
        </w:rPr>
        <w:t>výdavkov v súvislosti s úpravou maximálnej výšky investičnej pomoci vo forme NFP alebo dotácie</w:t>
      </w:r>
    </w:p>
    <w:p w14:paraId="50F472AF" w14:textId="59008B47" w:rsidR="00D15F15" w:rsidRDefault="00D15F15" w:rsidP="00D15F15">
      <w:pPr>
        <w:spacing w:after="0"/>
        <w:jc w:val="both"/>
        <w:rPr>
          <w:rFonts w:ascii="Times New Roman" w:hAnsi="Times New Roman" w:cs="Times New Roman"/>
          <w:sz w:val="24"/>
        </w:rPr>
      </w:pPr>
      <w:r w:rsidRPr="00332619">
        <w:rPr>
          <w:rFonts w:ascii="Times New Roman" w:hAnsi="Times New Roman" w:cs="Times New Roman"/>
        </w:rPr>
        <w:t>N</w:t>
      </w:r>
      <w:r w:rsidRPr="00332619">
        <w:rPr>
          <w:rFonts w:ascii="Times New Roman" w:hAnsi="Times New Roman" w:cs="Times New Roman"/>
          <w:sz w:val="24"/>
        </w:rPr>
        <w:t>avrhuje sa úprava definície maximálnej výšky investičnej pomoci vo forme nenávratného finančného príspevku alebo dotácie, ktorú možno poskytnúť integračnému sociálnemu podniku na vytvorenie pracovných miest. Aktuálne je táto maximálna výška definovaná v absolútnych hodnotách, pričom návrhom sa má naviazať na mzdový vývoj v hospodárstve Slovenskej republiky, a čiastočne aj na veľkosť podnikov.</w:t>
      </w:r>
    </w:p>
    <w:p w14:paraId="1CFF8A30" w14:textId="77777777" w:rsidR="00D15F15" w:rsidRDefault="00D15F15" w:rsidP="00E85585">
      <w:pPr>
        <w:spacing w:after="0" w:line="240" w:lineRule="auto"/>
        <w:rPr>
          <w:rFonts w:ascii="Times New Roman" w:hAnsi="Times New Roman" w:cs="Verdana"/>
          <w:b/>
          <w:bCs/>
          <w:iCs/>
          <w:color w:val="FF0000"/>
          <w:sz w:val="24"/>
          <w:szCs w:val="24"/>
        </w:rPr>
      </w:pPr>
    </w:p>
    <w:tbl>
      <w:tblPr>
        <w:tblStyle w:val="Mriekatabuky"/>
        <w:tblW w:w="9067" w:type="dxa"/>
        <w:tblLook w:val="04A0" w:firstRow="1" w:lastRow="0" w:firstColumn="1" w:lastColumn="0" w:noHBand="0" w:noVBand="1"/>
      </w:tblPr>
      <w:tblGrid>
        <w:gridCol w:w="4106"/>
        <w:gridCol w:w="709"/>
        <w:gridCol w:w="1417"/>
        <w:gridCol w:w="1417"/>
        <w:gridCol w:w="1418"/>
      </w:tblGrid>
      <w:tr w:rsidR="00332619" w:rsidRPr="00467E4E" w14:paraId="494D2DEA" w14:textId="77777777" w:rsidTr="003C2A43">
        <w:tc>
          <w:tcPr>
            <w:tcW w:w="4106" w:type="dxa"/>
          </w:tcPr>
          <w:p w14:paraId="2E360021" w14:textId="77777777" w:rsidR="00332619" w:rsidRPr="00467E4E" w:rsidRDefault="00332619" w:rsidP="002444FA">
            <w:pPr>
              <w:jc w:val="both"/>
              <w:rPr>
                <w:rFonts w:ascii="Times New Roman" w:eastAsia="Times New Roman" w:hAnsi="Times New Roman" w:cs="Times New Roman"/>
                <w:sz w:val="24"/>
                <w:szCs w:val="24"/>
                <w:lang w:eastAsia="sk-SK"/>
              </w:rPr>
            </w:pPr>
          </w:p>
        </w:tc>
        <w:tc>
          <w:tcPr>
            <w:tcW w:w="709" w:type="dxa"/>
          </w:tcPr>
          <w:p w14:paraId="68AFAE01" w14:textId="581291D8" w:rsidR="00332619"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2022</w:t>
            </w:r>
          </w:p>
        </w:tc>
        <w:tc>
          <w:tcPr>
            <w:tcW w:w="1417" w:type="dxa"/>
          </w:tcPr>
          <w:p w14:paraId="36B34929" w14:textId="22B2E945" w:rsidR="00332619"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2023</w:t>
            </w:r>
          </w:p>
        </w:tc>
        <w:tc>
          <w:tcPr>
            <w:tcW w:w="1417" w:type="dxa"/>
          </w:tcPr>
          <w:p w14:paraId="170A79D9" w14:textId="615DEF80" w:rsidR="00332619"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2024</w:t>
            </w:r>
          </w:p>
        </w:tc>
        <w:tc>
          <w:tcPr>
            <w:tcW w:w="1418" w:type="dxa"/>
          </w:tcPr>
          <w:p w14:paraId="07F1260B" w14:textId="5F7E8D47" w:rsidR="00332619"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2025</w:t>
            </w:r>
          </w:p>
        </w:tc>
      </w:tr>
      <w:tr w:rsidR="00DA5D98" w:rsidRPr="00467E4E" w14:paraId="4B43C058" w14:textId="77777777" w:rsidTr="003C2A43">
        <w:trPr>
          <w:trHeight w:val="432"/>
        </w:trPr>
        <w:tc>
          <w:tcPr>
            <w:tcW w:w="4106" w:type="dxa"/>
          </w:tcPr>
          <w:p w14:paraId="30E75382" w14:textId="064B8598" w:rsidR="00DA5D98" w:rsidRPr="00496A72" w:rsidRDefault="00DA5D98" w:rsidP="00DA5D9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Odhadovaný p</w:t>
            </w:r>
            <w:r w:rsidRPr="00332619">
              <w:rPr>
                <w:rFonts w:ascii="Times New Roman" w:eastAsia="Times New Roman" w:hAnsi="Times New Roman" w:cs="Times New Roman"/>
                <w:sz w:val="24"/>
                <w:szCs w:val="24"/>
                <w:lang w:eastAsia="sk-SK"/>
              </w:rPr>
              <w:t>očet podnikov, ktorým sa poskytne max. investičná pomoc (NFP alebo dotácia)</w:t>
            </w:r>
          </w:p>
        </w:tc>
        <w:tc>
          <w:tcPr>
            <w:tcW w:w="709" w:type="dxa"/>
            <w:vAlign w:val="center"/>
          </w:tcPr>
          <w:p w14:paraId="357B727A" w14:textId="19C23576" w:rsidR="00DA5D98" w:rsidRPr="00467E4E" w:rsidRDefault="00A85C16" w:rsidP="00DA5D9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5BE37A66" w14:textId="5F138205"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50</w:t>
            </w:r>
          </w:p>
        </w:tc>
        <w:tc>
          <w:tcPr>
            <w:tcW w:w="1417" w:type="dxa"/>
            <w:vAlign w:val="center"/>
          </w:tcPr>
          <w:p w14:paraId="40DB9138" w14:textId="0A6FEF02"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50</w:t>
            </w:r>
          </w:p>
        </w:tc>
        <w:tc>
          <w:tcPr>
            <w:tcW w:w="1418" w:type="dxa"/>
            <w:vAlign w:val="center"/>
          </w:tcPr>
          <w:p w14:paraId="425ED5FA" w14:textId="0330D681"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50</w:t>
            </w:r>
          </w:p>
        </w:tc>
      </w:tr>
      <w:tr w:rsidR="00DA5D98" w:rsidRPr="00467E4E" w14:paraId="59B14E33" w14:textId="77777777" w:rsidTr="003C2A43">
        <w:tc>
          <w:tcPr>
            <w:tcW w:w="4106" w:type="dxa"/>
          </w:tcPr>
          <w:p w14:paraId="0136D8B9" w14:textId="1EEFBD24" w:rsidR="00DA5D98" w:rsidRPr="00467E4E" w:rsidRDefault="00DA5D98" w:rsidP="00DA5D9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Odhadovaný p</w:t>
            </w:r>
            <w:r w:rsidRPr="00332619">
              <w:rPr>
                <w:rFonts w:ascii="Times New Roman" w:eastAsia="Times New Roman" w:hAnsi="Times New Roman" w:cs="Times New Roman"/>
                <w:sz w:val="24"/>
                <w:szCs w:val="24"/>
                <w:lang w:eastAsia="sk-SK"/>
              </w:rPr>
              <w:t>riemerný počet vytvorených pracovných miest</w:t>
            </w:r>
          </w:p>
        </w:tc>
        <w:tc>
          <w:tcPr>
            <w:tcW w:w="709" w:type="dxa"/>
            <w:vAlign w:val="center"/>
          </w:tcPr>
          <w:p w14:paraId="3024E223" w14:textId="20F26E9D" w:rsidR="00DA5D98" w:rsidRPr="00467E4E" w:rsidRDefault="00A85C16" w:rsidP="00DA5D9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120423A6" w14:textId="193FB1E3"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3</w:t>
            </w:r>
          </w:p>
        </w:tc>
        <w:tc>
          <w:tcPr>
            <w:tcW w:w="1417" w:type="dxa"/>
            <w:vAlign w:val="center"/>
          </w:tcPr>
          <w:p w14:paraId="43D8487F" w14:textId="3B980BFC"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3</w:t>
            </w:r>
          </w:p>
        </w:tc>
        <w:tc>
          <w:tcPr>
            <w:tcW w:w="1418" w:type="dxa"/>
            <w:vAlign w:val="center"/>
          </w:tcPr>
          <w:p w14:paraId="5B620045" w14:textId="5310A4B9"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3</w:t>
            </w:r>
          </w:p>
        </w:tc>
      </w:tr>
      <w:tr w:rsidR="00DA5D98" w:rsidRPr="00467E4E" w14:paraId="74C60C51" w14:textId="77777777" w:rsidTr="003C2A43">
        <w:tc>
          <w:tcPr>
            <w:tcW w:w="4106" w:type="dxa"/>
            <w:vAlign w:val="bottom"/>
          </w:tcPr>
          <w:p w14:paraId="000F892A" w14:textId="3BE79B69" w:rsidR="00DA5D98" w:rsidRPr="00332619" w:rsidRDefault="00DA5D98" w:rsidP="00DA5D9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Odhadovaná p</w:t>
            </w:r>
            <w:r w:rsidRPr="00332619">
              <w:rPr>
                <w:rFonts w:ascii="Times New Roman" w:eastAsia="Times New Roman" w:hAnsi="Times New Roman" w:cs="Times New Roman"/>
                <w:sz w:val="24"/>
                <w:szCs w:val="24"/>
                <w:lang w:eastAsia="sk-SK"/>
              </w:rPr>
              <w:t>riemerná výška obratu</w:t>
            </w:r>
          </w:p>
        </w:tc>
        <w:tc>
          <w:tcPr>
            <w:tcW w:w="709" w:type="dxa"/>
            <w:vAlign w:val="center"/>
          </w:tcPr>
          <w:p w14:paraId="6F0DC90D" w14:textId="43E3FE38" w:rsidR="00DA5D98" w:rsidRPr="00467E4E" w:rsidRDefault="00A85C16" w:rsidP="00DA5D9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7EE6EBC9" w14:textId="5A4A39F9"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100 000</w:t>
            </w:r>
          </w:p>
        </w:tc>
        <w:tc>
          <w:tcPr>
            <w:tcW w:w="1417" w:type="dxa"/>
            <w:vAlign w:val="center"/>
          </w:tcPr>
          <w:p w14:paraId="7BF0736E" w14:textId="6C9EE19E"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100 000</w:t>
            </w:r>
          </w:p>
        </w:tc>
        <w:tc>
          <w:tcPr>
            <w:tcW w:w="1418" w:type="dxa"/>
            <w:vAlign w:val="center"/>
          </w:tcPr>
          <w:p w14:paraId="52893513" w14:textId="26425446"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100 000</w:t>
            </w:r>
          </w:p>
        </w:tc>
      </w:tr>
      <w:tr w:rsidR="00DA5D98" w:rsidRPr="00467E4E" w14:paraId="3C04F6A0" w14:textId="77777777" w:rsidTr="003C2A43">
        <w:tc>
          <w:tcPr>
            <w:tcW w:w="4106" w:type="dxa"/>
            <w:vAlign w:val="center"/>
          </w:tcPr>
          <w:p w14:paraId="360C6767" w14:textId="3AE48E21" w:rsidR="00DA5D98" w:rsidRPr="00332619" w:rsidRDefault="00DA5D98" w:rsidP="00DA5D98">
            <w:pPr>
              <w:rPr>
                <w:rFonts w:ascii="Times New Roman" w:eastAsia="Times New Roman" w:hAnsi="Times New Roman" w:cs="Times New Roman"/>
                <w:sz w:val="24"/>
                <w:szCs w:val="24"/>
                <w:lang w:eastAsia="sk-SK"/>
              </w:rPr>
            </w:pPr>
            <w:r w:rsidRPr="00332619">
              <w:rPr>
                <w:rFonts w:ascii="Times New Roman" w:eastAsia="Times New Roman" w:hAnsi="Times New Roman" w:cs="Times New Roman"/>
                <w:sz w:val="24"/>
                <w:szCs w:val="24"/>
                <w:lang w:eastAsia="sk-SK"/>
              </w:rPr>
              <w:t>Maximálna výška podľa akt. úpravy</w:t>
            </w:r>
          </w:p>
        </w:tc>
        <w:tc>
          <w:tcPr>
            <w:tcW w:w="709" w:type="dxa"/>
            <w:vAlign w:val="center"/>
          </w:tcPr>
          <w:p w14:paraId="14E7B9F4" w14:textId="3A5FBE11" w:rsidR="00DA5D98" w:rsidRPr="00467E4E" w:rsidRDefault="00A85C16" w:rsidP="00DA5D9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18D58FD3" w14:textId="54B14D3A"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140 000</w:t>
            </w:r>
          </w:p>
        </w:tc>
        <w:tc>
          <w:tcPr>
            <w:tcW w:w="1417" w:type="dxa"/>
            <w:vAlign w:val="center"/>
          </w:tcPr>
          <w:p w14:paraId="53FB3E62" w14:textId="30EC89D4"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140 000</w:t>
            </w:r>
          </w:p>
        </w:tc>
        <w:tc>
          <w:tcPr>
            <w:tcW w:w="1418" w:type="dxa"/>
            <w:vAlign w:val="center"/>
          </w:tcPr>
          <w:p w14:paraId="6895204C" w14:textId="7D706919" w:rsidR="00DA5D98" w:rsidRPr="00467E4E" w:rsidRDefault="00DA5D98" w:rsidP="00DA5D98">
            <w:pPr>
              <w:jc w:val="right"/>
              <w:rPr>
                <w:rFonts w:ascii="Times New Roman" w:eastAsia="Times New Roman" w:hAnsi="Times New Roman" w:cs="Times New Roman"/>
                <w:sz w:val="24"/>
                <w:szCs w:val="24"/>
                <w:lang w:eastAsia="sk-SK"/>
              </w:rPr>
            </w:pPr>
            <w:r w:rsidRPr="00DA5D98">
              <w:rPr>
                <w:rFonts w:ascii="Times New Roman" w:eastAsia="Times New Roman" w:hAnsi="Times New Roman" w:cs="Times New Roman"/>
                <w:sz w:val="24"/>
                <w:szCs w:val="24"/>
                <w:lang w:eastAsia="sk-SK"/>
              </w:rPr>
              <w:t>140 000</w:t>
            </w:r>
          </w:p>
        </w:tc>
      </w:tr>
      <w:tr w:rsidR="003C2A43" w:rsidRPr="00467E4E" w14:paraId="689ED846" w14:textId="77777777" w:rsidTr="003C2A43">
        <w:tc>
          <w:tcPr>
            <w:tcW w:w="4106" w:type="dxa"/>
            <w:vAlign w:val="center"/>
          </w:tcPr>
          <w:p w14:paraId="38354C86" w14:textId="6D2D6798" w:rsidR="003C2A43" w:rsidRPr="00332619" w:rsidRDefault="003C2A43" w:rsidP="003C2A43">
            <w:pPr>
              <w:rPr>
                <w:rFonts w:ascii="Times New Roman" w:eastAsia="Times New Roman" w:hAnsi="Times New Roman" w:cs="Times New Roman"/>
                <w:sz w:val="24"/>
                <w:szCs w:val="24"/>
                <w:lang w:eastAsia="sk-SK"/>
              </w:rPr>
            </w:pPr>
            <w:r w:rsidRPr="00332619">
              <w:rPr>
                <w:rFonts w:ascii="Times New Roman" w:eastAsia="Times New Roman" w:hAnsi="Times New Roman" w:cs="Times New Roman"/>
                <w:sz w:val="24"/>
                <w:szCs w:val="24"/>
                <w:lang w:eastAsia="sk-SK"/>
              </w:rPr>
              <w:t>Priemerná CPP za predchádzajúci rok*</w:t>
            </w:r>
          </w:p>
        </w:tc>
        <w:tc>
          <w:tcPr>
            <w:tcW w:w="709" w:type="dxa"/>
            <w:vAlign w:val="center"/>
          </w:tcPr>
          <w:p w14:paraId="6FC58ABE" w14:textId="7F8943A1"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0868819B" w14:textId="233A5D75"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1 691</w:t>
            </w:r>
          </w:p>
        </w:tc>
        <w:tc>
          <w:tcPr>
            <w:tcW w:w="1417" w:type="dxa"/>
            <w:vAlign w:val="center"/>
          </w:tcPr>
          <w:p w14:paraId="2C40BE0C" w14:textId="19BE658F"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1 811</w:t>
            </w:r>
          </w:p>
        </w:tc>
        <w:tc>
          <w:tcPr>
            <w:tcW w:w="1418" w:type="dxa"/>
            <w:vAlign w:val="center"/>
          </w:tcPr>
          <w:p w14:paraId="4AC7A8AD" w14:textId="29DEEC9E"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1 898</w:t>
            </w:r>
          </w:p>
        </w:tc>
      </w:tr>
      <w:tr w:rsidR="003C2A43" w:rsidRPr="00467E4E" w14:paraId="3127C490" w14:textId="77777777" w:rsidTr="003C2A43">
        <w:tc>
          <w:tcPr>
            <w:tcW w:w="4106" w:type="dxa"/>
            <w:vAlign w:val="bottom"/>
          </w:tcPr>
          <w:p w14:paraId="18CD8764" w14:textId="01EC29BC" w:rsidR="003C2A43" w:rsidRPr="00332619" w:rsidRDefault="003C2A43" w:rsidP="003C2A43">
            <w:pPr>
              <w:rPr>
                <w:rFonts w:ascii="Times New Roman" w:eastAsia="Times New Roman" w:hAnsi="Times New Roman" w:cs="Times New Roman"/>
                <w:sz w:val="24"/>
                <w:szCs w:val="24"/>
                <w:lang w:eastAsia="sk-SK"/>
              </w:rPr>
            </w:pPr>
            <w:r w:rsidRPr="00332619">
              <w:rPr>
                <w:rFonts w:ascii="Times New Roman" w:eastAsia="Times New Roman" w:hAnsi="Times New Roman" w:cs="Times New Roman"/>
                <w:sz w:val="24"/>
                <w:szCs w:val="24"/>
                <w:lang w:eastAsia="sk-SK"/>
              </w:rPr>
              <w:t>Maximálna výška podľa novej úpravy</w:t>
            </w:r>
          </w:p>
        </w:tc>
        <w:tc>
          <w:tcPr>
            <w:tcW w:w="709" w:type="dxa"/>
            <w:vAlign w:val="center"/>
          </w:tcPr>
          <w:p w14:paraId="1FCFD628" w14:textId="7121ED26"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0357734F" w14:textId="669AC707"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146 763</w:t>
            </w:r>
          </w:p>
        </w:tc>
        <w:tc>
          <w:tcPr>
            <w:tcW w:w="1417" w:type="dxa"/>
            <w:vAlign w:val="center"/>
          </w:tcPr>
          <w:p w14:paraId="4CEF48B5" w14:textId="4EA0388C"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155 409</w:t>
            </w:r>
          </w:p>
        </w:tc>
        <w:tc>
          <w:tcPr>
            <w:tcW w:w="1418" w:type="dxa"/>
            <w:vAlign w:val="center"/>
          </w:tcPr>
          <w:p w14:paraId="12C52BA3" w14:textId="48B76494"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161 668</w:t>
            </w:r>
          </w:p>
        </w:tc>
      </w:tr>
      <w:tr w:rsidR="003C2A43" w:rsidRPr="00467E4E" w14:paraId="5BBDE68A" w14:textId="77777777" w:rsidTr="003C2A43">
        <w:tc>
          <w:tcPr>
            <w:tcW w:w="4106" w:type="dxa"/>
          </w:tcPr>
          <w:p w14:paraId="0211F364" w14:textId="77777777" w:rsidR="003C2A43" w:rsidRPr="00467E4E" w:rsidRDefault="003C2A43" w:rsidP="003C2A43">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Výdavky</w:t>
            </w:r>
            <w:r w:rsidRPr="00467E4E">
              <w:rPr>
                <w:rFonts w:ascii="Times New Roman" w:eastAsia="Times New Roman" w:hAnsi="Times New Roman" w:cs="Times New Roman"/>
                <w:b/>
                <w:sz w:val="24"/>
                <w:szCs w:val="24"/>
                <w:lang w:eastAsia="sk-SK"/>
              </w:rPr>
              <w:t xml:space="preserve"> verejnej správy spolu (eur)</w:t>
            </w:r>
          </w:p>
        </w:tc>
        <w:tc>
          <w:tcPr>
            <w:tcW w:w="709" w:type="dxa"/>
            <w:vAlign w:val="center"/>
          </w:tcPr>
          <w:p w14:paraId="05B2F649" w14:textId="0025EFE4" w:rsidR="003C2A43" w:rsidRPr="0035172F" w:rsidRDefault="003C2A43" w:rsidP="003C2A43">
            <w:pPr>
              <w:jc w:val="right"/>
              <w:rPr>
                <w:rFonts w:ascii="Times New Roman" w:eastAsia="Times New Roman" w:hAnsi="Times New Roman" w:cs="Times New Roman"/>
                <w:b/>
                <w:sz w:val="24"/>
                <w:szCs w:val="24"/>
                <w:lang w:eastAsia="sk-SK"/>
              </w:rPr>
            </w:pPr>
            <w:r w:rsidRPr="0035172F">
              <w:rPr>
                <w:rFonts w:ascii="Times New Roman" w:eastAsia="Times New Roman" w:hAnsi="Times New Roman" w:cs="Times New Roman"/>
                <w:b/>
                <w:sz w:val="24"/>
                <w:szCs w:val="24"/>
                <w:lang w:eastAsia="sk-SK"/>
              </w:rPr>
              <w:t>-</w:t>
            </w:r>
          </w:p>
        </w:tc>
        <w:tc>
          <w:tcPr>
            <w:tcW w:w="1417" w:type="dxa"/>
            <w:vAlign w:val="center"/>
          </w:tcPr>
          <w:p w14:paraId="3D9EEF6A" w14:textId="7ED3830C"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338 169</w:t>
            </w:r>
          </w:p>
        </w:tc>
        <w:tc>
          <w:tcPr>
            <w:tcW w:w="1417" w:type="dxa"/>
            <w:vAlign w:val="center"/>
          </w:tcPr>
          <w:p w14:paraId="15539C61" w14:textId="135756AD"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770 429</w:t>
            </w:r>
          </w:p>
        </w:tc>
        <w:tc>
          <w:tcPr>
            <w:tcW w:w="1418" w:type="dxa"/>
            <w:vAlign w:val="center"/>
          </w:tcPr>
          <w:p w14:paraId="43A2E87D" w14:textId="18A4F34E"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1 083 409</w:t>
            </w:r>
          </w:p>
        </w:tc>
      </w:tr>
      <w:tr w:rsidR="003C2A43" w:rsidRPr="00467E4E" w14:paraId="756EB6A5" w14:textId="77777777" w:rsidTr="003C2A43">
        <w:tc>
          <w:tcPr>
            <w:tcW w:w="4106" w:type="dxa"/>
          </w:tcPr>
          <w:p w14:paraId="1F4221E3" w14:textId="63EE19FD" w:rsidR="003C2A43" w:rsidRPr="00467E4E" w:rsidRDefault="003C2A43" w:rsidP="003C2A43">
            <w:pPr>
              <w:rPr>
                <w:rFonts w:ascii="Times New Roman" w:eastAsia="Times New Roman" w:hAnsi="Times New Roman" w:cs="Times New Roman"/>
                <w:sz w:val="24"/>
                <w:szCs w:val="24"/>
                <w:lang w:eastAsia="sk-SK"/>
              </w:rPr>
            </w:pPr>
            <w:r w:rsidRPr="00467E4E">
              <w:rPr>
                <w:rFonts w:ascii="Times New Roman" w:eastAsia="Times New Roman" w:hAnsi="Times New Roman" w:cs="Times New Roman"/>
                <w:sz w:val="24"/>
                <w:szCs w:val="24"/>
                <w:lang w:eastAsia="sk-SK"/>
              </w:rPr>
              <w:t xml:space="preserve"> - z </w:t>
            </w:r>
            <w:r w:rsidRPr="00DD5C90">
              <w:rPr>
                <w:rFonts w:ascii="Times New Roman" w:eastAsia="Times New Roman" w:hAnsi="Times New Roman" w:cs="Times New Roman"/>
                <w:sz w:val="24"/>
                <w:szCs w:val="24"/>
                <w:lang w:eastAsia="sk-SK"/>
              </w:rPr>
              <w:t>toho EÚ zdroje</w:t>
            </w:r>
          </w:p>
        </w:tc>
        <w:tc>
          <w:tcPr>
            <w:tcW w:w="709" w:type="dxa"/>
            <w:vAlign w:val="center"/>
          </w:tcPr>
          <w:p w14:paraId="471ACE91" w14:textId="4C695670" w:rsidR="003C2A43" w:rsidRPr="0035172F"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6A7366FE" w14:textId="0B16C39E" w:rsidR="003C2A43" w:rsidRPr="0035172F"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287 443</w:t>
            </w:r>
          </w:p>
        </w:tc>
        <w:tc>
          <w:tcPr>
            <w:tcW w:w="1417" w:type="dxa"/>
            <w:vAlign w:val="center"/>
          </w:tcPr>
          <w:p w14:paraId="684301B3" w14:textId="035B346E" w:rsidR="003C2A43" w:rsidRPr="0035172F"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654 864</w:t>
            </w:r>
          </w:p>
        </w:tc>
        <w:tc>
          <w:tcPr>
            <w:tcW w:w="1418" w:type="dxa"/>
            <w:vAlign w:val="center"/>
          </w:tcPr>
          <w:p w14:paraId="6DA531A7" w14:textId="5CF723FF" w:rsidR="003C2A43" w:rsidRPr="0035172F"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920 898</w:t>
            </w:r>
          </w:p>
        </w:tc>
      </w:tr>
      <w:tr w:rsidR="003C2A43" w:rsidRPr="00467E4E" w14:paraId="2BC527DD" w14:textId="77777777" w:rsidTr="003C2A43">
        <w:tc>
          <w:tcPr>
            <w:tcW w:w="4106" w:type="dxa"/>
          </w:tcPr>
          <w:p w14:paraId="7BB82F0E" w14:textId="4067F539" w:rsidR="003C2A43" w:rsidRPr="00467E4E" w:rsidRDefault="003C2A43" w:rsidP="003C2A43">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 z toho spolufinancovanie (MPSVRSR)</w:t>
            </w:r>
          </w:p>
        </w:tc>
        <w:tc>
          <w:tcPr>
            <w:tcW w:w="709" w:type="dxa"/>
            <w:vAlign w:val="center"/>
          </w:tcPr>
          <w:p w14:paraId="63F22ED5" w14:textId="60714D75" w:rsidR="003C2A43" w:rsidRPr="0035172F"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5CFBA03B" w14:textId="102CC4C8" w:rsidR="003C2A43" w:rsidRPr="0035172F"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50 725</w:t>
            </w:r>
          </w:p>
        </w:tc>
        <w:tc>
          <w:tcPr>
            <w:tcW w:w="1417" w:type="dxa"/>
            <w:vAlign w:val="center"/>
          </w:tcPr>
          <w:p w14:paraId="3C3EE521" w14:textId="2085E9A6" w:rsidR="003C2A43" w:rsidRPr="0035172F"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115 564</w:t>
            </w:r>
          </w:p>
        </w:tc>
        <w:tc>
          <w:tcPr>
            <w:tcW w:w="1418" w:type="dxa"/>
            <w:vAlign w:val="center"/>
          </w:tcPr>
          <w:p w14:paraId="53E8F9D4" w14:textId="4C615999" w:rsidR="003C2A43" w:rsidRPr="0035172F"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162 511</w:t>
            </w:r>
          </w:p>
        </w:tc>
      </w:tr>
    </w:tbl>
    <w:p w14:paraId="44F60A70" w14:textId="7EE1426D" w:rsidR="00496A72" w:rsidRPr="00332619" w:rsidRDefault="00332619" w:rsidP="00332619">
      <w:pPr>
        <w:spacing w:after="0"/>
        <w:jc w:val="both"/>
        <w:rPr>
          <w:rFonts w:ascii="Times New Roman" w:hAnsi="Times New Roman" w:cs="Times New Roman"/>
          <w:sz w:val="20"/>
        </w:rPr>
      </w:pPr>
      <w:r w:rsidRPr="00332619">
        <w:rPr>
          <w:rFonts w:ascii="Times New Roman" w:hAnsi="Times New Roman" w:cs="Times New Roman"/>
          <w:sz w:val="20"/>
        </w:rPr>
        <w:t xml:space="preserve">* </w:t>
      </w:r>
      <w:r w:rsidR="002F742D">
        <w:rPr>
          <w:rFonts w:ascii="Times New Roman" w:hAnsi="Times New Roman" w:cs="Times New Roman"/>
          <w:sz w:val="20"/>
        </w:rPr>
        <w:t xml:space="preserve">vývoj </w:t>
      </w:r>
      <w:r w:rsidRPr="00332619">
        <w:rPr>
          <w:rFonts w:ascii="Times New Roman" w:hAnsi="Times New Roman" w:cs="Times New Roman"/>
          <w:sz w:val="20"/>
        </w:rPr>
        <w:t>podľ</w:t>
      </w:r>
      <w:r w:rsidR="003C2A43">
        <w:rPr>
          <w:rFonts w:ascii="Times New Roman" w:hAnsi="Times New Roman" w:cs="Times New Roman"/>
          <w:sz w:val="20"/>
        </w:rPr>
        <w:t>a makroprognózy IFP z marca 2022</w:t>
      </w:r>
    </w:p>
    <w:p w14:paraId="2DFB346B" w14:textId="77777777" w:rsidR="00496A72" w:rsidRDefault="00496A72" w:rsidP="00E85585">
      <w:pPr>
        <w:spacing w:after="0" w:line="240" w:lineRule="auto"/>
        <w:rPr>
          <w:rFonts w:ascii="Times New Roman" w:hAnsi="Times New Roman" w:cs="Verdana"/>
          <w:b/>
          <w:bCs/>
          <w:iCs/>
          <w:color w:val="FF0000"/>
          <w:sz w:val="24"/>
          <w:szCs w:val="24"/>
        </w:rPr>
      </w:pPr>
    </w:p>
    <w:p w14:paraId="395D0BE0" w14:textId="608C92C8" w:rsidR="00332619" w:rsidRPr="00332619" w:rsidRDefault="00332619" w:rsidP="00332619">
      <w:pPr>
        <w:jc w:val="both"/>
        <w:rPr>
          <w:rFonts w:ascii="Times New Roman" w:hAnsi="Times New Roman" w:cs="Times New Roman"/>
          <w:b/>
          <w:sz w:val="24"/>
          <w:szCs w:val="20"/>
        </w:rPr>
      </w:pPr>
      <w:r w:rsidRPr="00332619">
        <w:rPr>
          <w:rFonts w:ascii="Times New Roman" w:hAnsi="Times New Roman" w:cs="Times New Roman"/>
          <w:b/>
          <w:sz w:val="24"/>
          <w:szCs w:val="20"/>
        </w:rPr>
        <w:t>Zvýšenie výdavkov v súvislosti s rozšírením možností poskytovania kompenzačnej pomoci</w:t>
      </w:r>
    </w:p>
    <w:p w14:paraId="41AAF528" w14:textId="46121E44" w:rsidR="00D15F15" w:rsidRPr="00AB7077" w:rsidRDefault="00D15F15" w:rsidP="00D15F15">
      <w:pPr>
        <w:spacing w:after="0"/>
        <w:jc w:val="both"/>
        <w:rPr>
          <w:rFonts w:ascii="Times New Roman" w:hAnsi="Times New Roman" w:cs="Times New Roman"/>
          <w:sz w:val="24"/>
        </w:rPr>
      </w:pPr>
      <w:r w:rsidRPr="00AB7077">
        <w:rPr>
          <w:rFonts w:ascii="Times New Roman" w:hAnsi="Times New Roman" w:cs="Times New Roman"/>
          <w:sz w:val="24"/>
        </w:rPr>
        <w:t>Stanovujú sa nové situácie, kedy je možné podnikom v širšom priestore sociálnej ekonomiky poskytnúť kompenzačnú pomoc. Ide o :</w:t>
      </w:r>
    </w:p>
    <w:p w14:paraId="568BE62F" w14:textId="77777777" w:rsidR="00D15F15" w:rsidRPr="00AB7077" w:rsidRDefault="00D15F15" w:rsidP="00D15F15">
      <w:pPr>
        <w:pStyle w:val="Odsekzoznamu"/>
        <w:numPr>
          <w:ilvl w:val="0"/>
          <w:numId w:val="14"/>
        </w:numPr>
        <w:spacing w:after="160" w:line="259" w:lineRule="auto"/>
        <w:jc w:val="both"/>
        <w:rPr>
          <w:rFonts w:ascii="Times New Roman" w:hAnsi="Times New Roman" w:cs="Times New Roman"/>
          <w:sz w:val="24"/>
        </w:rPr>
      </w:pPr>
      <w:r w:rsidRPr="00AB7077">
        <w:rPr>
          <w:rFonts w:ascii="Times New Roman" w:hAnsi="Times New Roman" w:cs="Times New Roman"/>
          <w:sz w:val="24"/>
        </w:rPr>
        <w:lastRenderedPageBreak/>
        <w:t>kompenzáciu podnikov, ktoré s cieľom dosahovania pozitívneho sociálneho vplyvu pôsobia na trhu, ktorý  z dôvodu svojej nedostatočnej veľkosti, obmedzenej kúpnej sily, či iných špecifík dlhodobo neumožňuje dosiahnuť vyrovnané hospodárenie pri inak preukázateľnom napĺňaní verejného záujmu alebo komunitného záujmu; alebo</w:t>
      </w:r>
    </w:p>
    <w:p w14:paraId="500A6D11" w14:textId="77777777" w:rsidR="00D15F15" w:rsidRPr="00AB7077" w:rsidRDefault="00D15F15" w:rsidP="00D15F15">
      <w:pPr>
        <w:pStyle w:val="Odsekzoznamu"/>
        <w:numPr>
          <w:ilvl w:val="0"/>
          <w:numId w:val="14"/>
        </w:numPr>
        <w:spacing w:after="160" w:line="259" w:lineRule="auto"/>
        <w:jc w:val="both"/>
        <w:rPr>
          <w:rFonts w:ascii="Times New Roman" w:hAnsi="Times New Roman" w:cs="Times New Roman"/>
          <w:sz w:val="24"/>
        </w:rPr>
      </w:pPr>
      <w:r w:rsidRPr="00AB7077">
        <w:rPr>
          <w:rFonts w:ascii="Times New Roman" w:hAnsi="Times New Roman" w:cs="Times New Roman"/>
          <w:sz w:val="24"/>
        </w:rPr>
        <w:t>náhradu škody spôsobenej prírodnou katastrofou; alebo</w:t>
      </w:r>
    </w:p>
    <w:p w14:paraId="3B0716C5" w14:textId="09928543" w:rsidR="00D15F15" w:rsidRPr="00AB7077" w:rsidRDefault="00D15F15" w:rsidP="00525B52">
      <w:pPr>
        <w:pStyle w:val="Odsekzoznamu"/>
        <w:numPr>
          <w:ilvl w:val="0"/>
          <w:numId w:val="14"/>
        </w:numPr>
        <w:spacing w:after="160" w:line="259" w:lineRule="auto"/>
        <w:jc w:val="both"/>
        <w:rPr>
          <w:rFonts w:ascii="Times New Roman" w:hAnsi="Times New Roman" w:cs="Times New Roman"/>
          <w:sz w:val="24"/>
        </w:rPr>
      </w:pPr>
      <w:r w:rsidRPr="00AB7077">
        <w:rPr>
          <w:rFonts w:ascii="Times New Roman" w:hAnsi="Times New Roman" w:cs="Times New Roman"/>
          <w:sz w:val="24"/>
        </w:rPr>
        <w:t xml:space="preserve">náhradu škody spôsobenej dôsledkami </w:t>
      </w:r>
      <w:r w:rsidR="00525B52" w:rsidRPr="00525B52">
        <w:rPr>
          <w:rFonts w:ascii="Times New Roman" w:hAnsi="Times New Roman" w:cs="Times New Roman"/>
          <w:sz w:val="24"/>
        </w:rPr>
        <w:t xml:space="preserve">situácie, ktorá bola dôvodom </w:t>
      </w:r>
      <w:r w:rsidRPr="00AB7077">
        <w:rPr>
          <w:rFonts w:ascii="Times New Roman" w:hAnsi="Times New Roman" w:cs="Times New Roman"/>
          <w:sz w:val="24"/>
        </w:rPr>
        <w:t>vyhlásenia mimoriadnej situácie, núdzového stavu alebo výnimočného stavu podľa osobitného predpisu.</w:t>
      </w:r>
    </w:p>
    <w:p w14:paraId="1265111B" w14:textId="6C33FC4C" w:rsidR="00D15F15" w:rsidRPr="00182996" w:rsidRDefault="00182996" w:rsidP="00182996">
      <w:pPr>
        <w:spacing w:after="0"/>
        <w:jc w:val="both"/>
        <w:rPr>
          <w:rFonts w:ascii="Times New Roman" w:hAnsi="Times New Roman" w:cs="Times New Roman"/>
          <w:sz w:val="24"/>
        </w:rPr>
      </w:pPr>
      <w:r>
        <w:rPr>
          <w:rFonts w:ascii="Times New Roman" w:hAnsi="Times New Roman" w:cs="Times New Roman"/>
          <w:sz w:val="24"/>
        </w:rPr>
        <w:t>Návrhom sa upravuje definičný rámec</w:t>
      </w:r>
      <w:r w:rsidRPr="00182996">
        <w:rPr>
          <w:rFonts w:ascii="Times New Roman" w:hAnsi="Times New Roman" w:cs="Times New Roman"/>
          <w:sz w:val="24"/>
        </w:rPr>
        <w:t xml:space="preserve"> kompenzačnej pomoci, spôsob akým bude poskytovaná si zvolí poskytovateľ v zmysle vypracovanej schémy poskytovania kompenzačnej pomoci.</w:t>
      </w:r>
    </w:p>
    <w:p w14:paraId="233F1641" w14:textId="77777777" w:rsidR="00182996" w:rsidRDefault="00182996" w:rsidP="00E85585">
      <w:pPr>
        <w:spacing w:after="0" w:line="240" w:lineRule="auto"/>
        <w:rPr>
          <w:rFonts w:ascii="Times New Roman" w:hAnsi="Times New Roman" w:cs="Verdana"/>
          <w:b/>
          <w:bCs/>
          <w:iCs/>
          <w:color w:val="FF0000"/>
          <w:sz w:val="24"/>
          <w:szCs w:val="24"/>
        </w:rPr>
      </w:pPr>
    </w:p>
    <w:tbl>
      <w:tblPr>
        <w:tblStyle w:val="Mriekatabuky"/>
        <w:tblW w:w="9067" w:type="dxa"/>
        <w:tblLook w:val="04A0" w:firstRow="1" w:lastRow="0" w:firstColumn="1" w:lastColumn="0" w:noHBand="0" w:noVBand="1"/>
      </w:tblPr>
      <w:tblGrid>
        <w:gridCol w:w="3681"/>
        <w:gridCol w:w="797"/>
        <w:gridCol w:w="1329"/>
        <w:gridCol w:w="1559"/>
        <w:gridCol w:w="1701"/>
      </w:tblGrid>
      <w:tr w:rsidR="00AB7077" w:rsidRPr="00467E4E" w14:paraId="3D97E9CE" w14:textId="77777777" w:rsidTr="003C2A43">
        <w:tc>
          <w:tcPr>
            <w:tcW w:w="3681" w:type="dxa"/>
          </w:tcPr>
          <w:p w14:paraId="3527E5A8" w14:textId="77777777" w:rsidR="00AB7077" w:rsidRPr="00467E4E" w:rsidRDefault="00AB7077" w:rsidP="002444FA">
            <w:pPr>
              <w:jc w:val="both"/>
              <w:rPr>
                <w:rFonts w:ascii="Times New Roman" w:eastAsia="Times New Roman" w:hAnsi="Times New Roman" w:cs="Times New Roman"/>
                <w:sz w:val="24"/>
                <w:szCs w:val="24"/>
                <w:lang w:eastAsia="sk-SK"/>
              </w:rPr>
            </w:pPr>
          </w:p>
        </w:tc>
        <w:tc>
          <w:tcPr>
            <w:tcW w:w="797" w:type="dxa"/>
          </w:tcPr>
          <w:p w14:paraId="56A23745" w14:textId="7776529E"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2022</w:t>
            </w:r>
          </w:p>
        </w:tc>
        <w:tc>
          <w:tcPr>
            <w:tcW w:w="1329" w:type="dxa"/>
          </w:tcPr>
          <w:p w14:paraId="282F38B8" w14:textId="5E0416F9"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2023</w:t>
            </w:r>
          </w:p>
        </w:tc>
        <w:tc>
          <w:tcPr>
            <w:tcW w:w="1559" w:type="dxa"/>
          </w:tcPr>
          <w:p w14:paraId="369FBED7" w14:textId="396D8FE8"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2024</w:t>
            </w:r>
          </w:p>
        </w:tc>
        <w:tc>
          <w:tcPr>
            <w:tcW w:w="1701" w:type="dxa"/>
          </w:tcPr>
          <w:p w14:paraId="29690956" w14:textId="3E140E65"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2025</w:t>
            </w:r>
          </w:p>
        </w:tc>
      </w:tr>
      <w:tr w:rsidR="00A85C16" w:rsidRPr="00467E4E" w14:paraId="3C021A67" w14:textId="77777777" w:rsidTr="00A85C16">
        <w:trPr>
          <w:trHeight w:val="279"/>
        </w:trPr>
        <w:tc>
          <w:tcPr>
            <w:tcW w:w="9067" w:type="dxa"/>
            <w:gridSpan w:val="5"/>
            <w:vAlign w:val="bottom"/>
          </w:tcPr>
          <w:p w14:paraId="2276A0C3" w14:textId="15474486" w:rsidR="00A85C16" w:rsidRPr="00467E4E" w:rsidRDefault="00A85C16" w:rsidP="00A85C16">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b/>
                <w:sz w:val="24"/>
                <w:szCs w:val="24"/>
                <w:lang w:eastAsia="sk-SK"/>
              </w:rPr>
              <w:t>Trh neumožňujúci dosiahnuť vyrovnané hospodárenie</w:t>
            </w:r>
          </w:p>
        </w:tc>
      </w:tr>
      <w:tr w:rsidR="00DB7335" w:rsidRPr="00467E4E" w14:paraId="075D0911" w14:textId="77777777" w:rsidTr="003C2A43">
        <w:tc>
          <w:tcPr>
            <w:tcW w:w="3681" w:type="dxa"/>
            <w:vAlign w:val="bottom"/>
          </w:tcPr>
          <w:p w14:paraId="37BBB8C9" w14:textId="20C97EEA" w:rsidR="00DB7335" w:rsidRPr="00467E4E" w:rsidRDefault="00DB7335" w:rsidP="00DB7335">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sz w:val="24"/>
                <w:szCs w:val="24"/>
                <w:lang w:eastAsia="sk-SK"/>
              </w:rPr>
              <w:t>Od</w:t>
            </w:r>
            <w:r>
              <w:rPr>
                <w:rFonts w:ascii="Times New Roman" w:eastAsia="Times New Roman" w:hAnsi="Times New Roman" w:cs="Times New Roman"/>
                <w:sz w:val="24"/>
                <w:szCs w:val="24"/>
                <w:lang w:eastAsia="sk-SK"/>
              </w:rPr>
              <w:t>hadovaný p</w:t>
            </w:r>
            <w:r w:rsidRPr="00AB7077">
              <w:rPr>
                <w:rFonts w:ascii="Times New Roman" w:eastAsia="Times New Roman" w:hAnsi="Times New Roman" w:cs="Times New Roman"/>
                <w:sz w:val="24"/>
                <w:szCs w:val="24"/>
                <w:lang w:eastAsia="sk-SK"/>
              </w:rPr>
              <w:t xml:space="preserve">očet </w:t>
            </w:r>
            <w:r>
              <w:rPr>
                <w:rFonts w:ascii="Times New Roman" w:eastAsia="Times New Roman" w:hAnsi="Times New Roman" w:cs="Times New Roman"/>
                <w:sz w:val="24"/>
                <w:szCs w:val="24"/>
                <w:lang w:eastAsia="sk-SK"/>
              </w:rPr>
              <w:t xml:space="preserve">podporených </w:t>
            </w:r>
            <w:r w:rsidRPr="00AB7077">
              <w:rPr>
                <w:rFonts w:ascii="Times New Roman" w:eastAsia="Times New Roman" w:hAnsi="Times New Roman" w:cs="Times New Roman"/>
                <w:sz w:val="24"/>
                <w:szCs w:val="24"/>
                <w:lang w:eastAsia="sk-SK"/>
              </w:rPr>
              <w:t>podnikov</w:t>
            </w:r>
          </w:p>
        </w:tc>
        <w:tc>
          <w:tcPr>
            <w:tcW w:w="797" w:type="dxa"/>
            <w:vAlign w:val="center"/>
          </w:tcPr>
          <w:p w14:paraId="37ACC8EB" w14:textId="784B2F75" w:rsidR="00DB7335" w:rsidRPr="00467E4E" w:rsidRDefault="00A85C16" w:rsidP="00DB7335">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7AA4A74D" w14:textId="75C657BD"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60</w:t>
            </w:r>
          </w:p>
        </w:tc>
        <w:tc>
          <w:tcPr>
            <w:tcW w:w="1559" w:type="dxa"/>
            <w:vAlign w:val="center"/>
          </w:tcPr>
          <w:p w14:paraId="19B31D33" w14:textId="5520F13C"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70</w:t>
            </w:r>
          </w:p>
        </w:tc>
        <w:tc>
          <w:tcPr>
            <w:tcW w:w="1701" w:type="dxa"/>
            <w:vAlign w:val="center"/>
          </w:tcPr>
          <w:p w14:paraId="0773FA7C" w14:textId="6BD36323"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80</w:t>
            </w:r>
          </w:p>
        </w:tc>
      </w:tr>
      <w:tr w:rsidR="003C2A43" w:rsidRPr="00467E4E" w14:paraId="13329B59" w14:textId="77777777" w:rsidTr="003C2A43">
        <w:tc>
          <w:tcPr>
            <w:tcW w:w="3681" w:type="dxa"/>
            <w:vAlign w:val="bottom"/>
          </w:tcPr>
          <w:p w14:paraId="1731967D" w14:textId="26CD91F6" w:rsidR="003C2A43" w:rsidRPr="00332619" w:rsidRDefault="003C2A43" w:rsidP="003C2A43">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Odhadovaná priemerná výška kompenzácie</w:t>
            </w:r>
          </w:p>
        </w:tc>
        <w:tc>
          <w:tcPr>
            <w:tcW w:w="797" w:type="dxa"/>
            <w:vAlign w:val="center"/>
          </w:tcPr>
          <w:p w14:paraId="6466ED8F" w14:textId="02F682D5"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5BB470F9" w14:textId="755A174B"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15 000</w:t>
            </w:r>
          </w:p>
        </w:tc>
        <w:tc>
          <w:tcPr>
            <w:tcW w:w="1559" w:type="dxa"/>
            <w:vAlign w:val="center"/>
          </w:tcPr>
          <w:p w14:paraId="345EDB1F" w14:textId="4B95716C" w:rsidR="003C2A43" w:rsidRPr="00467E4E" w:rsidRDefault="003C2A43" w:rsidP="003C2A43">
            <w:pPr>
              <w:jc w:val="right"/>
              <w:rPr>
                <w:rFonts w:ascii="Times New Roman" w:eastAsia="Times New Roman" w:hAnsi="Times New Roman" w:cs="Times New Roman"/>
                <w:sz w:val="24"/>
                <w:szCs w:val="24"/>
                <w:lang w:eastAsia="sk-SK"/>
              </w:rPr>
            </w:pPr>
            <w:r w:rsidRPr="003C3669">
              <w:rPr>
                <w:rFonts w:ascii="Times New Roman" w:eastAsia="Times New Roman" w:hAnsi="Times New Roman" w:cs="Times New Roman"/>
                <w:sz w:val="24"/>
                <w:szCs w:val="24"/>
                <w:lang w:eastAsia="sk-SK"/>
              </w:rPr>
              <w:t>15 000</w:t>
            </w:r>
          </w:p>
        </w:tc>
        <w:tc>
          <w:tcPr>
            <w:tcW w:w="1701" w:type="dxa"/>
            <w:vAlign w:val="center"/>
          </w:tcPr>
          <w:p w14:paraId="360905DC" w14:textId="3E0E1B96" w:rsidR="003C2A43" w:rsidRPr="00467E4E" w:rsidRDefault="003C2A43" w:rsidP="003C2A43">
            <w:pPr>
              <w:jc w:val="right"/>
              <w:rPr>
                <w:rFonts w:ascii="Times New Roman" w:eastAsia="Times New Roman" w:hAnsi="Times New Roman" w:cs="Times New Roman"/>
                <w:sz w:val="24"/>
                <w:szCs w:val="24"/>
                <w:lang w:eastAsia="sk-SK"/>
              </w:rPr>
            </w:pPr>
            <w:r w:rsidRPr="003C3669">
              <w:rPr>
                <w:rFonts w:ascii="Times New Roman" w:eastAsia="Times New Roman" w:hAnsi="Times New Roman" w:cs="Times New Roman"/>
                <w:sz w:val="24"/>
                <w:szCs w:val="24"/>
                <w:lang w:eastAsia="sk-SK"/>
              </w:rPr>
              <w:t>15 000</w:t>
            </w:r>
          </w:p>
        </w:tc>
      </w:tr>
      <w:tr w:rsidR="00A85C16" w:rsidRPr="00467E4E" w14:paraId="0A4C0E00" w14:textId="77777777" w:rsidTr="00A85C16">
        <w:tc>
          <w:tcPr>
            <w:tcW w:w="9067" w:type="dxa"/>
            <w:gridSpan w:val="5"/>
            <w:vAlign w:val="bottom"/>
          </w:tcPr>
          <w:p w14:paraId="76C1F7CB" w14:textId="65F7115D" w:rsidR="00A85C16" w:rsidRPr="00467E4E" w:rsidRDefault="00A85C16" w:rsidP="00A85C16">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b/>
                <w:sz w:val="24"/>
                <w:szCs w:val="24"/>
                <w:lang w:eastAsia="sk-SK"/>
              </w:rPr>
              <w:t>Prírodná katastrofa</w:t>
            </w:r>
          </w:p>
        </w:tc>
      </w:tr>
      <w:tr w:rsidR="00DB7335" w:rsidRPr="00467E4E" w14:paraId="65AF1480" w14:textId="77777777" w:rsidTr="003C2A43">
        <w:tc>
          <w:tcPr>
            <w:tcW w:w="3681" w:type="dxa"/>
            <w:vAlign w:val="bottom"/>
          </w:tcPr>
          <w:p w14:paraId="22C1D52B" w14:textId="4B164CC1" w:rsidR="00DB7335" w:rsidRPr="00332619" w:rsidRDefault="00DB7335" w:rsidP="00DB7335">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sz w:val="24"/>
                <w:szCs w:val="24"/>
                <w:lang w:eastAsia="sk-SK"/>
              </w:rPr>
              <w:t>Od</w:t>
            </w:r>
            <w:r>
              <w:rPr>
                <w:rFonts w:ascii="Times New Roman" w:eastAsia="Times New Roman" w:hAnsi="Times New Roman" w:cs="Times New Roman"/>
                <w:sz w:val="24"/>
                <w:szCs w:val="24"/>
                <w:lang w:eastAsia="sk-SK"/>
              </w:rPr>
              <w:t>hadovaný p</w:t>
            </w:r>
            <w:r w:rsidRPr="00AB7077">
              <w:rPr>
                <w:rFonts w:ascii="Times New Roman" w:eastAsia="Times New Roman" w:hAnsi="Times New Roman" w:cs="Times New Roman"/>
                <w:sz w:val="24"/>
                <w:szCs w:val="24"/>
                <w:lang w:eastAsia="sk-SK"/>
              </w:rPr>
              <w:t xml:space="preserve">očet </w:t>
            </w:r>
            <w:r>
              <w:rPr>
                <w:rFonts w:ascii="Times New Roman" w:eastAsia="Times New Roman" w:hAnsi="Times New Roman" w:cs="Times New Roman"/>
                <w:sz w:val="24"/>
                <w:szCs w:val="24"/>
                <w:lang w:eastAsia="sk-SK"/>
              </w:rPr>
              <w:t xml:space="preserve">podporených </w:t>
            </w:r>
            <w:r w:rsidRPr="00AB7077">
              <w:rPr>
                <w:rFonts w:ascii="Times New Roman" w:eastAsia="Times New Roman" w:hAnsi="Times New Roman" w:cs="Times New Roman"/>
                <w:sz w:val="24"/>
                <w:szCs w:val="24"/>
                <w:lang w:eastAsia="sk-SK"/>
              </w:rPr>
              <w:t>podnikov</w:t>
            </w:r>
          </w:p>
        </w:tc>
        <w:tc>
          <w:tcPr>
            <w:tcW w:w="797" w:type="dxa"/>
            <w:vAlign w:val="center"/>
          </w:tcPr>
          <w:p w14:paraId="011B8AD2" w14:textId="69F8543F" w:rsidR="00DB7335" w:rsidRPr="00467E4E" w:rsidRDefault="00A85C16" w:rsidP="00DB7335">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18A9569C" w14:textId="3405E0FB"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10</w:t>
            </w:r>
          </w:p>
        </w:tc>
        <w:tc>
          <w:tcPr>
            <w:tcW w:w="1559" w:type="dxa"/>
            <w:vAlign w:val="center"/>
          </w:tcPr>
          <w:p w14:paraId="336C5A9E" w14:textId="6094CA6F"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10</w:t>
            </w:r>
          </w:p>
        </w:tc>
        <w:tc>
          <w:tcPr>
            <w:tcW w:w="1701" w:type="dxa"/>
            <w:vAlign w:val="center"/>
          </w:tcPr>
          <w:p w14:paraId="5EDD2A5D" w14:textId="4726E894"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10</w:t>
            </w:r>
          </w:p>
        </w:tc>
      </w:tr>
      <w:tr w:rsidR="00DB7335" w:rsidRPr="00467E4E" w14:paraId="3264FBB9" w14:textId="77777777" w:rsidTr="003C2A43">
        <w:tc>
          <w:tcPr>
            <w:tcW w:w="3681" w:type="dxa"/>
            <w:vAlign w:val="bottom"/>
          </w:tcPr>
          <w:p w14:paraId="08B26B70" w14:textId="4DBD8258" w:rsidR="00DB7335" w:rsidRPr="00332619" w:rsidRDefault="00DB7335" w:rsidP="00DB733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Odhadovaná priemerná výška kompenzácie</w:t>
            </w:r>
          </w:p>
        </w:tc>
        <w:tc>
          <w:tcPr>
            <w:tcW w:w="797" w:type="dxa"/>
            <w:vAlign w:val="center"/>
          </w:tcPr>
          <w:p w14:paraId="3FD0619B" w14:textId="7BC1F31F" w:rsidR="00DB7335" w:rsidRPr="00467E4E" w:rsidRDefault="00A85C16" w:rsidP="00DB7335">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383D60CF" w14:textId="58EF7CA7"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5 000</w:t>
            </w:r>
          </w:p>
        </w:tc>
        <w:tc>
          <w:tcPr>
            <w:tcW w:w="1559" w:type="dxa"/>
            <w:vAlign w:val="center"/>
          </w:tcPr>
          <w:p w14:paraId="25B7B573" w14:textId="768DEE9A"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5 000</w:t>
            </w:r>
          </w:p>
        </w:tc>
        <w:tc>
          <w:tcPr>
            <w:tcW w:w="1701" w:type="dxa"/>
            <w:vAlign w:val="center"/>
          </w:tcPr>
          <w:p w14:paraId="13B8C4DD" w14:textId="3E078547" w:rsidR="00DB7335" w:rsidRPr="00467E4E" w:rsidRDefault="00DB7335" w:rsidP="00DB7335">
            <w:pPr>
              <w:jc w:val="right"/>
              <w:rPr>
                <w:rFonts w:ascii="Times New Roman" w:eastAsia="Times New Roman" w:hAnsi="Times New Roman" w:cs="Times New Roman"/>
                <w:sz w:val="24"/>
                <w:szCs w:val="24"/>
                <w:lang w:eastAsia="sk-SK"/>
              </w:rPr>
            </w:pPr>
            <w:r w:rsidRPr="00DB7335">
              <w:rPr>
                <w:rFonts w:ascii="Times New Roman" w:eastAsia="Times New Roman" w:hAnsi="Times New Roman" w:cs="Times New Roman"/>
                <w:sz w:val="24"/>
                <w:szCs w:val="24"/>
                <w:lang w:eastAsia="sk-SK"/>
              </w:rPr>
              <w:t>5 000</w:t>
            </w:r>
          </w:p>
        </w:tc>
      </w:tr>
      <w:tr w:rsidR="00A85C16" w:rsidRPr="00467E4E" w14:paraId="21D17398" w14:textId="77777777" w:rsidTr="00A85C16">
        <w:tc>
          <w:tcPr>
            <w:tcW w:w="9067" w:type="dxa"/>
            <w:gridSpan w:val="5"/>
            <w:vAlign w:val="bottom"/>
          </w:tcPr>
          <w:p w14:paraId="3D207912" w14:textId="1E553E25" w:rsidR="00A85C16" w:rsidRPr="00467E4E" w:rsidRDefault="00A85C16" w:rsidP="00A85C16">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b/>
                <w:sz w:val="24"/>
                <w:szCs w:val="24"/>
                <w:lang w:eastAsia="sk-SK"/>
              </w:rPr>
              <w:t>Núdzový stav</w:t>
            </w:r>
          </w:p>
        </w:tc>
      </w:tr>
      <w:tr w:rsidR="00AB7077" w:rsidRPr="00467E4E" w14:paraId="2BDF7591" w14:textId="77777777" w:rsidTr="003C2A43">
        <w:tc>
          <w:tcPr>
            <w:tcW w:w="3681" w:type="dxa"/>
            <w:vAlign w:val="bottom"/>
          </w:tcPr>
          <w:p w14:paraId="31590DAD" w14:textId="2950D146" w:rsidR="00AB7077" w:rsidRPr="00AB7077" w:rsidRDefault="00AB7077" w:rsidP="00AB7077">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sz w:val="24"/>
                <w:szCs w:val="24"/>
                <w:lang w:eastAsia="sk-SK"/>
              </w:rPr>
              <w:t>Od</w:t>
            </w:r>
            <w:r>
              <w:rPr>
                <w:rFonts w:ascii="Times New Roman" w:eastAsia="Times New Roman" w:hAnsi="Times New Roman" w:cs="Times New Roman"/>
                <w:sz w:val="24"/>
                <w:szCs w:val="24"/>
                <w:lang w:eastAsia="sk-SK"/>
              </w:rPr>
              <w:t>hadovaný p</w:t>
            </w:r>
            <w:r w:rsidRPr="00AB7077">
              <w:rPr>
                <w:rFonts w:ascii="Times New Roman" w:eastAsia="Times New Roman" w:hAnsi="Times New Roman" w:cs="Times New Roman"/>
                <w:sz w:val="24"/>
                <w:szCs w:val="24"/>
                <w:lang w:eastAsia="sk-SK"/>
              </w:rPr>
              <w:t xml:space="preserve">očet </w:t>
            </w:r>
            <w:r>
              <w:rPr>
                <w:rFonts w:ascii="Times New Roman" w:eastAsia="Times New Roman" w:hAnsi="Times New Roman" w:cs="Times New Roman"/>
                <w:sz w:val="24"/>
                <w:szCs w:val="24"/>
                <w:lang w:eastAsia="sk-SK"/>
              </w:rPr>
              <w:t xml:space="preserve">podporených </w:t>
            </w:r>
            <w:r w:rsidRPr="00AB7077">
              <w:rPr>
                <w:rFonts w:ascii="Times New Roman" w:eastAsia="Times New Roman" w:hAnsi="Times New Roman" w:cs="Times New Roman"/>
                <w:sz w:val="24"/>
                <w:szCs w:val="24"/>
                <w:lang w:eastAsia="sk-SK"/>
              </w:rPr>
              <w:t>podnikov</w:t>
            </w:r>
          </w:p>
        </w:tc>
        <w:tc>
          <w:tcPr>
            <w:tcW w:w="797" w:type="dxa"/>
            <w:vAlign w:val="center"/>
          </w:tcPr>
          <w:p w14:paraId="406E7BDE" w14:textId="35F9B6E5" w:rsidR="00AB7077" w:rsidRPr="00467E4E" w:rsidRDefault="00A85C16"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6992BB34" w14:textId="0AEC53E1" w:rsidR="00AB7077" w:rsidRPr="00467E4E" w:rsidRDefault="00DB7335"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vAlign w:val="center"/>
          </w:tcPr>
          <w:p w14:paraId="3D24A5A3" w14:textId="5BB88EAD" w:rsidR="00AB7077" w:rsidRPr="00467E4E" w:rsidRDefault="00DB7335"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01" w:type="dxa"/>
            <w:vAlign w:val="center"/>
          </w:tcPr>
          <w:p w14:paraId="41F33FB2" w14:textId="52467CD5" w:rsidR="00AB7077" w:rsidRPr="00467E4E" w:rsidRDefault="00DB7335"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AB7077" w:rsidRPr="00467E4E" w14:paraId="24CAC294" w14:textId="77777777" w:rsidTr="003C2A43">
        <w:tc>
          <w:tcPr>
            <w:tcW w:w="3681" w:type="dxa"/>
            <w:vAlign w:val="bottom"/>
          </w:tcPr>
          <w:p w14:paraId="7E6EFEB5" w14:textId="706B5D32" w:rsidR="00AB7077" w:rsidRPr="00AB7077" w:rsidRDefault="00AB7077" w:rsidP="00AB707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Odhadovaná priemerná výška kompenzácie</w:t>
            </w:r>
          </w:p>
        </w:tc>
        <w:tc>
          <w:tcPr>
            <w:tcW w:w="797" w:type="dxa"/>
            <w:vAlign w:val="center"/>
          </w:tcPr>
          <w:p w14:paraId="032E649D" w14:textId="0059FC98" w:rsidR="00AB7077" w:rsidRPr="00467E4E" w:rsidRDefault="00A85C16"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25D67C15" w14:textId="275A8B9F" w:rsidR="00AB7077" w:rsidRPr="00467E4E" w:rsidRDefault="00DB7335"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59" w:type="dxa"/>
            <w:vAlign w:val="center"/>
          </w:tcPr>
          <w:p w14:paraId="3062E914" w14:textId="57AB2508" w:rsidR="00AB7077" w:rsidRPr="00467E4E" w:rsidRDefault="00DB7335"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01" w:type="dxa"/>
            <w:vAlign w:val="center"/>
          </w:tcPr>
          <w:p w14:paraId="5D947EA1" w14:textId="752FC620" w:rsidR="00AB7077" w:rsidRPr="00467E4E" w:rsidRDefault="00DB7335" w:rsidP="00AB7077">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3C2A43" w:rsidRPr="00467E4E" w14:paraId="422EAE80" w14:textId="77777777" w:rsidTr="003C2A43">
        <w:tc>
          <w:tcPr>
            <w:tcW w:w="3681" w:type="dxa"/>
          </w:tcPr>
          <w:p w14:paraId="7B4C4FB4" w14:textId="77777777" w:rsidR="003C2A43" w:rsidRPr="00467E4E" w:rsidRDefault="003C2A43" w:rsidP="003C2A43">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Výdavky</w:t>
            </w:r>
            <w:r w:rsidRPr="00467E4E">
              <w:rPr>
                <w:rFonts w:ascii="Times New Roman" w:eastAsia="Times New Roman" w:hAnsi="Times New Roman" w:cs="Times New Roman"/>
                <w:b/>
                <w:sz w:val="24"/>
                <w:szCs w:val="24"/>
                <w:lang w:eastAsia="sk-SK"/>
              </w:rPr>
              <w:t xml:space="preserve"> verejnej správy spolu (eur)</w:t>
            </w:r>
          </w:p>
        </w:tc>
        <w:tc>
          <w:tcPr>
            <w:tcW w:w="797" w:type="dxa"/>
            <w:vAlign w:val="center"/>
          </w:tcPr>
          <w:p w14:paraId="399AA327" w14:textId="7394DAF3" w:rsidR="003C2A43" w:rsidRPr="00DB7335" w:rsidRDefault="003C2A43" w:rsidP="003C2A43">
            <w:pPr>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w:t>
            </w:r>
          </w:p>
        </w:tc>
        <w:tc>
          <w:tcPr>
            <w:tcW w:w="1329" w:type="dxa"/>
            <w:vAlign w:val="center"/>
          </w:tcPr>
          <w:p w14:paraId="7C71E542" w14:textId="0915B92F"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950 000</w:t>
            </w:r>
          </w:p>
        </w:tc>
        <w:tc>
          <w:tcPr>
            <w:tcW w:w="1559" w:type="dxa"/>
            <w:vAlign w:val="center"/>
          </w:tcPr>
          <w:p w14:paraId="387509DE" w14:textId="216DEB4F"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1 100 000</w:t>
            </w:r>
          </w:p>
        </w:tc>
        <w:tc>
          <w:tcPr>
            <w:tcW w:w="1701" w:type="dxa"/>
            <w:vAlign w:val="center"/>
          </w:tcPr>
          <w:p w14:paraId="7D084AE8" w14:textId="10E90820"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1 250 000</w:t>
            </w:r>
          </w:p>
        </w:tc>
      </w:tr>
      <w:tr w:rsidR="003C2A43" w:rsidRPr="0069022B" w14:paraId="48D14A96" w14:textId="77777777" w:rsidTr="003C2A43">
        <w:tc>
          <w:tcPr>
            <w:tcW w:w="3681" w:type="dxa"/>
          </w:tcPr>
          <w:p w14:paraId="13E94709" w14:textId="07289A5D" w:rsidR="003C2A43" w:rsidRPr="00CA0DBD" w:rsidRDefault="003C2A43" w:rsidP="003C2A43">
            <w:pPr>
              <w:rPr>
                <w:rFonts w:ascii="Times New Roman" w:eastAsia="Times New Roman" w:hAnsi="Times New Roman" w:cs="Times New Roman"/>
                <w:sz w:val="24"/>
                <w:szCs w:val="24"/>
                <w:lang w:eastAsia="sk-SK"/>
              </w:rPr>
            </w:pPr>
            <w:r w:rsidRPr="00CA0DBD">
              <w:rPr>
                <w:rFonts w:ascii="Times New Roman" w:eastAsia="Times New Roman" w:hAnsi="Times New Roman" w:cs="Times New Roman"/>
                <w:sz w:val="24"/>
                <w:szCs w:val="24"/>
                <w:lang w:eastAsia="sk-SK"/>
              </w:rPr>
              <w:t xml:space="preserve"> - z toho VPS</w:t>
            </w:r>
          </w:p>
        </w:tc>
        <w:tc>
          <w:tcPr>
            <w:tcW w:w="797" w:type="dxa"/>
            <w:shd w:val="clear" w:color="auto" w:fill="auto"/>
            <w:vAlign w:val="center"/>
          </w:tcPr>
          <w:p w14:paraId="7756D246" w14:textId="68E5D169" w:rsidR="003C2A43" w:rsidRPr="00CA0DBD" w:rsidRDefault="003C2A43" w:rsidP="003C2A43">
            <w:pPr>
              <w:jc w:val="right"/>
              <w:rPr>
                <w:rFonts w:ascii="Times New Roman" w:eastAsia="Times New Roman" w:hAnsi="Times New Roman" w:cs="Times New Roman"/>
                <w:sz w:val="24"/>
                <w:szCs w:val="24"/>
                <w:lang w:eastAsia="sk-SK"/>
              </w:rPr>
            </w:pPr>
            <w:r w:rsidRPr="00CA0DBD">
              <w:rPr>
                <w:rFonts w:ascii="Times New Roman" w:eastAsia="Times New Roman" w:hAnsi="Times New Roman" w:cs="Times New Roman"/>
                <w:b/>
                <w:sz w:val="24"/>
                <w:szCs w:val="24"/>
                <w:lang w:eastAsia="sk-SK"/>
              </w:rPr>
              <w:t>-</w:t>
            </w:r>
          </w:p>
        </w:tc>
        <w:tc>
          <w:tcPr>
            <w:tcW w:w="1329" w:type="dxa"/>
            <w:shd w:val="clear" w:color="auto" w:fill="auto"/>
            <w:vAlign w:val="center"/>
          </w:tcPr>
          <w:p w14:paraId="58CDB580" w14:textId="56E95F9B" w:rsidR="003C2A43" w:rsidRPr="00CA0DBD"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950 000</w:t>
            </w:r>
          </w:p>
        </w:tc>
        <w:tc>
          <w:tcPr>
            <w:tcW w:w="1559" w:type="dxa"/>
            <w:shd w:val="clear" w:color="auto" w:fill="auto"/>
            <w:vAlign w:val="center"/>
          </w:tcPr>
          <w:p w14:paraId="66B8C2E5" w14:textId="5205AF0D" w:rsidR="003C2A43" w:rsidRPr="00CA0DBD"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1 100 000</w:t>
            </w:r>
          </w:p>
        </w:tc>
        <w:tc>
          <w:tcPr>
            <w:tcW w:w="1701" w:type="dxa"/>
            <w:shd w:val="clear" w:color="auto" w:fill="auto"/>
            <w:vAlign w:val="center"/>
          </w:tcPr>
          <w:p w14:paraId="5919AB66" w14:textId="3F195539" w:rsidR="003C2A43" w:rsidRPr="00CA0DBD"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1 250 000</w:t>
            </w:r>
          </w:p>
        </w:tc>
      </w:tr>
    </w:tbl>
    <w:p w14:paraId="31505A58" w14:textId="77777777" w:rsidR="00434873" w:rsidRPr="0069022B" w:rsidRDefault="00434873" w:rsidP="00434873">
      <w:pPr>
        <w:spacing w:after="0" w:line="240" w:lineRule="auto"/>
        <w:rPr>
          <w:rFonts w:ascii="Times New Roman" w:eastAsia="Times New Roman" w:hAnsi="Times New Roman" w:cs="Times New Roman"/>
          <w:sz w:val="20"/>
          <w:szCs w:val="20"/>
          <w:lang w:eastAsia="sk-SK"/>
        </w:rPr>
      </w:pPr>
    </w:p>
    <w:p w14:paraId="40200154" w14:textId="77777777" w:rsidR="00AB7077" w:rsidRDefault="00AB7077" w:rsidP="00E85585">
      <w:pPr>
        <w:spacing w:after="0" w:line="240" w:lineRule="auto"/>
        <w:rPr>
          <w:rFonts w:ascii="Times New Roman" w:hAnsi="Times New Roman" w:cs="Verdana"/>
          <w:b/>
          <w:bCs/>
          <w:iCs/>
          <w:color w:val="FF0000"/>
          <w:sz w:val="24"/>
          <w:szCs w:val="24"/>
        </w:rPr>
      </w:pPr>
    </w:p>
    <w:p w14:paraId="6C9D2260" w14:textId="65F5B2F9" w:rsidR="00AB7077" w:rsidRPr="00AB7077" w:rsidRDefault="00AB7077" w:rsidP="00AB7077">
      <w:pPr>
        <w:jc w:val="both"/>
        <w:rPr>
          <w:rFonts w:ascii="Times New Roman" w:hAnsi="Times New Roman" w:cs="Times New Roman"/>
          <w:b/>
          <w:sz w:val="24"/>
          <w:szCs w:val="20"/>
        </w:rPr>
      </w:pPr>
      <w:r w:rsidRPr="00AB7077">
        <w:rPr>
          <w:rFonts w:ascii="Times New Roman" w:hAnsi="Times New Roman" w:cs="Times New Roman"/>
          <w:b/>
          <w:sz w:val="24"/>
          <w:szCs w:val="20"/>
        </w:rPr>
        <w:t>Zníženie výdavkov v súvislosti s krátením maximálnej výšky vyrovnávacieho príspevku integračnému podniku podľa úväzku</w:t>
      </w:r>
    </w:p>
    <w:p w14:paraId="4057351B" w14:textId="77777777" w:rsidR="00AB7077" w:rsidRDefault="00AB7077" w:rsidP="00E85585">
      <w:pPr>
        <w:spacing w:after="0" w:line="240" w:lineRule="auto"/>
        <w:rPr>
          <w:rFonts w:ascii="Times New Roman" w:hAnsi="Times New Roman" w:cs="Verdana"/>
          <w:b/>
          <w:bCs/>
          <w:iCs/>
          <w:color w:val="FF0000"/>
          <w:sz w:val="24"/>
          <w:szCs w:val="24"/>
        </w:rPr>
      </w:pPr>
    </w:p>
    <w:p w14:paraId="194FCCF0" w14:textId="6086FB5F" w:rsidR="00D15F15" w:rsidRDefault="00D15F15" w:rsidP="00AB7077">
      <w:pPr>
        <w:spacing w:after="0"/>
        <w:jc w:val="both"/>
        <w:rPr>
          <w:rFonts w:ascii="Times New Roman" w:hAnsi="Times New Roman" w:cs="Times New Roman"/>
          <w:sz w:val="24"/>
        </w:rPr>
      </w:pPr>
      <w:r w:rsidRPr="00AB7077">
        <w:rPr>
          <w:rFonts w:ascii="Times New Roman" w:hAnsi="Times New Roman" w:cs="Times New Roman"/>
          <w:sz w:val="24"/>
        </w:rPr>
        <w:t xml:space="preserve">Zavádza sa alikvotné krátenie maximálnej výšky vyrovnávacieho príspevku integračnému podniku tak, aby zodpovedala pracovnému pomeru dohodnutému na ustanovený týždenný pracovný čas. Ak je pracovný pomer dohodnutý na kratší pracovný čas, maximálna výška príspevku sa má pomerne krátiť. </w:t>
      </w:r>
    </w:p>
    <w:p w14:paraId="24F42B8E" w14:textId="77777777" w:rsidR="00AB7077" w:rsidRDefault="00AB7077" w:rsidP="00AB7077">
      <w:pPr>
        <w:spacing w:after="0"/>
        <w:jc w:val="both"/>
        <w:rPr>
          <w:rFonts w:ascii="Times New Roman" w:hAnsi="Times New Roman" w:cs="Times New Roman"/>
          <w:sz w:val="24"/>
        </w:rPr>
      </w:pPr>
    </w:p>
    <w:tbl>
      <w:tblPr>
        <w:tblStyle w:val="Mriekatabuky"/>
        <w:tblW w:w="9067" w:type="dxa"/>
        <w:tblLook w:val="04A0" w:firstRow="1" w:lastRow="0" w:firstColumn="1" w:lastColumn="0" w:noHBand="0" w:noVBand="1"/>
      </w:tblPr>
      <w:tblGrid>
        <w:gridCol w:w="3681"/>
        <w:gridCol w:w="797"/>
        <w:gridCol w:w="1329"/>
        <w:gridCol w:w="1559"/>
        <w:gridCol w:w="1701"/>
      </w:tblGrid>
      <w:tr w:rsidR="00AB7077" w:rsidRPr="00467E4E" w14:paraId="63F5CA97" w14:textId="77777777" w:rsidTr="003C2A43">
        <w:tc>
          <w:tcPr>
            <w:tcW w:w="3681" w:type="dxa"/>
          </w:tcPr>
          <w:p w14:paraId="3F97CCEE" w14:textId="77777777" w:rsidR="00AB7077" w:rsidRPr="00467E4E" w:rsidRDefault="00AB7077" w:rsidP="002444FA">
            <w:pPr>
              <w:jc w:val="both"/>
              <w:rPr>
                <w:rFonts w:ascii="Times New Roman" w:eastAsia="Times New Roman" w:hAnsi="Times New Roman" w:cs="Times New Roman"/>
                <w:sz w:val="24"/>
                <w:szCs w:val="24"/>
                <w:lang w:eastAsia="sk-SK"/>
              </w:rPr>
            </w:pPr>
          </w:p>
        </w:tc>
        <w:tc>
          <w:tcPr>
            <w:tcW w:w="797" w:type="dxa"/>
          </w:tcPr>
          <w:p w14:paraId="3D9D968F" w14:textId="059474C3"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2022</w:t>
            </w:r>
          </w:p>
        </w:tc>
        <w:tc>
          <w:tcPr>
            <w:tcW w:w="1329" w:type="dxa"/>
          </w:tcPr>
          <w:p w14:paraId="61A5CC75" w14:textId="720E98E7"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2023</w:t>
            </w:r>
          </w:p>
        </w:tc>
        <w:tc>
          <w:tcPr>
            <w:tcW w:w="1559" w:type="dxa"/>
          </w:tcPr>
          <w:p w14:paraId="30A17C8C" w14:textId="7A5E9843"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2024</w:t>
            </w:r>
          </w:p>
        </w:tc>
        <w:tc>
          <w:tcPr>
            <w:tcW w:w="1701" w:type="dxa"/>
          </w:tcPr>
          <w:p w14:paraId="3E33CABF" w14:textId="0396897F" w:rsidR="00AB7077" w:rsidRPr="00005063" w:rsidRDefault="003C2A43"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2025</w:t>
            </w:r>
          </w:p>
        </w:tc>
      </w:tr>
      <w:tr w:rsidR="003C2A43" w:rsidRPr="00467E4E" w14:paraId="1760E487" w14:textId="77777777" w:rsidTr="003C2A43">
        <w:trPr>
          <w:trHeight w:val="432"/>
        </w:trPr>
        <w:tc>
          <w:tcPr>
            <w:tcW w:w="3681" w:type="dxa"/>
            <w:vAlign w:val="bottom"/>
          </w:tcPr>
          <w:p w14:paraId="712F8043" w14:textId="759C4A95" w:rsidR="003C2A43" w:rsidRPr="00496A72" w:rsidRDefault="003C2A43" w:rsidP="003C2A43">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sz w:val="24"/>
                <w:szCs w:val="24"/>
                <w:lang w:eastAsia="sk-SK"/>
              </w:rPr>
              <w:t>Odhadovaný počet znevýhodnených zamestnancov</w:t>
            </w:r>
          </w:p>
        </w:tc>
        <w:tc>
          <w:tcPr>
            <w:tcW w:w="797" w:type="dxa"/>
            <w:vAlign w:val="center"/>
          </w:tcPr>
          <w:p w14:paraId="46588CCA" w14:textId="04F6E840"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4E1E045D" w14:textId="07A90821"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3 000</w:t>
            </w:r>
          </w:p>
        </w:tc>
        <w:tc>
          <w:tcPr>
            <w:tcW w:w="1559" w:type="dxa"/>
            <w:vAlign w:val="center"/>
          </w:tcPr>
          <w:p w14:paraId="709A3B99" w14:textId="579349A8"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3 300</w:t>
            </w:r>
          </w:p>
        </w:tc>
        <w:tc>
          <w:tcPr>
            <w:tcW w:w="1701" w:type="dxa"/>
            <w:vAlign w:val="center"/>
          </w:tcPr>
          <w:p w14:paraId="67ED5849" w14:textId="1662998B" w:rsidR="003C2A43" w:rsidRPr="00467E4E" w:rsidRDefault="003C2A43" w:rsidP="003C2A43">
            <w:pPr>
              <w:jc w:val="right"/>
              <w:rPr>
                <w:rFonts w:ascii="Times New Roman" w:eastAsia="Times New Roman" w:hAnsi="Times New Roman" w:cs="Times New Roman"/>
                <w:sz w:val="24"/>
                <w:szCs w:val="24"/>
                <w:lang w:eastAsia="sk-SK"/>
              </w:rPr>
            </w:pPr>
            <w:r w:rsidRPr="003C2A43">
              <w:rPr>
                <w:rFonts w:ascii="Times New Roman" w:eastAsia="Times New Roman" w:hAnsi="Times New Roman" w:cs="Times New Roman"/>
                <w:sz w:val="24"/>
                <w:szCs w:val="24"/>
                <w:lang w:eastAsia="sk-SK"/>
              </w:rPr>
              <w:t>3 900</w:t>
            </w:r>
          </w:p>
        </w:tc>
      </w:tr>
      <w:tr w:rsidR="003C2A43" w:rsidRPr="00467E4E" w14:paraId="5EFF6BDB" w14:textId="77777777" w:rsidTr="003C2A43">
        <w:trPr>
          <w:trHeight w:val="432"/>
        </w:trPr>
        <w:tc>
          <w:tcPr>
            <w:tcW w:w="3681" w:type="dxa"/>
            <w:vAlign w:val="bottom"/>
          </w:tcPr>
          <w:p w14:paraId="1C3F59DE" w14:textId="27B25A74" w:rsidR="003C2A43" w:rsidRPr="00496A72" w:rsidRDefault="003C2A43" w:rsidP="003C2A43">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sz w:val="24"/>
                <w:szCs w:val="24"/>
                <w:lang w:eastAsia="sk-SK"/>
              </w:rPr>
              <w:t xml:space="preserve">Odhadovaná priemerná výška vyrovnávacieho príspevku </w:t>
            </w:r>
          </w:p>
        </w:tc>
        <w:tc>
          <w:tcPr>
            <w:tcW w:w="797" w:type="dxa"/>
            <w:vAlign w:val="center"/>
          </w:tcPr>
          <w:p w14:paraId="45675F68" w14:textId="0F38A011" w:rsidR="003C2A43" w:rsidRPr="00467E4E" w:rsidRDefault="003C2A43" w:rsidP="003C2A43">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center"/>
          </w:tcPr>
          <w:p w14:paraId="29C3F6BE" w14:textId="09EE29C3" w:rsidR="003C2A43" w:rsidRPr="0099088E" w:rsidRDefault="003C2A43" w:rsidP="003C2A43">
            <w:pPr>
              <w:jc w:val="right"/>
              <w:rPr>
                <w:rFonts w:ascii="Times New Roman" w:eastAsia="Times New Roman" w:hAnsi="Times New Roman" w:cs="Times New Roman"/>
                <w:sz w:val="24"/>
                <w:szCs w:val="24"/>
                <w:lang w:eastAsia="sk-SK"/>
              </w:rPr>
            </w:pPr>
            <w:r w:rsidRPr="0099088E">
              <w:rPr>
                <w:rFonts w:ascii="Times New Roman" w:eastAsia="Times New Roman" w:hAnsi="Times New Roman" w:cs="Times New Roman"/>
                <w:sz w:val="24"/>
                <w:szCs w:val="24"/>
                <w:lang w:eastAsia="sk-SK"/>
              </w:rPr>
              <w:t>551</w:t>
            </w:r>
          </w:p>
        </w:tc>
        <w:tc>
          <w:tcPr>
            <w:tcW w:w="1559" w:type="dxa"/>
            <w:vAlign w:val="center"/>
          </w:tcPr>
          <w:p w14:paraId="5DDDA852" w14:textId="681AD38E" w:rsidR="003C2A43" w:rsidRPr="0099088E" w:rsidRDefault="003C2A43" w:rsidP="003C2A43">
            <w:pPr>
              <w:jc w:val="right"/>
              <w:rPr>
                <w:rFonts w:ascii="Times New Roman" w:eastAsia="Times New Roman" w:hAnsi="Times New Roman" w:cs="Times New Roman"/>
                <w:sz w:val="24"/>
                <w:szCs w:val="24"/>
                <w:lang w:eastAsia="sk-SK"/>
              </w:rPr>
            </w:pPr>
            <w:r w:rsidRPr="0099088E">
              <w:rPr>
                <w:rFonts w:ascii="Times New Roman" w:eastAsia="Times New Roman" w:hAnsi="Times New Roman" w:cs="Times New Roman"/>
                <w:sz w:val="24"/>
                <w:szCs w:val="24"/>
                <w:lang w:eastAsia="sk-SK"/>
              </w:rPr>
              <w:t>577</w:t>
            </w:r>
          </w:p>
        </w:tc>
        <w:tc>
          <w:tcPr>
            <w:tcW w:w="1701" w:type="dxa"/>
            <w:vAlign w:val="center"/>
          </w:tcPr>
          <w:p w14:paraId="1B8F2EB4" w14:textId="02114ED0" w:rsidR="003C2A43" w:rsidRPr="0099088E" w:rsidRDefault="003C2A43" w:rsidP="003C2A43">
            <w:pPr>
              <w:jc w:val="right"/>
              <w:rPr>
                <w:rFonts w:ascii="Times New Roman" w:eastAsia="Times New Roman" w:hAnsi="Times New Roman" w:cs="Times New Roman"/>
                <w:sz w:val="24"/>
                <w:szCs w:val="24"/>
                <w:lang w:eastAsia="sk-SK"/>
              </w:rPr>
            </w:pPr>
            <w:r w:rsidRPr="0099088E">
              <w:rPr>
                <w:rFonts w:ascii="Times New Roman" w:eastAsia="Times New Roman" w:hAnsi="Times New Roman" w:cs="Times New Roman"/>
                <w:sz w:val="24"/>
                <w:szCs w:val="24"/>
                <w:lang w:eastAsia="sk-SK"/>
              </w:rPr>
              <w:t>601</w:t>
            </w:r>
          </w:p>
        </w:tc>
      </w:tr>
      <w:tr w:rsidR="00DB7335" w:rsidRPr="00467E4E" w14:paraId="08415746" w14:textId="77777777" w:rsidTr="003C2A43">
        <w:tc>
          <w:tcPr>
            <w:tcW w:w="3681" w:type="dxa"/>
            <w:vAlign w:val="bottom"/>
          </w:tcPr>
          <w:p w14:paraId="3B2A1A3C" w14:textId="73EA7E31" w:rsidR="00DB7335" w:rsidRPr="00467E4E" w:rsidRDefault="00DB7335" w:rsidP="00DB7335">
            <w:pPr>
              <w:rPr>
                <w:rFonts w:ascii="Times New Roman" w:eastAsia="Times New Roman" w:hAnsi="Times New Roman" w:cs="Times New Roman"/>
                <w:sz w:val="24"/>
                <w:szCs w:val="24"/>
                <w:lang w:eastAsia="sk-SK"/>
              </w:rPr>
            </w:pPr>
            <w:r w:rsidRPr="00AB7077">
              <w:rPr>
                <w:rFonts w:ascii="Times New Roman" w:eastAsia="Times New Roman" w:hAnsi="Times New Roman" w:cs="Times New Roman"/>
                <w:sz w:val="24"/>
                <w:szCs w:val="24"/>
                <w:lang w:eastAsia="sk-SK"/>
              </w:rPr>
              <w:t>Odhadovaný priemerný úväzok</w:t>
            </w:r>
          </w:p>
        </w:tc>
        <w:tc>
          <w:tcPr>
            <w:tcW w:w="797" w:type="dxa"/>
            <w:vAlign w:val="bottom"/>
          </w:tcPr>
          <w:p w14:paraId="593D4CC8" w14:textId="0A61643A" w:rsidR="00DB7335" w:rsidRPr="00467E4E" w:rsidRDefault="00EF3DD4" w:rsidP="00DB7335">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329" w:type="dxa"/>
            <w:vAlign w:val="bottom"/>
          </w:tcPr>
          <w:p w14:paraId="1FB77E75" w14:textId="2739800D" w:rsidR="00DB7335" w:rsidRPr="0099088E" w:rsidRDefault="00DB7335" w:rsidP="00DB7335">
            <w:pPr>
              <w:jc w:val="right"/>
              <w:rPr>
                <w:rFonts w:ascii="Times New Roman" w:eastAsia="Times New Roman" w:hAnsi="Times New Roman" w:cs="Times New Roman"/>
                <w:sz w:val="24"/>
                <w:szCs w:val="24"/>
                <w:lang w:eastAsia="sk-SK"/>
              </w:rPr>
            </w:pPr>
            <w:r w:rsidRPr="0099088E">
              <w:rPr>
                <w:rFonts w:ascii="Times New Roman" w:eastAsia="Times New Roman" w:hAnsi="Times New Roman" w:cs="Times New Roman"/>
                <w:sz w:val="24"/>
                <w:szCs w:val="24"/>
                <w:lang w:eastAsia="sk-SK"/>
              </w:rPr>
              <w:t>60%</w:t>
            </w:r>
          </w:p>
        </w:tc>
        <w:tc>
          <w:tcPr>
            <w:tcW w:w="1559" w:type="dxa"/>
            <w:vAlign w:val="bottom"/>
          </w:tcPr>
          <w:p w14:paraId="5D7B1443" w14:textId="63F232C9" w:rsidR="00DB7335" w:rsidRPr="0099088E" w:rsidRDefault="00DB7335" w:rsidP="00DB7335">
            <w:pPr>
              <w:jc w:val="right"/>
              <w:rPr>
                <w:rFonts w:ascii="Times New Roman" w:eastAsia="Times New Roman" w:hAnsi="Times New Roman" w:cs="Times New Roman"/>
                <w:sz w:val="24"/>
                <w:szCs w:val="24"/>
                <w:lang w:eastAsia="sk-SK"/>
              </w:rPr>
            </w:pPr>
            <w:r w:rsidRPr="0099088E">
              <w:rPr>
                <w:rFonts w:ascii="Times New Roman" w:eastAsia="Times New Roman" w:hAnsi="Times New Roman" w:cs="Times New Roman"/>
                <w:sz w:val="24"/>
                <w:szCs w:val="24"/>
                <w:lang w:eastAsia="sk-SK"/>
              </w:rPr>
              <w:t>60%</w:t>
            </w:r>
          </w:p>
        </w:tc>
        <w:tc>
          <w:tcPr>
            <w:tcW w:w="1701" w:type="dxa"/>
            <w:vAlign w:val="bottom"/>
          </w:tcPr>
          <w:p w14:paraId="55C52C4D" w14:textId="5D934579" w:rsidR="00DB7335" w:rsidRPr="0099088E" w:rsidRDefault="00DB7335" w:rsidP="00DB7335">
            <w:pPr>
              <w:jc w:val="right"/>
              <w:rPr>
                <w:rFonts w:ascii="Times New Roman" w:eastAsia="Times New Roman" w:hAnsi="Times New Roman" w:cs="Times New Roman"/>
                <w:sz w:val="24"/>
                <w:szCs w:val="24"/>
                <w:lang w:eastAsia="sk-SK"/>
              </w:rPr>
            </w:pPr>
            <w:r w:rsidRPr="0099088E">
              <w:rPr>
                <w:rFonts w:ascii="Times New Roman" w:eastAsia="Times New Roman" w:hAnsi="Times New Roman" w:cs="Times New Roman"/>
                <w:sz w:val="24"/>
                <w:szCs w:val="24"/>
                <w:lang w:eastAsia="sk-SK"/>
              </w:rPr>
              <w:t>60%</w:t>
            </w:r>
          </w:p>
        </w:tc>
      </w:tr>
      <w:tr w:rsidR="003C2A43" w:rsidRPr="00467E4E" w14:paraId="4FE0D1F3" w14:textId="77777777" w:rsidTr="003C2A43">
        <w:tc>
          <w:tcPr>
            <w:tcW w:w="3681" w:type="dxa"/>
          </w:tcPr>
          <w:p w14:paraId="4DBDCEFA" w14:textId="77777777" w:rsidR="003C2A43" w:rsidRPr="00467E4E" w:rsidRDefault="003C2A43" w:rsidP="003C2A43">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Výdavky</w:t>
            </w:r>
            <w:r w:rsidRPr="00467E4E">
              <w:rPr>
                <w:rFonts w:ascii="Times New Roman" w:eastAsia="Times New Roman" w:hAnsi="Times New Roman" w:cs="Times New Roman"/>
                <w:b/>
                <w:sz w:val="24"/>
                <w:szCs w:val="24"/>
                <w:lang w:eastAsia="sk-SK"/>
              </w:rPr>
              <w:t xml:space="preserve"> verejnej správy spolu (eur)</w:t>
            </w:r>
          </w:p>
        </w:tc>
        <w:tc>
          <w:tcPr>
            <w:tcW w:w="797" w:type="dxa"/>
            <w:vAlign w:val="center"/>
          </w:tcPr>
          <w:p w14:paraId="05BA2FA8" w14:textId="554EB373" w:rsidR="003C2A43" w:rsidRPr="00DB7335" w:rsidRDefault="003C2A43" w:rsidP="003C2A43">
            <w:pPr>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w:t>
            </w:r>
          </w:p>
        </w:tc>
        <w:tc>
          <w:tcPr>
            <w:tcW w:w="1329" w:type="dxa"/>
            <w:vAlign w:val="center"/>
          </w:tcPr>
          <w:p w14:paraId="52C2E38C" w14:textId="699CCBDA"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-7 930 853</w:t>
            </w:r>
          </w:p>
        </w:tc>
        <w:tc>
          <w:tcPr>
            <w:tcW w:w="1559" w:type="dxa"/>
            <w:vAlign w:val="center"/>
          </w:tcPr>
          <w:p w14:paraId="19A04F73" w14:textId="3F454EC0"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-9 142 687</w:t>
            </w:r>
          </w:p>
        </w:tc>
        <w:tc>
          <w:tcPr>
            <w:tcW w:w="1701" w:type="dxa"/>
            <w:vAlign w:val="center"/>
          </w:tcPr>
          <w:p w14:paraId="36149D3C" w14:textId="60EAEC72" w:rsidR="003C2A43" w:rsidRPr="003C2A43" w:rsidRDefault="003C2A43" w:rsidP="003C2A43">
            <w:pPr>
              <w:jc w:val="right"/>
              <w:rPr>
                <w:rFonts w:ascii="Times New Roman" w:eastAsia="Times New Roman" w:hAnsi="Times New Roman" w:cs="Times New Roman"/>
                <w:b/>
                <w:sz w:val="24"/>
                <w:szCs w:val="24"/>
                <w:lang w:eastAsia="sk-SK"/>
              </w:rPr>
            </w:pPr>
            <w:r w:rsidRPr="003C2A43">
              <w:rPr>
                <w:rFonts w:ascii="Times New Roman" w:eastAsia="Times New Roman" w:hAnsi="Times New Roman" w:cs="Times New Roman"/>
                <w:b/>
                <w:sz w:val="24"/>
                <w:szCs w:val="24"/>
                <w:lang w:eastAsia="sk-SK"/>
              </w:rPr>
              <w:t>-11 247 999</w:t>
            </w:r>
          </w:p>
        </w:tc>
      </w:tr>
      <w:tr w:rsidR="007A0712" w:rsidRPr="00467E4E" w14:paraId="7DAC03FB" w14:textId="77777777" w:rsidTr="003C2A43">
        <w:tc>
          <w:tcPr>
            <w:tcW w:w="3681" w:type="dxa"/>
          </w:tcPr>
          <w:p w14:paraId="7EE3383B" w14:textId="43406F08" w:rsidR="007A0712" w:rsidRPr="00AA595E" w:rsidRDefault="007A0712" w:rsidP="007A0712">
            <w:pPr>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 xml:space="preserve"> - z toho EÚ zdroje</w:t>
            </w:r>
          </w:p>
        </w:tc>
        <w:tc>
          <w:tcPr>
            <w:tcW w:w="797" w:type="dxa"/>
            <w:vAlign w:val="center"/>
          </w:tcPr>
          <w:p w14:paraId="6DF13148" w14:textId="47472D53" w:rsidR="007A0712" w:rsidRPr="00AA595E" w:rsidRDefault="007A0712" w:rsidP="007A0712">
            <w:pPr>
              <w:jc w:val="right"/>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w:t>
            </w:r>
          </w:p>
        </w:tc>
        <w:tc>
          <w:tcPr>
            <w:tcW w:w="1329" w:type="dxa"/>
            <w:vAlign w:val="center"/>
          </w:tcPr>
          <w:p w14:paraId="58FC8F1E" w14:textId="7CDEEE9C" w:rsidR="007A0712" w:rsidRPr="00AA595E" w:rsidRDefault="007A0712" w:rsidP="007A0712">
            <w:pPr>
              <w:jc w:val="right"/>
              <w:rPr>
                <w:rFonts w:ascii="Times New Roman" w:eastAsia="Times New Roman" w:hAnsi="Times New Roman" w:cs="Times New Roman"/>
                <w:sz w:val="24"/>
                <w:szCs w:val="24"/>
                <w:lang w:eastAsia="sk-SK"/>
              </w:rPr>
            </w:pPr>
            <w:r w:rsidRPr="007A0712">
              <w:rPr>
                <w:rFonts w:ascii="Times New Roman" w:eastAsia="Times New Roman" w:hAnsi="Times New Roman" w:cs="Times New Roman"/>
                <w:sz w:val="24"/>
                <w:szCs w:val="24"/>
                <w:lang w:eastAsia="sk-SK"/>
              </w:rPr>
              <w:t>-6 741 225</w:t>
            </w:r>
          </w:p>
        </w:tc>
        <w:tc>
          <w:tcPr>
            <w:tcW w:w="1559" w:type="dxa"/>
            <w:vAlign w:val="center"/>
          </w:tcPr>
          <w:p w14:paraId="6C0B4464" w14:textId="0F74CEEF" w:rsidR="007A0712" w:rsidRPr="00AA595E" w:rsidRDefault="007A0712" w:rsidP="007A0712">
            <w:pPr>
              <w:jc w:val="right"/>
              <w:rPr>
                <w:rFonts w:ascii="Times New Roman" w:eastAsia="Times New Roman" w:hAnsi="Times New Roman" w:cs="Times New Roman"/>
                <w:sz w:val="24"/>
                <w:szCs w:val="24"/>
                <w:lang w:eastAsia="sk-SK"/>
              </w:rPr>
            </w:pPr>
            <w:r w:rsidRPr="007A0712">
              <w:rPr>
                <w:rFonts w:ascii="Times New Roman" w:eastAsia="Times New Roman" w:hAnsi="Times New Roman" w:cs="Times New Roman"/>
                <w:sz w:val="24"/>
                <w:szCs w:val="24"/>
                <w:lang w:eastAsia="sk-SK"/>
              </w:rPr>
              <w:t>-7 771 284</w:t>
            </w:r>
          </w:p>
        </w:tc>
        <w:tc>
          <w:tcPr>
            <w:tcW w:w="1701" w:type="dxa"/>
            <w:vAlign w:val="center"/>
          </w:tcPr>
          <w:p w14:paraId="074BB002" w14:textId="0F336ED5" w:rsidR="007A0712" w:rsidRPr="00AA595E" w:rsidRDefault="007A0712" w:rsidP="007A0712">
            <w:pPr>
              <w:jc w:val="right"/>
              <w:rPr>
                <w:rFonts w:ascii="Times New Roman" w:eastAsia="Times New Roman" w:hAnsi="Times New Roman" w:cs="Times New Roman"/>
                <w:sz w:val="24"/>
                <w:szCs w:val="24"/>
                <w:lang w:eastAsia="sk-SK"/>
              </w:rPr>
            </w:pPr>
            <w:r w:rsidRPr="007A0712">
              <w:rPr>
                <w:rFonts w:ascii="Times New Roman" w:eastAsia="Times New Roman" w:hAnsi="Times New Roman" w:cs="Times New Roman"/>
                <w:sz w:val="24"/>
                <w:szCs w:val="24"/>
                <w:lang w:eastAsia="sk-SK"/>
              </w:rPr>
              <w:t>-9 560 799</w:t>
            </w:r>
          </w:p>
        </w:tc>
      </w:tr>
      <w:tr w:rsidR="007A0712" w:rsidRPr="00467E4E" w14:paraId="47D04224" w14:textId="77777777" w:rsidTr="003C2A43">
        <w:tc>
          <w:tcPr>
            <w:tcW w:w="3681" w:type="dxa"/>
          </w:tcPr>
          <w:p w14:paraId="6271C7AC" w14:textId="325C6A1E" w:rsidR="007A0712" w:rsidRPr="00AA595E" w:rsidRDefault="007A0712" w:rsidP="007A0712">
            <w:pPr>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 xml:space="preserve"> - z toho spolufinancovanie (MPSVR</w:t>
            </w:r>
            <w:r>
              <w:rPr>
                <w:rFonts w:ascii="Times New Roman" w:eastAsia="Times New Roman" w:hAnsi="Times New Roman" w:cs="Times New Roman"/>
                <w:sz w:val="24"/>
                <w:szCs w:val="24"/>
                <w:lang w:eastAsia="sk-SK"/>
              </w:rPr>
              <w:t xml:space="preserve"> </w:t>
            </w:r>
            <w:r w:rsidRPr="00AA595E">
              <w:rPr>
                <w:rFonts w:ascii="Times New Roman" w:eastAsia="Times New Roman" w:hAnsi="Times New Roman" w:cs="Times New Roman"/>
                <w:sz w:val="24"/>
                <w:szCs w:val="24"/>
                <w:lang w:eastAsia="sk-SK"/>
              </w:rPr>
              <w:t>SR)</w:t>
            </w:r>
          </w:p>
        </w:tc>
        <w:tc>
          <w:tcPr>
            <w:tcW w:w="797" w:type="dxa"/>
            <w:vAlign w:val="center"/>
          </w:tcPr>
          <w:p w14:paraId="420609BF" w14:textId="6A15699A" w:rsidR="007A0712" w:rsidRPr="00AA595E" w:rsidRDefault="007A0712" w:rsidP="007A0712">
            <w:pPr>
              <w:jc w:val="right"/>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w:t>
            </w:r>
          </w:p>
        </w:tc>
        <w:tc>
          <w:tcPr>
            <w:tcW w:w="1329" w:type="dxa"/>
            <w:vAlign w:val="center"/>
          </w:tcPr>
          <w:p w14:paraId="7CB0AC51" w14:textId="432FAA36" w:rsidR="007A0712" w:rsidRPr="00AA595E" w:rsidRDefault="007A0712" w:rsidP="007A0712">
            <w:pPr>
              <w:jc w:val="right"/>
              <w:rPr>
                <w:rFonts w:ascii="Times New Roman" w:eastAsia="Times New Roman" w:hAnsi="Times New Roman" w:cs="Times New Roman"/>
                <w:sz w:val="24"/>
                <w:szCs w:val="24"/>
                <w:lang w:eastAsia="sk-SK"/>
              </w:rPr>
            </w:pPr>
            <w:r w:rsidRPr="007A0712">
              <w:rPr>
                <w:rFonts w:ascii="Times New Roman" w:eastAsia="Times New Roman" w:hAnsi="Times New Roman" w:cs="Times New Roman"/>
                <w:sz w:val="24"/>
                <w:szCs w:val="24"/>
                <w:lang w:eastAsia="sk-SK"/>
              </w:rPr>
              <w:t>-1 189 628</w:t>
            </w:r>
          </w:p>
        </w:tc>
        <w:tc>
          <w:tcPr>
            <w:tcW w:w="1559" w:type="dxa"/>
            <w:vAlign w:val="center"/>
          </w:tcPr>
          <w:p w14:paraId="20CF87A7" w14:textId="16A1A260" w:rsidR="007A0712" w:rsidRPr="00AA595E" w:rsidRDefault="007A0712" w:rsidP="007A0712">
            <w:pPr>
              <w:jc w:val="right"/>
              <w:rPr>
                <w:rFonts w:ascii="Times New Roman" w:eastAsia="Times New Roman" w:hAnsi="Times New Roman" w:cs="Times New Roman"/>
                <w:sz w:val="24"/>
                <w:szCs w:val="24"/>
                <w:lang w:eastAsia="sk-SK"/>
              </w:rPr>
            </w:pPr>
            <w:r w:rsidRPr="007A0712">
              <w:rPr>
                <w:rFonts w:ascii="Times New Roman" w:eastAsia="Times New Roman" w:hAnsi="Times New Roman" w:cs="Times New Roman"/>
                <w:sz w:val="24"/>
                <w:szCs w:val="24"/>
                <w:lang w:eastAsia="sk-SK"/>
              </w:rPr>
              <w:t>-1 371 403</w:t>
            </w:r>
          </w:p>
        </w:tc>
        <w:tc>
          <w:tcPr>
            <w:tcW w:w="1701" w:type="dxa"/>
            <w:vAlign w:val="center"/>
          </w:tcPr>
          <w:p w14:paraId="5493DE9E" w14:textId="51DEFEA9" w:rsidR="007A0712" w:rsidRPr="00AA595E" w:rsidRDefault="007A0712" w:rsidP="007A0712">
            <w:pPr>
              <w:jc w:val="right"/>
              <w:rPr>
                <w:rFonts w:ascii="Times New Roman" w:eastAsia="Times New Roman" w:hAnsi="Times New Roman" w:cs="Times New Roman"/>
                <w:sz w:val="24"/>
                <w:szCs w:val="24"/>
                <w:lang w:eastAsia="sk-SK"/>
              </w:rPr>
            </w:pPr>
            <w:r w:rsidRPr="007A0712">
              <w:rPr>
                <w:rFonts w:ascii="Times New Roman" w:eastAsia="Times New Roman" w:hAnsi="Times New Roman" w:cs="Times New Roman"/>
                <w:sz w:val="24"/>
                <w:szCs w:val="24"/>
                <w:lang w:eastAsia="sk-SK"/>
              </w:rPr>
              <w:t>-1 687 200</w:t>
            </w:r>
          </w:p>
        </w:tc>
      </w:tr>
    </w:tbl>
    <w:p w14:paraId="269BBC69" w14:textId="77777777" w:rsidR="00AB7077" w:rsidRDefault="00AB7077" w:rsidP="00AB7077">
      <w:pPr>
        <w:spacing w:after="0"/>
        <w:jc w:val="both"/>
        <w:rPr>
          <w:rFonts w:ascii="Times New Roman" w:hAnsi="Times New Roman" w:cs="Times New Roman"/>
          <w:sz w:val="24"/>
        </w:rPr>
      </w:pPr>
    </w:p>
    <w:p w14:paraId="68C9BEF6" w14:textId="77777777" w:rsidR="00AE5CF9" w:rsidRDefault="00AE5CF9" w:rsidP="00AB7077">
      <w:pPr>
        <w:spacing w:after="0"/>
        <w:jc w:val="both"/>
        <w:rPr>
          <w:rFonts w:ascii="Times New Roman" w:hAnsi="Times New Roman" w:cs="Times New Roman"/>
          <w:b/>
          <w:color w:val="FF0000"/>
          <w:sz w:val="24"/>
          <w:szCs w:val="20"/>
        </w:rPr>
      </w:pPr>
    </w:p>
    <w:p w14:paraId="4637B82F" w14:textId="26A017E8" w:rsidR="00AB7077" w:rsidRDefault="00EF3DD4" w:rsidP="00AB7077">
      <w:pPr>
        <w:spacing w:after="0"/>
        <w:jc w:val="both"/>
        <w:rPr>
          <w:rFonts w:ascii="Times New Roman" w:hAnsi="Times New Roman" w:cs="Times New Roman"/>
          <w:b/>
          <w:sz w:val="24"/>
          <w:szCs w:val="20"/>
        </w:rPr>
      </w:pPr>
      <w:r w:rsidRPr="00EF3DD4">
        <w:rPr>
          <w:rFonts w:ascii="Times New Roman" w:hAnsi="Times New Roman" w:cs="Times New Roman"/>
          <w:b/>
          <w:sz w:val="24"/>
          <w:szCs w:val="20"/>
        </w:rPr>
        <w:t>Z</w:t>
      </w:r>
      <w:r w:rsidR="00AB7077" w:rsidRPr="00EF3DD4">
        <w:rPr>
          <w:rFonts w:ascii="Times New Roman" w:hAnsi="Times New Roman" w:cs="Times New Roman"/>
          <w:b/>
          <w:sz w:val="24"/>
          <w:szCs w:val="20"/>
        </w:rPr>
        <w:t>níženie</w:t>
      </w:r>
      <w:r w:rsidR="00AB7077" w:rsidRPr="00496A72">
        <w:rPr>
          <w:rFonts w:ascii="Times New Roman" w:hAnsi="Times New Roman" w:cs="Times New Roman"/>
          <w:b/>
          <w:color w:val="FF0000"/>
          <w:sz w:val="24"/>
          <w:szCs w:val="20"/>
        </w:rPr>
        <w:t xml:space="preserve"> </w:t>
      </w:r>
      <w:r w:rsidR="00AB7077" w:rsidRPr="00496A72">
        <w:rPr>
          <w:rFonts w:ascii="Times New Roman" w:hAnsi="Times New Roman" w:cs="Times New Roman"/>
          <w:b/>
          <w:sz w:val="24"/>
          <w:szCs w:val="20"/>
        </w:rPr>
        <w:t>výdavkov v súvislosti s</w:t>
      </w:r>
      <w:r w:rsidR="00AB7077">
        <w:rPr>
          <w:rFonts w:ascii="Times New Roman" w:hAnsi="Times New Roman" w:cs="Times New Roman"/>
          <w:b/>
          <w:sz w:val="24"/>
          <w:szCs w:val="20"/>
        </w:rPr>
        <w:t> </w:t>
      </w:r>
      <w:r w:rsidR="00AB7077" w:rsidRPr="00496A72">
        <w:rPr>
          <w:rFonts w:ascii="Times New Roman" w:hAnsi="Times New Roman" w:cs="Times New Roman"/>
          <w:b/>
          <w:sz w:val="24"/>
          <w:szCs w:val="20"/>
        </w:rPr>
        <w:t>úpravou</w:t>
      </w:r>
      <w:r w:rsidR="00AB7077">
        <w:rPr>
          <w:rFonts w:ascii="Times New Roman" w:hAnsi="Times New Roman" w:cs="Times New Roman"/>
          <w:b/>
          <w:sz w:val="24"/>
          <w:szCs w:val="20"/>
        </w:rPr>
        <w:t xml:space="preserve"> </w:t>
      </w:r>
      <w:r w:rsidR="00AB7077" w:rsidRPr="00AB7077">
        <w:rPr>
          <w:rFonts w:ascii="Times New Roman" w:hAnsi="Times New Roman" w:cs="Times New Roman"/>
          <w:b/>
          <w:sz w:val="24"/>
          <w:szCs w:val="20"/>
        </w:rPr>
        <w:t>vyrovnávacieho príspevku integračnému podniku</w:t>
      </w:r>
      <w:r w:rsidR="00AB7077">
        <w:rPr>
          <w:rFonts w:ascii="Times New Roman" w:hAnsi="Times New Roman" w:cs="Times New Roman"/>
          <w:b/>
          <w:sz w:val="24"/>
          <w:szCs w:val="20"/>
        </w:rPr>
        <w:t xml:space="preserve"> na mzdové náklady niektorých </w:t>
      </w:r>
      <w:r w:rsidR="00AE5CF9">
        <w:rPr>
          <w:rFonts w:ascii="Times New Roman" w:hAnsi="Times New Roman" w:cs="Times New Roman"/>
          <w:b/>
          <w:sz w:val="24"/>
          <w:szCs w:val="20"/>
        </w:rPr>
        <w:t>znevýhodnených osôb</w:t>
      </w:r>
    </w:p>
    <w:p w14:paraId="6E37ABE1" w14:textId="77777777" w:rsidR="00AE5CF9" w:rsidRPr="00AB7077" w:rsidRDefault="00AE5CF9" w:rsidP="00AB7077">
      <w:pPr>
        <w:spacing w:after="0"/>
        <w:jc w:val="both"/>
        <w:rPr>
          <w:rFonts w:ascii="Times New Roman" w:hAnsi="Times New Roman" w:cs="Times New Roman"/>
          <w:sz w:val="24"/>
        </w:rPr>
      </w:pPr>
    </w:p>
    <w:p w14:paraId="347B209A" w14:textId="4433A28B" w:rsidR="00D15F15" w:rsidRDefault="00D15F15" w:rsidP="00D15F15">
      <w:pPr>
        <w:spacing w:after="0"/>
        <w:jc w:val="both"/>
        <w:rPr>
          <w:rFonts w:ascii="Times New Roman" w:hAnsi="Times New Roman" w:cs="Times New Roman"/>
          <w:sz w:val="24"/>
        </w:rPr>
      </w:pPr>
      <w:r w:rsidRPr="00BA5307">
        <w:rPr>
          <w:rFonts w:ascii="Times New Roman" w:hAnsi="Times New Roman" w:cs="Times New Roman"/>
          <w:sz w:val="24"/>
        </w:rPr>
        <w:lastRenderedPageBreak/>
        <w:t xml:space="preserve">Navrhuje sa zjednotenie výšky vyrovnávacieho príspevku poskytovaného integračnému podniku (podľa § 53g zákona č. 5/2004 Z. z. o službách zamestnanosti) s maximálnym stropom, ktorý sa môže poskytnúť v súlade s Nariadením Komisie (EÚ) č. 651/2014 zo 17. júna 2014 o vyhlásení určitých kategórií pomoci za zlučiteľné s vnútorným trhom podľa článkov 107 a 108 zmluvy. Návrhom dôjde k navýšeniu výšky vyrovnávacích príspevkov poskytovaných na mzdové náklady spojené so zamestnávaním znevýhodnených osôb, ktoré nie sú znevýhodnené z dôvodu dlhodobej nezamestnanosti, dosiahnutého nižšieho vzdelania, alebo zdravotného znevýhodnenia, z výšky 40 % oprávnených nákladov skutočne vynaložených na zamestnanca (najviac vo výške 40 % z celkovej ceny práce vypočítanej z priemernej mzdy) na výšku 50 % oprávnených nákladov skutočne vynaložených na zamestnanca (najviac vo výške 50 % z celkovej ceny práce vypočítanej z priemernej mzdy). Zároveň sa navrhuje pre zdravotne znevýhodnené osoby, ktoré nie sú uznané za invalidné, znížiť výšku </w:t>
      </w:r>
      <w:r w:rsidRPr="003B161A">
        <w:rPr>
          <w:rFonts w:ascii="Times New Roman" w:hAnsi="Times New Roman" w:cs="Times New Roman"/>
          <w:sz w:val="24"/>
        </w:rPr>
        <w:t xml:space="preserve">poskytovania príspevku z výšky 75 % oprávnených nákladov skutočne vynaložených na zamestnanca (najviac vo výške 75 % z celkovej ceny práce vypočítanej z priemernej mzdy) na výšku </w:t>
      </w:r>
      <w:r w:rsidR="00E716C4" w:rsidRPr="003B161A">
        <w:rPr>
          <w:rFonts w:ascii="Times New Roman" w:hAnsi="Times New Roman" w:cs="Times New Roman"/>
          <w:sz w:val="24"/>
        </w:rPr>
        <w:t>5</w:t>
      </w:r>
      <w:r w:rsidRPr="003B161A">
        <w:rPr>
          <w:rFonts w:ascii="Times New Roman" w:hAnsi="Times New Roman" w:cs="Times New Roman"/>
          <w:sz w:val="24"/>
        </w:rPr>
        <w:t>5 % oprávnených nákladov skutočne vynaložených na</w:t>
      </w:r>
      <w:r w:rsidR="00E716C4" w:rsidRPr="003B161A">
        <w:rPr>
          <w:rFonts w:ascii="Times New Roman" w:hAnsi="Times New Roman" w:cs="Times New Roman"/>
          <w:sz w:val="24"/>
        </w:rPr>
        <w:t xml:space="preserve"> zamestnanca (najviac vo výške 5</w:t>
      </w:r>
      <w:r w:rsidRPr="003B161A">
        <w:rPr>
          <w:rFonts w:ascii="Times New Roman" w:hAnsi="Times New Roman" w:cs="Times New Roman"/>
          <w:sz w:val="24"/>
        </w:rPr>
        <w:t>5 % z celkovej ceny práce vypočítanej z priemernej mzdy).</w:t>
      </w:r>
      <w:r>
        <w:rPr>
          <w:rFonts w:ascii="Times New Roman" w:hAnsi="Times New Roman" w:cs="Times New Roman"/>
          <w:sz w:val="24"/>
        </w:rPr>
        <w:t xml:space="preserve"> </w:t>
      </w:r>
    </w:p>
    <w:p w14:paraId="02A27EE1" w14:textId="77777777" w:rsidR="00BA5307" w:rsidRDefault="00BA5307" w:rsidP="00D15F15">
      <w:pPr>
        <w:spacing w:after="0"/>
        <w:jc w:val="both"/>
        <w:rPr>
          <w:rFonts w:ascii="Times New Roman" w:hAnsi="Times New Roman" w:cs="Times New Roman"/>
          <w:sz w:val="24"/>
        </w:rPr>
      </w:pPr>
    </w:p>
    <w:tbl>
      <w:tblPr>
        <w:tblStyle w:val="Mriekatabuky"/>
        <w:tblW w:w="9067" w:type="dxa"/>
        <w:tblLook w:val="04A0" w:firstRow="1" w:lastRow="0" w:firstColumn="1" w:lastColumn="0" w:noHBand="0" w:noVBand="1"/>
      </w:tblPr>
      <w:tblGrid>
        <w:gridCol w:w="4106"/>
        <w:gridCol w:w="709"/>
        <w:gridCol w:w="1417"/>
        <w:gridCol w:w="1417"/>
        <w:gridCol w:w="1418"/>
      </w:tblGrid>
      <w:tr w:rsidR="00BA5307" w:rsidRPr="00467E4E" w14:paraId="0E0628C8" w14:textId="77777777" w:rsidTr="00830D58">
        <w:tc>
          <w:tcPr>
            <w:tcW w:w="4106" w:type="dxa"/>
          </w:tcPr>
          <w:p w14:paraId="654A9781" w14:textId="77777777" w:rsidR="00BA5307" w:rsidRPr="00467E4E" w:rsidRDefault="00BA5307" w:rsidP="002444FA">
            <w:pPr>
              <w:jc w:val="both"/>
              <w:rPr>
                <w:rFonts w:ascii="Times New Roman" w:eastAsia="Times New Roman" w:hAnsi="Times New Roman" w:cs="Times New Roman"/>
                <w:sz w:val="24"/>
                <w:szCs w:val="24"/>
                <w:lang w:eastAsia="sk-SK"/>
              </w:rPr>
            </w:pPr>
          </w:p>
        </w:tc>
        <w:tc>
          <w:tcPr>
            <w:tcW w:w="709" w:type="dxa"/>
          </w:tcPr>
          <w:p w14:paraId="79A3214D" w14:textId="5B8A6370" w:rsidR="00BA5307" w:rsidRPr="00005063" w:rsidRDefault="00830D58"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2022</w:t>
            </w:r>
          </w:p>
        </w:tc>
        <w:tc>
          <w:tcPr>
            <w:tcW w:w="1417" w:type="dxa"/>
          </w:tcPr>
          <w:p w14:paraId="02418754" w14:textId="2394E1F2" w:rsidR="00BA5307" w:rsidRPr="00005063" w:rsidRDefault="00830D58"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2023</w:t>
            </w:r>
          </w:p>
        </w:tc>
        <w:tc>
          <w:tcPr>
            <w:tcW w:w="1417" w:type="dxa"/>
          </w:tcPr>
          <w:p w14:paraId="26F15AD6" w14:textId="2A08ACC3" w:rsidR="00BA5307" w:rsidRPr="00005063" w:rsidRDefault="00830D58"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2024</w:t>
            </w:r>
          </w:p>
        </w:tc>
        <w:tc>
          <w:tcPr>
            <w:tcW w:w="1418" w:type="dxa"/>
          </w:tcPr>
          <w:p w14:paraId="14369BDD" w14:textId="75AE4E09" w:rsidR="00BA5307" w:rsidRPr="00005063" w:rsidRDefault="00830D58" w:rsidP="002444FA">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2025</w:t>
            </w:r>
          </w:p>
        </w:tc>
      </w:tr>
      <w:tr w:rsidR="00830D58" w:rsidRPr="00467E4E" w14:paraId="3D9940BB" w14:textId="77777777" w:rsidTr="00830D58">
        <w:tc>
          <w:tcPr>
            <w:tcW w:w="4106" w:type="dxa"/>
            <w:vAlign w:val="bottom"/>
          </w:tcPr>
          <w:p w14:paraId="02D2DD37" w14:textId="32229A70" w:rsidR="00830D58" w:rsidRPr="00332619" w:rsidRDefault="00830D58" w:rsidP="00830D58">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Odhadovaný p</w:t>
            </w:r>
            <w:r w:rsidRPr="00A92647">
              <w:rPr>
                <w:rFonts w:ascii="Times New Roman" w:eastAsia="Times New Roman" w:hAnsi="Times New Roman" w:cs="Times New Roman"/>
                <w:sz w:val="24"/>
                <w:szCs w:val="24"/>
                <w:lang w:eastAsia="sk-SK"/>
              </w:rPr>
              <w:t>očet znevýhodnených zamestnancov, u ktorých dôjde k navýšeniu príspevku</w:t>
            </w:r>
          </w:p>
        </w:tc>
        <w:tc>
          <w:tcPr>
            <w:tcW w:w="709" w:type="dxa"/>
            <w:vAlign w:val="center"/>
          </w:tcPr>
          <w:p w14:paraId="6E7D3E5A" w14:textId="422CB30B" w:rsidR="00830D58" w:rsidRPr="00467E4E" w:rsidRDefault="00830D58" w:rsidP="00830D5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55CDE574" w14:textId="5FC960DC"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300</w:t>
            </w:r>
          </w:p>
        </w:tc>
        <w:tc>
          <w:tcPr>
            <w:tcW w:w="1417" w:type="dxa"/>
            <w:vAlign w:val="center"/>
          </w:tcPr>
          <w:p w14:paraId="56E86D21" w14:textId="4D46842B"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330</w:t>
            </w:r>
          </w:p>
        </w:tc>
        <w:tc>
          <w:tcPr>
            <w:tcW w:w="1418" w:type="dxa"/>
            <w:vAlign w:val="center"/>
          </w:tcPr>
          <w:p w14:paraId="2DAF6A99" w14:textId="080B6CE9"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390</w:t>
            </w:r>
          </w:p>
        </w:tc>
      </w:tr>
      <w:tr w:rsidR="00830D58" w:rsidRPr="00467E4E" w14:paraId="2B27E1E1" w14:textId="77777777" w:rsidTr="00830D58">
        <w:tc>
          <w:tcPr>
            <w:tcW w:w="4106" w:type="dxa"/>
            <w:vAlign w:val="bottom"/>
          </w:tcPr>
          <w:p w14:paraId="3B5514E9" w14:textId="3320D6D2" w:rsidR="00830D58" w:rsidRPr="00AB7077" w:rsidRDefault="00830D58" w:rsidP="00830D58">
            <w:pPr>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Odhadovaný p</w:t>
            </w:r>
            <w:r w:rsidRPr="00A92647">
              <w:rPr>
                <w:rFonts w:ascii="Times New Roman" w:eastAsia="Times New Roman" w:hAnsi="Times New Roman" w:cs="Times New Roman"/>
                <w:sz w:val="24"/>
                <w:szCs w:val="24"/>
                <w:lang w:eastAsia="sk-SK"/>
              </w:rPr>
              <w:t>očet znevýhodnených zamestnancov, u ktorých dôjde k</w:t>
            </w:r>
            <w:r>
              <w:rPr>
                <w:rFonts w:ascii="Times New Roman" w:eastAsia="Times New Roman" w:hAnsi="Times New Roman" w:cs="Times New Roman"/>
                <w:sz w:val="24"/>
                <w:szCs w:val="24"/>
                <w:lang w:eastAsia="sk-SK"/>
              </w:rPr>
              <w:t xml:space="preserve"> zníženiu </w:t>
            </w:r>
            <w:r w:rsidRPr="00A92647">
              <w:rPr>
                <w:rFonts w:ascii="Times New Roman" w:eastAsia="Times New Roman" w:hAnsi="Times New Roman" w:cs="Times New Roman"/>
                <w:sz w:val="24"/>
                <w:szCs w:val="24"/>
                <w:lang w:eastAsia="sk-SK"/>
              </w:rPr>
              <w:t>príspevku</w:t>
            </w:r>
          </w:p>
        </w:tc>
        <w:tc>
          <w:tcPr>
            <w:tcW w:w="709" w:type="dxa"/>
            <w:vAlign w:val="center"/>
          </w:tcPr>
          <w:p w14:paraId="4A0FF35A" w14:textId="1571351C" w:rsidR="00830D58" w:rsidRPr="00467E4E" w:rsidRDefault="00830D58" w:rsidP="00830D5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60F7B330" w14:textId="120CFF2A"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750</w:t>
            </w:r>
          </w:p>
        </w:tc>
        <w:tc>
          <w:tcPr>
            <w:tcW w:w="1417" w:type="dxa"/>
            <w:vAlign w:val="center"/>
          </w:tcPr>
          <w:p w14:paraId="19A21D12" w14:textId="495FADC7"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825</w:t>
            </w:r>
          </w:p>
        </w:tc>
        <w:tc>
          <w:tcPr>
            <w:tcW w:w="1418" w:type="dxa"/>
            <w:vAlign w:val="center"/>
          </w:tcPr>
          <w:p w14:paraId="7B41ECD7" w14:textId="212038F5"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975</w:t>
            </w:r>
          </w:p>
        </w:tc>
      </w:tr>
      <w:tr w:rsidR="00830D58" w:rsidRPr="00467E4E" w14:paraId="3CBAB0DF" w14:textId="77777777" w:rsidTr="00830D58">
        <w:tc>
          <w:tcPr>
            <w:tcW w:w="4106" w:type="dxa"/>
            <w:vAlign w:val="bottom"/>
          </w:tcPr>
          <w:p w14:paraId="34112C43" w14:textId="460F8FDB" w:rsidR="00830D58" w:rsidRPr="00332619" w:rsidRDefault="00830D58" w:rsidP="00830D58">
            <w:pPr>
              <w:rPr>
                <w:rFonts w:ascii="Times New Roman" w:eastAsia="Times New Roman" w:hAnsi="Times New Roman" w:cs="Times New Roman"/>
                <w:sz w:val="24"/>
                <w:szCs w:val="24"/>
                <w:lang w:eastAsia="sk-SK"/>
              </w:rPr>
            </w:pPr>
            <w:r w:rsidRPr="00A92647">
              <w:rPr>
                <w:rFonts w:ascii="Times New Roman" w:eastAsia="Times New Roman" w:hAnsi="Times New Roman" w:cs="Times New Roman"/>
                <w:sz w:val="24"/>
                <w:szCs w:val="24"/>
                <w:lang w:eastAsia="sk-SK"/>
              </w:rPr>
              <w:t>Odhadované priemerné mzdové náklady na jedného zamestnanca*</w:t>
            </w:r>
          </w:p>
        </w:tc>
        <w:tc>
          <w:tcPr>
            <w:tcW w:w="709" w:type="dxa"/>
            <w:vAlign w:val="center"/>
          </w:tcPr>
          <w:p w14:paraId="11DBD0AC" w14:textId="6AF395D0" w:rsidR="00830D58" w:rsidRPr="00467E4E" w:rsidRDefault="00830D58" w:rsidP="00830D58">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tc>
        <w:tc>
          <w:tcPr>
            <w:tcW w:w="1417" w:type="dxa"/>
            <w:vAlign w:val="center"/>
          </w:tcPr>
          <w:p w14:paraId="38E11127" w14:textId="181BAF98"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1 102</w:t>
            </w:r>
          </w:p>
        </w:tc>
        <w:tc>
          <w:tcPr>
            <w:tcW w:w="1417" w:type="dxa"/>
            <w:vAlign w:val="center"/>
          </w:tcPr>
          <w:p w14:paraId="2D5BE7A0" w14:textId="792C1795"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1 154</w:t>
            </w:r>
          </w:p>
        </w:tc>
        <w:tc>
          <w:tcPr>
            <w:tcW w:w="1418" w:type="dxa"/>
            <w:vAlign w:val="center"/>
          </w:tcPr>
          <w:p w14:paraId="39D1B287" w14:textId="2B91A644" w:rsidR="00830D58" w:rsidRPr="00467E4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1 202</w:t>
            </w:r>
          </w:p>
        </w:tc>
      </w:tr>
      <w:tr w:rsidR="00830D58" w:rsidRPr="00467E4E" w14:paraId="7132FE12" w14:textId="77777777" w:rsidTr="00830D58">
        <w:tc>
          <w:tcPr>
            <w:tcW w:w="4106" w:type="dxa"/>
          </w:tcPr>
          <w:p w14:paraId="6B03E805" w14:textId="77777777" w:rsidR="00830D58" w:rsidRPr="00467E4E" w:rsidRDefault="00830D58" w:rsidP="00830D58">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Výdavky</w:t>
            </w:r>
            <w:r w:rsidRPr="00467E4E">
              <w:rPr>
                <w:rFonts w:ascii="Times New Roman" w:eastAsia="Times New Roman" w:hAnsi="Times New Roman" w:cs="Times New Roman"/>
                <w:b/>
                <w:sz w:val="24"/>
                <w:szCs w:val="24"/>
                <w:lang w:eastAsia="sk-SK"/>
              </w:rPr>
              <w:t xml:space="preserve"> verejnej správy spolu (eur)</w:t>
            </w:r>
          </w:p>
        </w:tc>
        <w:tc>
          <w:tcPr>
            <w:tcW w:w="709" w:type="dxa"/>
            <w:vAlign w:val="bottom"/>
          </w:tcPr>
          <w:p w14:paraId="0FE8F404" w14:textId="01AACF06" w:rsidR="00830D58" w:rsidRPr="002444FA" w:rsidRDefault="00830D58" w:rsidP="00830D58">
            <w:pPr>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w:t>
            </w:r>
          </w:p>
        </w:tc>
        <w:tc>
          <w:tcPr>
            <w:tcW w:w="1417" w:type="dxa"/>
            <w:vAlign w:val="center"/>
          </w:tcPr>
          <w:p w14:paraId="76E5FC04" w14:textId="45C70C82" w:rsidR="00830D58" w:rsidRPr="00830D58" w:rsidRDefault="00830D58" w:rsidP="00830D58">
            <w:pPr>
              <w:jc w:val="right"/>
              <w:rPr>
                <w:rFonts w:ascii="Times New Roman" w:eastAsia="Times New Roman" w:hAnsi="Times New Roman" w:cs="Times New Roman"/>
                <w:b/>
                <w:sz w:val="24"/>
                <w:szCs w:val="24"/>
                <w:lang w:eastAsia="sk-SK"/>
              </w:rPr>
            </w:pPr>
            <w:r w:rsidRPr="00830D58">
              <w:rPr>
                <w:rFonts w:ascii="Times New Roman" w:eastAsia="Times New Roman" w:hAnsi="Times New Roman" w:cs="Times New Roman"/>
                <w:b/>
                <w:sz w:val="24"/>
                <w:szCs w:val="24"/>
                <w:lang w:eastAsia="sk-SK"/>
              </w:rPr>
              <w:t>-1 586 171</w:t>
            </w:r>
          </w:p>
        </w:tc>
        <w:tc>
          <w:tcPr>
            <w:tcW w:w="1417" w:type="dxa"/>
            <w:vAlign w:val="center"/>
          </w:tcPr>
          <w:p w14:paraId="700218FD" w14:textId="0037A9F4" w:rsidR="00830D58" w:rsidRPr="00830D58" w:rsidRDefault="00830D58" w:rsidP="00830D58">
            <w:pPr>
              <w:jc w:val="right"/>
              <w:rPr>
                <w:rFonts w:ascii="Times New Roman" w:eastAsia="Times New Roman" w:hAnsi="Times New Roman" w:cs="Times New Roman"/>
                <w:b/>
                <w:sz w:val="24"/>
                <w:szCs w:val="24"/>
                <w:lang w:eastAsia="sk-SK"/>
              </w:rPr>
            </w:pPr>
            <w:r w:rsidRPr="00830D58">
              <w:rPr>
                <w:rFonts w:ascii="Times New Roman" w:eastAsia="Times New Roman" w:hAnsi="Times New Roman" w:cs="Times New Roman"/>
                <w:b/>
                <w:sz w:val="24"/>
                <w:szCs w:val="24"/>
                <w:lang w:eastAsia="sk-SK"/>
              </w:rPr>
              <w:t>-1 828 537</w:t>
            </w:r>
          </w:p>
        </w:tc>
        <w:tc>
          <w:tcPr>
            <w:tcW w:w="1418" w:type="dxa"/>
            <w:vAlign w:val="center"/>
          </w:tcPr>
          <w:p w14:paraId="1B85A5B6" w14:textId="727F9721" w:rsidR="00830D58" w:rsidRPr="00830D58" w:rsidRDefault="00830D58" w:rsidP="00830D58">
            <w:pPr>
              <w:jc w:val="right"/>
              <w:rPr>
                <w:rFonts w:ascii="Times New Roman" w:eastAsia="Times New Roman" w:hAnsi="Times New Roman" w:cs="Times New Roman"/>
                <w:b/>
                <w:sz w:val="24"/>
                <w:szCs w:val="24"/>
                <w:lang w:eastAsia="sk-SK"/>
              </w:rPr>
            </w:pPr>
            <w:r w:rsidRPr="00830D58">
              <w:rPr>
                <w:rFonts w:ascii="Times New Roman" w:eastAsia="Times New Roman" w:hAnsi="Times New Roman" w:cs="Times New Roman"/>
                <w:b/>
                <w:sz w:val="24"/>
                <w:szCs w:val="24"/>
                <w:lang w:eastAsia="sk-SK"/>
              </w:rPr>
              <w:t>-2 249 600</w:t>
            </w:r>
          </w:p>
        </w:tc>
      </w:tr>
      <w:tr w:rsidR="00830D58" w:rsidRPr="00467E4E" w14:paraId="27B447FD" w14:textId="77777777" w:rsidTr="00830D58">
        <w:tc>
          <w:tcPr>
            <w:tcW w:w="4106" w:type="dxa"/>
          </w:tcPr>
          <w:p w14:paraId="4C49F944" w14:textId="4A625B5C" w:rsidR="00830D58" w:rsidRPr="00AA595E" w:rsidRDefault="00830D58" w:rsidP="00830D58">
            <w:pPr>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 xml:space="preserve"> - z toho EÚ zdroje</w:t>
            </w:r>
          </w:p>
        </w:tc>
        <w:tc>
          <w:tcPr>
            <w:tcW w:w="709" w:type="dxa"/>
            <w:vAlign w:val="bottom"/>
          </w:tcPr>
          <w:p w14:paraId="4CEC81F0" w14:textId="4E184214" w:rsidR="00830D58" w:rsidRPr="00AA595E" w:rsidRDefault="00830D58" w:rsidP="00830D58">
            <w:pPr>
              <w:jc w:val="right"/>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w:t>
            </w:r>
          </w:p>
        </w:tc>
        <w:tc>
          <w:tcPr>
            <w:tcW w:w="1417" w:type="dxa"/>
            <w:vAlign w:val="center"/>
          </w:tcPr>
          <w:p w14:paraId="2841C508" w14:textId="34E7BDA4" w:rsidR="00830D58" w:rsidRPr="00AA595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-1 348 245</w:t>
            </w:r>
          </w:p>
        </w:tc>
        <w:tc>
          <w:tcPr>
            <w:tcW w:w="1417" w:type="dxa"/>
            <w:vAlign w:val="center"/>
          </w:tcPr>
          <w:p w14:paraId="7E308C82" w14:textId="39630842" w:rsidR="00830D58" w:rsidRPr="00AA595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-1 554 257</w:t>
            </w:r>
          </w:p>
        </w:tc>
        <w:tc>
          <w:tcPr>
            <w:tcW w:w="1418" w:type="dxa"/>
            <w:vAlign w:val="center"/>
          </w:tcPr>
          <w:p w14:paraId="278B57CE" w14:textId="274090FD" w:rsidR="00830D58" w:rsidRPr="00AA595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-1 912 160</w:t>
            </w:r>
          </w:p>
        </w:tc>
      </w:tr>
      <w:tr w:rsidR="00830D58" w:rsidRPr="00467E4E" w14:paraId="1171E7E4" w14:textId="77777777" w:rsidTr="00830D58">
        <w:tc>
          <w:tcPr>
            <w:tcW w:w="4106" w:type="dxa"/>
          </w:tcPr>
          <w:p w14:paraId="68D00264" w14:textId="6ABE8092" w:rsidR="00830D58" w:rsidRPr="00AA595E" w:rsidRDefault="00830D58" w:rsidP="00830D58">
            <w:pPr>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 xml:space="preserve"> - z toho spolufinancovanie (MPSVR</w:t>
            </w:r>
            <w:r>
              <w:rPr>
                <w:rFonts w:ascii="Times New Roman" w:eastAsia="Times New Roman" w:hAnsi="Times New Roman" w:cs="Times New Roman"/>
                <w:sz w:val="24"/>
                <w:szCs w:val="24"/>
                <w:lang w:eastAsia="sk-SK"/>
              </w:rPr>
              <w:t xml:space="preserve"> </w:t>
            </w:r>
            <w:r w:rsidRPr="00AA595E">
              <w:rPr>
                <w:rFonts w:ascii="Times New Roman" w:eastAsia="Times New Roman" w:hAnsi="Times New Roman" w:cs="Times New Roman"/>
                <w:sz w:val="24"/>
                <w:szCs w:val="24"/>
                <w:lang w:eastAsia="sk-SK"/>
              </w:rPr>
              <w:t>SR)</w:t>
            </w:r>
          </w:p>
        </w:tc>
        <w:tc>
          <w:tcPr>
            <w:tcW w:w="709" w:type="dxa"/>
            <w:vAlign w:val="bottom"/>
          </w:tcPr>
          <w:p w14:paraId="0EF8B602" w14:textId="3F5F93B4" w:rsidR="00830D58" w:rsidRPr="00AA595E" w:rsidRDefault="00830D58" w:rsidP="00830D58">
            <w:pPr>
              <w:jc w:val="right"/>
              <w:rPr>
                <w:rFonts w:ascii="Times New Roman" w:eastAsia="Times New Roman" w:hAnsi="Times New Roman" w:cs="Times New Roman"/>
                <w:sz w:val="24"/>
                <w:szCs w:val="24"/>
                <w:lang w:eastAsia="sk-SK"/>
              </w:rPr>
            </w:pPr>
            <w:r w:rsidRPr="00AA595E">
              <w:rPr>
                <w:rFonts w:ascii="Times New Roman" w:eastAsia="Times New Roman" w:hAnsi="Times New Roman" w:cs="Times New Roman"/>
                <w:sz w:val="24"/>
                <w:szCs w:val="24"/>
                <w:lang w:eastAsia="sk-SK"/>
              </w:rPr>
              <w:t>-</w:t>
            </w:r>
          </w:p>
        </w:tc>
        <w:tc>
          <w:tcPr>
            <w:tcW w:w="1417" w:type="dxa"/>
            <w:vAlign w:val="center"/>
          </w:tcPr>
          <w:p w14:paraId="766B31FB" w14:textId="7306F88C" w:rsidR="00830D58" w:rsidRPr="00AA595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-237 926</w:t>
            </w:r>
          </w:p>
        </w:tc>
        <w:tc>
          <w:tcPr>
            <w:tcW w:w="1417" w:type="dxa"/>
            <w:vAlign w:val="center"/>
          </w:tcPr>
          <w:p w14:paraId="0969606D" w14:textId="6D7A0D5D" w:rsidR="00830D58" w:rsidRPr="00AA595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-274 281</w:t>
            </w:r>
          </w:p>
        </w:tc>
        <w:tc>
          <w:tcPr>
            <w:tcW w:w="1418" w:type="dxa"/>
            <w:vAlign w:val="center"/>
          </w:tcPr>
          <w:p w14:paraId="2AA4DAFD" w14:textId="7E5FA862" w:rsidR="00830D58" w:rsidRPr="00AA595E" w:rsidRDefault="00830D58" w:rsidP="00830D58">
            <w:pPr>
              <w:jc w:val="right"/>
              <w:rPr>
                <w:rFonts w:ascii="Times New Roman" w:eastAsia="Times New Roman" w:hAnsi="Times New Roman" w:cs="Times New Roman"/>
                <w:sz w:val="24"/>
                <w:szCs w:val="24"/>
                <w:lang w:eastAsia="sk-SK"/>
              </w:rPr>
            </w:pPr>
            <w:r w:rsidRPr="00830D58">
              <w:rPr>
                <w:rFonts w:ascii="Times New Roman" w:eastAsia="Times New Roman" w:hAnsi="Times New Roman" w:cs="Times New Roman"/>
                <w:sz w:val="24"/>
                <w:szCs w:val="24"/>
                <w:lang w:eastAsia="sk-SK"/>
              </w:rPr>
              <w:t>-337 440</w:t>
            </w:r>
          </w:p>
        </w:tc>
      </w:tr>
    </w:tbl>
    <w:p w14:paraId="58F75086" w14:textId="147E943F" w:rsidR="00A92647" w:rsidRPr="00332619" w:rsidRDefault="00A92647" w:rsidP="00A92647">
      <w:pPr>
        <w:spacing w:after="0"/>
        <w:jc w:val="both"/>
        <w:rPr>
          <w:rFonts w:ascii="Times New Roman" w:hAnsi="Times New Roman" w:cs="Times New Roman"/>
          <w:sz w:val="20"/>
        </w:rPr>
      </w:pPr>
      <w:r w:rsidRPr="00332619">
        <w:rPr>
          <w:rFonts w:ascii="Times New Roman" w:hAnsi="Times New Roman" w:cs="Times New Roman"/>
          <w:sz w:val="20"/>
        </w:rPr>
        <w:t xml:space="preserve">* </w:t>
      </w:r>
      <w:r w:rsidR="002F742D">
        <w:rPr>
          <w:rFonts w:ascii="Times New Roman" w:hAnsi="Times New Roman" w:cs="Times New Roman"/>
          <w:sz w:val="20"/>
        </w:rPr>
        <w:t xml:space="preserve">vývoj </w:t>
      </w:r>
      <w:r w:rsidRPr="00332619">
        <w:rPr>
          <w:rFonts w:ascii="Times New Roman" w:hAnsi="Times New Roman" w:cs="Times New Roman"/>
          <w:sz w:val="20"/>
        </w:rPr>
        <w:t>podľa makroprognózy IFP z marca 202</w:t>
      </w:r>
      <w:r w:rsidR="00830D58">
        <w:rPr>
          <w:rFonts w:ascii="Times New Roman" w:hAnsi="Times New Roman" w:cs="Times New Roman"/>
          <w:sz w:val="20"/>
        </w:rPr>
        <w:t>2</w:t>
      </w:r>
    </w:p>
    <w:p w14:paraId="6A56A6F4" w14:textId="77777777" w:rsidR="00D15F15" w:rsidRDefault="00D15F15" w:rsidP="00E85585">
      <w:pPr>
        <w:spacing w:after="0" w:line="240" w:lineRule="auto"/>
        <w:rPr>
          <w:rFonts w:ascii="Times New Roman" w:hAnsi="Times New Roman" w:cs="Verdana"/>
          <w:b/>
          <w:bCs/>
          <w:iCs/>
          <w:color w:val="FF0000"/>
          <w:sz w:val="24"/>
          <w:szCs w:val="24"/>
        </w:rPr>
      </w:pPr>
    </w:p>
    <w:p w14:paraId="1D6A9826" w14:textId="039BA77E" w:rsidR="002F742D" w:rsidRPr="00D15F15" w:rsidRDefault="002F742D" w:rsidP="002F742D">
      <w:pPr>
        <w:spacing w:after="0" w:line="240" w:lineRule="auto"/>
        <w:rPr>
          <w:rFonts w:ascii="Times New Roman" w:hAnsi="Times New Roman" w:cs="Verdana"/>
          <w:b/>
          <w:bCs/>
          <w:iCs/>
          <w:sz w:val="24"/>
          <w:szCs w:val="24"/>
          <w:u w:val="single"/>
        </w:rPr>
      </w:pPr>
      <w:r>
        <w:rPr>
          <w:rFonts w:ascii="Times New Roman" w:hAnsi="Times New Roman" w:cs="Verdana"/>
          <w:b/>
          <w:bCs/>
          <w:iCs/>
          <w:sz w:val="24"/>
          <w:szCs w:val="24"/>
          <w:u w:val="single"/>
        </w:rPr>
        <w:t>Rodinná</w:t>
      </w:r>
      <w:r w:rsidRPr="00D15F15">
        <w:rPr>
          <w:rFonts w:ascii="Times New Roman" w:hAnsi="Times New Roman" w:cs="Verdana"/>
          <w:b/>
          <w:bCs/>
          <w:iCs/>
          <w:sz w:val="24"/>
          <w:szCs w:val="24"/>
          <w:u w:val="single"/>
        </w:rPr>
        <w:t xml:space="preserve"> ekonomika</w:t>
      </w:r>
    </w:p>
    <w:p w14:paraId="0BECFB1F" w14:textId="77777777" w:rsidR="002F742D" w:rsidRDefault="002F742D" w:rsidP="00E85585">
      <w:pPr>
        <w:spacing w:after="0" w:line="240" w:lineRule="auto"/>
        <w:rPr>
          <w:rFonts w:ascii="Times New Roman" w:hAnsi="Times New Roman" w:cs="Verdana"/>
          <w:b/>
          <w:bCs/>
          <w:iCs/>
          <w:color w:val="FF0000"/>
          <w:sz w:val="24"/>
          <w:szCs w:val="24"/>
        </w:rPr>
      </w:pPr>
    </w:p>
    <w:p w14:paraId="2DF596E7" w14:textId="77777777" w:rsidR="00D15F15" w:rsidRPr="00CE5CBC" w:rsidRDefault="00D15F15" w:rsidP="00E85585">
      <w:pPr>
        <w:spacing w:after="0" w:line="240" w:lineRule="auto"/>
        <w:rPr>
          <w:rFonts w:ascii="Times New Roman" w:hAnsi="Times New Roman" w:cs="Verdana"/>
          <w:b/>
          <w:bCs/>
          <w:iCs/>
          <w:color w:val="FF0000"/>
          <w:sz w:val="24"/>
          <w:szCs w:val="24"/>
        </w:rPr>
      </w:pPr>
    </w:p>
    <w:p w14:paraId="7BD21D08" w14:textId="184925C6" w:rsidR="006F5538" w:rsidRPr="0036318A" w:rsidRDefault="00E85518" w:rsidP="0036318A">
      <w:pPr>
        <w:tabs>
          <w:tab w:val="num" w:pos="1080"/>
        </w:tabs>
        <w:spacing w:after="0" w:line="240" w:lineRule="auto"/>
        <w:jc w:val="both"/>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Informačný systém</w:t>
      </w:r>
    </w:p>
    <w:p w14:paraId="44633726" w14:textId="77777777" w:rsidR="007110B8" w:rsidRPr="00CE5CBC" w:rsidRDefault="007110B8" w:rsidP="00E85585">
      <w:pPr>
        <w:spacing w:after="0" w:line="240" w:lineRule="auto"/>
        <w:rPr>
          <w:rFonts w:ascii="Times New Roman" w:hAnsi="Times New Roman" w:cs="Verdana"/>
          <w:b/>
          <w:bCs/>
          <w:iCs/>
          <w:color w:val="FF0000"/>
          <w:sz w:val="24"/>
          <w:szCs w:val="24"/>
        </w:rPr>
      </w:pPr>
    </w:p>
    <w:p w14:paraId="5AC5B058" w14:textId="2B976F09" w:rsidR="007110B8" w:rsidRDefault="00E749BA" w:rsidP="00C61F50">
      <w:pPr>
        <w:spacing w:after="0"/>
        <w:jc w:val="both"/>
        <w:rPr>
          <w:rFonts w:ascii="Times New Roman" w:hAnsi="Times New Roman" w:cs="Verdana"/>
          <w:b/>
          <w:bCs/>
          <w:iCs/>
          <w:sz w:val="24"/>
          <w:szCs w:val="24"/>
        </w:rPr>
      </w:pPr>
      <w:r w:rsidRPr="00055B2B">
        <w:rPr>
          <w:rFonts w:ascii="Times New Roman" w:hAnsi="Times New Roman" w:cs="Times New Roman"/>
          <w:sz w:val="24"/>
        </w:rPr>
        <w:t>Evidencia</w:t>
      </w:r>
      <w:r w:rsidR="0036318A" w:rsidRPr="00055B2B">
        <w:rPr>
          <w:rFonts w:ascii="Times New Roman" w:hAnsi="Times New Roman" w:cs="Times New Roman"/>
          <w:sz w:val="24"/>
        </w:rPr>
        <w:t xml:space="preserve"> </w:t>
      </w:r>
      <w:r w:rsidRPr="00055B2B">
        <w:rPr>
          <w:rFonts w:ascii="Times New Roman" w:hAnsi="Times New Roman" w:cs="Times New Roman"/>
          <w:sz w:val="24"/>
        </w:rPr>
        <w:t xml:space="preserve"> a registrácia </w:t>
      </w:r>
      <w:r w:rsidR="0036318A" w:rsidRPr="00055B2B">
        <w:rPr>
          <w:rFonts w:ascii="Times New Roman" w:hAnsi="Times New Roman" w:cs="Times New Roman"/>
          <w:sz w:val="24"/>
        </w:rPr>
        <w:t xml:space="preserve">rodinných podnikov </w:t>
      </w:r>
      <w:r w:rsidR="00E85518">
        <w:rPr>
          <w:rFonts w:ascii="Times New Roman" w:hAnsi="Times New Roman" w:cs="Times New Roman"/>
          <w:sz w:val="24"/>
        </w:rPr>
        <w:t>si bude vyžadovať vytvorenie nového, resp. úpravu existujúceho informačného systému</w:t>
      </w:r>
      <w:r w:rsidRPr="00055B2B">
        <w:rPr>
          <w:rFonts w:ascii="Times New Roman" w:hAnsi="Times New Roman" w:cs="Times New Roman"/>
          <w:sz w:val="24"/>
        </w:rPr>
        <w:t xml:space="preserve">. </w:t>
      </w:r>
      <w:r w:rsidR="0019398E" w:rsidRPr="0071238D">
        <w:rPr>
          <w:rFonts w:ascii="Times New Roman" w:hAnsi="Times New Roman" w:cs="Times New Roman"/>
          <w:sz w:val="24"/>
        </w:rPr>
        <w:t>N</w:t>
      </w:r>
      <w:r w:rsidR="00463993" w:rsidRPr="0071238D">
        <w:rPr>
          <w:rFonts w:ascii="Times New Roman" w:hAnsi="Times New Roman" w:cs="Times New Roman"/>
          <w:sz w:val="24"/>
        </w:rPr>
        <w:t>áklady na vytvo</w:t>
      </w:r>
      <w:r w:rsidR="00E85518" w:rsidRPr="0071238D">
        <w:rPr>
          <w:rFonts w:ascii="Times New Roman" w:hAnsi="Times New Roman" w:cs="Times New Roman"/>
          <w:sz w:val="24"/>
        </w:rPr>
        <w:t>renie resp. úpravu  informačného systému</w:t>
      </w:r>
      <w:r w:rsidR="00E55BC0" w:rsidRPr="0071238D">
        <w:rPr>
          <w:rFonts w:ascii="Times New Roman" w:hAnsi="Times New Roman" w:cs="Times New Roman"/>
          <w:sz w:val="24"/>
        </w:rPr>
        <w:t xml:space="preserve"> pre</w:t>
      </w:r>
      <w:r w:rsidRPr="0071238D">
        <w:rPr>
          <w:rFonts w:ascii="Times New Roman" w:hAnsi="Times New Roman" w:cs="Times New Roman"/>
          <w:sz w:val="24"/>
        </w:rPr>
        <w:t xml:space="preserve"> tento účel </w:t>
      </w:r>
      <w:r w:rsidR="00E55BC0" w:rsidRPr="0071238D">
        <w:rPr>
          <w:rFonts w:ascii="Times New Roman" w:hAnsi="Times New Roman" w:cs="Times New Roman"/>
          <w:sz w:val="24"/>
        </w:rPr>
        <w:t xml:space="preserve">sú </w:t>
      </w:r>
      <w:r w:rsidR="00E55BC0" w:rsidRPr="003B161A">
        <w:rPr>
          <w:rFonts w:ascii="Times New Roman" w:hAnsi="Times New Roman" w:cs="Times New Roman"/>
          <w:sz w:val="24"/>
        </w:rPr>
        <w:t xml:space="preserve">odhadované na </w:t>
      </w:r>
      <w:r w:rsidR="00055B2B" w:rsidRPr="003B161A">
        <w:rPr>
          <w:rFonts w:ascii="Times New Roman" w:hAnsi="Times New Roman" w:cs="Times New Roman"/>
          <w:sz w:val="24"/>
        </w:rPr>
        <w:t>80 000 eur</w:t>
      </w:r>
      <w:r w:rsidR="00150AF1" w:rsidRPr="003B161A">
        <w:rPr>
          <w:rFonts w:ascii="Times New Roman" w:hAnsi="Times New Roman" w:cs="Times New Roman"/>
          <w:sz w:val="24"/>
        </w:rPr>
        <w:t xml:space="preserve"> v roku 2023. </w:t>
      </w:r>
      <w:r w:rsidR="00463993" w:rsidRPr="003B161A">
        <w:rPr>
          <w:rFonts w:ascii="Times New Roman" w:hAnsi="Times New Roman" w:cs="Times New Roman"/>
          <w:sz w:val="24"/>
        </w:rPr>
        <w:t>Náklady na prevádzku systému sú odhadované na</w:t>
      </w:r>
      <w:r w:rsidR="00055B2B" w:rsidRPr="003B161A">
        <w:rPr>
          <w:rFonts w:ascii="Times New Roman" w:hAnsi="Times New Roman" w:cs="Times New Roman"/>
          <w:sz w:val="24"/>
        </w:rPr>
        <w:t> 15 000 eur ročne</w:t>
      </w:r>
      <w:r w:rsidR="00463993" w:rsidRPr="003B161A">
        <w:rPr>
          <w:rFonts w:ascii="Times New Roman" w:hAnsi="Times New Roman" w:cs="Times New Roman"/>
          <w:sz w:val="24"/>
        </w:rPr>
        <w:t>.</w:t>
      </w:r>
      <w:r w:rsidR="00463993" w:rsidRPr="0071238D">
        <w:rPr>
          <w:rFonts w:ascii="Times New Roman" w:hAnsi="Times New Roman" w:cs="Times New Roman"/>
          <w:sz w:val="24"/>
        </w:rPr>
        <w:t xml:space="preserve"> </w:t>
      </w:r>
    </w:p>
    <w:p w14:paraId="6D0B057F" w14:textId="77777777" w:rsidR="007110B8" w:rsidRDefault="007110B8" w:rsidP="00E85585">
      <w:pPr>
        <w:spacing w:after="0" w:line="240" w:lineRule="auto"/>
        <w:rPr>
          <w:rFonts w:ascii="Times New Roman" w:hAnsi="Times New Roman" w:cs="Verdana"/>
          <w:b/>
          <w:bCs/>
          <w:iCs/>
          <w:sz w:val="24"/>
          <w:szCs w:val="24"/>
        </w:rPr>
      </w:pPr>
    </w:p>
    <w:p w14:paraId="5ADEB7B2" w14:textId="77777777" w:rsidR="007110B8" w:rsidRDefault="007110B8" w:rsidP="00E85585">
      <w:pPr>
        <w:spacing w:after="0" w:line="240" w:lineRule="auto"/>
        <w:rPr>
          <w:rFonts w:ascii="Times New Roman" w:hAnsi="Times New Roman" w:cs="Verdana"/>
          <w:b/>
          <w:bCs/>
          <w:iCs/>
          <w:sz w:val="24"/>
          <w:szCs w:val="24"/>
        </w:rPr>
      </w:pPr>
    </w:p>
    <w:p w14:paraId="597721AB" w14:textId="77777777" w:rsidR="006B3C6F" w:rsidRDefault="006B3C6F" w:rsidP="00E85585">
      <w:pPr>
        <w:spacing w:after="0" w:line="240" w:lineRule="auto"/>
        <w:rPr>
          <w:rFonts w:ascii="Times New Roman" w:hAnsi="Times New Roman" w:cs="Verdana"/>
          <w:b/>
          <w:bCs/>
          <w:iCs/>
          <w:sz w:val="24"/>
          <w:szCs w:val="24"/>
        </w:rPr>
        <w:sectPr w:rsidR="006B3C6F" w:rsidSect="006B3C6F">
          <w:type w:val="evenPage"/>
          <w:pgSz w:w="11906" w:h="16838"/>
          <w:pgMar w:top="1418" w:right="1418" w:bottom="1418" w:left="1418" w:header="709" w:footer="709" w:gutter="0"/>
          <w:cols w:space="708"/>
          <w:docGrid w:linePitch="360"/>
        </w:sectPr>
      </w:pPr>
    </w:p>
    <w:p w14:paraId="4843E7F6" w14:textId="77777777"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tbl>
      <w:tblPr>
        <w:tblW w:w="13882" w:type="dxa"/>
        <w:tblCellMar>
          <w:left w:w="70" w:type="dxa"/>
          <w:right w:w="70" w:type="dxa"/>
        </w:tblCellMar>
        <w:tblLook w:val="04A0" w:firstRow="1" w:lastRow="0" w:firstColumn="1" w:lastColumn="0" w:noHBand="0" w:noVBand="1"/>
      </w:tblPr>
      <w:tblGrid>
        <w:gridCol w:w="3820"/>
        <w:gridCol w:w="1360"/>
        <w:gridCol w:w="1440"/>
        <w:gridCol w:w="1360"/>
        <w:gridCol w:w="1380"/>
        <w:gridCol w:w="4522"/>
      </w:tblGrid>
      <w:tr w:rsidR="00E2072B" w:rsidRPr="00E2072B" w14:paraId="6FF5FA1D" w14:textId="77777777" w:rsidTr="00E2072B">
        <w:trPr>
          <w:trHeight w:val="20"/>
        </w:trPr>
        <w:tc>
          <w:tcPr>
            <w:tcW w:w="38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DB6D0E8" w14:textId="038192E0" w:rsidR="00E2072B" w:rsidRPr="00E2072B" w:rsidRDefault="007110B8" w:rsidP="00E2072B">
            <w:pPr>
              <w:spacing w:after="0" w:line="240" w:lineRule="auto"/>
              <w:jc w:val="center"/>
              <w:rPr>
                <w:rFonts w:ascii="Times New Roman" w:eastAsia="Times New Roman" w:hAnsi="Times New Roman" w:cs="Times New Roman"/>
                <w:b/>
                <w:bCs/>
                <w:color w:val="000000"/>
                <w:sz w:val="20"/>
                <w:szCs w:val="20"/>
                <w:lang w:eastAsia="sk-SK"/>
              </w:rPr>
            </w:pPr>
            <w:r w:rsidRPr="007110B8">
              <w:rPr>
                <w:rFonts w:ascii="Times New Roman" w:eastAsia="Times New Roman" w:hAnsi="Times New Roman" w:cs="Times New Roman"/>
                <w:b/>
                <w:bCs/>
                <w:sz w:val="24"/>
                <w:szCs w:val="20"/>
                <w:lang w:eastAsia="sk-SK"/>
              </w:rPr>
              <w:t xml:space="preserve"> </w:t>
            </w:r>
            <w:r w:rsidR="00E2072B" w:rsidRPr="00E2072B">
              <w:rPr>
                <w:rFonts w:ascii="Times New Roman" w:eastAsia="Times New Roman" w:hAnsi="Times New Roman" w:cs="Times New Roman"/>
                <w:b/>
                <w:bCs/>
                <w:color w:val="000000"/>
                <w:sz w:val="20"/>
                <w:szCs w:val="20"/>
                <w:lang w:eastAsia="sk-SK"/>
              </w:rPr>
              <w:t>Výdavky (v eurách) – MPSVR SR</w:t>
            </w:r>
          </w:p>
        </w:tc>
        <w:tc>
          <w:tcPr>
            <w:tcW w:w="5540" w:type="dxa"/>
            <w:gridSpan w:val="4"/>
            <w:tcBorders>
              <w:top w:val="single" w:sz="8" w:space="0" w:color="auto"/>
              <w:left w:val="nil"/>
              <w:bottom w:val="single" w:sz="8" w:space="0" w:color="auto"/>
              <w:right w:val="single" w:sz="8" w:space="0" w:color="000000"/>
            </w:tcBorders>
            <w:shd w:val="clear" w:color="000000" w:fill="BFBFBF"/>
            <w:vAlign w:val="center"/>
            <w:hideMark/>
          </w:tcPr>
          <w:p w14:paraId="79793682" w14:textId="77777777" w:rsidR="00E2072B" w:rsidRPr="00E2072B" w:rsidRDefault="00E2072B" w:rsidP="00E2072B">
            <w:pPr>
              <w:spacing w:after="0" w:line="240" w:lineRule="auto"/>
              <w:jc w:val="center"/>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Vplyv na rozpočet verejnej správy</w:t>
            </w:r>
          </w:p>
        </w:tc>
        <w:tc>
          <w:tcPr>
            <w:tcW w:w="4522" w:type="dxa"/>
            <w:vMerge w:val="restart"/>
            <w:tcBorders>
              <w:top w:val="single" w:sz="8" w:space="0" w:color="auto"/>
              <w:left w:val="nil"/>
              <w:bottom w:val="single" w:sz="8" w:space="0" w:color="000000"/>
              <w:right w:val="single" w:sz="8" w:space="0" w:color="auto"/>
            </w:tcBorders>
            <w:shd w:val="clear" w:color="000000" w:fill="BFBFBF"/>
            <w:noWrap/>
            <w:vAlign w:val="center"/>
            <w:hideMark/>
          </w:tcPr>
          <w:p w14:paraId="3A2D1E73" w14:textId="77777777" w:rsidR="00E2072B" w:rsidRPr="00E2072B" w:rsidRDefault="00E2072B" w:rsidP="00E2072B">
            <w:pPr>
              <w:spacing w:after="0" w:line="240" w:lineRule="auto"/>
              <w:jc w:val="center"/>
              <w:rPr>
                <w:rFonts w:ascii="Times New Roman" w:eastAsia="Times New Roman" w:hAnsi="Times New Roman" w:cs="Times New Roman"/>
                <w:b/>
                <w:bCs/>
                <w:color w:val="000000"/>
                <w:sz w:val="24"/>
                <w:szCs w:val="24"/>
                <w:lang w:eastAsia="sk-SK"/>
              </w:rPr>
            </w:pPr>
            <w:r w:rsidRPr="00E2072B">
              <w:rPr>
                <w:rFonts w:ascii="Times New Roman" w:eastAsia="Times New Roman" w:hAnsi="Times New Roman" w:cs="Times New Roman"/>
                <w:b/>
                <w:bCs/>
                <w:color w:val="000000"/>
                <w:sz w:val="24"/>
                <w:szCs w:val="24"/>
                <w:lang w:eastAsia="sk-SK"/>
              </w:rPr>
              <w:t>poznámka</w:t>
            </w:r>
          </w:p>
        </w:tc>
      </w:tr>
      <w:tr w:rsidR="00E2072B" w:rsidRPr="00E2072B" w14:paraId="425696B8" w14:textId="77777777" w:rsidTr="00E2072B">
        <w:trPr>
          <w:trHeight w:val="20"/>
        </w:trPr>
        <w:tc>
          <w:tcPr>
            <w:tcW w:w="3820" w:type="dxa"/>
            <w:vMerge/>
            <w:tcBorders>
              <w:top w:val="single" w:sz="8" w:space="0" w:color="auto"/>
              <w:left w:val="single" w:sz="8" w:space="0" w:color="auto"/>
              <w:bottom w:val="single" w:sz="8" w:space="0" w:color="000000"/>
              <w:right w:val="single" w:sz="8" w:space="0" w:color="auto"/>
            </w:tcBorders>
            <w:vAlign w:val="center"/>
            <w:hideMark/>
          </w:tcPr>
          <w:p w14:paraId="4A8930A8" w14:textId="77777777" w:rsidR="00E2072B" w:rsidRPr="00E2072B" w:rsidRDefault="00E2072B" w:rsidP="00E2072B">
            <w:pPr>
              <w:spacing w:after="0" w:line="240" w:lineRule="auto"/>
              <w:rPr>
                <w:rFonts w:ascii="Times New Roman" w:eastAsia="Times New Roman" w:hAnsi="Times New Roman" w:cs="Times New Roman"/>
                <w:b/>
                <w:bCs/>
                <w:color w:val="000000"/>
                <w:sz w:val="20"/>
                <w:szCs w:val="20"/>
                <w:lang w:eastAsia="sk-SK"/>
              </w:rPr>
            </w:pPr>
          </w:p>
        </w:tc>
        <w:tc>
          <w:tcPr>
            <w:tcW w:w="1360" w:type="dxa"/>
            <w:tcBorders>
              <w:top w:val="nil"/>
              <w:left w:val="nil"/>
              <w:bottom w:val="single" w:sz="8" w:space="0" w:color="auto"/>
              <w:right w:val="single" w:sz="8" w:space="0" w:color="auto"/>
            </w:tcBorders>
            <w:shd w:val="clear" w:color="000000" w:fill="BFBFBF"/>
            <w:vAlign w:val="center"/>
            <w:hideMark/>
          </w:tcPr>
          <w:p w14:paraId="0C1C7C45"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4"/>
                <w:szCs w:val="24"/>
                <w:lang w:eastAsia="sk-SK"/>
              </w:rPr>
            </w:pPr>
            <w:r w:rsidRPr="00E2072B">
              <w:rPr>
                <w:rFonts w:ascii="Times New Roman" w:eastAsia="Times New Roman" w:hAnsi="Times New Roman" w:cs="Times New Roman"/>
                <w:b/>
                <w:bCs/>
                <w:color w:val="000000"/>
                <w:sz w:val="24"/>
                <w:szCs w:val="24"/>
                <w:lang w:eastAsia="sk-SK"/>
              </w:rPr>
              <w:t>2022</w:t>
            </w:r>
          </w:p>
        </w:tc>
        <w:tc>
          <w:tcPr>
            <w:tcW w:w="1440" w:type="dxa"/>
            <w:tcBorders>
              <w:top w:val="nil"/>
              <w:left w:val="nil"/>
              <w:bottom w:val="single" w:sz="8" w:space="0" w:color="auto"/>
              <w:right w:val="single" w:sz="8" w:space="0" w:color="auto"/>
            </w:tcBorders>
            <w:shd w:val="clear" w:color="000000" w:fill="BFBFBF"/>
            <w:vAlign w:val="center"/>
            <w:hideMark/>
          </w:tcPr>
          <w:p w14:paraId="3BD8115F"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4"/>
                <w:szCs w:val="24"/>
                <w:lang w:eastAsia="sk-SK"/>
              </w:rPr>
            </w:pPr>
            <w:r w:rsidRPr="00E2072B">
              <w:rPr>
                <w:rFonts w:ascii="Times New Roman" w:eastAsia="Times New Roman" w:hAnsi="Times New Roman" w:cs="Times New Roman"/>
                <w:b/>
                <w:bCs/>
                <w:color w:val="000000"/>
                <w:sz w:val="24"/>
                <w:szCs w:val="24"/>
                <w:lang w:eastAsia="sk-SK"/>
              </w:rPr>
              <w:t>2023</w:t>
            </w:r>
          </w:p>
        </w:tc>
        <w:tc>
          <w:tcPr>
            <w:tcW w:w="1360" w:type="dxa"/>
            <w:tcBorders>
              <w:top w:val="nil"/>
              <w:left w:val="nil"/>
              <w:bottom w:val="single" w:sz="8" w:space="0" w:color="auto"/>
              <w:right w:val="single" w:sz="8" w:space="0" w:color="auto"/>
            </w:tcBorders>
            <w:shd w:val="clear" w:color="000000" w:fill="BFBFBF"/>
            <w:vAlign w:val="center"/>
            <w:hideMark/>
          </w:tcPr>
          <w:p w14:paraId="6B1F4D17"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4"/>
                <w:szCs w:val="24"/>
                <w:lang w:eastAsia="sk-SK"/>
              </w:rPr>
            </w:pPr>
            <w:r w:rsidRPr="00E2072B">
              <w:rPr>
                <w:rFonts w:ascii="Times New Roman" w:eastAsia="Times New Roman" w:hAnsi="Times New Roman" w:cs="Times New Roman"/>
                <w:b/>
                <w:bCs/>
                <w:color w:val="000000"/>
                <w:sz w:val="24"/>
                <w:szCs w:val="24"/>
                <w:lang w:eastAsia="sk-SK"/>
              </w:rPr>
              <w:t>2024</w:t>
            </w:r>
          </w:p>
        </w:tc>
        <w:tc>
          <w:tcPr>
            <w:tcW w:w="1380" w:type="dxa"/>
            <w:tcBorders>
              <w:top w:val="nil"/>
              <w:left w:val="nil"/>
              <w:bottom w:val="single" w:sz="8" w:space="0" w:color="auto"/>
              <w:right w:val="single" w:sz="8" w:space="0" w:color="auto"/>
            </w:tcBorders>
            <w:shd w:val="clear" w:color="000000" w:fill="BFBFBF"/>
            <w:vAlign w:val="center"/>
            <w:hideMark/>
          </w:tcPr>
          <w:p w14:paraId="2ADD548E"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4"/>
                <w:szCs w:val="24"/>
                <w:lang w:eastAsia="sk-SK"/>
              </w:rPr>
            </w:pPr>
            <w:r w:rsidRPr="00E2072B">
              <w:rPr>
                <w:rFonts w:ascii="Times New Roman" w:eastAsia="Times New Roman" w:hAnsi="Times New Roman" w:cs="Times New Roman"/>
                <w:b/>
                <w:bCs/>
                <w:color w:val="000000"/>
                <w:sz w:val="24"/>
                <w:szCs w:val="24"/>
                <w:lang w:eastAsia="sk-SK"/>
              </w:rPr>
              <w:t>2025</w:t>
            </w:r>
          </w:p>
        </w:tc>
        <w:tc>
          <w:tcPr>
            <w:tcW w:w="4522" w:type="dxa"/>
            <w:vMerge/>
            <w:tcBorders>
              <w:top w:val="single" w:sz="8" w:space="0" w:color="auto"/>
              <w:left w:val="nil"/>
              <w:bottom w:val="single" w:sz="8" w:space="0" w:color="000000"/>
              <w:right w:val="single" w:sz="8" w:space="0" w:color="auto"/>
            </w:tcBorders>
            <w:vAlign w:val="center"/>
            <w:hideMark/>
          </w:tcPr>
          <w:p w14:paraId="0801A654" w14:textId="77777777" w:rsidR="00E2072B" w:rsidRPr="00E2072B" w:rsidRDefault="00E2072B" w:rsidP="00E2072B">
            <w:pPr>
              <w:spacing w:after="0" w:line="240" w:lineRule="auto"/>
              <w:rPr>
                <w:rFonts w:ascii="Times New Roman" w:eastAsia="Times New Roman" w:hAnsi="Times New Roman" w:cs="Times New Roman"/>
                <w:b/>
                <w:bCs/>
                <w:color w:val="000000"/>
                <w:sz w:val="24"/>
                <w:szCs w:val="24"/>
                <w:lang w:eastAsia="sk-SK"/>
              </w:rPr>
            </w:pPr>
          </w:p>
        </w:tc>
      </w:tr>
      <w:tr w:rsidR="00E2072B" w:rsidRPr="00E2072B" w14:paraId="34EA6B6C"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0EE0DF26" w14:textId="77777777" w:rsidR="00E2072B" w:rsidRPr="00E2072B" w:rsidRDefault="00E2072B" w:rsidP="00E2072B">
            <w:pPr>
              <w:spacing w:after="0" w:line="240" w:lineRule="auto"/>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Bežné výdavky (600)</w:t>
            </w:r>
          </w:p>
        </w:tc>
        <w:tc>
          <w:tcPr>
            <w:tcW w:w="1360" w:type="dxa"/>
            <w:tcBorders>
              <w:top w:val="nil"/>
              <w:left w:val="nil"/>
              <w:bottom w:val="single" w:sz="8" w:space="0" w:color="auto"/>
              <w:right w:val="single" w:sz="8" w:space="0" w:color="auto"/>
            </w:tcBorders>
            <w:shd w:val="clear" w:color="auto" w:fill="auto"/>
            <w:vAlign w:val="center"/>
            <w:hideMark/>
          </w:tcPr>
          <w:p w14:paraId="63DD6129"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3EE5501D"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-9 422 023</w:t>
            </w:r>
          </w:p>
        </w:tc>
        <w:tc>
          <w:tcPr>
            <w:tcW w:w="1360" w:type="dxa"/>
            <w:tcBorders>
              <w:top w:val="nil"/>
              <w:left w:val="nil"/>
              <w:bottom w:val="single" w:sz="8" w:space="0" w:color="auto"/>
              <w:right w:val="single" w:sz="8" w:space="0" w:color="auto"/>
            </w:tcBorders>
            <w:shd w:val="clear" w:color="auto" w:fill="auto"/>
            <w:vAlign w:val="center"/>
            <w:hideMark/>
          </w:tcPr>
          <w:p w14:paraId="7E3F49CA"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-10 956 224</w:t>
            </w:r>
          </w:p>
        </w:tc>
        <w:tc>
          <w:tcPr>
            <w:tcW w:w="1380" w:type="dxa"/>
            <w:tcBorders>
              <w:top w:val="nil"/>
              <w:left w:val="nil"/>
              <w:bottom w:val="single" w:sz="8" w:space="0" w:color="auto"/>
              <w:right w:val="single" w:sz="8" w:space="0" w:color="auto"/>
            </w:tcBorders>
            <w:shd w:val="clear" w:color="auto" w:fill="auto"/>
            <w:vAlign w:val="center"/>
            <w:hideMark/>
          </w:tcPr>
          <w:p w14:paraId="5CFEC1BE"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-13 482 598</w:t>
            </w:r>
          </w:p>
        </w:tc>
        <w:tc>
          <w:tcPr>
            <w:tcW w:w="4522" w:type="dxa"/>
            <w:tcBorders>
              <w:top w:val="nil"/>
              <w:left w:val="nil"/>
              <w:bottom w:val="single" w:sz="8" w:space="0" w:color="auto"/>
              <w:right w:val="single" w:sz="8" w:space="0" w:color="auto"/>
            </w:tcBorders>
            <w:shd w:val="clear" w:color="auto" w:fill="auto"/>
            <w:noWrap/>
            <w:vAlign w:val="center"/>
            <w:hideMark/>
          </w:tcPr>
          <w:p w14:paraId="345B7D80"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r w:rsidR="00E2072B" w:rsidRPr="00E2072B" w14:paraId="7C8831BA"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2027D27F"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Mzdy, platy, služobné príjmy a ostatné osobné vyrovnania (610) </w:t>
            </w:r>
          </w:p>
        </w:tc>
        <w:tc>
          <w:tcPr>
            <w:tcW w:w="1360" w:type="dxa"/>
            <w:tcBorders>
              <w:top w:val="nil"/>
              <w:left w:val="nil"/>
              <w:bottom w:val="single" w:sz="8" w:space="0" w:color="auto"/>
              <w:right w:val="single" w:sz="8" w:space="0" w:color="auto"/>
            </w:tcBorders>
            <w:shd w:val="clear" w:color="auto" w:fill="auto"/>
            <w:vAlign w:val="center"/>
            <w:hideMark/>
          </w:tcPr>
          <w:p w14:paraId="32C317D2"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0175AA49"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1A126194"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4E3620F0"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4522" w:type="dxa"/>
            <w:tcBorders>
              <w:top w:val="nil"/>
              <w:left w:val="nil"/>
              <w:bottom w:val="single" w:sz="8" w:space="0" w:color="auto"/>
              <w:right w:val="single" w:sz="8" w:space="0" w:color="auto"/>
            </w:tcBorders>
            <w:shd w:val="clear" w:color="auto" w:fill="auto"/>
            <w:vAlign w:val="center"/>
            <w:hideMark/>
          </w:tcPr>
          <w:p w14:paraId="0D9A890B"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r w:rsidR="00E2072B" w:rsidRPr="00E2072B" w14:paraId="5324E07A"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0FE89865"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Poistné a príspevok do poisťovní (620) </w:t>
            </w:r>
          </w:p>
        </w:tc>
        <w:tc>
          <w:tcPr>
            <w:tcW w:w="1360" w:type="dxa"/>
            <w:tcBorders>
              <w:top w:val="nil"/>
              <w:left w:val="nil"/>
              <w:bottom w:val="single" w:sz="8" w:space="0" w:color="auto"/>
              <w:right w:val="single" w:sz="8" w:space="0" w:color="auto"/>
            </w:tcBorders>
            <w:shd w:val="clear" w:color="auto" w:fill="auto"/>
            <w:vAlign w:val="center"/>
            <w:hideMark/>
          </w:tcPr>
          <w:p w14:paraId="692B1CDA"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35FEBFF2"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09167E36"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3EF4822F"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4522" w:type="dxa"/>
            <w:tcBorders>
              <w:top w:val="nil"/>
              <w:left w:val="nil"/>
              <w:bottom w:val="single" w:sz="8" w:space="0" w:color="auto"/>
              <w:right w:val="single" w:sz="8" w:space="0" w:color="auto"/>
            </w:tcBorders>
            <w:shd w:val="clear" w:color="auto" w:fill="auto"/>
            <w:vAlign w:val="center"/>
            <w:hideMark/>
          </w:tcPr>
          <w:p w14:paraId="45331120"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r w:rsidR="00E2072B" w:rsidRPr="00E2072B" w14:paraId="27DB7ACA"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48C478B8"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Tovary a služby (630)</w:t>
            </w:r>
            <w:r w:rsidRPr="00E2072B">
              <w:rPr>
                <w:rFonts w:ascii="Times New Roman" w:eastAsia="Times New Roman" w:hAnsi="Times New Roman" w:cs="Times New Roman"/>
                <w:color w:val="000000"/>
                <w:sz w:val="20"/>
                <w:szCs w:val="20"/>
                <w:vertAlign w:val="superscript"/>
                <w:lang w:eastAsia="sk-SK"/>
              </w:rPr>
              <w:t xml:space="preserve"> </w:t>
            </w:r>
          </w:p>
        </w:tc>
        <w:tc>
          <w:tcPr>
            <w:tcW w:w="1360" w:type="dxa"/>
            <w:tcBorders>
              <w:top w:val="nil"/>
              <w:left w:val="nil"/>
              <w:bottom w:val="single" w:sz="8" w:space="0" w:color="auto"/>
              <w:right w:val="single" w:sz="8" w:space="0" w:color="auto"/>
            </w:tcBorders>
            <w:shd w:val="clear" w:color="auto" w:fill="auto"/>
            <w:vAlign w:val="center"/>
            <w:hideMark/>
          </w:tcPr>
          <w:p w14:paraId="345800DD"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2F25E5D8"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95 000</w:t>
            </w:r>
          </w:p>
        </w:tc>
        <w:tc>
          <w:tcPr>
            <w:tcW w:w="1360" w:type="dxa"/>
            <w:tcBorders>
              <w:top w:val="nil"/>
              <w:left w:val="nil"/>
              <w:bottom w:val="single" w:sz="8" w:space="0" w:color="auto"/>
              <w:right w:val="single" w:sz="8" w:space="0" w:color="auto"/>
            </w:tcBorders>
            <w:shd w:val="clear" w:color="auto" w:fill="auto"/>
            <w:vAlign w:val="center"/>
            <w:hideMark/>
          </w:tcPr>
          <w:p w14:paraId="5BEF54DA"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15 000</w:t>
            </w:r>
          </w:p>
        </w:tc>
        <w:tc>
          <w:tcPr>
            <w:tcW w:w="1380" w:type="dxa"/>
            <w:tcBorders>
              <w:top w:val="nil"/>
              <w:left w:val="nil"/>
              <w:bottom w:val="single" w:sz="8" w:space="0" w:color="auto"/>
              <w:right w:val="single" w:sz="8" w:space="0" w:color="auto"/>
            </w:tcBorders>
            <w:shd w:val="clear" w:color="auto" w:fill="auto"/>
            <w:vAlign w:val="center"/>
            <w:hideMark/>
          </w:tcPr>
          <w:p w14:paraId="079710AE"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15 000</w:t>
            </w:r>
          </w:p>
        </w:tc>
        <w:tc>
          <w:tcPr>
            <w:tcW w:w="4522" w:type="dxa"/>
            <w:tcBorders>
              <w:top w:val="nil"/>
              <w:left w:val="nil"/>
              <w:bottom w:val="single" w:sz="8" w:space="0" w:color="auto"/>
              <w:right w:val="single" w:sz="8" w:space="0" w:color="auto"/>
            </w:tcBorders>
            <w:shd w:val="clear" w:color="auto" w:fill="auto"/>
            <w:vAlign w:val="center"/>
            <w:hideMark/>
          </w:tcPr>
          <w:p w14:paraId="4967A2C0" w14:textId="77777777" w:rsidR="00E2072B" w:rsidRPr="00E2072B" w:rsidRDefault="00E2072B" w:rsidP="00E2072B">
            <w:pPr>
              <w:spacing w:after="0" w:line="240" w:lineRule="auto"/>
              <w:rPr>
                <w:rFonts w:ascii="Times New Roman" w:eastAsia="Times New Roman" w:hAnsi="Times New Roman" w:cs="Times New Roman"/>
                <w:color w:val="FF0000"/>
                <w:sz w:val="24"/>
                <w:szCs w:val="24"/>
                <w:lang w:eastAsia="sk-SK"/>
              </w:rPr>
            </w:pPr>
            <w:r w:rsidRPr="00E2072B">
              <w:rPr>
                <w:rFonts w:ascii="Times New Roman" w:eastAsia="Times New Roman" w:hAnsi="Times New Roman" w:cs="Times New Roman"/>
                <w:color w:val="FF0000"/>
                <w:sz w:val="24"/>
                <w:szCs w:val="24"/>
                <w:lang w:eastAsia="sk-SK"/>
              </w:rPr>
              <w:t> </w:t>
            </w:r>
            <w:r w:rsidRPr="00E2072B">
              <w:rPr>
                <w:rFonts w:ascii="Times New Roman" w:eastAsia="Times New Roman" w:hAnsi="Times New Roman" w:cs="Times New Roman"/>
                <w:color w:val="000000"/>
                <w:sz w:val="20"/>
                <w:szCs w:val="20"/>
                <w:lang w:eastAsia="sk-SK"/>
              </w:rPr>
              <w:t>Informačné systémy</w:t>
            </w:r>
          </w:p>
        </w:tc>
      </w:tr>
      <w:tr w:rsidR="00E2072B" w:rsidRPr="00E2072B" w14:paraId="04F18EA4"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2A026576"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Bežné transfery (640)</w:t>
            </w:r>
          </w:p>
        </w:tc>
        <w:tc>
          <w:tcPr>
            <w:tcW w:w="1360" w:type="dxa"/>
            <w:tcBorders>
              <w:top w:val="nil"/>
              <w:left w:val="nil"/>
              <w:bottom w:val="single" w:sz="8" w:space="0" w:color="auto"/>
              <w:right w:val="single" w:sz="8" w:space="0" w:color="auto"/>
            </w:tcBorders>
            <w:shd w:val="clear" w:color="auto" w:fill="auto"/>
            <w:vAlign w:val="center"/>
            <w:hideMark/>
          </w:tcPr>
          <w:p w14:paraId="38FB1DAF"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4AE96CC"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-7 930 853</w:t>
            </w:r>
          </w:p>
        </w:tc>
        <w:tc>
          <w:tcPr>
            <w:tcW w:w="1360" w:type="dxa"/>
            <w:tcBorders>
              <w:top w:val="nil"/>
              <w:left w:val="nil"/>
              <w:bottom w:val="single" w:sz="8" w:space="0" w:color="auto"/>
              <w:right w:val="single" w:sz="8" w:space="0" w:color="auto"/>
            </w:tcBorders>
            <w:shd w:val="clear" w:color="auto" w:fill="auto"/>
            <w:vAlign w:val="center"/>
            <w:hideMark/>
          </w:tcPr>
          <w:p w14:paraId="08DBC9E2"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-9 142 687</w:t>
            </w:r>
          </w:p>
        </w:tc>
        <w:tc>
          <w:tcPr>
            <w:tcW w:w="1380" w:type="dxa"/>
            <w:tcBorders>
              <w:top w:val="nil"/>
              <w:left w:val="nil"/>
              <w:bottom w:val="single" w:sz="8" w:space="0" w:color="auto"/>
              <w:right w:val="single" w:sz="8" w:space="0" w:color="auto"/>
            </w:tcBorders>
            <w:shd w:val="clear" w:color="auto" w:fill="auto"/>
            <w:vAlign w:val="center"/>
            <w:hideMark/>
          </w:tcPr>
          <w:p w14:paraId="72DC984C"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-11 247 999</w:t>
            </w:r>
          </w:p>
        </w:tc>
        <w:tc>
          <w:tcPr>
            <w:tcW w:w="4522" w:type="dxa"/>
            <w:tcBorders>
              <w:top w:val="nil"/>
              <w:left w:val="nil"/>
              <w:bottom w:val="single" w:sz="8" w:space="0" w:color="auto"/>
              <w:right w:val="single" w:sz="8" w:space="0" w:color="auto"/>
            </w:tcBorders>
            <w:shd w:val="clear" w:color="auto" w:fill="auto"/>
            <w:vAlign w:val="center"/>
            <w:hideMark/>
          </w:tcPr>
          <w:p w14:paraId="13CB9A77"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Zníženie výdavkov v súvislosti s krátením maximálnej výšky vyrovnávacieho príspevku integračnému podniku podľa úväzku</w:t>
            </w:r>
          </w:p>
        </w:tc>
      </w:tr>
      <w:tr w:rsidR="00E2072B" w:rsidRPr="00E2072B" w14:paraId="1C66C6CD"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41F9E106"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Bežné transfery (640)</w:t>
            </w:r>
          </w:p>
        </w:tc>
        <w:tc>
          <w:tcPr>
            <w:tcW w:w="1360" w:type="dxa"/>
            <w:tcBorders>
              <w:top w:val="nil"/>
              <w:left w:val="nil"/>
              <w:bottom w:val="single" w:sz="8" w:space="0" w:color="auto"/>
              <w:right w:val="single" w:sz="8" w:space="0" w:color="auto"/>
            </w:tcBorders>
            <w:shd w:val="clear" w:color="auto" w:fill="auto"/>
            <w:vAlign w:val="center"/>
            <w:hideMark/>
          </w:tcPr>
          <w:p w14:paraId="2A3A8CE8"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233C5F13"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-1 586 171</w:t>
            </w:r>
          </w:p>
        </w:tc>
        <w:tc>
          <w:tcPr>
            <w:tcW w:w="1360" w:type="dxa"/>
            <w:tcBorders>
              <w:top w:val="nil"/>
              <w:left w:val="nil"/>
              <w:bottom w:val="single" w:sz="8" w:space="0" w:color="auto"/>
              <w:right w:val="single" w:sz="8" w:space="0" w:color="auto"/>
            </w:tcBorders>
            <w:shd w:val="clear" w:color="auto" w:fill="auto"/>
            <w:vAlign w:val="center"/>
            <w:hideMark/>
          </w:tcPr>
          <w:p w14:paraId="5E18179E"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-1 828 537</w:t>
            </w:r>
          </w:p>
        </w:tc>
        <w:tc>
          <w:tcPr>
            <w:tcW w:w="1380" w:type="dxa"/>
            <w:tcBorders>
              <w:top w:val="nil"/>
              <w:left w:val="nil"/>
              <w:bottom w:val="single" w:sz="8" w:space="0" w:color="auto"/>
              <w:right w:val="single" w:sz="8" w:space="0" w:color="auto"/>
            </w:tcBorders>
            <w:shd w:val="clear" w:color="auto" w:fill="auto"/>
            <w:vAlign w:val="center"/>
            <w:hideMark/>
          </w:tcPr>
          <w:p w14:paraId="5D4EFFAF"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-2 249 600</w:t>
            </w:r>
          </w:p>
        </w:tc>
        <w:tc>
          <w:tcPr>
            <w:tcW w:w="4522" w:type="dxa"/>
            <w:tcBorders>
              <w:top w:val="nil"/>
              <w:left w:val="nil"/>
              <w:bottom w:val="single" w:sz="8" w:space="0" w:color="auto"/>
              <w:right w:val="single" w:sz="8" w:space="0" w:color="auto"/>
            </w:tcBorders>
            <w:shd w:val="clear" w:color="auto" w:fill="auto"/>
            <w:vAlign w:val="center"/>
            <w:hideMark/>
          </w:tcPr>
          <w:p w14:paraId="3AB3BD02"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Zníženie výdavkov v súvislosti s úpravou vyrovnávacieho príspevku integračnému podniku na mzdové náklady niektorých znevýhodnených osôb</w:t>
            </w:r>
          </w:p>
        </w:tc>
      </w:tr>
      <w:tr w:rsidR="00E2072B" w:rsidRPr="00E2072B" w14:paraId="1BC5CB3F"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2DE56E7B"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Splácanie úrokov a ostatné platby súvisiace s </w:t>
            </w:r>
            <w:r w:rsidRPr="00E2072B">
              <w:rPr>
                <w:rFonts w:ascii="Calibri" w:eastAsia="Times New Roman" w:hAnsi="Calibri" w:cs="Times New Roman"/>
                <w:color w:val="000000"/>
                <w:lang w:eastAsia="sk-SK"/>
              </w:rPr>
              <w:t xml:space="preserve"> </w:t>
            </w:r>
            <w:r w:rsidRPr="00E2072B">
              <w:rPr>
                <w:rFonts w:ascii="Times New Roman" w:eastAsia="Times New Roman" w:hAnsi="Times New Roman" w:cs="Times New Roman"/>
                <w:color w:val="000000"/>
                <w:sz w:val="20"/>
                <w:szCs w:val="20"/>
                <w:lang w:eastAsia="sk-SK"/>
              </w:rPr>
              <w:t>úverom, pôžičkou, návratnou finančnou výpomocou a finančným prenájmom (650)</w:t>
            </w:r>
            <w:r w:rsidRPr="00E2072B">
              <w:rPr>
                <w:rFonts w:ascii="Times New Roman" w:eastAsia="Times New Roman" w:hAnsi="Times New Roman" w:cs="Times New Roman"/>
                <w:color w:val="000000"/>
                <w:sz w:val="20"/>
                <w:szCs w:val="20"/>
                <w:vertAlign w:val="superscript"/>
                <w:lang w:eastAsia="sk-SK"/>
              </w:rPr>
              <w:t>2</w:t>
            </w:r>
          </w:p>
        </w:tc>
        <w:tc>
          <w:tcPr>
            <w:tcW w:w="1360" w:type="dxa"/>
            <w:tcBorders>
              <w:top w:val="nil"/>
              <w:left w:val="nil"/>
              <w:bottom w:val="single" w:sz="8" w:space="0" w:color="auto"/>
              <w:right w:val="single" w:sz="8" w:space="0" w:color="auto"/>
            </w:tcBorders>
            <w:shd w:val="clear" w:color="auto" w:fill="auto"/>
            <w:vAlign w:val="center"/>
            <w:hideMark/>
          </w:tcPr>
          <w:p w14:paraId="55CC2D83"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4FAE9B6"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78E4ACE7"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77CA0630"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4522" w:type="dxa"/>
            <w:tcBorders>
              <w:top w:val="nil"/>
              <w:left w:val="nil"/>
              <w:bottom w:val="single" w:sz="8" w:space="0" w:color="auto"/>
              <w:right w:val="single" w:sz="8" w:space="0" w:color="auto"/>
            </w:tcBorders>
            <w:shd w:val="clear" w:color="auto" w:fill="auto"/>
            <w:noWrap/>
            <w:vAlign w:val="center"/>
            <w:hideMark/>
          </w:tcPr>
          <w:p w14:paraId="1C5C4B69"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r w:rsidR="00E2072B" w:rsidRPr="00E2072B" w14:paraId="69EE9A12"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0E12EA09" w14:textId="77777777" w:rsidR="00E2072B" w:rsidRPr="00E2072B" w:rsidRDefault="00E2072B" w:rsidP="00E2072B">
            <w:pPr>
              <w:spacing w:after="0" w:line="240" w:lineRule="auto"/>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Kapitálové výdavky (700)</w:t>
            </w:r>
          </w:p>
        </w:tc>
        <w:tc>
          <w:tcPr>
            <w:tcW w:w="1360" w:type="dxa"/>
            <w:tcBorders>
              <w:top w:val="nil"/>
              <w:left w:val="nil"/>
              <w:bottom w:val="single" w:sz="8" w:space="0" w:color="auto"/>
              <w:right w:val="single" w:sz="8" w:space="0" w:color="auto"/>
            </w:tcBorders>
            <w:shd w:val="clear" w:color="auto" w:fill="auto"/>
            <w:vAlign w:val="center"/>
            <w:hideMark/>
          </w:tcPr>
          <w:p w14:paraId="06A90CF3"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1E628A2A"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495 312</w:t>
            </w:r>
          </w:p>
        </w:tc>
        <w:tc>
          <w:tcPr>
            <w:tcW w:w="1360" w:type="dxa"/>
            <w:tcBorders>
              <w:top w:val="nil"/>
              <w:left w:val="nil"/>
              <w:bottom w:val="single" w:sz="8" w:space="0" w:color="auto"/>
              <w:right w:val="single" w:sz="8" w:space="0" w:color="auto"/>
            </w:tcBorders>
            <w:shd w:val="clear" w:color="auto" w:fill="auto"/>
            <w:vAlign w:val="center"/>
            <w:hideMark/>
          </w:tcPr>
          <w:p w14:paraId="455B3676"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941 857</w:t>
            </w:r>
          </w:p>
        </w:tc>
        <w:tc>
          <w:tcPr>
            <w:tcW w:w="1380" w:type="dxa"/>
            <w:tcBorders>
              <w:top w:val="nil"/>
              <w:left w:val="nil"/>
              <w:bottom w:val="single" w:sz="8" w:space="0" w:color="auto"/>
              <w:right w:val="single" w:sz="8" w:space="0" w:color="auto"/>
            </w:tcBorders>
            <w:shd w:val="clear" w:color="auto" w:fill="auto"/>
            <w:vAlign w:val="center"/>
            <w:hideMark/>
          </w:tcPr>
          <w:p w14:paraId="57453877"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1 269 124</w:t>
            </w:r>
          </w:p>
        </w:tc>
        <w:tc>
          <w:tcPr>
            <w:tcW w:w="4522" w:type="dxa"/>
            <w:tcBorders>
              <w:top w:val="nil"/>
              <w:left w:val="nil"/>
              <w:bottom w:val="single" w:sz="8" w:space="0" w:color="auto"/>
              <w:right w:val="single" w:sz="8" w:space="0" w:color="auto"/>
            </w:tcBorders>
            <w:shd w:val="clear" w:color="auto" w:fill="auto"/>
            <w:noWrap/>
            <w:vAlign w:val="center"/>
            <w:hideMark/>
          </w:tcPr>
          <w:p w14:paraId="159400C7"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r w:rsidR="00E2072B" w:rsidRPr="00E2072B" w14:paraId="0A158F29"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0199A532"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Obstarávanie kapitálových aktív (710)</w:t>
            </w:r>
          </w:p>
        </w:tc>
        <w:tc>
          <w:tcPr>
            <w:tcW w:w="1360" w:type="dxa"/>
            <w:tcBorders>
              <w:top w:val="nil"/>
              <w:left w:val="nil"/>
              <w:bottom w:val="single" w:sz="8" w:space="0" w:color="auto"/>
              <w:right w:val="single" w:sz="8" w:space="0" w:color="auto"/>
            </w:tcBorders>
            <w:shd w:val="clear" w:color="auto" w:fill="auto"/>
            <w:vAlign w:val="center"/>
            <w:hideMark/>
          </w:tcPr>
          <w:p w14:paraId="7E631DEA"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3B7FA766"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2B45D025"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304ED7FC"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4522" w:type="dxa"/>
            <w:tcBorders>
              <w:top w:val="nil"/>
              <w:left w:val="nil"/>
              <w:bottom w:val="single" w:sz="8" w:space="0" w:color="auto"/>
              <w:right w:val="single" w:sz="8" w:space="0" w:color="auto"/>
            </w:tcBorders>
            <w:shd w:val="clear" w:color="auto" w:fill="auto"/>
            <w:noWrap/>
            <w:vAlign w:val="center"/>
            <w:hideMark/>
          </w:tcPr>
          <w:p w14:paraId="5BC0AF65"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r w:rsidR="00E2072B" w:rsidRPr="00E2072B" w14:paraId="463E5EBA"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7821C6B9"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Kapitálové transfery (720)</w:t>
            </w:r>
          </w:p>
        </w:tc>
        <w:tc>
          <w:tcPr>
            <w:tcW w:w="1360" w:type="dxa"/>
            <w:tcBorders>
              <w:top w:val="nil"/>
              <w:left w:val="nil"/>
              <w:bottom w:val="single" w:sz="8" w:space="0" w:color="auto"/>
              <w:right w:val="single" w:sz="8" w:space="0" w:color="auto"/>
            </w:tcBorders>
            <w:shd w:val="clear" w:color="auto" w:fill="auto"/>
            <w:vAlign w:val="center"/>
            <w:hideMark/>
          </w:tcPr>
          <w:p w14:paraId="42D19534"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7D55B83D"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157 143</w:t>
            </w:r>
          </w:p>
        </w:tc>
        <w:tc>
          <w:tcPr>
            <w:tcW w:w="1360" w:type="dxa"/>
            <w:tcBorders>
              <w:top w:val="nil"/>
              <w:left w:val="nil"/>
              <w:bottom w:val="single" w:sz="8" w:space="0" w:color="auto"/>
              <w:right w:val="single" w:sz="8" w:space="0" w:color="auto"/>
            </w:tcBorders>
            <w:shd w:val="clear" w:color="auto" w:fill="auto"/>
            <w:vAlign w:val="center"/>
            <w:hideMark/>
          </w:tcPr>
          <w:p w14:paraId="5C89FFE2"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171 429</w:t>
            </w:r>
          </w:p>
        </w:tc>
        <w:tc>
          <w:tcPr>
            <w:tcW w:w="1380" w:type="dxa"/>
            <w:tcBorders>
              <w:top w:val="nil"/>
              <w:left w:val="nil"/>
              <w:bottom w:val="single" w:sz="8" w:space="0" w:color="auto"/>
              <w:right w:val="single" w:sz="8" w:space="0" w:color="auto"/>
            </w:tcBorders>
            <w:shd w:val="clear" w:color="auto" w:fill="auto"/>
            <w:vAlign w:val="center"/>
            <w:hideMark/>
          </w:tcPr>
          <w:p w14:paraId="352A6788"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185 714</w:t>
            </w:r>
          </w:p>
        </w:tc>
        <w:tc>
          <w:tcPr>
            <w:tcW w:w="4522" w:type="dxa"/>
            <w:tcBorders>
              <w:top w:val="nil"/>
              <w:left w:val="nil"/>
              <w:bottom w:val="single" w:sz="8" w:space="0" w:color="auto"/>
              <w:right w:val="single" w:sz="8" w:space="0" w:color="auto"/>
            </w:tcBorders>
            <w:shd w:val="clear" w:color="auto" w:fill="auto"/>
            <w:vAlign w:val="center"/>
            <w:hideMark/>
          </w:tcPr>
          <w:p w14:paraId="36D28B7F"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r w:rsidRPr="00E2072B">
              <w:rPr>
                <w:rFonts w:ascii="Times New Roman" w:eastAsia="Times New Roman" w:hAnsi="Times New Roman" w:cs="Times New Roman"/>
                <w:color w:val="000000"/>
                <w:sz w:val="20"/>
                <w:szCs w:val="20"/>
                <w:lang w:eastAsia="sk-SK"/>
              </w:rPr>
              <w:t>Zvýšenie výdavkov v súvislosti s rozšírením okruhu prijímateľov investičnej pomoci vo forme dotácie</w:t>
            </w:r>
          </w:p>
        </w:tc>
      </w:tr>
      <w:tr w:rsidR="00E2072B" w:rsidRPr="00E2072B" w14:paraId="18250439"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1C4EC5F"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 xml:space="preserve">  Kapitálové transfery (720)</w:t>
            </w:r>
          </w:p>
        </w:tc>
        <w:tc>
          <w:tcPr>
            <w:tcW w:w="1360" w:type="dxa"/>
            <w:tcBorders>
              <w:top w:val="nil"/>
              <w:left w:val="nil"/>
              <w:bottom w:val="single" w:sz="8" w:space="0" w:color="auto"/>
              <w:right w:val="single" w:sz="8" w:space="0" w:color="auto"/>
            </w:tcBorders>
            <w:shd w:val="clear" w:color="auto" w:fill="auto"/>
            <w:vAlign w:val="center"/>
            <w:hideMark/>
          </w:tcPr>
          <w:p w14:paraId="5AACDA71"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34450A67"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338 169</w:t>
            </w:r>
          </w:p>
        </w:tc>
        <w:tc>
          <w:tcPr>
            <w:tcW w:w="1360" w:type="dxa"/>
            <w:tcBorders>
              <w:top w:val="nil"/>
              <w:left w:val="nil"/>
              <w:bottom w:val="single" w:sz="8" w:space="0" w:color="auto"/>
              <w:right w:val="single" w:sz="8" w:space="0" w:color="auto"/>
            </w:tcBorders>
            <w:shd w:val="clear" w:color="auto" w:fill="auto"/>
            <w:vAlign w:val="center"/>
            <w:hideMark/>
          </w:tcPr>
          <w:p w14:paraId="57ACD3BA"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770 429</w:t>
            </w:r>
          </w:p>
        </w:tc>
        <w:tc>
          <w:tcPr>
            <w:tcW w:w="1380" w:type="dxa"/>
            <w:tcBorders>
              <w:top w:val="nil"/>
              <w:left w:val="nil"/>
              <w:bottom w:val="single" w:sz="8" w:space="0" w:color="auto"/>
              <w:right w:val="single" w:sz="8" w:space="0" w:color="auto"/>
            </w:tcBorders>
            <w:shd w:val="clear" w:color="auto" w:fill="auto"/>
            <w:vAlign w:val="center"/>
            <w:hideMark/>
          </w:tcPr>
          <w:p w14:paraId="1C437D42"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1 083 409</w:t>
            </w:r>
          </w:p>
        </w:tc>
        <w:tc>
          <w:tcPr>
            <w:tcW w:w="4522" w:type="dxa"/>
            <w:tcBorders>
              <w:top w:val="nil"/>
              <w:left w:val="nil"/>
              <w:bottom w:val="single" w:sz="8" w:space="0" w:color="auto"/>
              <w:right w:val="single" w:sz="8" w:space="0" w:color="auto"/>
            </w:tcBorders>
            <w:shd w:val="clear" w:color="auto" w:fill="auto"/>
            <w:vAlign w:val="center"/>
            <w:hideMark/>
          </w:tcPr>
          <w:p w14:paraId="64291C06" w14:textId="77777777" w:rsidR="00E2072B" w:rsidRPr="00E2072B" w:rsidRDefault="00E2072B" w:rsidP="00E2072B">
            <w:pPr>
              <w:spacing w:after="0" w:line="240" w:lineRule="auto"/>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Zmena výdavkov v súvislosti s úpravou maximálnej výšky investičnej pomoci vo forme NFP alebo dotácie</w:t>
            </w:r>
          </w:p>
        </w:tc>
      </w:tr>
      <w:tr w:rsidR="00E2072B" w:rsidRPr="00E2072B" w14:paraId="3E1442FB" w14:textId="77777777" w:rsidTr="00E2072B">
        <w:trPr>
          <w:trHeight w:val="2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F1FC3B7" w14:textId="77777777" w:rsidR="00E2072B" w:rsidRPr="00E2072B" w:rsidRDefault="00E2072B" w:rsidP="00E2072B">
            <w:pPr>
              <w:spacing w:after="0" w:line="240" w:lineRule="auto"/>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Výdavky z transakcií s finančnými aktívami a finančnými pasívami (800)</w:t>
            </w:r>
          </w:p>
        </w:tc>
        <w:tc>
          <w:tcPr>
            <w:tcW w:w="1360" w:type="dxa"/>
            <w:tcBorders>
              <w:top w:val="nil"/>
              <w:left w:val="nil"/>
              <w:bottom w:val="single" w:sz="8" w:space="0" w:color="auto"/>
              <w:right w:val="single" w:sz="8" w:space="0" w:color="auto"/>
            </w:tcBorders>
            <w:shd w:val="clear" w:color="000000" w:fill="FFFF99"/>
            <w:vAlign w:val="center"/>
            <w:hideMark/>
          </w:tcPr>
          <w:p w14:paraId="60A4287B"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440" w:type="dxa"/>
            <w:tcBorders>
              <w:top w:val="nil"/>
              <w:left w:val="nil"/>
              <w:bottom w:val="single" w:sz="8" w:space="0" w:color="auto"/>
              <w:right w:val="single" w:sz="8" w:space="0" w:color="auto"/>
            </w:tcBorders>
            <w:shd w:val="clear" w:color="000000" w:fill="FFFF99"/>
            <w:vAlign w:val="center"/>
            <w:hideMark/>
          </w:tcPr>
          <w:p w14:paraId="14B1F132"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60" w:type="dxa"/>
            <w:tcBorders>
              <w:top w:val="nil"/>
              <w:left w:val="nil"/>
              <w:bottom w:val="single" w:sz="8" w:space="0" w:color="auto"/>
              <w:right w:val="single" w:sz="8" w:space="0" w:color="auto"/>
            </w:tcBorders>
            <w:shd w:val="clear" w:color="000000" w:fill="FFFF99"/>
            <w:vAlign w:val="center"/>
            <w:hideMark/>
          </w:tcPr>
          <w:p w14:paraId="097EBDF8"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1380" w:type="dxa"/>
            <w:tcBorders>
              <w:top w:val="nil"/>
              <w:left w:val="nil"/>
              <w:bottom w:val="single" w:sz="8" w:space="0" w:color="auto"/>
              <w:right w:val="single" w:sz="8" w:space="0" w:color="auto"/>
            </w:tcBorders>
            <w:shd w:val="clear" w:color="000000" w:fill="FFFF99"/>
            <w:vAlign w:val="center"/>
            <w:hideMark/>
          </w:tcPr>
          <w:p w14:paraId="5E4A8C6A" w14:textId="77777777" w:rsidR="00E2072B" w:rsidRPr="00E2072B" w:rsidRDefault="00E2072B" w:rsidP="00E2072B">
            <w:pPr>
              <w:spacing w:after="0" w:line="240" w:lineRule="auto"/>
              <w:jc w:val="right"/>
              <w:rPr>
                <w:rFonts w:ascii="Times New Roman" w:eastAsia="Times New Roman" w:hAnsi="Times New Roman" w:cs="Times New Roman"/>
                <w:color w:val="000000"/>
                <w:sz w:val="20"/>
                <w:szCs w:val="20"/>
                <w:lang w:eastAsia="sk-SK"/>
              </w:rPr>
            </w:pPr>
            <w:r w:rsidRPr="00E2072B">
              <w:rPr>
                <w:rFonts w:ascii="Times New Roman" w:eastAsia="Times New Roman" w:hAnsi="Times New Roman" w:cs="Times New Roman"/>
                <w:color w:val="000000"/>
                <w:sz w:val="20"/>
                <w:szCs w:val="20"/>
                <w:lang w:eastAsia="sk-SK"/>
              </w:rPr>
              <w:t>0</w:t>
            </w:r>
          </w:p>
        </w:tc>
        <w:tc>
          <w:tcPr>
            <w:tcW w:w="4522" w:type="dxa"/>
            <w:tcBorders>
              <w:top w:val="nil"/>
              <w:left w:val="nil"/>
              <w:bottom w:val="single" w:sz="8" w:space="0" w:color="auto"/>
              <w:right w:val="single" w:sz="8" w:space="0" w:color="auto"/>
            </w:tcBorders>
            <w:shd w:val="clear" w:color="auto" w:fill="auto"/>
            <w:noWrap/>
            <w:vAlign w:val="center"/>
            <w:hideMark/>
          </w:tcPr>
          <w:p w14:paraId="6CF9969F"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r w:rsidR="00E2072B" w:rsidRPr="00E2072B" w14:paraId="183BC734" w14:textId="77777777" w:rsidTr="00E2072B">
        <w:trPr>
          <w:trHeight w:val="20"/>
        </w:trPr>
        <w:tc>
          <w:tcPr>
            <w:tcW w:w="3820" w:type="dxa"/>
            <w:tcBorders>
              <w:top w:val="nil"/>
              <w:left w:val="single" w:sz="8" w:space="0" w:color="auto"/>
              <w:bottom w:val="single" w:sz="8" w:space="0" w:color="auto"/>
              <w:right w:val="single" w:sz="8" w:space="0" w:color="auto"/>
            </w:tcBorders>
            <w:shd w:val="clear" w:color="000000" w:fill="BFBFBF"/>
            <w:vAlign w:val="center"/>
            <w:hideMark/>
          </w:tcPr>
          <w:p w14:paraId="2A5A5C58" w14:textId="77777777" w:rsidR="00E2072B" w:rsidRPr="00E2072B" w:rsidRDefault="00E2072B" w:rsidP="00E2072B">
            <w:pPr>
              <w:spacing w:after="0" w:line="240" w:lineRule="auto"/>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Dopad na výdavky verejnej správy celkom</w:t>
            </w:r>
          </w:p>
        </w:tc>
        <w:tc>
          <w:tcPr>
            <w:tcW w:w="1360" w:type="dxa"/>
            <w:tcBorders>
              <w:top w:val="nil"/>
              <w:left w:val="nil"/>
              <w:bottom w:val="single" w:sz="8" w:space="0" w:color="auto"/>
              <w:right w:val="single" w:sz="8" w:space="0" w:color="auto"/>
            </w:tcBorders>
            <w:shd w:val="clear" w:color="000000" w:fill="BFBFBF"/>
            <w:vAlign w:val="center"/>
            <w:hideMark/>
          </w:tcPr>
          <w:p w14:paraId="6795688B"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0</w:t>
            </w:r>
          </w:p>
        </w:tc>
        <w:tc>
          <w:tcPr>
            <w:tcW w:w="1440" w:type="dxa"/>
            <w:tcBorders>
              <w:top w:val="nil"/>
              <w:left w:val="nil"/>
              <w:bottom w:val="single" w:sz="8" w:space="0" w:color="auto"/>
              <w:right w:val="single" w:sz="8" w:space="0" w:color="auto"/>
            </w:tcBorders>
            <w:shd w:val="clear" w:color="000000" w:fill="BFBFBF"/>
            <w:vAlign w:val="center"/>
            <w:hideMark/>
          </w:tcPr>
          <w:p w14:paraId="69D88EC2"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-8 926 712</w:t>
            </w:r>
          </w:p>
        </w:tc>
        <w:tc>
          <w:tcPr>
            <w:tcW w:w="1360" w:type="dxa"/>
            <w:tcBorders>
              <w:top w:val="nil"/>
              <w:left w:val="nil"/>
              <w:bottom w:val="single" w:sz="8" w:space="0" w:color="auto"/>
              <w:right w:val="single" w:sz="8" w:space="0" w:color="auto"/>
            </w:tcBorders>
            <w:shd w:val="clear" w:color="000000" w:fill="BFBFBF"/>
            <w:vAlign w:val="center"/>
            <w:hideMark/>
          </w:tcPr>
          <w:p w14:paraId="33E9A8C1"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-10 014 367</w:t>
            </w:r>
          </w:p>
        </w:tc>
        <w:tc>
          <w:tcPr>
            <w:tcW w:w="1380" w:type="dxa"/>
            <w:tcBorders>
              <w:top w:val="nil"/>
              <w:left w:val="nil"/>
              <w:bottom w:val="single" w:sz="8" w:space="0" w:color="auto"/>
              <w:right w:val="single" w:sz="8" w:space="0" w:color="auto"/>
            </w:tcBorders>
            <w:shd w:val="clear" w:color="000000" w:fill="BFBFBF"/>
            <w:vAlign w:val="center"/>
            <w:hideMark/>
          </w:tcPr>
          <w:p w14:paraId="25FBCCC1" w14:textId="77777777" w:rsidR="00E2072B" w:rsidRPr="00E2072B" w:rsidRDefault="00E2072B" w:rsidP="00E2072B">
            <w:pPr>
              <w:spacing w:after="0" w:line="240" w:lineRule="auto"/>
              <w:jc w:val="right"/>
              <w:rPr>
                <w:rFonts w:ascii="Times New Roman" w:eastAsia="Times New Roman" w:hAnsi="Times New Roman" w:cs="Times New Roman"/>
                <w:b/>
                <w:bCs/>
                <w:color w:val="000000"/>
                <w:sz w:val="20"/>
                <w:szCs w:val="20"/>
                <w:lang w:eastAsia="sk-SK"/>
              </w:rPr>
            </w:pPr>
            <w:r w:rsidRPr="00E2072B">
              <w:rPr>
                <w:rFonts w:ascii="Times New Roman" w:eastAsia="Times New Roman" w:hAnsi="Times New Roman" w:cs="Times New Roman"/>
                <w:b/>
                <w:bCs/>
                <w:color w:val="000000"/>
                <w:sz w:val="20"/>
                <w:szCs w:val="20"/>
                <w:lang w:eastAsia="sk-SK"/>
              </w:rPr>
              <w:t>-12 213 475</w:t>
            </w:r>
          </w:p>
        </w:tc>
        <w:tc>
          <w:tcPr>
            <w:tcW w:w="4522" w:type="dxa"/>
            <w:tcBorders>
              <w:top w:val="nil"/>
              <w:left w:val="nil"/>
              <w:bottom w:val="single" w:sz="8" w:space="0" w:color="auto"/>
              <w:right w:val="single" w:sz="8" w:space="0" w:color="auto"/>
            </w:tcBorders>
            <w:shd w:val="clear" w:color="000000" w:fill="BFBFBF"/>
            <w:noWrap/>
            <w:vAlign w:val="center"/>
            <w:hideMark/>
          </w:tcPr>
          <w:p w14:paraId="47EADD62" w14:textId="77777777" w:rsidR="00E2072B" w:rsidRPr="00E2072B" w:rsidRDefault="00E2072B" w:rsidP="00E2072B">
            <w:pPr>
              <w:spacing w:after="0" w:line="240" w:lineRule="auto"/>
              <w:rPr>
                <w:rFonts w:ascii="Times New Roman" w:eastAsia="Times New Roman" w:hAnsi="Times New Roman" w:cs="Times New Roman"/>
                <w:color w:val="000000"/>
                <w:sz w:val="24"/>
                <w:szCs w:val="24"/>
                <w:lang w:eastAsia="sk-SK"/>
              </w:rPr>
            </w:pPr>
            <w:r w:rsidRPr="00E2072B">
              <w:rPr>
                <w:rFonts w:ascii="Times New Roman" w:eastAsia="Times New Roman" w:hAnsi="Times New Roman" w:cs="Times New Roman"/>
                <w:color w:val="000000"/>
                <w:sz w:val="24"/>
                <w:szCs w:val="24"/>
                <w:lang w:eastAsia="sk-SK"/>
              </w:rPr>
              <w:t> </w:t>
            </w:r>
          </w:p>
        </w:tc>
      </w:tr>
    </w:tbl>
    <w:p w14:paraId="3B497E96" w14:textId="77777777" w:rsidR="008A11CD" w:rsidRDefault="008A11CD" w:rsidP="00A85C16">
      <w:pPr>
        <w:tabs>
          <w:tab w:val="num" w:pos="1080"/>
        </w:tabs>
        <w:spacing w:after="0" w:line="240" w:lineRule="auto"/>
        <w:jc w:val="both"/>
        <w:rPr>
          <w:rFonts w:ascii="Times New Roman" w:eastAsia="Times New Roman" w:hAnsi="Times New Roman" w:cs="Times New Roman"/>
          <w:b/>
          <w:bCs/>
          <w:sz w:val="24"/>
          <w:szCs w:val="20"/>
          <w:lang w:eastAsia="sk-SK"/>
        </w:rPr>
      </w:pPr>
    </w:p>
    <w:p w14:paraId="3A8297A5" w14:textId="77777777" w:rsidR="00327B29" w:rsidRDefault="00327B29" w:rsidP="00327B29">
      <w:pPr>
        <w:spacing w:after="0" w:line="240" w:lineRule="auto"/>
        <w:rPr>
          <w:rFonts w:ascii="Times New Roman" w:eastAsia="Times New Roman" w:hAnsi="Times New Roman" w:cs="Times New Roman"/>
          <w:color w:val="000000"/>
          <w:sz w:val="20"/>
          <w:szCs w:val="20"/>
          <w:lang w:eastAsia="sk-SK"/>
        </w:rPr>
      </w:pPr>
    </w:p>
    <w:tbl>
      <w:tblPr>
        <w:tblW w:w="14034" w:type="dxa"/>
        <w:tblInd w:w="-10" w:type="dxa"/>
        <w:tblCellMar>
          <w:left w:w="70" w:type="dxa"/>
          <w:right w:w="70" w:type="dxa"/>
        </w:tblCellMar>
        <w:tblLook w:val="04A0" w:firstRow="1" w:lastRow="0" w:firstColumn="1" w:lastColumn="0" w:noHBand="0" w:noVBand="1"/>
      </w:tblPr>
      <w:tblGrid>
        <w:gridCol w:w="3686"/>
        <w:gridCol w:w="1417"/>
        <w:gridCol w:w="1418"/>
        <w:gridCol w:w="1417"/>
        <w:gridCol w:w="1418"/>
        <w:gridCol w:w="4678"/>
      </w:tblGrid>
      <w:tr w:rsidR="008A11CD" w:rsidRPr="008A11CD" w14:paraId="0AC19C54" w14:textId="77777777" w:rsidTr="008A11CD">
        <w:trPr>
          <w:trHeight w:val="20"/>
        </w:trPr>
        <w:tc>
          <w:tcPr>
            <w:tcW w:w="368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01307E6" w14:textId="77777777" w:rsidR="008A11CD" w:rsidRPr="008A11CD" w:rsidRDefault="008A11CD" w:rsidP="008A11CD">
            <w:pPr>
              <w:spacing w:after="0" w:line="240" w:lineRule="auto"/>
              <w:jc w:val="center"/>
              <w:rPr>
                <w:rFonts w:ascii="Times New Roman" w:eastAsia="Times New Roman" w:hAnsi="Times New Roman" w:cs="Times New Roman"/>
                <w:b/>
                <w:bCs/>
                <w:sz w:val="20"/>
                <w:szCs w:val="20"/>
                <w:lang w:eastAsia="sk-SK"/>
              </w:rPr>
            </w:pPr>
            <w:r w:rsidRPr="008A11CD">
              <w:rPr>
                <w:rFonts w:ascii="Times New Roman" w:eastAsia="Times New Roman" w:hAnsi="Times New Roman" w:cs="Times New Roman"/>
                <w:b/>
                <w:bCs/>
                <w:sz w:val="20"/>
                <w:szCs w:val="20"/>
                <w:lang w:eastAsia="sk-SK"/>
              </w:rPr>
              <w:t>Výdavky (v eurách) – VPS</w:t>
            </w:r>
          </w:p>
        </w:tc>
        <w:tc>
          <w:tcPr>
            <w:tcW w:w="5670" w:type="dxa"/>
            <w:gridSpan w:val="4"/>
            <w:tcBorders>
              <w:top w:val="single" w:sz="8" w:space="0" w:color="auto"/>
              <w:left w:val="nil"/>
              <w:bottom w:val="single" w:sz="8" w:space="0" w:color="auto"/>
              <w:right w:val="single" w:sz="8" w:space="0" w:color="000000"/>
            </w:tcBorders>
            <w:shd w:val="clear" w:color="000000" w:fill="BFBFBF"/>
            <w:vAlign w:val="center"/>
            <w:hideMark/>
          </w:tcPr>
          <w:p w14:paraId="0522EC0F" w14:textId="77777777" w:rsidR="008A11CD" w:rsidRPr="008A11CD" w:rsidRDefault="008A11CD" w:rsidP="008A11CD">
            <w:pPr>
              <w:spacing w:after="0" w:line="240" w:lineRule="auto"/>
              <w:jc w:val="center"/>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Vplyv na rozpočet verejnej správy</w:t>
            </w:r>
          </w:p>
        </w:tc>
        <w:tc>
          <w:tcPr>
            <w:tcW w:w="4678" w:type="dxa"/>
            <w:vMerge w:val="restart"/>
            <w:tcBorders>
              <w:top w:val="single" w:sz="8" w:space="0" w:color="auto"/>
              <w:left w:val="nil"/>
              <w:bottom w:val="single" w:sz="8" w:space="0" w:color="000000"/>
              <w:right w:val="single" w:sz="8" w:space="0" w:color="auto"/>
            </w:tcBorders>
            <w:shd w:val="clear" w:color="000000" w:fill="BFBFBF"/>
            <w:noWrap/>
            <w:vAlign w:val="center"/>
            <w:hideMark/>
          </w:tcPr>
          <w:p w14:paraId="27C6A556" w14:textId="77777777" w:rsidR="008A11CD" w:rsidRPr="008A11CD" w:rsidRDefault="008A11CD" w:rsidP="008A11CD">
            <w:pPr>
              <w:spacing w:after="0" w:line="240" w:lineRule="auto"/>
              <w:jc w:val="center"/>
              <w:rPr>
                <w:rFonts w:ascii="Times New Roman" w:eastAsia="Times New Roman" w:hAnsi="Times New Roman" w:cs="Times New Roman"/>
                <w:b/>
                <w:bCs/>
                <w:color w:val="000000"/>
                <w:sz w:val="24"/>
                <w:szCs w:val="24"/>
                <w:lang w:eastAsia="sk-SK"/>
              </w:rPr>
            </w:pPr>
            <w:r w:rsidRPr="008A11CD">
              <w:rPr>
                <w:rFonts w:ascii="Times New Roman" w:eastAsia="Times New Roman" w:hAnsi="Times New Roman" w:cs="Times New Roman"/>
                <w:b/>
                <w:bCs/>
                <w:color w:val="000000"/>
                <w:sz w:val="24"/>
                <w:szCs w:val="24"/>
                <w:lang w:eastAsia="sk-SK"/>
              </w:rPr>
              <w:t>poznámka</w:t>
            </w:r>
          </w:p>
        </w:tc>
      </w:tr>
      <w:tr w:rsidR="008A11CD" w:rsidRPr="008A11CD" w14:paraId="6DDAE94B" w14:textId="77777777" w:rsidTr="008A11CD">
        <w:trPr>
          <w:trHeight w:val="20"/>
        </w:trPr>
        <w:tc>
          <w:tcPr>
            <w:tcW w:w="3686" w:type="dxa"/>
            <w:vMerge/>
            <w:tcBorders>
              <w:top w:val="single" w:sz="8" w:space="0" w:color="auto"/>
              <w:left w:val="single" w:sz="8" w:space="0" w:color="auto"/>
              <w:bottom w:val="single" w:sz="8" w:space="0" w:color="000000"/>
              <w:right w:val="single" w:sz="8" w:space="0" w:color="auto"/>
            </w:tcBorders>
            <w:vAlign w:val="center"/>
            <w:hideMark/>
          </w:tcPr>
          <w:p w14:paraId="4096EBF4" w14:textId="77777777" w:rsidR="008A11CD" w:rsidRPr="008A11CD" w:rsidRDefault="008A11CD" w:rsidP="008A11CD">
            <w:pPr>
              <w:spacing w:after="0" w:line="240" w:lineRule="auto"/>
              <w:rPr>
                <w:rFonts w:ascii="Times New Roman" w:eastAsia="Times New Roman" w:hAnsi="Times New Roman" w:cs="Times New Roman"/>
                <w:b/>
                <w:bCs/>
                <w:sz w:val="20"/>
                <w:szCs w:val="20"/>
                <w:lang w:eastAsia="sk-SK"/>
              </w:rPr>
            </w:pPr>
          </w:p>
        </w:tc>
        <w:tc>
          <w:tcPr>
            <w:tcW w:w="1417" w:type="dxa"/>
            <w:tcBorders>
              <w:top w:val="nil"/>
              <w:left w:val="nil"/>
              <w:bottom w:val="single" w:sz="8" w:space="0" w:color="auto"/>
              <w:right w:val="single" w:sz="8" w:space="0" w:color="auto"/>
            </w:tcBorders>
            <w:shd w:val="clear" w:color="000000" w:fill="BFBFBF"/>
            <w:vAlign w:val="center"/>
            <w:hideMark/>
          </w:tcPr>
          <w:p w14:paraId="78E6B446"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4"/>
                <w:szCs w:val="24"/>
                <w:lang w:eastAsia="sk-SK"/>
              </w:rPr>
            </w:pPr>
            <w:r w:rsidRPr="008A11CD">
              <w:rPr>
                <w:rFonts w:ascii="Times New Roman" w:eastAsia="Times New Roman" w:hAnsi="Times New Roman" w:cs="Times New Roman"/>
                <w:b/>
                <w:bCs/>
                <w:color w:val="000000"/>
                <w:sz w:val="24"/>
                <w:szCs w:val="24"/>
                <w:lang w:eastAsia="sk-SK"/>
              </w:rPr>
              <w:t>2022</w:t>
            </w:r>
          </w:p>
        </w:tc>
        <w:tc>
          <w:tcPr>
            <w:tcW w:w="1418" w:type="dxa"/>
            <w:tcBorders>
              <w:top w:val="nil"/>
              <w:left w:val="nil"/>
              <w:bottom w:val="single" w:sz="8" w:space="0" w:color="auto"/>
              <w:right w:val="single" w:sz="8" w:space="0" w:color="auto"/>
            </w:tcBorders>
            <w:shd w:val="clear" w:color="000000" w:fill="BFBFBF"/>
            <w:vAlign w:val="center"/>
            <w:hideMark/>
          </w:tcPr>
          <w:p w14:paraId="459EC9F4"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4"/>
                <w:szCs w:val="24"/>
                <w:lang w:eastAsia="sk-SK"/>
              </w:rPr>
            </w:pPr>
            <w:r w:rsidRPr="008A11CD">
              <w:rPr>
                <w:rFonts w:ascii="Times New Roman" w:eastAsia="Times New Roman" w:hAnsi="Times New Roman" w:cs="Times New Roman"/>
                <w:b/>
                <w:bCs/>
                <w:color w:val="000000"/>
                <w:sz w:val="24"/>
                <w:szCs w:val="24"/>
                <w:lang w:eastAsia="sk-SK"/>
              </w:rPr>
              <w:t>2023</w:t>
            </w:r>
          </w:p>
        </w:tc>
        <w:tc>
          <w:tcPr>
            <w:tcW w:w="1417" w:type="dxa"/>
            <w:tcBorders>
              <w:top w:val="nil"/>
              <w:left w:val="nil"/>
              <w:bottom w:val="single" w:sz="8" w:space="0" w:color="auto"/>
              <w:right w:val="single" w:sz="8" w:space="0" w:color="auto"/>
            </w:tcBorders>
            <w:shd w:val="clear" w:color="000000" w:fill="BFBFBF"/>
            <w:vAlign w:val="center"/>
            <w:hideMark/>
          </w:tcPr>
          <w:p w14:paraId="77B67E76"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4"/>
                <w:szCs w:val="24"/>
                <w:lang w:eastAsia="sk-SK"/>
              </w:rPr>
            </w:pPr>
            <w:r w:rsidRPr="008A11CD">
              <w:rPr>
                <w:rFonts w:ascii="Times New Roman" w:eastAsia="Times New Roman" w:hAnsi="Times New Roman" w:cs="Times New Roman"/>
                <w:b/>
                <w:bCs/>
                <w:color w:val="000000"/>
                <w:sz w:val="24"/>
                <w:szCs w:val="24"/>
                <w:lang w:eastAsia="sk-SK"/>
              </w:rPr>
              <w:t>2024</w:t>
            </w:r>
          </w:p>
        </w:tc>
        <w:tc>
          <w:tcPr>
            <w:tcW w:w="1418" w:type="dxa"/>
            <w:tcBorders>
              <w:top w:val="nil"/>
              <w:left w:val="nil"/>
              <w:bottom w:val="single" w:sz="8" w:space="0" w:color="auto"/>
              <w:right w:val="single" w:sz="8" w:space="0" w:color="auto"/>
            </w:tcBorders>
            <w:shd w:val="clear" w:color="000000" w:fill="BFBFBF"/>
            <w:vAlign w:val="center"/>
            <w:hideMark/>
          </w:tcPr>
          <w:p w14:paraId="2F1E797E"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4"/>
                <w:szCs w:val="24"/>
                <w:lang w:eastAsia="sk-SK"/>
              </w:rPr>
            </w:pPr>
            <w:r w:rsidRPr="008A11CD">
              <w:rPr>
                <w:rFonts w:ascii="Times New Roman" w:eastAsia="Times New Roman" w:hAnsi="Times New Roman" w:cs="Times New Roman"/>
                <w:b/>
                <w:bCs/>
                <w:color w:val="000000"/>
                <w:sz w:val="24"/>
                <w:szCs w:val="24"/>
                <w:lang w:eastAsia="sk-SK"/>
              </w:rPr>
              <w:t>2025</w:t>
            </w:r>
          </w:p>
        </w:tc>
        <w:tc>
          <w:tcPr>
            <w:tcW w:w="4678" w:type="dxa"/>
            <w:vMerge/>
            <w:tcBorders>
              <w:top w:val="single" w:sz="8" w:space="0" w:color="auto"/>
              <w:left w:val="nil"/>
              <w:bottom w:val="single" w:sz="8" w:space="0" w:color="000000"/>
              <w:right w:val="single" w:sz="8" w:space="0" w:color="auto"/>
            </w:tcBorders>
            <w:vAlign w:val="center"/>
            <w:hideMark/>
          </w:tcPr>
          <w:p w14:paraId="3F279DBB" w14:textId="77777777" w:rsidR="008A11CD" w:rsidRPr="008A11CD" w:rsidRDefault="008A11CD" w:rsidP="008A11CD">
            <w:pPr>
              <w:spacing w:after="0" w:line="240" w:lineRule="auto"/>
              <w:rPr>
                <w:rFonts w:ascii="Times New Roman" w:eastAsia="Times New Roman" w:hAnsi="Times New Roman" w:cs="Times New Roman"/>
                <w:b/>
                <w:bCs/>
                <w:color w:val="000000"/>
                <w:sz w:val="24"/>
                <w:szCs w:val="24"/>
                <w:lang w:eastAsia="sk-SK"/>
              </w:rPr>
            </w:pPr>
          </w:p>
        </w:tc>
      </w:tr>
      <w:tr w:rsidR="008A11CD" w:rsidRPr="008A11CD" w14:paraId="4E128B44"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0234E4B3" w14:textId="77777777" w:rsidR="008A11CD" w:rsidRPr="008A11CD" w:rsidRDefault="008A11CD" w:rsidP="008A11CD">
            <w:pPr>
              <w:spacing w:after="0" w:line="240" w:lineRule="auto"/>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Bežné výdavky (600)</w:t>
            </w:r>
          </w:p>
        </w:tc>
        <w:tc>
          <w:tcPr>
            <w:tcW w:w="1417" w:type="dxa"/>
            <w:tcBorders>
              <w:top w:val="nil"/>
              <w:left w:val="nil"/>
              <w:bottom w:val="single" w:sz="8" w:space="0" w:color="auto"/>
              <w:right w:val="single" w:sz="8" w:space="0" w:color="auto"/>
            </w:tcBorders>
            <w:shd w:val="clear" w:color="auto" w:fill="auto"/>
            <w:vAlign w:val="center"/>
            <w:hideMark/>
          </w:tcPr>
          <w:p w14:paraId="423663A5"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3B9988C3"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950 000</w:t>
            </w:r>
          </w:p>
        </w:tc>
        <w:tc>
          <w:tcPr>
            <w:tcW w:w="1417" w:type="dxa"/>
            <w:tcBorders>
              <w:top w:val="nil"/>
              <w:left w:val="nil"/>
              <w:bottom w:val="single" w:sz="8" w:space="0" w:color="auto"/>
              <w:right w:val="single" w:sz="8" w:space="0" w:color="auto"/>
            </w:tcBorders>
            <w:shd w:val="clear" w:color="auto" w:fill="auto"/>
            <w:vAlign w:val="center"/>
            <w:hideMark/>
          </w:tcPr>
          <w:p w14:paraId="0C2066D4"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1 100 000</w:t>
            </w:r>
          </w:p>
        </w:tc>
        <w:tc>
          <w:tcPr>
            <w:tcW w:w="1418" w:type="dxa"/>
            <w:tcBorders>
              <w:top w:val="nil"/>
              <w:left w:val="nil"/>
              <w:bottom w:val="single" w:sz="8" w:space="0" w:color="auto"/>
              <w:right w:val="single" w:sz="8" w:space="0" w:color="auto"/>
            </w:tcBorders>
            <w:shd w:val="clear" w:color="auto" w:fill="auto"/>
            <w:vAlign w:val="center"/>
            <w:hideMark/>
          </w:tcPr>
          <w:p w14:paraId="52157927"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1 250 000</w:t>
            </w:r>
          </w:p>
        </w:tc>
        <w:tc>
          <w:tcPr>
            <w:tcW w:w="4678" w:type="dxa"/>
            <w:tcBorders>
              <w:top w:val="nil"/>
              <w:left w:val="nil"/>
              <w:bottom w:val="single" w:sz="8" w:space="0" w:color="auto"/>
              <w:right w:val="single" w:sz="8" w:space="0" w:color="auto"/>
            </w:tcBorders>
            <w:shd w:val="clear" w:color="auto" w:fill="auto"/>
            <w:noWrap/>
            <w:vAlign w:val="center"/>
            <w:hideMark/>
          </w:tcPr>
          <w:p w14:paraId="1CD5B878"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4F91A3A7"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387587F8"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Mzdy, platy, služobné príjmy a ostatné osobné vyrovnania (610) </w:t>
            </w:r>
          </w:p>
        </w:tc>
        <w:tc>
          <w:tcPr>
            <w:tcW w:w="1417" w:type="dxa"/>
            <w:tcBorders>
              <w:top w:val="nil"/>
              <w:left w:val="nil"/>
              <w:bottom w:val="single" w:sz="8" w:space="0" w:color="auto"/>
              <w:right w:val="single" w:sz="8" w:space="0" w:color="auto"/>
            </w:tcBorders>
            <w:shd w:val="clear" w:color="auto" w:fill="auto"/>
            <w:vAlign w:val="center"/>
            <w:hideMark/>
          </w:tcPr>
          <w:p w14:paraId="0FEE0DE3"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3A977A4F"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603BEF0E"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764EDB6D"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4A44E1A7"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6E829AC3"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21400B4C"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Poistné a príspevok do poisťovní (620) </w:t>
            </w:r>
          </w:p>
        </w:tc>
        <w:tc>
          <w:tcPr>
            <w:tcW w:w="1417" w:type="dxa"/>
            <w:tcBorders>
              <w:top w:val="nil"/>
              <w:left w:val="nil"/>
              <w:bottom w:val="single" w:sz="8" w:space="0" w:color="auto"/>
              <w:right w:val="single" w:sz="8" w:space="0" w:color="auto"/>
            </w:tcBorders>
            <w:shd w:val="clear" w:color="auto" w:fill="auto"/>
            <w:vAlign w:val="center"/>
            <w:hideMark/>
          </w:tcPr>
          <w:p w14:paraId="30FE1CFB"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1FAA8FC5"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6D5A3016"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37F3ACAF"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1A34969C"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5F30D596"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23781E9B"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Tovary a služby (630)</w:t>
            </w:r>
          </w:p>
        </w:tc>
        <w:tc>
          <w:tcPr>
            <w:tcW w:w="1417" w:type="dxa"/>
            <w:tcBorders>
              <w:top w:val="nil"/>
              <w:left w:val="nil"/>
              <w:bottom w:val="single" w:sz="8" w:space="0" w:color="auto"/>
              <w:right w:val="single" w:sz="8" w:space="0" w:color="auto"/>
            </w:tcBorders>
            <w:shd w:val="clear" w:color="auto" w:fill="auto"/>
            <w:vAlign w:val="center"/>
            <w:hideMark/>
          </w:tcPr>
          <w:p w14:paraId="523AEC36"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3984AD88"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3202130C"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14A188A1"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14035717"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0475D486"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6F7EB93A"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Tovary a služby (630)</w:t>
            </w:r>
            <w:r w:rsidRPr="008A11CD">
              <w:rPr>
                <w:rFonts w:ascii="Times New Roman" w:eastAsia="Times New Roman" w:hAnsi="Times New Roman" w:cs="Times New Roman"/>
                <w:color w:val="000000"/>
                <w:sz w:val="20"/>
                <w:szCs w:val="20"/>
                <w:vertAlign w:val="superscript"/>
                <w:lang w:eastAsia="sk-SK"/>
              </w:rPr>
              <w:t xml:space="preserve"> </w:t>
            </w:r>
          </w:p>
        </w:tc>
        <w:tc>
          <w:tcPr>
            <w:tcW w:w="1417" w:type="dxa"/>
            <w:tcBorders>
              <w:top w:val="nil"/>
              <w:left w:val="nil"/>
              <w:bottom w:val="single" w:sz="8" w:space="0" w:color="auto"/>
              <w:right w:val="single" w:sz="8" w:space="0" w:color="auto"/>
            </w:tcBorders>
            <w:shd w:val="clear" w:color="auto" w:fill="auto"/>
            <w:vAlign w:val="center"/>
            <w:hideMark/>
          </w:tcPr>
          <w:p w14:paraId="6B94C8D3"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45E93014"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1DE6389F"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2416FEEF"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213EE221" w14:textId="77777777" w:rsidR="008A11CD" w:rsidRPr="008A11CD" w:rsidRDefault="008A11CD" w:rsidP="008A11CD">
            <w:pPr>
              <w:spacing w:after="0" w:line="240" w:lineRule="auto"/>
              <w:rPr>
                <w:rFonts w:ascii="Times New Roman" w:eastAsia="Times New Roman" w:hAnsi="Times New Roman" w:cs="Times New Roman"/>
                <w:color w:val="FF0000"/>
                <w:sz w:val="24"/>
                <w:szCs w:val="24"/>
                <w:lang w:eastAsia="sk-SK"/>
              </w:rPr>
            </w:pPr>
            <w:r w:rsidRPr="008A11CD">
              <w:rPr>
                <w:rFonts w:ascii="Times New Roman" w:eastAsia="Times New Roman" w:hAnsi="Times New Roman" w:cs="Times New Roman"/>
                <w:color w:val="FF0000"/>
                <w:sz w:val="24"/>
                <w:szCs w:val="24"/>
                <w:lang w:eastAsia="sk-SK"/>
              </w:rPr>
              <w:t> </w:t>
            </w:r>
          </w:p>
        </w:tc>
      </w:tr>
      <w:tr w:rsidR="008A11CD" w:rsidRPr="008A11CD" w14:paraId="2DF624A8"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3766C590"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Bežné transfery (640)</w:t>
            </w:r>
          </w:p>
        </w:tc>
        <w:tc>
          <w:tcPr>
            <w:tcW w:w="1417" w:type="dxa"/>
            <w:tcBorders>
              <w:top w:val="nil"/>
              <w:left w:val="nil"/>
              <w:bottom w:val="single" w:sz="8" w:space="0" w:color="auto"/>
              <w:right w:val="single" w:sz="8" w:space="0" w:color="auto"/>
            </w:tcBorders>
            <w:shd w:val="clear" w:color="auto" w:fill="auto"/>
            <w:vAlign w:val="center"/>
            <w:hideMark/>
          </w:tcPr>
          <w:p w14:paraId="7CB5F795"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6BE7F9E6"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950 000</w:t>
            </w:r>
          </w:p>
        </w:tc>
        <w:tc>
          <w:tcPr>
            <w:tcW w:w="1417" w:type="dxa"/>
            <w:tcBorders>
              <w:top w:val="nil"/>
              <w:left w:val="nil"/>
              <w:bottom w:val="single" w:sz="8" w:space="0" w:color="auto"/>
              <w:right w:val="single" w:sz="8" w:space="0" w:color="auto"/>
            </w:tcBorders>
            <w:shd w:val="clear" w:color="auto" w:fill="auto"/>
            <w:vAlign w:val="center"/>
            <w:hideMark/>
          </w:tcPr>
          <w:p w14:paraId="3D6AE69D"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1 100 000</w:t>
            </w:r>
          </w:p>
        </w:tc>
        <w:tc>
          <w:tcPr>
            <w:tcW w:w="1418" w:type="dxa"/>
            <w:tcBorders>
              <w:top w:val="nil"/>
              <w:left w:val="nil"/>
              <w:bottom w:val="single" w:sz="8" w:space="0" w:color="auto"/>
              <w:right w:val="single" w:sz="8" w:space="0" w:color="auto"/>
            </w:tcBorders>
            <w:shd w:val="clear" w:color="auto" w:fill="auto"/>
            <w:vAlign w:val="center"/>
            <w:hideMark/>
          </w:tcPr>
          <w:p w14:paraId="491DEAD4"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1 250 000</w:t>
            </w:r>
          </w:p>
        </w:tc>
        <w:tc>
          <w:tcPr>
            <w:tcW w:w="4678" w:type="dxa"/>
            <w:tcBorders>
              <w:top w:val="nil"/>
              <w:left w:val="nil"/>
              <w:bottom w:val="single" w:sz="8" w:space="0" w:color="auto"/>
              <w:right w:val="single" w:sz="8" w:space="0" w:color="auto"/>
            </w:tcBorders>
            <w:shd w:val="clear" w:color="auto" w:fill="auto"/>
            <w:vAlign w:val="center"/>
            <w:hideMark/>
          </w:tcPr>
          <w:p w14:paraId="1BC6A008"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Zvýšenie výdavkov v súvislosti s rozšírením možností poskytovania kompenzačnej pomoci</w:t>
            </w:r>
          </w:p>
        </w:tc>
      </w:tr>
      <w:tr w:rsidR="008A11CD" w:rsidRPr="008A11CD" w14:paraId="64FBBD8C"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56E8FB06"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Splácanie úrokov a ostatné platby súvisiace s </w:t>
            </w:r>
            <w:r w:rsidRPr="008A11CD">
              <w:rPr>
                <w:rFonts w:ascii="Calibri" w:eastAsia="Times New Roman" w:hAnsi="Calibri" w:cs="Times New Roman"/>
                <w:color w:val="000000"/>
                <w:lang w:eastAsia="sk-SK"/>
              </w:rPr>
              <w:t xml:space="preserve"> </w:t>
            </w:r>
            <w:r w:rsidRPr="008A11CD">
              <w:rPr>
                <w:rFonts w:ascii="Times New Roman" w:eastAsia="Times New Roman" w:hAnsi="Times New Roman" w:cs="Times New Roman"/>
                <w:color w:val="000000"/>
                <w:sz w:val="20"/>
                <w:szCs w:val="20"/>
                <w:lang w:eastAsia="sk-SK"/>
              </w:rPr>
              <w:t>úverom, pôžičkou, návratnou finančnou výpomocou a finančným prenájmom (650)</w:t>
            </w:r>
            <w:r w:rsidRPr="008A11CD">
              <w:rPr>
                <w:rFonts w:ascii="Times New Roman" w:eastAsia="Times New Roman" w:hAnsi="Times New Roman" w:cs="Times New Roman"/>
                <w:color w:val="000000"/>
                <w:sz w:val="20"/>
                <w:szCs w:val="20"/>
                <w:vertAlign w:val="superscript"/>
                <w:lang w:eastAsia="sk-SK"/>
              </w:rPr>
              <w:t>2</w:t>
            </w:r>
          </w:p>
        </w:tc>
        <w:tc>
          <w:tcPr>
            <w:tcW w:w="1417" w:type="dxa"/>
            <w:tcBorders>
              <w:top w:val="nil"/>
              <w:left w:val="nil"/>
              <w:bottom w:val="single" w:sz="8" w:space="0" w:color="auto"/>
              <w:right w:val="single" w:sz="8" w:space="0" w:color="auto"/>
            </w:tcBorders>
            <w:shd w:val="clear" w:color="auto" w:fill="auto"/>
            <w:vAlign w:val="center"/>
            <w:hideMark/>
          </w:tcPr>
          <w:p w14:paraId="42F305A6"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002C7D70"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45D4D3C8"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10CD6BF0"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33B2949B"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6C8FD6F8"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28A38964" w14:textId="77777777" w:rsidR="008A11CD" w:rsidRPr="008A11CD" w:rsidRDefault="008A11CD" w:rsidP="008A11CD">
            <w:pPr>
              <w:spacing w:after="0" w:line="240" w:lineRule="auto"/>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Kapitálové výdavky (700)</w:t>
            </w:r>
          </w:p>
        </w:tc>
        <w:tc>
          <w:tcPr>
            <w:tcW w:w="1417" w:type="dxa"/>
            <w:tcBorders>
              <w:top w:val="nil"/>
              <w:left w:val="nil"/>
              <w:bottom w:val="single" w:sz="8" w:space="0" w:color="auto"/>
              <w:right w:val="single" w:sz="8" w:space="0" w:color="auto"/>
            </w:tcBorders>
            <w:shd w:val="clear" w:color="auto" w:fill="auto"/>
            <w:vAlign w:val="center"/>
            <w:hideMark/>
          </w:tcPr>
          <w:p w14:paraId="24DA7987"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6C74EC5C"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5C9C67BA"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77443065"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0E018D21"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324A5BD2"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6536D9D5"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Obstarávanie kapitálových aktív (710)</w:t>
            </w:r>
          </w:p>
        </w:tc>
        <w:tc>
          <w:tcPr>
            <w:tcW w:w="1417" w:type="dxa"/>
            <w:tcBorders>
              <w:top w:val="nil"/>
              <w:left w:val="nil"/>
              <w:bottom w:val="single" w:sz="8" w:space="0" w:color="auto"/>
              <w:right w:val="single" w:sz="8" w:space="0" w:color="auto"/>
            </w:tcBorders>
            <w:shd w:val="clear" w:color="auto" w:fill="auto"/>
            <w:vAlign w:val="center"/>
            <w:hideMark/>
          </w:tcPr>
          <w:p w14:paraId="044FB665"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0114F765"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1C6381BC"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3074CAF0"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0B9A1CAA"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6E25CF87"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69B15001" w14:textId="77777777" w:rsidR="008A11CD" w:rsidRPr="008A11CD" w:rsidRDefault="008A11CD" w:rsidP="008A11CD">
            <w:pPr>
              <w:spacing w:after="0" w:line="240" w:lineRule="auto"/>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 xml:space="preserve">  Kapitálové transfery (720)</w:t>
            </w:r>
          </w:p>
        </w:tc>
        <w:tc>
          <w:tcPr>
            <w:tcW w:w="1417" w:type="dxa"/>
            <w:tcBorders>
              <w:top w:val="nil"/>
              <w:left w:val="nil"/>
              <w:bottom w:val="single" w:sz="8" w:space="0" w:color="auto"/>
              <w:right w:val="single" w:sz="8" w:space="0" w:color="auto"/>
            </w:tcBorders>
            <w:shd w:val="clear" w:color="auto" w:fill="auto"/>
            <w:vAlign w:val="center"/>
            <w:hideMark/>
          </w:tcPr>
          <w:p w14:paraId="52572E36"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7594A8BA"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auto" w:fill="auto"/>
            <w:vAlign w:val="center"/>
            <w:hideMark/>
          </w:tcPr>
          <w:p w14:paraId="6319E2FA"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auto" w:fill="auto"/>
            <w:vAlign w:val="center"/>
            <w:hideMark/>
          </w:tcPr>
          <w:p w14:paraId="732570F3"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7E6B1C33"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7174361C" w14:textId="77777777" w:rsidTr="008A11CD">
        <w:trPr>
          <w:trHeight w:val="2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3B9769C0" w14:textId="77777777" w:rsidR="008A11CD" w:rsidRPr="008A11CD" w:rsidRDefault="008A11CD" w:rsidP="008A11CD">
            <w:pPr>
              <w:spacing w:after="0" w:line="240" w:lineRule="auto"/>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Výdavky z transakcií s finančnými aktívami a finančnými pasívami (800)</w:t>
            </w:r>
          </w:p>
        </w:tc>
        <w:tc>
          <w:tcPr>
            <w:tcW w:w="1417" w:type="dxa"/>
            <w:tcBorders>
              <w:top w:val="nil"/>
              <w:left w:val="nil"/>
              <w:bottom w:val="single" w:sz="8" w:space="0" w:color="auto"/>
              <w:right w:val="single" w:sz="8" w:space="0" w:color="auto"/>
            </w:tcBorders>
            <w:shd w:val="clear" w:color="000000" w:fill="FFFF99"/>
            <w:vAlign w:val="center"/>
            <w:hideMark/>
          </w:tcPr>
          <w:p w14:paraId="3AC0C065"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FFFF99"/>
            <w:vAlign w:val="center"/>
            <w:hideMark/>
          </w:tcPr>
          <w:p w14:paraId="0FA1ADC6"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7" w:type="dxa"/>
            <w:tcBorders>
              <w:top w:val="nil"/>
              <w:left w:val="nil"/>
              <w:bottom w:val="single" w:sz="8" w:space="0" w:color="auto"/>
              <w:right w:val="single" w:sz="8" w:space="0" w:color="auto"/>
            </w:tcBorders>
            <w:shd w:val="clear" w:color="000000" w:fill="FFFF99"/>
            <w:vAlign w:val="center"/>
            <w:hideMark/>
          </w:tcPr>
          <w:p w14:paraId="4894388E"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FFFF99"/>
            <w:vAlign w:val="center"/>
            <w:hideMark/>
          </w:tcPr>
          <w:p w14:paraId="794A7F31" w14:textId="77777777" w:rsidR="008A11CD" w:rsidRPr="008A11CD" w:rsidRDefault="008A11CD" w:rsidP="008A11CD">
            <w:pPr>
              <w:spacing w:after="0" w:line="240" w:lineRule="auto"/>
              <w:jc w:val="right"/>
              <w:rPr>
                <w:rFonts w:ascii="Times New Roman" w:eastAsia="Times New Roman" w:hAnsi="Times New Roman" w:cs="Times New Roman"/>
                <w:color w:val="000000"/>
                <w:sz w:val="20"/>
                <w:szCs w:val="20"/>
                <w:lang w:eastAsia="sk-SK"/>
              </w:rPr>
            </w:pPr>
            <w:r w:rsidRPr="008A11CD">
              <w:rPr>
                <w:rFonts w:ascii="Times New Roman" w:eastAsia="Times New Roman" w:hAnsi="Times New Roman" w:cs="Times New Roman"/>
                <w:color w:val="000000"/>
                <w:sz w:val="20"/>
                <w:szCs w:val="20"/>
                <w:lang w:eastAsia="sk-SK"/>
              </w:rPr>
              <w:t>0</w:t>
            </w:r>
          </w:p>
        </w:tc>
        <w:tc>
          <w:tcPr>
            <w:tcW w:w="4678" w:type="dxa"/>
            <w:tcBorders>
              <w:top w:val="nil"/>
              <w:left w:val="nil"/>
              <w:bottom w:val="single" w:sz="8" w:space="0" w:color="auto"/>
              <w:right w:val="single" w:sz="8" w:space="0" w:color="auto"/>
            </w:tcBorders>
            <w:shd w:val="clear" w:color="auto" w:fill="auto"/>
            <w:noWrap/>
            <w:vAlign w:val="center"/>
            <w:hideMark/>
          </w:tcPr>
          <w:p w14:paraId="39FE7250"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r w:rsidR="008A11CD" w:rsidRPr="008A11CD" w14:paraId="52FC0A3D" w14:textId="77777777" w:rsidTr="008A11CD">
        <w:trPr>
          <w:trHeight w:val="20"/>
        </w:trPr>
        <w:tc>
          <w:tcPr>
            <w:tcW w:w="3686" w:type="dxa"/>
            <w:tcBorders>
              <w:top w:val="nil"/>
              <w:left w:val="single" w:sz="8" w:space="0" w:color="auto"/>
              <w:bottom w:val="single" w:sz="8" w:space="0" w:color="auto"/>
              <w:right w:val="single" w:sz="8" w:space="0" w:color="auto"/>
            </w:tcBorders>
            <w:shd w:val="clear" w:color="000000" w:fill="BFBFBF"/>
            <w:vAlign w:val="center"/>
            <w:hideMark/>
          </w:tcPr>
          <w:p w14:paraId="124CC237" w14:textId="77777777" w:rsidR="008A11CD" w:rsidRPr="008A11CD" w:rsidRDefault="008A11CD" w:rsidP="008A11CD">
            <w:pPr>
              <w:spacing w:after="0" w:line="240" w:lineRule="auto"/>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Dopad na výdavky verejnej správy celkom</w:t>
            </w:r>
          </w:p>
        </w:tc>
        <w:tc>
          <w:tcPr>
            <w:tcW w:w="1417" w:type="dxa"/>
            <w:tcBorders>
              <w:top w:val="nil"/>
              <w:left w:val="nil"/>
              <w:bottom w:val="single" w:sz="8" w:space="0" w:color="auto"/>
              <w:right w:val="single" w:sz="8" w:space="0" w:color="auto"/>
            </w:tcBorders>
            <w:shd w:val="clear" w:color="000000" w:fill="BFBFBF"/>
            <w:vAlign w:val="center"/>
            <w:hideMark/>
          </w:tcPr>
          <w:p w14:paraId="25C37D24"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0</w:t>
            </w:r>
          </w:p>
        </w:tc>
        <w:tc>
          <w:tcPr>
            <w:tcW w:w="1418" w:type="dxa"/>
            <w:tcBorders>
              <w:top w:val="nil"/>
              <w:left w:val="nil"/>
              <w:bottom w:val="single" w:sz="8" w:space="0" w:color="auto"/>
              <w:right w:val="single" w:sz="8" w:space="0" w:color="auto"/>
            </w:tcBorders>
            <w:shd w:val="clear" w:color="000000" w:fill="BFBFBF"/>
            <w:vAlign w:val="center"/>
            <w:hideMark/>
          </w:tcPr>
          <w:p w14:paraId="57A49AA7"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950 000</w:t>
            </w:r>
          </w:p>
        </w:tc>
        <w:tc>
          <w:tcPr>
            <w:tcW w:w="1417" w:type="dxa"/>
            <w:tcBorders>
              <w:top w:val="nil"/>
              <w:left w:val="nil"/>
              <w:bottom w:val="single" w:sz="8" w:space="0" w:color="auto"/>
              <w:right w:val="single" w:sz="8" w:space="0" w:color="auto"/>
            </w:tcBorders>
            <w:shd w:val="clear" w:color="000000" w:fill="BFBFBF"/>
            <w:vAlign w:val="center"/>
            <w:hideMark/>
          </w:tcPr>
          <w:p w14:paraId="60CDEAEF"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1 100 000</w:t>
            </w:r>
          </w:p>
        </w:tc>
        <w:tc>
          <w:tcPr>
            <w:tcW w:w="1418" w:type="dxa"/>
            <w:tcBorders>
              <w:top w:val="nil"/>
              <w:left w:val="nil"/>
              <w:bottom w:val="single" w:sz="8" w:space="0" w:color="auto"/>
              <w:right w:val="single" w:sz="8" w:space="0" w:color="auto"/>
            </w:tcBorders>
            <w:shd w:val="clear" w:color="000000" w:fill="BFBFBF"/>
            <w:vAlign w:val="center"/>
            <w:hideMark/>
          </w:tcPr>
          <w:p w14:paraId="56BAACBD" w14:textId="77777777" w:rsidR="008A11CD" w:rsidRPr="008A11CD" w:rsidRDefault="008A11CD" w:rsidP="008A11CD">
            <w:pPr>
              <w:spacing w:after="0" w:line="240" w:lineRule="auto"/>
              <w:jc w:val="right"/>
              <w:rPr>
                <w:rFonts w:ascii="Times New Roman" w:eastAsia="Times New Roman" w:hAnsi="Times New Roman" w:cs="Times New Roman"/>
                <w:b/>
                <w:bCs/>
                <w:color w:val="000000"/>
                <w:sz w:val="20"/>
                <w:szCs w:val="20"/>
                <w:lang w:eastAsia="sk-SK"/>
              </w:rPr>
            </w:pPr>
            <w:r w:rsidRPr="008A11CD">
              <w:rPr>
                <w:rFonts w:ascii="Times New Roman" w:eastAsia="Times New Roman" w:hAnsi="Times New Roman" w:cs="Times New Roman"/>
                <w:b/>
                <w:bCs/>
                <w:color w:val="000000"/>
                <w:sz w:val="20"/>
                <w:szCs w:val="20"/>
                <w:lang w:eastAsia="sk-SK"/>
              </w:rPr>
              <w:t>1 250 000</w:t>
            </w:r>
          </w:p>
        </w:tc>
        <w:tc>
          <w:tcPr>
            <w:tcW w:w="4678" w:type="dxa"/>
            <w:tcBorders>
              <w:top w:val="nil"/>
              <w:left w:val="nil"/>
              <w:bottom w:val="single" w:sz="8" w:space="0" w:color="auto"/>
              <w:right w:val="single" w:sz="8" w:space="0" w:color="auto"/>
            </w:tcBorders>
            <w:shd w:val="clear" w:color="000000" w:fill="BFBFBF"/>
            <w:noWrap/>
            <w:vAlign w:val="center"/>
            <w:hideMark/>
          </w:tcPr>
          <w:p w14:paraId="5281A74D" w14:textId="77777777" w:rsidR="008A11CD" w:rsidRPr="008A11CD" w:rsidRDefault="008A11CD" w:rsidP="008A11CD">
            <w:pPr>
              <w:spacing w:after="0" w:line="240" w:lineRule="auto"/>
              <w:rPr>
                <w:rFonts w:ascii="Times New Roman" w:eastAsia="Times New Roman" w:hAnsi="Times New Roman" w:cs="Times New Roman"/>
                <w:color w:val="000000"/>
                <w:sz w:val="24"/>
                <w:szCs w:val="24"/>
                <w:lang w:eastAsia="sk-SK"/>
              </w:rPr>
            </w:pPr>
            <w:r w:rsidRPr="008A11CD">
              <w:rPr>
                <w:rFonts w:ascii="Times New Roman" w:eastAsia="Times New Roman" w:hAnsi="Times New Roman" w:cs="Times New Roman"/>
                <w:color w:val="000000"/>
                <w:sz w:val="24"/>
                <w:szCs w:val="24"/>
                <w:lang w:eastAsia="sk-SK"/>
              </w:rPr>
              <w:t> </w:t>
            </w:r>
          </w:p>
        </w:tc>
      </w:tr>
    </w:tbl>
    <w:p w14:paraId="36E432AB" w14:textId="77777777" w:rsidR="00A85C16" w:rsidRDefault="00A85C16"/>
    <w:p w14:paraId="02DAF35E"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tbl>
      <w:tblPr>
        <w:tblW w:w="14024" w:type="dxa"/>
        <w:tblCellMar>
          <w:left w:w="70" w:type="dxa"/>
          <w:right w:w="70" w:type="dxa"/>
        </w:tblCellMar>
        <w:tblLook w:val="04A0" w:firstRow="1" w:lastRow="0" w:firstColumn="1" w:lastColumn="0" w:noHBand="0" w:noVBand="1"/>
      </w:tblPr>
      <w:tblGrid>
        <w:gridCol w:w="3820"/>
        <w:gridCol w:w="1360"/>
        <w:gridCol w:w="1440"/>
        <w:gridCol w:w="1360"/>
        <w:gridCol w:w="1380"/>
        <w:gridCol w:w="4664"/>
      </w:tblGrid>
      <w:tr w:rsidR="0057156E" w:rsidRPr="0057156E" w14:paraId="09446C4E" w14:textId="77777777" w:rsidTr="0057156E">
        <w:trPr>
          <w:trHeight w:val="330"/>
        </w:trPr>
        <w:tc>
          <w:tcPr>
            <w:tcW w:w="38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3564E4D" w14:textId="77777777" w:rsidR="0057156E" w:rsidRPr="0057156E" w:rsidRDefault="0057156E" w:rsidP="0057156E">
            <w:pPr>
              <w:spacing w:after="0" w:line="240" w:lineRule="auto"/>
              <w:jc w:val="center"/>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Zamestnanosť – MPSVR SR </w:t>
            </w:r>
          </w:p>
        </w:tc>
        <w:tc>
          <w:tcPr>
            <w:tcW w:w="5540" w:type="dxa"/>
            <w:gridSpan w:val="4"/>
            <w:tcBorders>
              <w:top w:val="single" w:sz="8" w:space="0" w:color="auto"/>
              <w:left w:val="nil"/>
              <w:bottom w:val="single" w:sz="8" w:space="0" w:color="auto"/>
              <w:right w:val="single" w:sz="8" w:space="0" w:color="000000"/>
            </w:tcBorders>
            <w:shd w:val="clear" w:color="000000" w:fill="BFBFBF"/>
            <w:vAlign w:val="center"/>
            <w:hideMark/>
          </w:tcPr>
          <w:p w14:paraId="1106A73C" w14:textId="77777777" w:rsidR="0057156E" w:rsidRPr="0057156E" w:rsidRDefault="0057156E" w:rsidP="0057156E">
            <w:pPr>
              <w:spacing w:after="0" w:line="240" w:lineRule="auto"/>
              <w:jc w:val="center"/>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Vplyv na rozpočet verejnej správy</w:t>
            </w:r>
          </w:p>
        </w:tc>
        <w:tc>
          <w:tcPr>
            <w:tcW w:w="466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474A524F" w14:textId="77777777" w:rsidR="0057156E" w:rsidRPr="0057156E" w:rsidRDefault="0057156E" w:rsidP="0057156E">
            <w:pPr>
              <w:spacing w:after="0" w:line="240" w:lineRule="auto"/>
              <w:jc w:val="center"/>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poznámka</w:t>
            </w:r>
          </w:p>
        </w:tc>
      </w:tr>
      <w:tr w:rsidR="0057156E" w:rsidRPr="0057156E" w14:paraId="6E5519BD" w14:textId="77777777" w:rsidTr="0057156E">
        <w:trPr>
          <w:trHeight w:val="780"/>
        </w:trPr>
        <w:tc>
          <w:tcPr>
            <w:tcW w:w="3820" w:type="dxa"/>
            <w:vMerge/>
            <w:tcBorders>
              <w:top w:val="single" w:sz="8" w:space="0" w:color="auto"/>
              <w:left w:val="single" w:sz="8" w:space="0" w:color="auto"/>
              <w:bottom w:val="single" w:sz="8" w:space="0" w:color="000000"/>
              <w:right w:val="single" w:sz="8" w:space="0" w:color="auto"/>
            </w:tcBorders>
            <w:vAlign w:val="center"/>
            <w:hideMark/>
          </w:tcPr>
          <w:p w14:paraId="20FBAA61"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p>
        </w:tc>
        <w:tc>
          <w:tcPr>
            <w:tcW w:w="1360" w:type="dxa"/>
            <w:tcBorders>
              <w:top w:val="nil"/>
              <w:left w:val="nil"/>
              <w:bottom w:val="single" w:sz="8" w:space="0" w:color="auto"/>
              <w:right w:val="single" w:sz="8" w:space="0" w:color="auto"/>
            </w:tcBorders>
            <w:shd w:val="clear" w:color="000000" w:fill="BFBFBF"/>
            <w:vAlign w:val="center"/>
            <w:hideMark/>
          </w:tcPr>
          <w:p w14:paraId="71C40DFF"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2022</w:t>
            </w:r>
          </w:p>
        </w:tc>
        <w:tc>
          <w:tcPr>
            <w:tcW w:w="1440" w:type="dxa"/>
            <w:tcBorders>
              <w:top w:val="nil"/>
              <w:left w:val="nil"/>
              <w:bottom w:val="single" w:sz="8" w:space="0" w:color="auto"/>
              <w:right w:val="single" w:sz="8" w:space="0" w:color="auto"/>
            </w:tcBorders>
            <w:shd w:val="clear" w:color="000000" w:fill="BFBFBF"/>
            <w:vAlign w:val="center"/>
            <w:hideMark/>
          </w:tcPr>
          <w:p w14:paraId="0959E9C6"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2023</w:t>
            </w:r>
          </w:p>
        </w:tc>
        <w:tc>
          <w:tcPr>
            <w:tcW w:w="1360" w:type="dxa"/>
            <w:tcBorders>
              <w:top w:val="nil"/>
              <w:left w:val="nil"/>
              <w:bottom w:val="single" w:sz="8" w:space="0" w:color="auto"/>
              <w:right w:val="single" w:sz="8" w:space="0" w:color="auto"/>
            </w:tcBorders>
            <w:shd w:val="clear" w:color="000000" w:fill="BFBFBF"/>
            <w:vAlign w:val="center"/>
            <w:hideMark/>
          </w:tcPr>
          <w:p w14:paraId="596A076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2024</w:t>
            </w:r>
          </w:p>
        </w:tc>
        <w:tc>
          <w:tcPr>
            <w:tcW w:w="1380" w:type="dxa"/>
            <w:tcBorders>
              <w:top w:val="nil"/>
              <w:left w:val="nil"/>
              <w:bottom w:val="single" w:sz="8" w:space="0" w:color="auto"/>
              <w:right w:val="single" w:sz="8" w:space="0" w:color="auto"/>
            </w:tcBorders>
            <w:shd w:val="clear" w:color="000000" w:fill="BFBFBF"/>
            <w:vAlign w:val="center"/>
            <w:hideMark/>
          </w:tcPr>
          <w:p w14:paraId="53AAD64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2025</w:t>
            </w:r>
          </w:p>
        </w:tc>
        <w:tc>
          <w:tcPr>
            <w:tcW w:w="4664" w:type="dxa"/>
            <w:vMerge/>
            <w:tcBorders>
              <w:top w:val="single" w:sz="8" w:space="0" w:color="auto"/>
              <w:left w:val="single" w:sz="8" w:space="0" w:color="auto"/>
              <w:bottom w:val="single" w:sz="8" w:space="0" w:color="000000"/>
              <w:right w:val="single" w:sz="8" w:space="0" w:color="auto"/>
            </w:tcBorders>
            <w:vAlign w:val="center"/>
            <w:hideMark/>
          </w:tcPr>
          <w:p w14:paraId="5BEB5628"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p>
        </w:tc>
      </w:tr>
      <w:tr w:rsidR="0057156E" w:rsidRPr="0057156E" w14:paraId="77C34667"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1C9665D"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Počet zamestnancov celkom </w:t>
            </w:r>
          </w:p>
        </w:tc>
        <w:tc>
          <w:tcPr>
            <w:tcW w:w="1360" w:type="dxa"/>
            <w:tcBorders>
              <w:top w:val="nil"/>
              <w:left w:val="nil"/>
              <w:bottom w:val="single" w:sz="8" w:space="0" w:color="auto"/>
              <w:right w:val="single" w:sz="8" w:space="0" w:color="auto"/>
            </w:tcBorders>
            <w:shd w:val="clear" w:color="auto" w:fill="auto"/>
            <w:vAlign w:val="center"/>
            <w:hideMark/>
          </w:tcPr>
          <w:p w14:paraId="3668DD9F" w14:textId="77777777" w:rsidR="0057156E" w:rsidRPr="0057156E" w:rsidRDefault="0057156E" w:rsidP="0057156E">
            <w:pPr>
              <w:spacing w:after="0" w:line="240" w:lineRule="auto"/>
              <w:jc w:val="right"/>
              <w:rPr>
                <w:rFonts w:ascii="Times New Roman" w:eastAsia="Times New Roman" w:hAnsi="Times New Roman" w:cs="Times New Roman"/>
                <w:color w:val="000000"/>
                <w:lang w:eastAsia="sk-SK"/>
              </w:rPr>
            </w:pPr>
            <w:r w:rsidRPr="0057156E">
              <w:rPr>
                <w:rFonts w:ascii="Times New Roman" w:eastAsia="Times New Roman" w:hAnsi="Times New Roman" w:cs="Times New Roman"/>
                <w:color w:val="000000"/>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700ADC73"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6BB810C0"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0F678206"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10F3E5CB"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 </w:t>
            </w:r>
          </w:p>
        </w:tc>
      </w:tr>
      <w:tr w:rsidR="0057156E" w:rsidRPr="0057156E" w14:paraId="0F982A91"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1970DD53"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   z toho vplyv na ŠR</w:t>
            </w:r>
          </w:p>
        </w:tc>
        <w:tc>
          <w:tcPr>
            <w:tcW w:w="1360" w:type="dxa"/>
            <w:tcBorders>
              <w:top w:val="nil"/>
              <w:left w:val="nil"/>
              <w:bottom w:val="single" w:sz="8" w:space="0" w:color="auto"/>
              <w:right w:val="single" w:sz="8" w:space="0" w:color="auto"/>
            </w:tcBorders>
            <w:shd w:val="clear" w:color="auto" w:fill="auto"/>
            <w:vAlign w:val="center"/>
            <w:hideMark/>
          </w:tcPr>
          <w:p w14:paraId="19E76F07"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5E9B2A05"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01A7F0CA"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22CD293C"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33B3B0F3"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 </w:t>
            </w:r>
          </w:p>
        </w:tc>
      </w:tr>
      <w:tr w:rsidR="0057156E" w:rsidRPr="0057156E" w14:paraId="577B4AE4" w14:textId="77777777" w:rsidTr="0057156E">
        <w:trPr>
          <w:trHeight w:val="64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BA5B50F"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Priemerný mzdový výdavok (v eurách) </w:t>
            </w:r>
          </w:p>
        </w:tc>
        <w:tc>
          <w:tcPr>
            <w:tcW w:w="1360" w:type="dxa"/>
            <w:tcBorders>
              <w:top w:val="nil"/>
              <w:left w:val="nil"/>
              <w:bottom w:val="single" w:sz="8" w:space="0" w:color="auto"/>
              <w:right w:val="single" w:sz="8" w:space="0" w:color="auto"/>
            </w:tcBorders>
            <w:shd w:val="clear" w:color="auto" w:fill="auto"/>
            <w:vAlign w:val="center"/>
            <w:hideMark/>
          </w:tcPr>
          <w:p w14:paraId="7F1FE15E"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0515BE4D"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2E3239DC"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57E27500"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25AF772A"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 </w:t>
            </w:r>
          </w:p>
        </w:tc>
      </w:tr>
      <w:tr w:rsidR="0057156E" w:rsidRPr="0057156E" w14:paraId="2CE29D38"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2FF4F55B"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   z toho vplyv na ŠR</w:t>
            </w:r>
          </w:p>
        </w:tc>
        <w:tc>
          <w:tcPr>
            <w:tcW w:w="1360" w:type="dxa"/>
            <w:tcBorders>
              <w:top w:val="nil"/>
              <w:left w:val="nil"/>
              <w:bottom w:val="single" w:sz="8" w:space="0" w:color="auto"/>
              <w:right w:val="single" w:sz="8" w:space="0" w:color="auto"/>
            </w:tcBorders>
            <w:shd w:val="clear" w:color="auto" w:fill="auto"/>
            <w:vAlign w:val="center"/>
            <w:hideMark/>
          </w:tcPr>
          <w:p w14:paraId="63756671"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29E7FAB5"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4389BCAF"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161851A1"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3E004EFA"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 </w:t>
            </w:r>
          </w:p>
        </w:tc>
      </w:tr>
      <w:tr w:rsidR="0057156E" w:rsidRPr="0057156E" w14:paraId="5C054DD9" w14:textId="77777777" w:rsidTr="0057156E">
        <w:trPr>
          <w:trHeight w:val="330"/>
        </w:trPr>
        <w:tc>
          <w:tcPr>
            <w:tcW w:w="3820" w:type="dxa"/>
            <w:tcBorders>
              <w:top w:val="nil"/>
              <w:left w:val="single" w:sz="8" w:space="0" w:color="auto"/>
              <w:bottom w:val="single" w:sz="8" w:space="0" w:color="auto"/>
              <w:right w:val="single" w:sz="8" w:space="0" w:color="auto"/>
            </w:tcBorders>
            <w:shd w:val="clear" w:color="000000" w:fill="BFBFBF"/>
            <w:vAlign w:val="center"/>
            <w:hideMark/>
          </w:tcPr>
          <w:p w14:paraId="0CB6435D"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Osobné výdavky celkom (v eurách)</w:t>
            </w:r>
          </w:p>
        </w:tc>
        <w:tc>
          <w:tcPr>
            <w:tcW w:w="1360" w:type="dxa"/>
            <w:tcBorders>
              <w:top w:val="nil"/>
              <w:left w:val="nil"/>
              <w:bottom w:val="single" w:sz="8" w:space="0" w:color="auto"/>
              <w:right w:val="single" w:sz="8" w:space="0" w:color="auto"/>
            </w:tcBorders>
            <w:shd w:val="clear" w:color="000000" w:fill="BFBFBF"/>
            <w:vAlign w:val="center"/>
            <w:hideMark/>
          </w:tcPr>
          <w:p w14:paraId="47430E57"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440" w:type="dxa"/>
            <w:tcBorders>
              <w:top w:val="nil"/>
              <w:left w:val="nil"/>
              <w:bottom w:val="single" w:sz="8" w:space="0" w:color="auto"/>
              <w:right w:val="single" w:sz="8" w:space="0" w:color="auto"/>
            </w:tcBorders>
            <w:shd w:val="clear" w:color="000000" w:fill="BFBFBF"/>
            <w:vAlign w:val="center"/>
            <w:hideMark/>
          </w:tcPr>
          <w:p w14:paraId="728A0B59"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60" w:type="dxa"/>
            <w:tcBorders>
              <w:top w:val="nil"/>
              <w:left w:val="nil"/>
              <w:bottom w:val="single" w:sz="8" w:space="0" w:color="auto"/>
              <w:right w:val="single" w:sz="8" w:space="0" w:color="auto"/>
            </w:tcBorders>
            <w:shd w:val="clear" w:color="000000" w:fill="BFBFBF"/>
            <w:vAlign w:val="center"/>
            <w:hideMark/>
          </w:tcPr>
          <w:p w14:paraId="34E25D2E"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1380" w:type="dxa"/>
            <w:tcBorders>
              <w:top w:val="nil"/>
              <w:left w:val="nil"/>
              <w:bottom w:val="single" w:sz="8" w:space="0" w:color="auto"/>
              <w:right w:val="single" w:sz="8" w:space="0" w:color="auto"/>
            </w:tcBorders>
            <w:shd w:val="clear" w:color="000000" w:fill="BFBFBF"/>
            <w:vAlign w:val="center"/>
            <w:hideMark/>
          </w:tcPr>
          <w:p w14:paraId="6B1D6D53" w14:textId="77777777" w:rsidR="0057156E" w:rsidRPr="0057156E" w:rsidRDefault="0057156E" w:rsidP="0057156E">
            <w:pPr>
              <w:spacing w:after="0" w:line="240" w:lineRule="auto"/>
              <w:jc w:val="right"/>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0</w:t>
            </w:r>
          </w:p>
        </w:tc>
        <w:tc>
          <w:tcPr>
            <w:tcW w:w="4664" w:type="dxa"/>
            <w:tcBorders>
              <w:top w:val="nil"/>
              <w:left w:val="nil"/>
              <w:bottom w:val="single" w:sz="8" w:space="0" w:color="auto"/>
              <w:right w:val="single" w:sz="8" w:space="0" w:color="auto"/>
            </w:tcBorders>
            <w:shd w:val="clear" w:color="000000" w:fill="BFBFBF"/>
            <w:noWrap/>
            <w:vAlign w:val="center"/>
            <w:hideMark/>
          </w:tcPr>
          <w:p w14:paraId="62F7EB28"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w:t>
            </w:r>
          </w:p>
        </w:tc>
      </w:tr>
      <w:tr w:rsidR="0057156E" w:rsidRPr="0057156E" w14:paraId="5F52AE34" w14:textId="77777777" w:rsidTr="0057156E">
        <w:trPr>
          <w:trHeight w:val="64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52886263"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Mzdy, platy, služobné príjmy a ostatné osobné vyrovnania (610)</w:t>
            </w:r>
          </w:p>
        </w:tc>
        <w:tc>
          <w:tcPr>
            <w:tcW w:w="1360" w:type="dxa"/>
            <w:tcBorders>
              <w:top w:val="nil"/>
              <w:left w:val="nil"/>
              <w:bottom w:val="single" w:sz="8" w:space="0" w:color="auto"/>
              <w:right w:val="single" w:sz="8" w:space="0" w:color="auto"/>
            </w:tcBorders>
            <w:shd w:val="clear" w:color="auto" w:fill="auto"/>
            <w:vAlign w:val="center"/>
            <w:hideMark/>
          </w:tcPr>
          <w:p w14:paraId="553340A9"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2A44854A"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21BA1EF5"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7C4263E2"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19FECEDD"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w:t>
            </w:r>
          </w:p>
        </w:tc>
      </w:tr>
      <w:tr w:rsidR="0057156E" w:rsidRPr="0057156E" w14:paraId="75C56309"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01F1EA65"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   z toho vplyv na ŠR</w:t>
            </w:r>
          </w:p>
        </w:tc>
        <w:tc>
          <w:tcPr>
            <w:tcW w:w="1360" w:type="dxa"/>
            <w:tcBorders>
              <w:top w:val="nil"/>
              <w:left w:val="nil"/>
              <w:bottom w:val="single" w:sz="8" w:space="0" w:color="auto"/>
              <w:right w:val="single" w:sz="8" w:space="0" w:color="auto"/>
            </w:tcBorders>
            <w:shd w:val="clear" w:color="auto" w:fill="auto"/>
            <w:vAlign w:val="center"/>
            <w:hideMark/>
          </w:tcPr>
          <w:p w14:paraId="38B9CE94"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4B36CBD9"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10372AA3"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2F6B6AC9"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46EC6401"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 </w:t>
            </w:r>
          </w:p>
        </w:tc>
      </w:tr>
      <w:tr w:rsidR="0057156E" w:rsidRPr="0057156E" w14:paraId="643BE072" w14:textId="77777777" w:rsidTr="0057156E">
        <w:trPr>
          <w:trHeight w:val="645"/>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307546F5"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Poistné a príspevok do poisťovní (620)</w:t>
            </w:r>
          </w:p>
        </w:tc>
        <w:tc>
          <w:tcPr>
            <w:tcW w:w="1360" w:type="dxa"/>
            <w:tcBorders>
              <w:top w:val="nil"/>
              <w:left w:val="nil"/>
              <w:bottom w:val="single" w:sz="8" w:space="0" w:color="auto"/>
              <w:right w:val="single" w:sz="8" w:space="0" w:color="auto"/>
            </w:tcBorders>
            <w:shd w:val="clear" w:color="auto" w:fill="auto"/>
            <w:vAlign w:val="center"/>
            <w:hideMark/>
          </w:tcPr>
          <w:p w14:paraId="1E2FF40E"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30B288C4"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4C358C36"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3D50D89F"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61931FE8"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w:t>
            </w:r>
          </w:p>
        </w:tc>
      </w:tr>
      <w:tr w:rsidR="0057156E" w:rsidRPr="0057156E" w14:paraId="61DABBAE" w14:textId="77777777" w:rsidTr="0057156E">
        <w:trPr>
          <w:trHeight w:val="330"/>
        </w:trPr>
        <w:tc>
          <w:tcPr>
            <w:tcW w:w="3820" w:type="dxa"/>
            <w:tcBorders>
              <w:top w:val="nil"/>
              <w:left w:val="single" w:sz="8" w:space="0" w:color="auto"/>
              <w:bottom w:val="single" w:sz="8" w:space="0" w:color="auto"/>
              <w:right w:val="single" w:sz="8" w:space="0" w:color="auto"/>
            </w:tcBorders>
            <w:shd w:val="clear" w:color="auto" w:fill="auto"/>
            <w:vAlign w:val="center"/>
            <w:hideMark/>
          </w:tcPr>
          <w:p w14:paraId="681E5518" w14:textId="77777777" w:rsidR="0057156E" w:rsidRPr="0057156E" w:rsidRDefault="0057156E" w:rsidP="0057156E">
            <w:pPr>
              <w:spacing w:after="0" w:line="240" w:lineRule="auto"/>
              <w:rPr>
                <w:rFonts w:ascii="Times New Roman" w:eastAsia="Times New Roman" w:hAnsi="Times New Roman" w:cs="Times New Roman"/>
                <w:b/>
                <w:bCs/>
                <w:color w:val="000000"/>
                <w:sz w:val="24"/>
                <w:szCs w:val="24"/>
                <w:lang w:eastAsia="sk-SK"/>
              </w:rPr>
            </w:pPr>
            <w:r w:rsidRPr="0057156E">
              <w:rPr>
                <w:rFonts w:ascii="Times New Roman" w:eastAsia="Times New Roman" w:hAnsi="Times New Roman" w:cs="Times New Roman"/>
                <w:b/>
                <w:bCs/>
                <w:color w:val="000000"/>
                <w:sz w:val="24"/>
                <w:szCs w:val="24"/>
                <w:lang w:eastAsia="sk-SK"/>
              </w:rPr>
              <w:t xml:space="preserve">   z toho vplyv na ŠR</w:t>
            </w:r>
          </w:p>
        </w:tc>
        <w:tc>
          <w:tcPr>
            <w:tcW w:w="1360" w:type="dxa"/>
            <w:tcBorders>
              <w:top w:val="nil"/>
              <w:left w:val="nil"/>
              <w:bottom w:val="single" w:sz="8" w:space="0" w:color="auto"/>
              <w:right w:val="single" w:sz="8" w:space="0" w:color="auto"/>
            </w:tcBorders>
            <w:shd w:val="clear" w:color="auto" w:fill="auto"/>
            <w:vAlign w:val="center"/>
            <w:hideMark/>
          </w:tcPr>
          <w:p w14:paraId="6EB37832"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440" w:type="dxa"/>
            <w:tcBorders>
              <w:top w:val="nil"/>
              <w:left w:val="nil"/>
              <w:bottom w:val="single" w:sz="8" w:space="0" w:color="auto"/>
              <w:right w:val="single" w:sz="8" w:space="0" w:color="auto"/>
            </w:tcBorders>
            <w:shd w:val="clear" w:color="auto" w:fill="auto"/>
            <w:vAlign w:val="center"/>
            <w:hideMark/>
          </w:tcPr>
          <w:p w14:paraId="76170761"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60" w:type="dxa"/>
            <w:tcBorders>
              <w:top w:val="nil"/>
              <w:left w:val="nil"/>
              <w:bottom w:val="single" w:sz="8" w:space="0" w:color="auto"/>
              <w:right w:val="single" w:sz="8" w:space="0" w:color="auto"/>
            </w:tcBorders>
            <w:shd w:val="clear" w:color="auto" w:fill="auto"/>
            <w:vAlign w:val="center"/>
            <w:hideMark/>
          </w:tcPr>
          <w:p w14:paraId="6C82FFC2"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1380" w:type="dxa"/>
            <w:tcBorders>
              <w:top w:val="nil"/>
              <w:left w:val="nil"/>
              <w:bottom w:val="single" w:sz="8" w:space="0" w:color="auto"/>
              <w:right w:val="single" w:sz="8" w:space="0" w:color="auto"/>
            </w:tcBorders>
            <w:shd w:val="clear" w:color="auto" w:fill="auto"/>
            <w:vAlign w:val="center"/>
            <w:hideMark/>
          </w:tcPr>
          <w:p w14:paraId="789AA87D" w14:textId="77777777" w:rsidR="0057156E" w:rsidRPr="0057156E" w:rsidRDefault="0057156E" w:rsidP="0057156E">
            <w:pPr>
              <w:spacing w:after="0" w:line="240" w:lineRule="auto"/>
              <w:jc w:val="right"/>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0</w:t>
            </w:r>
          </w:p>
        </w:tc>
        <w:tc>
          <w:tcPr>
            <w:tcW w:w="4664" w:type="dxa"/>
            <w:tcBorders>
              <w:top w:val="nil"/>
              <w:left w:val="nil"/>
              <w:bottom w:val="single" w:sz="8" w:space="0" w:color="auto"/>
              <w:right w:val="single" w:sz="8" w:space="0" w:color="auto"/>
            </w:tcBorders>
            <w:shd w:val="clear" w:color="auto" w:fill="auto"/>
            <w:noWrap/>
            <w:vAlign w:val="center"/>
            <w:hideMark/>
          </w:tcPr>
          <w:p w14:paraId="603EBCB8" w14:textId="77777777" w:rsidR="0057156E" w:rsidRPr="0057156E" w:rsidRDefault="0057156E" w:rsidP="0057156E">
            <w:pPr>
              <w:spacing w:after="0" w:line="240" w:lineRule="auto"/>
              <w:rPr>
                <w:rFonts w:ascii="Times New Roman" w:eastAsia="Times New Roman" w:hAnsi="Times New Roman" w:cs="Times New Roman"/>
                <w:color w:val="000000"/>
                <w:sz w:val="24"/>
                <w:szCs w:val="24"/>
                <w:lang w:eastAsia="sk-SK"/>
              </w:rPr>
            </w:pPr>
            <w:r w:rsidRPr="0057156E">
              <w:rPr>
                <w:rFonts w:ascii="Times New Roman" w:eastAsia="Times New Roman" w:hAnsi="Times New Roman" w:cs="Times New Roman"/>
                <w:color w:val="000000"/>
                <w:sz w:val="24"/>
                <w:szCs w:val="24"/>
                <w:lang w:eastAsia="sk-SK"/>
              </w:rPr>
              <w:t> </w:t>
            </w:r>
          </w:p>
        </w:tc>
      </w:tr>
    </w:tbl>
    <w:p w14:paraId="7C0C50A9" w14:textId="2FB46DAE" w:rsid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14:paraId="7F7F4ED7"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60DF7095" w14:textId="77777777" w:rsidR="008A11CD" w:rsidRDefault="008A11CD" w:rsidP="007D5748">
      <w:pPr>
        <w:spacing w:after="0" w:line="240" w:lineRule="auto"/>
        <w:rPr>
          <w:rFonts w:ascii="Times New Roman" w:eastAsia="Times New Roman" w:hAnsi="Times New Roman" w:cs="Times New Roman"/>
          <w:b/>
          <w:bCs/>
          <w:sz w:val="24"/>
          <w:szCs w:val="24"/>
          <w:lang w:eastAsia="sk-SK"/>
        </w:rPr>
        <w:sectPr w:rsidR="008A11CD" w:rsidSect="006B3C6F">
          <w:pgSz w:w="16838" w:h="11906" w:orient="landscape"/>
          <w:pgMar w:top="1418" w:right="1418" w:bottom="1418" w:left="1418" w:header="709" w:footer="709" w:gutter="0"/>
          <w:cols w:space="708"/>
          <w:docGrid w:linePitch="360"/>
        </w:sectPr>
      </w:pPr>
    </w:p>
    <w:p w14:paraId="44328DEC" w14:textId="77777777" w:rsidR="00CB3623" w:rsidRDefault="00CB3623" w:rsidP="00A078AC">
      <w:pPr>
        <w:spacing w:after="0" w:line="240" w:lineRule="auto"/>
      </w:pPr>
    </w:p>
    <w:sectPr w:rsidR="00CB36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DD60E" w14:textId="77777777" w:rsidR="0021028D" w:rsidRDefault="0021028D">
      <w:pPr>
        <w:spacing w:after="0" w:line="240" w:lineRule="auto"/>
      </w:pPr>
      <w:r>
        <w:separator/>
      </w:r>
    </w:p>
  </w:endnote>
  <w:endnote w:type="continuationSeparator" w:id="0">
    <w:p w14:paraId="7DCB269D" w14:textId="77777777" w:rsidR="0021028D" w:rsidRDefault="0021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7085" w14:textId="77777777" w:rsidR="0057156E" w:rsidRDefault="0057156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D9A9441" w14:textId="77777777" w:rsidR="0057156E" w:rsidRDefault="0057156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10361"/>
      <w:docPartObj>
        <w:docPartGallery w:val="Page Numbers (Bottom of Page)"/>
        <w:docPartUnique/>
      </w:docPartObj>
    </w:sdtPr>
    <w:sdtEndPr/>
    <w:sdtContent>
      <w:p w14:paraId="32C09315" w14:textId="41343AB5" w:rsidR="004556CF" w:rsidRDefault="004556CF">
        <w:pPr>
          <w:pStyle w:val="Pta"/>
          <w:jc w:val="center"/>
        </w:pPr>
        <w:r>
          <w:fldChar w:fldCharType="begin"/>
        </w:r>
        <w:r>
          <w:instrText>PAGE   \* MERGEFORMAT</w:instrText>
        </w:r>
        <w:r>
          <w:fldChar w:fldCharType="separate"/>
        </w:r>
        <w:r w:rsidR="00350EC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2A788" w14:textId="77777777" w:rsidR="0057156E" w:rsidRDefault="0057156E">
    <w:pPr>
      <w:pStyle w:val="Pta"/>
      <w:jc w:val="right"/>
    </w:pPr>
    <w:r>
      <w:fldChar w:fldCharType="begin"/>
    </w:r>
    <w:r>
      <w:instrText>PAGE   \* MERGEFORMAT</w:instrText>
    </w:r>
    <w:r>
      <w:fldChar w:fldCharType="separate"/>
    </w:r>
    <w:r>
      <w:rPr>
        <w:noProof/>
      </w:rPr>
      <w:t>0</w:t>
    </w:r>
    <w:r>
      <w:fldChar w:fldCharType="end"/>
    </w:r>
  </w:p>
  <w:p w14:paraId="1421E9EB" w14:textId="77777777" w:rsidR="0057156E" w:rsidRDefault="005715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E5FCB" w14:textId="77777777" w:rsidR="0021028D" w:rsidRDefault="0021028D">
      <w:pPr>
        <w:spacing w:after="0" w:line="240" w:lineRule="auto"/>
      </w:pPr>
      <w:r>
        <w:separator/>
      </w:r>
    </w:p>
  </w:footnote>
  <w:footnote w:type="continuationSeparator" w:id="0">
    <w:p w14:paraId="1792BC8F" w14:textId="77777777" w:rsidR="0021028D" w:rsidRDefault="0021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82411" w14:textId="77777777" w:rsidR="0057156E" w:rsidRDefault="0057156E" w:rsidP="002A703C">
    <w:pPr>
      <w:pStyle w:val="Hlavika"/>
      <w:jc w:val="right"/>
      <w:rPr>
        <w:sz w:val="24"/>
        <w:szCs w:val="24"/>
      </w:rPr>
    </w:pPr>
    <w:r>
      <w:rPr>
        <w:sz w:val="24"/>
        <w:szCs w:val="24"/>
      </w:rPr>
      <w:t>Príloha č. 2</w:t>
    </w:r>
  </w:p>
  <w:p w14:paraId="5A8C8BFF" w14:textId="77777777" w:rsidR="0057156E" w:rsidRPr="00EB59C8" w:rsidRDefault="0057156E" w:rsidP="002A703C">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493C7" w14:textId="7B87FA3A" w:rsidR="0057156E" w:rsidRPr="0024067A" w:rsidRDefault="0057156E">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842B0" w14:textId="77777777" w:rsidR="0057156E" w:rsidRPr="000A15AE" w:rsidRDefault="0057156E" w:rsidP="002A703C">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8AE"/>
    <w:multiLevelType w:val="hybridMultilevel"/>
    <w:tmpl w:val="147C1B4A"/>
    <w:lvl w:ilvl="0" w:tplc="A1DA8F2A">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C9E31ED"/>
    <w:multiLevelType w:val="hybridMultilevel"/>
    <w:tmpl w:val="40186C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06389"/>
    <w:multiLevelType w:val="hybridMultilevel"/>
    <w:tmpl w:val="861AFE8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5B86AA9"/>
    <w:multiLevelType w:val="hybridMultilevel"/>
    <w:tmpl w:val="09DE03D8"/>
    <w:lvl w:ilvl="0" w:tplc="CF9ABC4A">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F22479"/>
    <w:multiLevelType w:val="hybridMultilevel"/>
    <w:tmpl w:val="CE506A92"/>
    <w:lvl w:ilvl="0" w:tplc="A1DA8F2A">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B358EF"/>
    <w:multiLevelType w:val="hybridMultilevel"/>
    <w:tmpl w:val="0E9859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23734"/>
    <w:multiLevelType w:val="hybridMultilevel"/>
    <w:tmpl w:val="7A2C82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46E5970"/>
    <w:multiLevelType w:val="hybridMultilevel"/>
    <w:tmpl w:val="A7723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9A42918"/>
    <w:multiLevelType w:val="hybridMultilevel"/>
    <w:tmpl w:val="EEB88B4C"/>
    <w:lvl w:ilvl="0" w:tplc="77E89A98">
      <w:start w:val="1"/>
      <w:numFmt w:val="lowerLetter"/>
      <w:lvlText w:val="%1)"/>
      <w:lvlJc w:val="left"/>
      <w:pPr>
        <w:ind w:left="360" w:hanging="360"/>
      </w:pPr>
      <w:rPr>
        <w:rFonts w:hint="default"/>
        <w:sz w:val="24"/>
        <w:szCs w:val="24"/>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A595EB1"/>
    <w:multiLevelType w:val="hybridMultilevel"/>
    <w:tmpl w:val="CA2A50D2"/>
    <w:lvl w:ilvl="0" w:tplc="4C7467A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6FEC6E55"/>
    <w:multiLevelType w:val="hybridMultilevel"/>
    <w:tmpl w:val="E618D8BC"/>
    <w:lvl w:ilvl="0" w:tplc="A1DA8F2A">
      <w:start w:val="1"/>
      <w:numFmt w:val="bullet"/>
      <w:lvlText w:val="-"/>
      <w:lvlJc w:val="left"/>
      <w:pPr>
        <w:ind w:left="360" w:hanging="360"/>
      </w:pPr>
      <w:rPr>
        <w:rFonts w:ascii="Arial Narrow" w:hAnsi="Arial Narrow" w:hint="default"/>
      </w:rPr>
    </w:lvl>
    <w:lvl w:ilvl="1" w:tplc="A1DA8F2A">
      <w:start w:val="1"/>
      <w:numFmt w:val="bullet"/>
      <w:lvlText w:val="-"/>
      <w:lvlJc w:val="left"/>
      <w:pPr>
        <w:ind w:left="1080" w:hanging="360"/>
      </w:pPr>
      <w:rPr>
        <w:rFonts w:ascii="Arial Narrow" w:hAnsi="Arial Narrow"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786E55B0"/>
    <w:multiLevelType w:val="hybridMultilevel"/>
    <w:tmpl w:val="00CAC02E"/>
    <w:lvl w:ilvl="0" w:tplc="A1DA8F2A">
      <w:start w:val="1"/>
      <w:numFmt w:val="bullet"/>
      <w:lvlText w:val="-"/>
      <w:lvlJc w:val="left"/>
      <w:pPr>
        <w:ind w:left="360" w:hanging="360"/>
      </w:pPr>
      <w:rPr>
        <w:rFonts w:ascii="Arial Narrow" w:hAnsi="Arial Narro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7E293ACC"/>
    <w:multiLevelType w:val="hybridMultilevel"/>
    <w:tmpl w:val="0046C7E2"/>
    <w:lvl w:ilvl="0" w:tplc="D41243A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9"/>
  </w:num>
  <w:num w:numId="5">
    <w:abstractNumId w:val="7"/>
  </w:num>
  <w:num w:numId="6">
    <w:abstractNumId w:val="1"/>
  </w:num>
  <w:num w:numId="7">
    <w:abstractNumId w:val="3"/>
  </w:num>
  <w:num w:numId="8">
    <w:abstractNumId w:val="4"/>
  </w:num>
  <w:num w:numId="9">
    <w:abstractNumId w:val="13"/>
  </w:num>
  <w:num w:numId="10">
    <w:abstractNumId w:val="11"/>
  </w:num>
  <w:num w:numId="11">
    <w:abstractNumId w:val="15"/>
  </w:num>
  <w:num w:numId="12">
    <w:abstractNumId w:val="6"/>
  </w:num>
  <w:num w:numId="13">
    <w:abstractNumId w:val="12"/>
  </w:num>
  <w:num w:numId="14">
    <w:abstractNumId w:val="0"/>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5063"/>
    <w:rsid w:val="00010307"/>
    <w:rsid w:val="00021446"/>
    <w:rsid w:val="00022419"/>
    <w:rsid w:val="000306FD"/>
    <w:rsid w:val="00035EB6"/>
    <w:rsid w:val="00037624"/>
    <w:rsid w:val="0003782D"/>
    <w:rsid w:val="00047A97"/>
    <w:rsid w:val="00055B2B"/>
    <w:rsid w:val="00057135"/>
    <w:rsid w:val="00063EEB"/>
    <w:rsid w:val="000651DA"/>
    <w:rsid w:val="00066690"/>
    <w:rsid w:val="00075752"/>
    <w:rsid w:val="00084CF3"/>
    <w:rsid w:val="000850DF"/>
    <w:rsid w:val="00085E44"/>
    <w:rsid w:val="000A5FB3"/>
    <w:rsid w:val="000B16E7"/>
    <w:rsid w:val="000C6AC5"/>
    <w:rsid w:val="000D6C78"/>
    <w:rsid w:val="000E18ED"/>
    <w:rsid w:val="000E6C00"/>
    <w:rsid w:val="000F29E2"/>
    <w:rsid w:val="000F6EE0"/>
    <w:rsid w:val="0011218C"/>
    <w:rsid w:val="001127A8"/>
    <w:rsid w:val="00125456"/>
    <w:rsid w:val="001457F0"/>
    <w:rsid w:val="00145B2D"/>
    <w:rsid w:val="00147C5F"/>
    <w:rsid w:val="00150AF1"/>
    <w:rsid w:val="00151CC4"/>
    <w:rsid w:val="00152B66"/>
    <w:rsid w:val="00152E7D"/>
    <w:rsid w:val="00152F9C"/>
    <w:rsid w:val="00154A68"/>
    <w:rsid w:val="00156FDF"/>
    <w:rsid w:val="0016078C"/>
    <w:rsid w:val="00163D88"/>
    <w:rsid w:val="00170D2B"/>
    <w:rsid w:val="001748AC"/>
    <w:rsid w:val="00177384"/>
    <w:rsid w:val="00181F5A"/>
    <w:rsid w:val="00182996"/>
    <w:rsid w:val="00183C45"/>
    <w:rsid w:val="0019398E"/>
    <w:rsid w:val="00196CA8"/>
    <w:rsid w:val="001A47C0"/>
    <w:rsid w:val="001B47DF"/>
    <w:rsid w:val="001B6B5C"/>
    <w:rsid w:val="001E0765"/>
    <w:rsid w:val="001E5171"/>
    <w:rsid w:val="001E7774"/>
    <w:rsid w:val="001F24D6"/>
    <w:rsid w:val="00200898"/>
    <w:rsid w:val="002031B7"/>
    <w:rsid w:val="002031EC"/>
    <w:rsid w:val="00204A27"/>
    <w:rsid w:val="002053E8"/>
    <w:rsid w:val="0021016D"/>
    <w:rsid w:val="0021028D"/>
    <w:rsid w:val="002123A3"/>
    <w:rsid w:val="00212894"/>
    <w:rsid w:val="002232FE"/>
    <w:rsid w:val="0023410E"/>
    <w:rsid w:val="002403F8"/>
    <w:rsid w:val="002444FA"/>
    <w:rsid w:val="00250401"/>
    <w:rsid w:val="0025673C"/>
    <w:rsid w:val="0025743B"/>
    <w:rsid w:val="0026475F"/>
    <w:rsid w:val="00265604"/>
    <w:rsid w:val="00266654"/>
    <w:rsid w:val="002744E4"/>
    <w:rsid w:val="0027495C"/>
    <w:rsid w:val="00290FFF"/>
    <w:rsid w:val="002A637D"/>
    <w:rsid w:val="002A703C"/>
    <w:rsid w:val="002B6322"/>
    <w:rsid w:val="002B749B"/>
    <w:rsid w:val="002D2513"/>
    <w:rsid w:val="002F1CA3"/>
    <w:rsid w:val="002F2781"/>
    <w:rsid w:val="002F50D6"/>
    <w:rsid w:val="002F742D"/>
    <w:rsid w:val="00315BB1"/>
    <w:rsid w:val="00317B90"/>
    <w:rsid w:val="00322B89"/>
    <w:rsid w:val="00325815"/>
    <w:rsid w:val="00327B29"/>
    <w:rsid w:val="00327D3B"/>
    <w:rsid w:val="00332619"/>
    <w:rsid w:val="00337B3B"/>
    <w:rsid w:val="00343D39"/>
    <w:rsid w:val="00346153"/>
    <w:rsid w:val="00350EC2"/>
    <w:rsid w:val="0035172F"/>
    <w:rsid w:val="00356126"/>
    <w:rsid w:val="00362370"/>
    <w:rsid w:val="0036318A"/>
    <w:rsid w:val="003668C6"/>
    <w:rsid w:val="003705E7"/>
    <w:rsid w:val="003760FF"/>
    <w:rsid w:val="003801C4"/>
    <w:rsid w:val="00380E78"/>
    <w:rsid w:val="0038152D"/>
    <w:rsid w:val="00384D6A"/>
    <w:rsid w:val="003922C0"/>
    <w:rsid w:val="003B161A"/>
    <w:rsid w:val="003B3517"/>
    <w:rsid w:val="003B74E8"/>
    <w:rsid w:val="003C123A"/>
    <w:rsid w:val="003C1DF9"/>
    <w:rsid w:val="003C2A43"/>
    <w:rsid w:val="003C2D50"/>
    <w:rsid w:val="003C6D30"/>
    <w:rsid w:val="003D09D5"/>
    <w:rsid w:val="003D765A"/>
    <w:rsid w:val="003F342B"/>
    <w:rsid w:val="00400FDF"/>
    <w:rsid w:val="0040612B"/>
    <w:rsid w:val="00423F69"/>
    <w:rsid w:val="00427B01"/>
    <w:rsid w:val="00432E55"/>
    <w:rsid w:val="00433F0E"/>
    <w:rsid w:val="00434873"/>
    <w:rsid w:val="00452234"/>
    <w:rsid w:val="004556CF"/>
    <w:rsid w:val="00463993"/>
    <w:rsid w:val="004651CB"/>
    <w:rsid w:val="00467E4E"/>
    <w:rsid w:val="00472505"/>
    <w:rsid w:val="004736B9"/>
    <w:rsid w:val="00480DA2"/>
    <w:rsid w:val="00481716"/>
    <w:rsid w:val="004853EC"/>
    <w:rsid w:val="00487203"/>
    <w:rsid w:val="0049314F"/>
    <w:rsid w:val="004931E2"/>
    <w:rsid w:val="00496A72"/>
    <w:rsid w:val="004A2AAF"/>
    <w:rsid w:val="004A7817"/>
    <w:rsid w:val="004C713A"/>
    <w:rsid w:val="004D4419"/>
    <w:rsid w:val="004D78FE"/>
    <w:rsid w:val="004E5CEA"/>
    <w:rsid w:val="004E66B7"/>
    <w:rsid w:val="004E6CB2"/>
    <w:rsid w:val="004F7593"/>
    <w:rsid w:val="005005EC"/>
    <w:rsid w:val="00525B52"/>
    <w:rsid w:val="00530CE6"/>
    <w:rsid w:val="005324DF"/>
    <w:rsid w:val="00533F22"/>
    <w:rsid w:val="00535AD5"/>
    <w:rsid w:val="00536DA3"/>
    <w:rsid w:val="00545B8B"/>
    <w:rsid w:val="00554C0B"/>
    <w:rsid w:val="005569E0"/>
    <w:rsid w:val="00557D4E"/>
    <w:rsid w:val="00570D2B"/>
    <w:rsid w:val="00570DF9"/>
    <w:rsid w:val="0057156E"/>
    <w:rsid w:val="00597850"/>
    <w:rsid w:val="005A016A"/>
    <w:rsid w:val="005A06E3"/>
    <w:rsid w:val="005A30FC"/>
    <w:rsid w:val="005A5E81"/>
    <w:rsid w:val="005B0E2B"/>
    <w:rsid w:val="005B1833"/>
    <w:rsid w:val="005B7184"/>
    <w:rsid w:val="005C28B5"/>
    <w:rsid w:val="005D58EF"/>
    <w:rsid w:val="005D61DC"/>
    <w:rsid w:val="005E27FB"/>
    <w:rsid w:val="005E3C13"/>
    <w:rsid w:val="005E509C"/>
    <w:rsid w:val="005E67AA"/>
    <w:rsid w:val="005F5F34"/>
    <w:rsid w:val="00600B6B"/>
    <w:rsid w:val="00602A54"/>
    <w:rsid w:val="00622123"/>
    <w:rsid w:val="00625500"/>
    <w:rsid w:val="00627568"/>
    <w:rsid w:val="00632C15"/>
    <w:rsid w:val="006429F5"/>
    <w:rsid w:val="00652D30"/>
    <w:rsid w:val="006804E5"/>
    <w:rsid w:val="006865DF"/>
    <w:rsid w:val="0069022B"/>
    <w:rsid w:val="00694360"/>
    <w:rsid w:val="00694F0A"/>
    <w:rsid w:val="0069562B"/>
    <w:rsid w:val="006A7872"/>
    <w:rsid w:val="006B3C6F"/>
    <w:rsid w:val="006D2B8A"/>
    <w:rsid w:val="006E1194"/>
    <w:rsid w:val="006E434D"/>
    <w:rsid w:val="006E4613"/>
    <w:rsid w:val="006E6C41"/>
    <w:rsid w:val="006F01B8"/>
    <w:rsid w:val="006F0E0F"/>
    <w:rsid w:val="006F1986"/>
    <w:rsid w:val="006F500F"/>
    <w:rsid w:val="006F5538"/>
    <w:rsid w:val="007048BE"/>
    <w:rsid w:val="0070658F"/>
    <w:rsid w:val="007110B8"/>
    <w:rsid w:val="0071238D"/>
    <w:rsid w:val="007246BD"/>
    <w:rsid w:val="00727B20"/>
    <w:rsid w:val="0076063B"/>
    <w:rsid w:val="00761D52"/>
    <w:rsid w:val="00762D5A"/>
    <w:rsid w:val="00770974"/>
    <w:rsid w:val="00772CF3"/>
    <w:rsid w:val="007764B8"/>
    <w:rsid w:val="00782395"/>
    <w:rsid w:val="00783410"/>
    <w:rsid w:val="00792B2F"/>
    <w:rsid w:val="00794519"/>
    <w:rsid w:val="00794CBC"/>
    <w:rsid w:val="007A0712"/>
    <w:rsid w:val="007A3553"/>
    <w:rsid w:val="007A59FF"/>
    <w:rsid w:val="007A66F2"/>
    <w:rsid w:val="007A6FD8"/>
    <w:rsid w:val="007B1BC5"/>
    <w:rsid w:val="007B4DA1"/>
    <w:rsid w:val="007C14AA"/>
    <w:rsid w:val="007D5748"/>
    <w:rsid w:val="007F4339"/>
    <w:rsid w:val="00807C41"/>
    <w:rsid w:val="00813914"/>
    <w:rsid w:val="00816426"/>
    <w:rsid w:val="00830866"/>
    <w:rsid w:val="00830D58"/>
    <w:rsid w:val="00840BB1"/>
    <w:rsid w:val="00852B4F"/>
    <w:rsid w:val="008616E9"/>
    <w:rsid w:val="00864D32"/>
    <w:rsid w:val="0087162E"/>
    <w:rsid w:val="00877C76"/>
    <w:rsid w:val="00881197"/>
    <w:rsid w:val="00881443"/>
    <w:rsid w:val="008A11CD"/>
    <w:rsid w:val="008B4C61"/>
    <w:rsid w:val="008C25F1"/>
    <w:rsid w:val="008D12AB"/>
    <w:rsid w:val="008D30D5"/>
    <w:rsid w:val="008D339D"/>
    <w:rsid w:val="008D3A12"/>
    <w:rsid w:val="008D5C61"/>
    <w:rsid w:val="008E12E2"/>
    <w:rsid w:val="008E2736"/>
    <w:rsid w:val="008E38AF"/>
    <w:rsid w:val="009052E9"/>
    <w:rsid w:val="00915B50"/>
    <w:rsid w:val="009200AF"/>
    <w:rsid w:val="00931FE5"/>
    <w:rsid w:val="00933139"/>
    <w:rsid w:val="0094354F"/>
    <w:rsid w:val="00954795"/>
    <w:rsid w:val="0096286A"/>
    <w:rsid w:val="00963C7D"/>
    <w:rsid w:val="0097026C"/>
    <w:rsid w:val="009706B7"/>
    <w:rsid w:val="00972D5E"/>
    <w:rsid w:val="00973747"/>
    <w:rsid w:val="0097678B"/>
    <w:rsid w:val="00984074"/>
    <w:rsid w:val="0099088E"/>
    <w:rsid w:val="00993CDA"/>
    <w:rsid w:val="009A6D22"/>
    <w:rsid w:val="009A7B28"/>
    <w:rsid w:val="009B73E3"/>
    <w:rsid w:val="009B7FC8"/>
    <w:rsid w:val="009C037F"/>
    <w:rsid w:val="009C3905"/>
    <w:rsid w:val="009C4821"/>
    <w:rsid w:val="009D1811"/>
    <w:rsid w:val="009E4753"/>
    <w:rsid w:val="009E5412"/>
    <w:rsid w:val="009E7DAE"/>
    <w:rsid w:val="009F6677"/>
    <w:rsid w:val="00A057CD"/>
    <w:rsid w:val="00A078AC"/>
    <w:rsid w:val="00A1189C"/>
    <w:rsid w:val="00A2133B"/>
    <w:rsid w:val="00A26C77"/>
    <w:rsid w:val="00A2771F"/>
    <w:rsid w:val="00A33E6E"/>
    <w:rsid w:val="00A45E60"/>
    <w:rsid w:val="00A5379C"/>
    <w:rsid w:val="00A6005A"/>
    <w:rsid w:val="00A66511"/>
    <w:rsid w:val="00A85C16"/>
    <w:rsid w:val="00A92647"/>
    <w:rsid w:val="00AA0A04"/>
    <w:rsid w:val="00AA595E"/>
    <w:rsid w:val="00AB08B1"/>
    <w:rsid w:val="00AB6E0A"/>
    <w:rsid w:val="00AB7077"/>
    <w:rsid w:val="00AD244D"/>
    <w:rsid w:val="00AE5CF9"/>
    <w:rsid w:val="00AE77E1"/>
    <w:rsid w:val="00AF29A5"/>
    <w:rsid w:val="00AF7930"/>
    <w:rsid w:val="00B0631C"/>
    <w:rsid w:val="00B06A64"/>
    <w:rsid w:val="00B14BE7"/>
    <w:rsid w:val="00B14C21"/>
    <w:rsid w:val="00B215AC"/>
    <w:rsid w:val="00B22186"/>
    <w:rsid w:val="00B25918"/>
    <w:rsid w:val="00B33BC8"/>
    <w:rsid w:val="00B43194"/>
    <w:rsid w:val="00B5199D"/>
    <w:rsid w:val="00B52149"/>
    <w:rsid w:val="00B5535C"/>
    <w:rsid w:val="00B77F7E"/>
    <w:rsid w:val="00B91420"/>
    <w:rsid w:val="00B95378"/>
    <w:rsid w:val="00BA48CB"/>
    <w:rsid w:val="00BA5307"/>
    <w:rsid w:val="00BC1534"/>
    <w:rsid w:val="00BC27CC"/>
    <w:rsid w:val="00BC5CE6"/>
    <w:rsid w:val="00BC6512"/>
    <w:rsid w:val="00BE5D2A"/>
    <w:rsid w:val="00C15212"/>
    <w:rsid w:val="00C167D5"/>
    <w:rsid w:val="00C2630B"/>
    <w:rsid w:val="00C30FF9"/>
    <w:rsid w:val="00C3335F"/>
    <w:rsid w:val="00C34650"/>
    <w:rsid w:val="00C47217"/>
    <w:rsid w:val="00C476D7"/>
    <w:rsid w:val="00C51FD4"/>
    <w:rsid w:val="00C574A6"/>
    <w:rsid w:val="00C61F50"/>
    <w:rsid w:val="00C70F65"/>
    <w:rsid w:val="00C75C5E"/>
    <w:rsid w:val="00C833BB"/>
    <w:rsid w:val="00C84E3B"/>
    <w:rsid w:val="00C90A4E"/>
    <w:rsid w:val="00C90C87"/>
    <w:rsid w:val="00C90FFC"/>
    <w:rsid w:val="00C967EC"/>
    <w:rsid w:val="00CA0DBD"/>
    <w:rsid w:val="00CB3623"/>
    <w:rsid w:val="00CB6556"/>
    <w:rsid w:val="00CC0A7E"/>
    <w:rsid w:val="00CC1AD3"/>
    <w:rsid w:val="00CC4F15"/>
    <w:rsid w:val="00CE17AB"/>
    <w:rsid w:val="00CE299A"/>
    <w:rsid w:val="00CE5CBC"/>
    <w:rsid w:val="00CE79E3"/>
    <w:rsid w:val="00CF30D2"/>
    <w:rsid w:val="00D02373"/>
    <w:rsid w:val="00D15F15"/>
    <w:rsid w:val="00D1638E"/>
    <w:rsid w:val="00D20EF6"/>
    <w:rsid w:val="00D23991"/>
    <w:rsid w:val="00D408A8"/>
    <w:rsid w:val="00D42FFD"/>
    <w:rsid w:val="00D47F96"/>
    <w:rsid w:val="00D522BD"/>
    <w:rsid w:val="00D530BD"/>
    <w:rsid w:val="00D66C9D"/>
    <w:rsid w:val="00D7001B"/>
    <w:rsid w:val="00D82CAA"/>
    <w:rsid w:val="00D912F3"/>
    <w:rsid w:val="00D91E09"/>
    <w:rsid w:val="00D91E31"/>
    <w:rsid w:val="00D95007"/>
    <w:rsid w:val="00DA3831"/>
    <w:rsid w:val="00DA544C"/>
    <w:rsid w:val="00DA5D98"/>
    <w:rsid w:val="00DB2C96"/>
    <w:rsid w:val="00DB36C3"/>
    <w:rsid w:val="00DB7335"/>
    <w:rsid w:val="00DB7467"/>
    <w:rsid w:val="00DC10CE"/>
    <w:rsid w:val="00DD5C90"/>
    <w:rsid w:val="00DE2235"/>
    <w:rsid w:val="00DE5BF1"/>
    <w:rsid w:val="00E05BE2"/>
    <w:rsid w:val="00E07CE9"/>
    <w:rsid w:val="00E10FC8"/>
    <w:rsid w:val="00E13947"/>
    <w:rsid w:val="00E2072B"/>
    <w:rsid w:val="00E233A4"/>
    <w:rsid w:val="00E2784C"/>
    <w:rsid w:val="00E308B3"/>
    <w:rsid w:val="00E35D49"/>
    <w:rsid w:val="00E4184F"/>
    <w:rsid w:val="00E52605"/>
    <w:rsid w:val="00E5589B"/>
    <w:rsid w:val="00E55BC0"/>
    <w:rsid w:val="00E56C97"/>
    <w:rsid w:val="00E63EB7"/>
    <w:rsid w:val="00E716C4"/>
    <w:rsid w:val="00E749BA"/>
    <w:rsid w:val="00E8496F"/>
    <w:rsid w:val="00E85518"/>
    <w:rsid w:val="00E85585"/>
    <w:rsid w:val="00E94D99"/>
    <w:rsid w:val="00E963A3"/>
    <w:rsid w:val="00EA1E90"/>
    <w:rsid w:val="00EA671E"/>
    <w:rsid w:val="00EB217E"/>
    <w:rsid w:val="00EC137C"/>
    <w:rsid w:val="00EC2828"/>
    <w:rsid w:val="00EC4A8D"/>
    <w:rsid w:val="00EC51BD"/>
    <w:rsid w:val="00EC68D1"/>
    <w:rsid w:val="00ED4DE3"/>
    <w:rsid w:val="00EE27A8"/>
    <w:rsid w:val="00EE43F6"/>
    <w:rsid w:val="00EE562B"/>
    <w:rsid w:val="00EE5BFB"/>
    <w:rsid w:val="00EE6981"/>
    <w:rsid w:val="00EF3DD4"/>
    <w:rsid w:val="00F009FC"/>
    <w:rsid w:val="00F04DF7"/>
    <w:rsid w:val="00F061F9"/>
    <w:rsid w:val="00F07906"/>
    <w:rsid w:val="00F24540"/>
    <w:rsid w:val="00F26727"/>
    <w:rsid w:val="00F26DC4"/>
    <w:rsid w:val="00F26E25"/>
    <w:rsid w:val="00F272F9"/>
    <w:rsid w:val="00F40136"/>
    <w:rsid w:val="00F40E61"/>
    <w:rsid w:val="00F43EB3"/>
    <w:rsid w:val="00F43EE4"/>
    <w:rsid w:val="00F44C60"/>
    <w:rsid w:val="00F657B4"/>
    <w:rsid w:val="00F777F1"/>
    <w:rsid w:val="00F857D7"/>
    <w:rsid w:val="00F93EBE"/>
    <w:rsid w:val="00F9663C"/>
    <w:rsid w:val="00F96D1A"/>
    <w:rsid w:val="00FA6AF9"/>
    <w:rsid w:val="00FB5EFE"/>
    <w:rsid w:val="00FB68F5"/>
    <w:rsid w:val="00FB73D9"/>
    <w:rsid w:val="00FD5325"/>
    <w:rsid w:val="00FE4424"/>
    <w:rsid w:val="00FF0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3320"/>
  <w15:docId w15:val="{82485227-E0BC-4AD2-A993-6CB2E87E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Dot pt"/>
    <w:basedOn w:val="Normlny"/>
    <w:link w:val="OdsekzoznamuChar"/>
    <w:uiPriority w:val="34"/>
    <w:qFormat/>
    <w:rsid w:val="002A703C"/>
    <w:pPr>
      <w:ind w:left="720"/>
      <w:contextualSpacing/>
    </w:pPr>
  </w:style>
  <w:style w:type="table" w:styleId="Mriekatabuky">
    <w:name w:val="Table Grid"/>
    <w:basedOn w:val="Normlnatabuka"/>
    <w:uiPriority w:val="59"/>
    <w:rsid w:val="00F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93EBE"/>
    <w:rPr>
      <w:sz w:val="16"/>
      <w:szCs w:val="16"/>
    </w:rPr>
  </w:style>
  <w:style w:type="paragraph" w:styleId="Textkomentra">
    <w:name w:val="annotation text"/>
    <w:basedOn w:val="Normlny"/>
    <w:link w:val="TextkomentraChar"/>
    <w:uiPriority w:val="99"/>
    <w:unhideWhenUsed/>
    <w:rsid w:val="00F93EBE"/>
    <w:pPr>
      <w:spacing w:line="240" w:lineRule="auto"/>
    </w:pPr>
    <w:rPr>
      <w:sz w:val="20"/>
      <w:szCs w:val="20"/>
    </w:rPr>
  </w:style>
  <w:style w:type="character" w:customStyle="1" w:styleId="TextkomentraChar">
    <w:name w:val="Text komentára Char"/>
    <w:basedOn w:val="Predvolenpsmoodseku"/>
    <w:link w:val="Textkomentra"/>
    <w:uiPriority w:val="99"/>
    <w:rsid w:val="00F93EBE"/>
    <w:rPr>
      <w:sz w:val="20"/>
      <w:szCs w:val="20"/>
    </w:rPr>
  </w:style>
  <w:style w:type="paragraph" w:styleId="Predmetkomentra">
    <w:name w:val="annotation subject"/>
    <w:basedOn w:val="Textkomentra"/>
    <w:next w:val="Textkomentra"/>
    <w:link w:val="PredmetkomentraChar"/>
    <w:uiPriority w:val="99"/>
    <w:semiHidden/>
    <w:unhideWhenUsed/>
    <w:rsid w:val="00F93EBE"/>
    <w:rPr>
      <w:b/>
      <w:bCs/>
    </w:rPr>
  </w:style>
  <w:style w:type="character" w:customStyle="1" w:styleId="PredmetkomentraChar">
    <w:name w:val="Predmet komentára Char"/>
    <w:basedOn w:val="TextkomentraChar"/>
    <w:link w:val="Predmetkomentra"/>
    <w:uiPriority w:val="99"/>
    <w:semiHidden/>
    <w:rsid w:val="00F93EBE"/>
    <w:rPr>
      <w:b/>
      <w:bCs/>
      <w:sz w:val="20"/>
      <w:szCs w:val="20"/>
    </w:rPr>
  </w:style>
  <w:style w:type="paragraph" w:styleId="Textpoznmkypodiarou">
    <w:name w:val="footnote text"/>
    <w:basedOn w:val="Normlny"/>
    <w:link w:val="TextpoznmkypodiarouChar"/>
    <w:uiPriority w:val="99"/>
    <w:semiHidden/>
    <w:unhideWhenUsed/>
    <w:rsid w:val="00632C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32C15"/>
    <w:rPr>
      <w:sz w:val="20"/>
      <w:szCs w:val="20"/>
    </w:rPr>
  </w:style>
  <w:style w:type="character" w:styleId="Odkaznapoznmkupodiarou">
    <w:name w:val="footnote reference"/>
    <w:basedOn w:val="Predvolenpsmoodseku"/>
    <w:uiPriority w:val="99"/>
    <w:semiHidden/>
    <w:unhideWhenUsed/>
    <w:rsid w:val="00632C15"/>
    <w:rPr>
      <w:vertAlign w:val="superscript"/>
    </w:rPr>
  </w:style>
  <w:style w:type="character" w:styleId="Siln">
    <w:name w:val="Strong"/>
    <w:basedOn w:val="Predvolenpsmoodseku"/>
    <w:uiPriority w:val="22"/>
    <w:qFormat/>
    <w:rsid w:val="002403F8"/>
    <w:rPr>
      <w:b/>
      <w:bCs/>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2403F8"/>
  </w:style>
  <w:style w:type="character" w:customStyle="1" w:styleId="s4">
    <w:name w:val="s4"/>
    <w:rsid w:val="00B215AC"/>
    <w:rPr>
      <w:rFonts w:ascii="TimesNewRomanPS-BoldMT" w:hAnsi="TimesNewRomanPS-BoldMT" w:hint="default"/>
      <w:b/>
      <w:bCs/>
      <w:i w:val="0"/>
      <w:iCs w:val="0"/>
      <w:sz w:val="17"/>
      <w:szCs w:val="17"/>
    </w:rPr>
  </w:style>
  <w:style w:type="character" w:styleId="Zstupntext">
    <w:name w:val="Placeholder Text"/>
    <w:basedOn w:val="Predvolenpsmoodseku"/>
    <w:uiPriority w:val="99"/>
    <w:semiHidden/>
    <w:rsid w:val="00B215AC"/>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8231">
      <w:bodyDiv w:val="1"/>
      <w:marLeft w:val="0"/>
      <w:marRight w:val="0"/>
      <w:marTop w:val="0"/>
      <w:marBottom w:val="0"/>
      <w:divBdr>
        <w:top w:val="none" w:sz="0" w:space="0" w:color="auto"/>
        <w:left w:val="none" w:sz="0" w:space="0" w:color="auto"/>
        <w:bottom w:val="none" w:sz="0" w:space="0" w:color="auto"/>
        <w:right w:val="none" w:sz="0" w:space="0" w:color="auto"/>
      </w:divBdr>
    </w:div>
    <w:div w:id="95102698">
      <w:bodyDiv w:val="1"/>
      <w:marLeft w:val="0"/>
      <w:marRight w:val="0"/>
      <w:marTop w:val="0"/>
      <w:marBottom w:val="0"/>
      <w:divBdr>
        <w:top w:val="none" w:sz="0" w:space="0" w:color="auto"/>
        <w:left w:val="none" w:sz="0" w:space="0" w:color="auto"/>
        <w:bottom w:val="none" w:sz="0" w:space="0" w:color="auto"/>
        <w:right w:val="none" w:sz="0" w:space="0" w:color="auto"/>
      </w:divBdr>
    </w:div>
    <w:div w:id="107509149">
      <w:bodyDiv w:val="1"/>
      <w:marLeft w:val="0"/>
      <w:marRight w:val="0"/>
      <w:marTop w:val="0"/>
      <w:marBottom w:val="0"/>
      <w:divBdr>
        <w:top w:val="none" w:sz="0" w:space="0" w:color="auto"/>
        <w:left w:val="none" w:sz="0" w:space="0" w:color="auto"/>
        <w:bottom w:val="none" w:sz="0" w:space="0" w:color="auto"/>
        <w:right w:val="none" w:sz="0" w:space="0" w:color="auto"/>
      </w:divBdr>
    </w:div>
    <w:div w:id="116727595">
      <w:bodyDiv w:val="1"/>
      <w:marLeft w:val="0"/>
      <w:marRight w:val="0"/>
      <w:marTop w:val="0"/>
      <w:marBottom w:val="0"/>
      <w:divBdr>
        <w:top w:val="none" w:sz="0" w:space="0" w:color="auto"/>
        <w:left w:val="none" w:sz="0" w:space="0" w:color="auto"/>
        <w:bottom w:val="none" w:sz="0" w:space="0" w:color="auto"/>
        <w:right w:val="none" w:sz="0" w:space="0" w:color="auto"/>
      </w:divBdr>
    </w:div>
    <w:div w:id="117452077">
      <w:bodyDiv w:val="1"/>
      <w:marLeft w:val="0"/>
      <w:marRight w:val="0"/>
      <w:marTop w:val="0"/>
      <w:marBottom w:val="0"/>
      <w:divBdr>
        <w:top w:val="none" w:sz="0" w:space="0" w:color="auto"/>
        <w:left w:val="none" w:sz="0" w:space="0" w:color="auto"/>
        <w:bottom w:val="none" w:sz="0" w:space="0" w:color="auto"/>
        <w:right w:val="none" w:sz="0" w:space="0" w:color="auto"/>
      </w:divBdr>
    </w:div>
    <w:div w:id="131683065">
      <w:bodyDiv w:val="1"/>
      <w:marLeft w:val="0"/>
      <w:marRight w:val="0"/>
      <w:marTop w:val="0"/>
      <w:marBottom w:val="0"/>
      <w:divBdr>
        <w:top w:val="none" w:sz="0" w:space="0" w:color="auto"/>
        <w:left w:val="none" w:sz="0" w:space="0" w:color="auto"/>
        <w:bottom w:val="none" w:sz="0" w:space="0" w:color="auto"/>
        <w:right w:val="none" w:sz="0" w:space="0" w:color="auto"/>
      </w:divBdr>
    </w:div>
    <w:div w:id="155541564">
      <w:bodyDiv w:val="1"/>
      <w:marLeft w:val="0"/>
      <w:marRight w:val="0"/>
      <w:marTop w:val="0"/>
      <w:marBottom w:val="0"/>
      <w:divBdr>
        <w:top w:val="none" w:sz="0" w:space="0" w:color="auto"/>
        <w:left w:val="none" w:sz="0" w:space="0" w:color="auto"/>
        <w:bottom w:val="none" w:sz="0" w:space="0" w:color="auto"/>
        <w:right w:val="none" w:sz="0" w:space="0" w:color="auto"/>
      </w:divBdr>
    </w:div>
    <w:div w:id="188185988">
      <w:bodyDiv w:val="1"/>
      <w:marLeft w:val="0"/>
      <w:marRight w:val="0"/>
      <w:marTop w:val="0"/>
      <w:marBottom w:val="0"/>
      <w:divBdr>
        <w:top w:val="none" w:sz="0" w:space="0" w:color="auto"/>
        <w:left w:val="none" w:sz="0" w:space="0" w:color="auto"/>
        <w:bottom w:val="none" w:sz="0" w:space="0" w:color="auto"/>
        <w:right w:val="none" w:sz="0" w:space="0" w:color="auto"/>
      </w:divBdr>
    </w:div>
    <w:div w:id="199905641">
      <w:bodyDiv w:val="1"/>
      <w:marLeft w:val="0"/>
      <w:marRight w:val="0"/>
      <w:marTop w:val="0"/>
      <w:marBottom w:val="0"/>
      <w:divBdr>
        <w:top w:val="none" w:sz="0" w:space="0" w:color="auto"/>
        <w:left w:val="none" w:sz="0" w:space="0" w:color="auto"/>
        <w:bottom w:val="none" w:sz="0" w:space="0" w:color="auto"/>
        <w:right w:val="none" w:sz="0" w:space="0" w:color="auto"/>
      </w:divBdr>
    </w:div>
    <w:div w:id="259995577">
      <w:bodyDiv w:val="1"/>
      <w:marLeft w:val="0"/>
      <w:marRight w:val="0"/>
      <w:marTop w:val="0"/>
      <w:marBottom w:val="0"/>
      <w:divBdr>
        <w:top w:val="none" w:sz="0" w:space="0" w:color="auto"/>
        <w:left w:val="none" w:sz="0" w:space="0" w:color="auto"/>
        <w:bottom w:val="none" w:sz="0" w:space="0" w:color="auto"/>
        <w:right w:val="none" w:sz="0" w:space="0" w:color="auto"/>
      </w:divBdr>
    </w:div>
    <w:div w:id="263852276">
      <w:bodyDiv w:val="1"/>
      <w:marLeft w:val="0"/>
      <w:marRight w:val="0"/>
      <w:marTop w:val="0"/>
      <w:marBottom w:val="0"/>
      <w:divBdr>
        <w:top w:val="none" w:sz="0" w:space="0" w:color="auto"/>
        <w:left w:val="none" w:sz="0" w:space="0" w:color="auto"/>
        <w:bottom w:val="none" w:sz="0" w:space="0" w:color="auto"/>
        <w:right w:val="none" w:sz="0" w:space="0" w:color="auto"/>
      </w:divBdr>
    </w:div>
    <w:div w:id="301884479">
      <w:bodyDiv w:val="1"/>
      <w:marLeft w:val="0"/>
      <w:marRight w:val="0"/>
      <w:marTop w:val="0"/>
      <w:marBottom w:val="0"/>
      <w:divBdr>
        <w:top w:val="none" w:sz="0" w:space="0" w:color="auto"/>
        <w:left w:val="none" w:sz="0" w:space="0" w:color="auto"/>
        <w:bottom w:val="none" w:sz="0" w:space="0" w:color="auto"/>
        <w:right w:val="none" w:sz="0" w:space="0" w:color="auto"/>
      </w:divBdr>
    </w:div>
    <w:div w:id="342322737">
      <w:bodyDiv w:val="1"/>
      <w:marLeft w:val="0"/>
      <w:marRight w:val="0"/>
      <w:marTop w:val="0"/>
      <w:marBottom w:val="0"/>
      <w:divBdr>
        <w:top w:val="none" w:sz="0" w:space="0" w:color="auto"/>
        <w:left w:val="none" w:sz="0" w:space="0" w:color="auto"/>
        <w:bottom w:val="none" w:sz="0" w:space="0" w:color="auto"/>
        <w:right w:val="none" w:sz="0" w:space="0" w:color="auto"/>
      </w:divBdr>
    </w:div>
    <w:div w:id="346903564">
      <w:bodyDiv w:val="1"/>
      <w:marLeft w:val="0"/>
      <w:marRight w:val="0"/>
      <w:marTop w:val="0"/>
      <w:marBottom w:val="0"/>
      <w:divBdr>
        <w:top w:val="none" w:sz="0" w:space="0" w:color="auto"/>
        <w:left w:val="none" w:sz="0" w:space="0" w:color="auto"/>
        <w:bottom w:val="none" w:sz="0" w:space="0" w:color="auto"/>
        <w:right w:val="none" w:sz="0" w:space="0" w:color="auto"/>
      </w:divBdr>
    </w:div>
    <w:div w:id="388384865">
      <w:bodyDiv w:val="1"/>
      <w:marLeft w:val="0"/>
      <w:marRight w:val="0"/>
      <w:marTop w:val="0"/>
      <w:marBottom w:val="0"/>
      <w:divBdr>
        <w:top w:val="none" w:sz="0" w:space="0" w:color="auto"/>
        <w:left w:val="none" w:sz="0" w:space="0" w:color="auto"/>
        <w:bottom w:val="none" w:sz="0" w:space="0" w:color="auto"/>
        <w:right w:val="none" w:sz="0" w:space="0" w:color="auto"/>
      </w:divBdr>
    </w:div>
    <w:div w:id="396323917">
      <w:bodyDiv w:val="1"/>
      <w:marLeft w:val="0"/>
      <w:marRight w:val="0"/>
      <w:marTop w:val="0"/>
      <w:marBottom w:val="0"/>
      <w:divBdr>
        <w:top w:val="none" w:sz="0" w:space="0" w:color="auto"/>
        <w:left w:val="none" w:sz="0" w:space="0" w:color="auto"/>
        <w:bottom w:val="none" w:sz="0" w:space="0" w:color="auto"/>
        <w:right w:val="none" w:sz="0" w:space="0" w:color="auto"/>
      </w:divBdr>
    </w:div>
    <w:div w:id="441850877">
      <w:bodyDiv w:val="1"/>
      <w:marLeft w:val="0"/>
      <w:marRight w:val="0"/>
      <w:marTop w:val="0"/>
      <w:marBottom w:val="0"/>
      <w:divBdr>
        <w:top w:val="none" w:sz="0" w:space="0" w:color="auto"/>
        <w:left w:val="none" w:sz="0" w:space="0" w:color="auto"/>
        <w:bottom w:val="none" w:sz="0" w:space="0" w:color="auto"/>
        <w:right w:val="none" w:sz="0" w:space="0" w:color="auto"/>
      </w:divBdr>
    </w:div>
    <w:div w:id="484510971">
      <w:bodyDiv w:val="1"/>
      <w:marLeft w:val="0"/>
      <w:marRight w:val="0"/>
      <w:marTop w:val="0"/>
      <w:marBottom w:val="0"/>
      <w:divBdr>
        <w:top w:val="none" w:sz="0" w:space="0" w:color="auto"/>
        <w:left w:val="none" w:sz="0" w:space="0" w:color="auto"/>
        <w:bottom w:val="none" w:sz="0" w:space="0" w:color="auto"/>
        <w:right w:val="none" w:sz="0" w:space="0" w:color="auto"/>
      </w:divBdr>
    </w:div>
    <w:div w:id="695929366">
      <w:bodyDiv w:val="1"/>
      <w:marLeft w:val="0"/>
      <w:marRight w:val="0"/>
      <w:marTop w:val="0"/>
      <w:marBottom w:val="0"/>
      <w:divBdr>
        <w:top w:val="none" w:sz="0" w:space="0" w:color="auto"/>
        <w:left w:val="none" w:sz="0" w:space="0" w:color="auto"/>
        <w:bottom w:val="none" w:sz="0" w:space="0" w:color="auto"/>
        <w:right w:val="none" w:sz="0" w:space="0" w:color="auto"/>
      </w:divBdr>
    </w:div>
    <w:div w:id="707069532">
      <w:bodyDiv w:val="1"/>
      <w:marLeft w:val="0"/>
      <w:marRight w:val="0"/>
      <w:marTop w:val="0"/>
      <w:marBottom w:val="0"/>
      <w:divBdr>
        <w:top w:val="none" w:sz="0" w:space="0" w:color="auto"/>
        <w:left w:val="none" w:sz="0" w:space="0" w:color="auto"/>
        <w:bottom w:val="none" w:sz="0" w:space="0" w:color="auto"/>
        <w:right w:val="none" w:sz="0" w:space="0" w:color="auto"/>
      </w:divBdr>
    </w:div>
    <w:div w:id="766003105">
      <w:bodyDiv w:val="1"/>
      <w:marLeft w:val="0"/>
      <w:marRight w:val="0"/>
      <w:marTop w:val="0"/>
      <w:marBottom w:val="0"/>
      <w:divBdr>
        <w:top w:val="none" w:sz="0" w:space="0" w:color="auto"/>
        <w:left w:val="none" w:sz="0" w:space="0" w:color="auto"/>
        <w:bottom w:val="none" w:sz="0" w:space="0" w:color="auto"/>
        <w:right w:val="none" w:sz="0" w:space="0" w:color="auto"/>
      </w:divBdr>
    </w:div>
    <w:div w:id="776950617">
      <w:bodyDiv w:val="1"/>
      <w:marLeft w:val="0"/>
      <w:marRight w:val="0"/>
      <w:marTop w:val="0"/>
      <w:marBottom w:val="0"/>
      <w:divBdr>
        <w:top w:val="none" w:sz="0" w:space="0" w:color="auto"/>
        <w:left w:val="none" w:sz="0" w:space="0" w:color="auto"/>
        <w:bottom w:val="none" w:sz="0" w:space="0" w:color="auto"/>
        <w:right w:val="none" w:sz="0" w:space="0" w:color="auto"/>
      </w:divBdr>
    </w:div>
    <w:div w:id="796021785">
      <w:bodyDiv w:val="1"/>
      <w:marLeft w:val="0"/>
      <w:marRight w:val="0"/>
      <w:marTop w:val="0"/>
      <w:marBottom w:val="0"/>
      <w:divBdr>
        <w:top w:val="none" w:sz="0" w:space="0" w:color="auto"/>
        <w:left w:val="none" w:sz="0" w:space="0" w:color="auto"/>
        <w:bottom w:val="none" w:sz="0" w:space="0" w:color="auto"/>
        <w:right w:val="none" w:sz="0" w:space="0" w:color="auto"/>
      </w:divBdr>
    </w:div>
    <w:div w:id="830486139">
      <w:bodyDiv w:val="1"/>
      <w:marLeft w:val="0"/>
      <w:marRight w:val="0"/>
      <w:marTop w:val="0"/>
      <w:marBottom w:val="0"/>
      <w:divBdr>
        <w:top w:val="none" w:sz="0" w:space="0" w:color="auto"/>
        <w:left w:val="none" w:sz="0" w:space="0" w:color="auto"/>
        <w:bottom w:val="none" w:sz="0" w:space="0" w:color="auto"/>
        <w:right w:val="none" w:sz="0" w:space="0" w:color="auto"/>
      </w:divBdr>
    </w:div>
    <w:div w:id="844826280">
      <w:bodyDiv w:val="1"/>
      <w:marLeft w:val="0"/>
      <w:marRight w:val="0"/>
      <w:marTop w:val="0"/>
      <w:marBottom w:val="0"/>
      <w:divBdr>
        <w:top w:val="none" w:sz="0" w:space="0" w:color="auto"/>
        <w:left w:val="none" w:sz="0" w:space="0" w:color="auto"/>
        <w:bottom w:val="none" w:sz="0" w:space="0" w:color="auto"/>
        <w:right w:val="none" w:sz="0" w:space="0" w:color="auto"/>
      </w:divBdr>
    </w:div>
    <w:div w:id="857542304">
      <w:bodyDiv w:val="1"/>
      <w:marLeft w:val="0"/>
      <w:marRight w:val="0"/>
      <w:marTop w:val="0"/>
      <w:marBottom w:val="0"/>
      <w:divBdr>
        <w:top w:val="none" w:sz="0" w:space="0" w:color="auto"/>
        <w:left w:val="none" w:sz="0" w:space="0" w:color="auto"/>
        <w:bottom w:val="none" w:sz="0" w:space="0" w:color="auto"/>
        <w:right w:val="none" w:sz="0" w:space="0" w:color="auto"/>
      </w:divBdr>
    </w:div>
    <w:div w:id="859702688">
      <w:bodyDiv w:val="1"/>
      <w:marLeft w:val="0"/>
      <w:marRight w:val="0"/>
      <w:marTop w:val="0"/>
      <w:marBottom w:val="0"/>
      <w:divBdr>
        <w:top w:val="none" w:sz="0" w:space="0" w:color="auto"/>
        <w:left w:val="none" w:sz="0" w:space="0" w:color="auto"/>
        <w:bottom w:val="none" w:sz="0" w:space="0" w:color="auto"/>
        <w:right w:val="none" w:sz="0" w:space="0" w:color="auto"/>
      </w:divBdr>
    </w:div>
    <w:div w:id="871461581">
      <w:bodyDiv w:val="1"/>
      <w:marLeft w:val="0"/>
      <w:marRight w:val="0"/>
      <w:marTop w:val="0"/>
      <w:marBottom w:val="0"/>
      <w:divBdr>
        <w:top w:val="none" w:sz="0" w:space="0" w:color="auto"/>
        <w:left w:val="none" w:sz="0" w:space="0" w:color="auto"/>
        <w:bottom w:val="none" w:sz="0" w:space="0" w:color="auto"/>
        <w:right w:val="none" w:sz="0" w:space="0" w:color="auto"/>
      </w:divBdr>
    </w:div>
    <w:div w:id="894120623">
      <w:bodyDiv w:val="1"/>
      <w:marLeft w:val="0"/>
      <w:marRight w:val="0"/>
      <w:marTop w:val="0"/>
      <w:marBottom w:val="0"/>
      <w:divBdr>
        <w:top w:val="none" w:sz="0" w:space="0" w:color="auto"/>
        <w:left w:val="none" w:sz="0" w:space="0" w:color="auto"/>
        <w:bottom w:val="none" w:sz="0" w:space="0" w:color="auto"/>
        <w:right w:val="none" w:sz="0" w:space="0" w:color="auto"/>
      </w:divBdr>
    </w:div>
    <w:div w:id="899175763">
      <w:bodyDiv w:val="1"/>
      <w:marLeft w:val="0"/>
      <w:marRight w:val="0"/>
      <w:marTop w:val="0"/>
      <w:marBottom w:val="0"/>
      <w:divBdr>
        <w:top w:val="none" w:sz="0" w:space="0" w:color="auto"/>
        <w:left w:val="none" w:sz="0" w:space="0" w:color="auto"/>
        <w:bottom w:val="none" w:sz="0" w:space="0" w:color="auto"/>
        <w:right w:val="none" w:sz="0" w:space="0" w:color="auto"/>
      </w:divBdr>
    </w:div>
    <w:div w:id="902253675">
      <w:bodyDiv w:val="1"/>
      <w:marLeft w:val="0"/>
      <w:marRight w:val="0"/>
      <w:marTop w:val="0"/>
      <w:marBottom w:val="0"/>
      <w:divBdr>
        <w:top w:val="none" w:sz="0" w:space="0" w:color="auto"/>
        <w:left w:val="none" w:sz="0" w:space="0" w:color="auto"/>
        <w:bottom w:val="none" w:sz="0" w:space="0" w:color="auto"/>
        <w:right w:val="none" w:sz="0" w:space="0" w:color="auto"/>
      </w:divBdr>
    </w:div>
    <w:div w:id="916668903">
      <w:bodyDiv w:val="1"/>
      <w:marLeft w:val="0"/>
      <w:marRight w:val="0"/>
      <w:marTop w:val="0"/>
      <w:marBottom w:val="0"/>
      <w:divBdr>
        <w:top w:val="none" w:sz="0" w:space="0" w:color="auto"/>
        <w:left w:val="none" w:sz="0" w:space="0" w:color="auto"/>
        <w:bottom w:val="none" w:sz="0" w:space="0" w:color="auto"/>
        <w:right w:val="none" w:sz="0" w:space="0" w:color="auto"/>
      </w:divBdr>
    </w:div>
    <w:div w:id="923488489">
      <w:bodyDiv w:val="1"/>
      <w:marLeft w:val="0"/>
      <w:marRight w:val="0"/>
      <w:marTop w:val="0"/>
      <w:marBottom w:val="0"/>
      <w:divBdr>
        <w:top w:val="none" w:sz="0" w:space="0" w:color="auto"/>
        <w:left w:val="none" w:sz="0" w:space="0" w:color="auto"/>
        <w:bottom w:val="none" w:sz="0" w:space="0" w:color="auto"/>
        <w:right w:val="none" w:sz="0" w:space="0" w:color="auto"/>
      </w:divBdr>
    </w:div>
    <w:div w:id="949044188">
      <w:bodyDiv w:val="1"/>
      <w:marLeft w:val="0"/>
      <w:marRight w:val="0"/>
      <w:marTop w:val="0"/>
      <w:marBottom w:val="0"/>
      <w:divBdr>
        <w:top w:val="none" w:sz="0" w:space="0" w:color="auto"/>
        <w:left w:val="none" w:sz="0" w:space="0" w:color="auto"/>
        <w:bottom w:val="none" w:sz="0" w:space="0" w:color="auto"/>
        <w:right w:val="none" w:sz="0" w:space="0" w:color="auto"/>
      </w:divBdr>
    </w:div>
    <w:div w:id="954214054">
      <w:bodyDiv w:val="1"/>
      <w:marLeft w:val="0"/>
      <w:marRight w:val="0"/>
      <w:marTop w:val="0"/>
      <w:marBottom w:val="0"/>
      <w:divBdr>
        <w:top w:val="none" w:sz="0" w:space="0" w:color="auto"/>
        <w:left w:val="none" w:sz="0" w:space="0" w:color="auto"/>
        <w:bottom w:val="none" w:sz="0" w:space="0" w:color="auto"/>
        <w:right w:val="none" w:sz="0" w:space="0" w:color="auto"/>
      </w:divBdr>
    </w:div>
    <w:div w:id="997731152">
      <w:bodyDiv w:val="1"/>
      <w:marLeft w:val="0"/>
      <w:marRight w:val="0"/>
      <w:marTop w:val="0"/>
      <w:marBottom w:val="0"/>
      <w:divBdr>
        <w:top w:val="none" w:sz="0" w:space="0" w:color="auto"/>
        <w:left w:val="none" w:sz="0" w:space="0" w:color="auto"/>
        <w:bottom w:val="none" w:sz="0" w:space="0" w:color="auto"/>
        <w:right w:val="none" w:sz="0" w:space="0" w:color="auto"/>
      </w:divBdr>
    </w:div>
    <w:div w:id="999775666">
      <w:bodyDiv w:val="1"/>
      <w:marLeft w:val="0"/>
      <w:marRight w:val="0"/>
      <w:marTop w:val="0"/>
      <w:marBottom w:val="0"/>
      <w:divBdr>
        <w:top w:val="none" w:sz="0" w:space="0" w:color="auto"/>
        <w:left w:val="none" w:sz="0" w:space="0" w:color="auto"/>
        <w:bottom w:val="none" w:sz="0" w:space="0" w:color="auto"/>
        <w:right w:val="none" w:sz="0" w:space="0" w:color="auto"/>
      </w:divBdr>
    </w:div>
    <w:div w:id="1040937161">
      <w:bodyDiv w:val="1"/>
      <w:marLeft w:val="0"/>
      <w:marRight w:val="0"/>
      <w:marTop w:val="0"/>
      <w:marBottom w:val="0"/>
      <w:divBdr>
        <w:top w:val="none" w:sz="0" w:space="0" w:color="auto"/>
        <w:left w:val="none" w:sz="0" w:space="0" w:color="auto"/>
        <w:bottom w:val="none" w:sz="0" w:space="0" w:color="auto"/>
        <w:right w:val="none" w:sz="0" w:space="0" w:color="auto"/>
      </w:divBdr>
    </w:div>
    <w:div w:id="1064061472">
      <w:bodyDiv w:val="1"/>
      <w:marLeft w:val="0"/>
      <w:marRight w:val="0"/>
      <w:marTop w:val="0"/>
      <w:marBottom w:val="0"/>
      <w:divBdr>
        <w:top w:val="none" w:sz="0" w:space="0" w:color="auto"/>
        <w:left w:val="none" w:sz="0" w:space="0" w:color="auto"/>
        <w:bottom w:val="none" w:sz="0" w:space="0" w:color="auto"/>
        <w:right w:val="none" w:sz="0" w:space="0" w:color="auto"/>
      </w:divBdr>
    </w:div>
    <w:div w:id="1066030987">
      <w:bodyDiv w:val="1"/>
      <w:marLeft w:val="0"/>
      <w:marRight w:val="0"/>
      <w:marTop w:val="0"/>
      <w:marBottom w:val="0"/>
      <w:divBdr>
        <w:top w:val="none" w:sz="0" w:space="0" w:color="auto"/>
        <w:left w:val="none" w:sz="0" w:space="0" w:color="auto"/>
        <w:bottom w:val="none" w:sz="0" w:space="0" w:color="auto"/>
        <w:right w:val="none" w:sz="0" w:space="0" w:color="auto"/>
      </w:divBdr>
    </w:div>
    <w:div w:id="1209294826">
      <w:bodyDiv w:val="1"/>
      <w:marLeft w:val="0"/>
      <w:marRight w:val="0"/>
      <w:marTop w:val="0"/>
      <w:marBottom w:val="0"/>
      <w:divBdr>
        <w:top w:val="none" w:sz="0" w:space="0" w:color="auto"/>
        <w:left w:val="none" w:sz="0" w:space="0" w:color="auto"/>
        <w:bottom w:val="none" w:sz="0" w:space="0" w:color="auto"/>
        <w:right w:val="none" w:sz="0" w:space="0" w:color="auto"/>
      </w:divBdr>
    </w:div>
    <w:div w:id="1213427213">
      <w:bodyDiv w:val="1"/>
      <w:marLeft w:val="0"/>
      <w:marRight w:val="0"/>
      <w:marTop w:val="0"/>
      <w:marBottom w:val="0"/>
      <w:divBdr>
        <w:top w:val="none" w:sz="0" w:space="0" w:color="auto"/>
        <w:left w:val="none" w:sz="0" w:space="0" w:color="auto"/>
        <w:bottom w:val="none" w:sz="0" w:space="0" w:color="auto"/>
        <w:right w:val="none" w:sz="0" w:space="0" w:color="auto"/>
      </w:divBdr>
    </w:div>
    <w:div w:id="1270044338">
      <w:bodyDiv w:val="1"/>
      <w:marLeft w:val="0"/>
      <w:marRight w:val="0"/>
      <w:marTop w:val="0"/>
      <w:marBottom w:val="0"/>
      <w:divBdr>
        <w:top w:val="none" w:sz="0" w:space="0" w:color="auto"/>
        <w:left w:val="none" w:sz="0" w:space="0" w:color="auto"/>
        <w:bottom w:val="none" w:sz="0" w:space="0" w:color="auto"/>
        <w:right w:val="none" w:sz="0" w:space="0" w:color="auto"/>
      </w:divBdr>
    </w:div>
    <w:div w:id="1459183936">
      <w:bodyDiv w:val="1"/>
      <w:marLeft w:val="0"/>
      <w:marRight w:val="0"/>
      <w:marTop w:val="0"/>
      <w:marBottom w:val="0"/>
      <w:divBdr>
        <w:top w:val="none" w:sz="0" w:space="0" w:color="auto"/>
        <w:left w:val="none" w:sz="0" w:space="0" w:color="auto"/>
        <w:bottom w:val="none" w:sz="0" w:space="0" w:color="auto"/>
        <w:right w:val="none" w:sz="0" w:space="0" w:color="auto"/>
      </w:divBdr>
    </w:div>
    <w:div w:id="1504322644">
      <w:bodyDiv w:val="1"/>
      <w:marLeft w:val="0"/>
      <w:marRight w:val="0"/>
      <w:marTop w:val="0"/>
      <w:marBottom w:val="0"/>
      <w:divBdr>
        <w:top w:val="none" w:sz="0" w:space="0" w:color="auto"/>
        <w:left w:val="none" w:sz="0" w:space="0" w:color="auto"/>
        <w:bottom w:val="none" w:sz="0" w:space="0" w:color="auto"/>
        <w:right w:val="none" w:sz="0" w:space="0" w:color="auto"/>
      </w:divBdr>
    </w:div>
    <w:div w:id="1540044479">
      <w:bodyDiv w:val="1"/>
      <w:marLeft w:val="0"/>
      <w:marRight w:val="0"/>
      <w:marTop w:val="0"/>
      <w:marBottom w:val="0"/>
      <w:divBdr>
        <w:top w:val="none" w:sz="0" w:space="0" w:color="auto"/>
        <w:left w:val="none" w:sz="0" w:space="0" w:color="auto"/>
        <w:bottom w:val="none" w:sz="0" w:space="0" w:color="auto"/>
        <w:right w:val="none" w:sz="0" w:space="0" w:color="auto"/>
      </w:divBdr>
    </w:div>
    <w:div w:id="1543589602">
      <w:bodyDiv w:val="1"/>
      <w:marLeft w:val="0"/>
      <w:marRight w:val="0"/>
      <w:marTop w:val="0"/>
      <w:marBottom w:val="0"/>
      <w:divBdr>
        <w:top w:val="none" w:sz="0" w:space="0" w:color="auto"/>
        <w:left w:val="none" w:sz="0" w:space="0" w:color="auto"/>
        <w:bottom w:val="none" w:sz="0" w:space="0" w:color="auto"/>
        <w:right w:val="none" w:sz="0" w:space="0" w:color="auto"/>
      </w:divBdr>
    </w:div>
    <w:div w:id="1554610625">
      <w:bodyDiv w:val="1"/>
      <w:marLeft w:val="0"/>
      <w:marRight w:val="0"/>
      <w:marTop w:val="0"/>
      <w:marBottom w:val="0"/>
      <w:divBdr>
        <w:top w:val="none" w:sz="0" w:space="0" w:color="auto"/>
        <w:left w:val="none" w:sz="0" w:space="0" w:color="auto"/>
        <w:bottom w:val="none" w:sz="0" w:space="0" w:color="auto"/>
        <w:right w:val="none" w:sz="0" w:space="0" w:color="auto"/>
      </w:divBdr>
    </w:div>
    <w:div w:id="1578635675">
      <w:bodyDiv w:val="1"/>
      <w:marLeft w:val="0"/>
      <w:marRight w:val="0"/>
      <w:marTop w:val="0"/>
      <w:marBottom w:val="0"/>
      <w:divBdr>
        <w:top w:val="none" w:sz="0" w:space="0" w:color="auto"/>
        <w:left w:val="none" w:sz="0" w:space="0" w:color="auto"/>
        <w:bottom w:val="none" w:sz="0" w:space="0" w:color="auto"/>
        <w:right w:val="none" w:sz="0" w:space="0" w:color="auto"/>
      </w:divBdr>
    </w:div>
    <w:div w:id="1594629280">
      <w:bodyDiv w:val="1"/>
      <w:marLeft w:val="0"/>
      <w:marRight w:val="0"/>
      <w:marTop w:val="0"/>
      <w:marBottom w:val="0"/>
      <w:divBdr>
        <w:top w:val="none" w:sz="0" w:space="0" w:color="auto"/>
        <w:left w:val="none" w:sz="0" w:space="0" w:color="auto"/>
        <w:bottom w:val="none" w:sz="0" w:space="0" w:color="auto"/>
        <w:right w:val="none" w:sz="0" w:space="0" w:color="auto"/>
      </w:divBdr>
    </w:div>
    <w:div w:id="1669598977">
      <w:bodyDiv w:val="1"/>
      <w:marLeft w:val="0"/>
      <w:marRight w:val="0"/>
      <w:marTop w:val="0"/>
      <w:marBottom w:val="0"/>
      <w:divBdr>
        <w:top w:val="none" w:sz="0" w:space="0" w:color="auto"/>
        <w:left w:val="none" w:sz="0" w:space="0" w:color="auto"/>
        <w:bottom w:val="none" w:sz="0" w:space="0" w:color="auto"/>
        <w:right w:val="none" w:sz="0" w:space="0" w:color="auto"/>
      </w:divBdr>
      <w:divsChild>
        <w:div w:id="1377008301">
          <w:marLeft w:val="547"/>
          <w:marRight w:val="0"/>
          <w:marTop w:val="115"/>
          <w:marBottom w:val="0"/>
          <w:divBdr>
            <w:top w:val="none" w:sz="0" w:space="0" w:color="auto"/>
            <w:left w:val="none" w:sz="0" w:space="0" w:color="auto"/>
            <w:bottom w:val="none" w:sz="0" w:space="0" w:color="auto"/>
            <w:right w:val="none" w:sz="0" w:space="0" w:color="auto"/>
          </w:divBdr>
        </w:div>
        <w:div w:id="737091719">
          <w:marLeft w:val="547"/>
          <w:marRight w:val="0"/>
          <w:marTop w:val="115"/>
          <w:marBottom w:val="0"/>
          <w:divBdr>
            <w:top w:val="none" w:sz="0" w:space="0" w:color="auto"/>
            <w:left w:val="none" w:sz="0" w:space="0" w:color="auto"/>
            <w:bottom w:val="none" w:sz="0" w:space="0" w:color="auto"/>
            <w:right w:val="none" w:sz="0" w:space="0" w:color="auto"/>
          </w:divBdr>
        </w:div>
      </w:divsChild>
    </w:div>
    <w:div w:id="1670057076">
      <w:bodyDiv w:val="1"/>
      <w:marLeft w:val="0"/>
      <w:marRight w:val="0"/>
      <w:marTop w:val="0"/>
      <w:marBottom w:val="0"/>
      <w:divBdr>
        <w:top w:val="none" w:sz="0" w:space="0" w:color="auto"/>
        <w:left w:val="none" w:sz="0" w:space="0" w:color="auto"/>
        <w:bottom w:val="none" w:sz="0" w:space="0" w:color="auto"/>
        <w:right w:val="none" w:sz="0" w:space="0" w:color="auto"/>
      </w:divBdr>
    </w:div>
    <w:div w:id="1675065177">
      <w:bodyDiv w:val="1"/>
      <w:marLeft w:val="0"/>
      <w:marRight w:val="0"/>
      <w:marTop w:val="0"/>
      <w:marBottom w:val="0"/>
      <w:divBdr>
        <w:top w:val="none" w:sz="0" w:space="0" w:color="auto"/>
        <w:left w:val="none" w:sz="0" w:space="0" w:color="auto"/>
        <w:bottom w:val="none" w:sz="0" w:space="0" w:color="auto"/>
        <w:right w:val="none" w:sz="0" w:space="0" w:color="auto"/>
      </w:divBdr>
    </w:div>
    <w:div w:id="1710833126">
      <w:bodyDiv w:val="1"/>
      <w:marLeft w:val="0"/>
      <w:marRight w:val="0"/>
      <w:marTop w:val="0"/>
      <w:marBottom w:val="0"/>
      <w:divBdr>
        <w:top w:val="none" w:sz="0" w:space="0" w:color="auto"/>
        <w:left w:val="none" w:sz="0" w:space="0" w:color="auto"/>
        <w:bottom w:val="none" w:sz="0" w:space="0" w:color="auto"/>
        <w:right w:val="none" w:sz="0" w:space="0" w:color="auto"/>
      </w:divBdr>
    </w:div>
    <w:div w:id="1741900213">
      <w:bodyDiv w:val="1"/>
      <w:marLeft w:val="0"/>
      <w:marRight w:val="0"/>
      <w:marTop w:val="0"/>
      <w:marBottom w:val="0"/>
      <w:divBdr>
        <w:top w:val="none" w:sz="0" w:space="0" w:color="auto"/>
        <w:left w:val="none" w:sz="0" w:space="0" w:color="auto"/>
        <w:bottom w:val="none" w:sz="0" w:space="0" w:color="auto"/>
        <w:right w:val="none" w:sz="0" w:space="0" w:color="auto"/>
      </w:divBdr>
    </w:div>
    <w:div w:id="1761222465">
      <w:bodyDiv w:val="1"/>
      <w:marLeft w:val="0"/>
      <w:marRight w:val="0"/>
      <w:marTop w:val="0"/>
      <w:marBottom w:val="0"/>
      <w:divBdr>
        <w:top w:val="none" w:sz="0" w:space="0" w:color="auto"/>
        <w:left w:val="none" w:sz="0" w:space="0" w:color="auto"/>
        <w:bottom w:val="none" w:sz="0" w:space="0" w:color="auto"/>
        <w:right w:val="none" w:sz="0" w:space="0" w:color="auto"/>
      </w:divBdr>
    </w:div>
    <w:div w:id="1762020845">
      <w:bodyDiv w:val="1"/>
      <w:marLeft w:val="0"/>
      <w:marRight w:val="0"/>
      <w:marTop w:val="0"/>
      <w:marBottom w:val="0"/>
      <w:divBdr>
        <w:top w:val="none" w:sz="0" w:space="0" w:color="auto"/>
        <w:left w:val="none" w:sz="0" w:space="0" w:color="auto"/>
        <w:bottom w:val="none" w:sz="0" w:space="0" w:color="auto"/>
        <w:right w:val="none" w:sz="0" w:space="0" w:color="auto"/>
      </w:divBdr>
    </w:div>
    <w:div w:id="1789351530">
      <w:bodyDiv w:val="1"/>
      <w:marLeft w:val="0"/>
      <w:marRight w:val="0"/>
      <w:marTop w:val="0"/>
      <w:marBottom w:val="0"/>
      <w:divBdr>
        <w:top w:val="none" w:sz="0" w:space="0" w:color="auto"/>
        <w:left w:val="none" w:sz="0" w:space="0" w:color="auto"/>
        <w:bottom w:val="none" w:sz="0" w:space="0" w:color="auto"/>
        <w:right w:val="none" w:sz="0" w:space="0" w:color="auto"/>
      </w:divBdr>
    </w:div>
    <w:div w:id="1810514766">
      <w:bodyDiv w:val="1"/>
      <w:marLeft w:val="0"/>
      <w:marRight w:val="0"/>
      <w:marTop w:val="0"/>
      <w:marBottom w:val="0"/>
      <w:divBdr>
        <w:top w:val="none" w:sz="0" w:space="0" w:color="auto"/>
        <w:left w:val="none" w:sz="0" w:space="0" w:color="auto"/>
        <w:bottom w:val="none" w:sz="0" w:space="0" w:color="auto"/>
        <w:right w:val="none" w:sz="0" w:space="0" w:color="auto"/>
      </w:divBdr>
    </w:div>
    <w:div w:id="1810634114">
      <w:bodyDiv w:val="1"/>
      <w:marLeft w:val="0"/>
      <w:marRight w:val="0"/>
      <w:marTop w:val="0"/>
      <w:marBottom w:val="0"/>
      <w:divBdr>
        <w:top w:val="none" w:sz="0" w:space="0" w:color="auto"/>
        <w:left w:val="none" w:sz="0" w:space="0" w:color="auto"/>
        <w:bottom w:val="none" w:sz="0" w:space="0" w:color="auto"/>
        <w:right w:val="none" w:sz="0" w:space="0" w:color="auto"/>
      </w:divBdr>
    </w:div>
    <w:div w:id="1845783503">
      <w:bodyDiv w:val="1"/>
      <w:marLeft w:val="0"/>
      <w:marRight w:val="0"/>
      <w:marTop w:val="0"/>
      <w:marBottom w:val="0"/>
      <w:divBdr>
        <w:top w:val="none" w:sz="0" w:space="0" w:color="auto"/>
        <w:left w:val="none" w:sz="0" w:space="0" w:color="auto"/>
        <w:bottom w:val="none" w:sz="0" w:space="0" w:color="auto"/>
        <w:right w:val="none" w:sz="0" w:space="0" w:color="auto"/>
      </w:divBdr>
    </w:div>
    <w:div w:id="1890267263">
      <w:bodyDiv w:val="1"/>
      <w:marLeft w:val="0"/>
      <w:marRight w:val="0"/>
      <w:marTop w:val="0"/>
      <w:marBottom w:val="0"/>
      <w:divBdr>
        <w:top w:val="none" w:sz="0" w:space="0" w:color="auto"/>
        <w:left w:val="none" w:sz="0" w:space="0" w:color="auto"/>
        <w:bottom w:val="none" w:sz="0" w:space="0" w:color="auto"/>
        <w:right w:val="none" w:sz="0" w:space="0" w:color="auto"/>
      </w:divBdr>
    </w:div>
    <w:div w:id="1923444872">
      <w:bodyDiv w:val="1"/>
      <w:marLeft w:val="0"/>
      <w:marRight w:val="0"/>
      <w:marTop w:val="0"/>
      <w:marBottom w:val="0"/>
      <w:divBdr>
        <w:top w:val="none" w:sz="0" w:space="0" w:color="auto"/>
        <w:left w:val="none" w:sz="0" w:space="0" w:color="auto"/>
        <w:bottom w:val="none" w:sz="0" w:space="0" w:color="auto"/>
        <w:right w:val="none" w:sz="0" w:space="0" w:color="auto"/>
      </w:divBdr>
    </w:div>
    <w:div w:id="1936357339">
      <w:bodyDiv w:val="1"/>
      <w:marLeft w:val="0"/>
      <w:marRight w:val="0"/>
      <w:marTop w:val="0"/>
      <w:marBottom w:val="0"/>
      <w:divBdr>
        <w:top w:val="none" w:sz="0" w:space="0" w:color="auto"/>
        <w:left w:val="none" w:sz="0" w:space="0" w:color="auto"/>
        <w:bottom w:val="none" w:sz="0" w:space="0" w:color="auto"/>
        <w:right w:val="none" w:sz="0" w:space="0" w:color="auto"/>
      </w:divBdr>
    </w:div>
    <w:div w:id="2007248308">
      <w:bodyDiv w:val="1"/>
      <w:marLeft w:val="0"/>
      <w:marRight w:val="0"/>
      <w:marTop w:val="0"/>
      <w:marBottom w:val="0"/>
      <w:divBdr>
        <w:top w:val="none" w:sz="0" w:space="0" w:color="auto"/>
        <w:left w:val="none" w:sz="0" w:space="0" w:color="auto"/>
        <w:bottom w:val="none" w:sz="0" w:space="0" w:color="auto"/>
        <w:right w:val="none" w:sz="0" w:space="0" w:color="auto"/>
      </w:divBdr>
    </w:div>
    <w:div w:id="2043742617">
      <w:bodyDiv w:val="1"/>
      <w:marLeft w:val="0"/>
      <w:marRight w:val="0"/>
      <w:marTop w:val="0"/>
      <w:marBottom w:val="0"/>
      <w:divBdr>
        <w:top w:val="none" w:sz="0" w:space="0" w:color="auto"/>
        <w:left w:val="none" w:sz="0" w:space="0" w:color="auto"/>
        <w:bottom w:val="none" w:sz="0" w:space="0" w:color="auto"/>
        <w:right w:val="none" w:sz="0" w:space="0" w:color="auto"/>
      </w:divBdr>
    </w:div>
    <w:div w:id="2098746519">
      <w:bodyDiv w:val="1"/>
      <w:marLeft w:val="0"/>
      <w:marRight w:val="0"/>
      <w:marTop w:val="0"/>
      <w:marBottom w:val="0"/>
      <w:divBdr>
        <w:top w:val="none" w:sz="0" w:space="0" w:color="auto"/>
        <w:left w:val="none" w:sz="0" w:space="0" w:color="auto"/>
        <w:bottom w:val="none" w:sz="0" w:space="0" w:color="auto"/>
        <w:right w:val="none" w:sz="0" w:space="0" w:color="auto"/>
      </w:divBdr>
    </w:div>
    <w:div w:id="2109811713">
      <w:bodyDiv w:val="1"/>
      <w:marLeft w:val="0"/>
      <w:marRight w:val="0"/>
      <w:marTop w:val="0"/>
      <w:marBottom w:val="0"/>
      <w:divBdr>
        <w:top w:val="none" w:sz="0" w:space="0" w:color="auto"/>
        <w:left w:val="none" w:sz="0" w:space="0" w:color="auto"/>
        <w:bottom w:val="none" w:sz="0" w:space="0" w:color="auto"/>
        <w:right w:val="none" w:sz="0" w:space="0" w:color="auto"/>
      </w:divBdr>
    </w:div>
    <w:div w:id="2116095514">
      <w:bodyDiv w:val="1"/>
      <w:marLeft w:val="0"/>
      <w:marRight w:val="0"/>
      <w:marTop w:val="0"/>
      <w:marBottom w:val="0"/>
      <w:divBdr>
        <w:top w:val="none" w:sz="0" w:space="0" w:color="auto"/>
        <w:left w:val="none" w:sz="0" w:space="0" w:color="auto"/>
        <w:bottom w:val="none" w:sz="0" w:space="0" w:color="auto"/>
        <w:right w:val="none" w:sz="0" w:space="0" w:color="auto"/>
      </w:divBdr>
    </w:div>
    <w:div w:id="2118063245">
      <w:bodyDiv w:val="1"/>
      <w:marLeft w:val="0"/>
      <w:marRight w:val="0"/>
      <w:marTop w:val="0"/>
      <w:marBottom w:val="0"/>
      <w:divBdr>
        <w:top w:val="none" w:sz="0" w:space="0" w:color="auto"/>
        <w:left w:val="none" w:sz="0" w:space="0" w:color="auto"/>
        <w:bottom w:val="none" w:sz="0" w:space="0" w:color="auto"/>
        <w:right w:val="none" w:sz="0" w:space="0" w:color="auto"/>
      </w:divBdr>
    </w:div>
    <w:div w:id="2142384773">
      <w:bodyDiv w:val="1"/>
      <w:marLeft w:val="0"/>
      <w:marRight w:val="0"/>
      <w:marTop w:val="0"/>
      <w:marBottom w:val="0"/>
      <w:divBdr>
        <w:top w:val="none" w:sz="0" w:space="0" w:color="auto"/>
        <w:left w:val="none" w:sz="0" w:space="0" w:color="auto"/>
        <w:bottom w:val="none" w:sz="0" w:space="0" w:color="auto"/>
        <w:right w:val="none" w:sz="0" w:space="0" w:color="auto"/>
      </w:divBdr>
    </w:div>
    <w:div w:id="2147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6633DFF8-2742-4C85-ADAB-90DB522E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3538</Words>
  <Characters>20172</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2</cp:revision>
  <cp:lastPrinted>2021-11-22T08:36:00Z</cp:lastPrinted>
  <dcterms:created xsi:type="dcterms:W3CDTF">2022-09-29T12:19:00Z</dcterms:created>
  <dcterms:modified xsi:type="dcterms:W3CDTF">2022-09-29T12:19:00Z</dcterms:modified>
</cp:coreProperties>
</file>