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09" w:rsidRPr="00BC1D09" w:rsidRDefault="00BC1D09" w:rsidP="00BC1D09">
      <w:pPr>
        <w:pageBreakBefore/>
        <w:autoSpaceDN w:val="0"/>
        <w:spacing w:before="255" w:after="0" w:line="240" w:lineRule="auto"/>
        <w:jc w:val="center"/>
        <w:textAlignment w:val="baseline"/>
        <w:rPr>
          <w:rFonts w:ascii="Times New Roman" w:eastAsia="Alegreya" w:hAnsi="Times New Roman" w:cs="Times New Roman"/>
          <w:b/>
          <w:caps/>
          <w:spacing w:val="30"/>
          <w:kern w:val="3"/>
          <w:sz w:val="24"/>
          <w:szCs w:val="24"/>
        </w:rPr>
      </w:pPr>
      <w:r w:rsidRPr="00BC1D09">
        <w:rPr>
          <w:rFonts w:ascii="Times New Roman" w:eastAsia="Alegreya" w:hAnsi="Times New Roman" w:cs="Times New Roman"/>
          <w:b/>
          <w:caps/>
          <w:spacing w:val="30"/>
          <w:kern w:val="3"/>
          <w:sz w:val="24"/>
          <w:szCs w:val="24"/>
        </w:rPr>
        <w:t>DOLOŽKA ZLUČITEĽNOSTI</w:t>
      </w:r>
    </w:p>
    <w:p w:rsidR="00BC1D09" w:rsidRPr="00BC1D09" w:rsidRDefault="00BC1D09" w:rsidP="00BC1D0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1D09" w:rsidRPr="00BC1D09" w:rsidRDefault="00BC1D09" w:rsidP="00BC1D0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1D09">
        <w:rPr>
          <w:rFonts w:ascii="Times New Roman" w:eastAsia="Calibri" w:hAnsi="Times New Roman" w:cs="Times New Roman"/>
          <w:b/>
          <w:bCs/>
          <w:sz w:val="24"/>
          <w:szCs w:val="24"/>
        </w:rPr>
        <w:t>návrhu zákona</w:t>
      </w:r>
      <w:r w:rsidRPr="00BC1D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1D09">
        <w:rPr>
          <w:rFonts w:ascii="Times New Roman" w:eastAsia="Calibri" w:hAnsi="Times New Roman" w:cs="Times New Roman"/>
          <w:b/>
          <w:bCs/>
          <w:sz w:val="24"/>
          <w:szCs w:val="24"/>
        </w:rPr>
        <w:t>s právom Európskej únie</w:t>
      </w:r>
    </w:p>
    <w:p w:rsidR="00BC1D09" w:rsidRPr="00BC1D09" w:rsidRDefault="00BC1D09" w:rsidP="00BC1D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1D09" w:rsidRPr="00BC1D09" w:rsidRDefault="00BC1D09" w:rsidP="00BC1D09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D09">
        <w:rPr>
          <w:rFonts w:ascii="Times New Roman" w:eastAsia="Times New Roman" w:hAnsi="Times New Roman" w:cs="Times New Roman"/>
          <w:b/>
          <w:bCs/>
          <w:sz w:val="24"/>
          <w:szCs w:val="24"/>
        </w:rPr>
        <w:t>Predkladateľ návrhu zákona:</w:t>
      </w:r>
      <w:r w:rsidRPr="00BC1D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1D09">
        <w:rPr>
          <w:rFonts w:ascii="Times New Roman" w:eastAsia="Times New Roman" w:hAnsi="Times New Roman" w:cs="Times New Roman"/>
          <w:sz w:val="24"/>
          <w:szCs w:val="24"/>
        </w:rPr>
        <w:t xml:space="preserve">poslanec Národnej rady Slovenskej republiky </w:t>
      </w:r>
    </w:p>
    <w:p w:rsidR="00BC1D09" w:rsidRPr="00BC1D09" w:rsidRDefault="00BC1D09" w:rsidP="00BC1D09">
      <w:pPr>
        <w:spacing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260" w:rsidRPr="00A44D03" w:rsidRDefault="00BC1D09" w:rsidP="00137260">
      <w:pPr>
        <w:tabs>
          <w:tab w:val="left" w:pos="3686"/>
          <w:tab w:val="left" w:pos="5670"/>
        </w:tabs>
        <w:jc w:val="both"/>
        <w:rPr>
          <w:rFonts w:ascii="Times New Roman" w:eastAsia="Times New Roman" w:hAnsi="Times New Roman" w:cs="Times New Roman"/>
          <w:lang w:eastAsia="cs-CZ"/>
        </w:rPr>
      </w:pPr>
      <w:r w:rsidRPr="001372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Názov návrhu právneho predpisu: </w:t>
      </w:r>
      <w:r w:rsidR="00B823DD" w:rsidRPr="00B823DD">
        <w:rPr>
          <w:rFonts w:ascii="Times New Roman" w:eastAsia="Times New Roman" w:hAnsi="Times New Roman" w:cs="Times New Roman"/>
          <w:bCs/>
          <w:sz w:val="24"/>
          <w:szCs w:val="24"/>
        </w:rPr>
        <w:t>návrh na vydanie zákona</w:t>
      </w:r>
      <w:r w:rsidR="00137260" w:rsidRPr="00137260">
        <w:rPr>
          <w:rFonts w:ascii="Times New Roman" w:eastAsia="Times New Roman" w:hAnsi="Times New Roman" w:cs="Times New Roman"/>
          <w:sz w:val="24"/>
          <w:szCs w:val="24"/>
          <w:lang w:eastAsia="cs-CZ"/>
        </w:rPr>
        <w:t>, ktorým sa mení a dopĺňa zákon č. 301/2005 Z. z. Trestný poriadok v znení neskorších predpisov</w:t>
      </w:r>
      <w:r w:rsidR="00137260" w:rsidRPr="00A44D03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BC1D09" w:rsidRPr="00137260" w:rsidRDefault="00BC1D09" w:rsidP="0032783F">
      <w:pPr>
        <w:numPr>
          <w:ilvl w:val="0"/>
          <w:numId w:val="1"/>
        </w:numPr>
        <w:spacing w:after="0" w:line="276" w:lineRule="auto"/>
        <w:ind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D09" w:rsidRPr="00BC1D09" w:rsidRDefault="00BC1D09" w:rsidP="00BC1D09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1D09">
        <w:rPr>
          <w:rFonts w:ascii="Times New Roman" w:eastAsia="Times New Roman" w:hAnsi="Times New Roman" w:cs="Times New Roman"/>
          <w:b/>
          <w:bCs/>
          <w:sz w:val="24"/>
          <w:szCs w:val="24"/>
        </w:rPr>
        <w:t>Predmet návrhu právneho predpisu:</w:t>
      </w:r>
    </w:p>
    <w:p w:rsidR="00BC1D09" w:rsidRPr="00BC1D09" w:rsidRDefault="00BC1D09" w:rsidP="00BC1D09">
      <w:p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D09">
        <w:rPr>
          <w:rFonts w:ascii="Times New Roman" w:eastAsia="Calibri" w:hAnsi="Times New Roman" w:cs="Times New Roman"/>
          <w:sz w:val="24"/>
          <w:szCs w:val="24"/>
        </w:rPr>
        <w:t>a)</w:t>
      </w:r>
      <w:r w:rsidRPr="00BC1D09">
        <w:rPr>
          <w:rFonts w:ascii="Times New Roman" w:eastAsia="Calibri" w:hAnsi="Times New Roman" w:cs="Times New Roman"/>
          <w:sz w:val="24"/>
          <w:szCs w:val="24"/>
        </w:rPr>
        <w:tab/>
        <w:t xml:space="preserve">nie je upravený v primárnom práve Európskej únie, </w:t>
      </w:r>
    </w:p>
    <w:p w:rsidR="00BC1D09" w:rsidRPr="00BC1D09" w:rsidRDefault="00BC1D09" w:rsidP="00BC1D09">
      <w:pPr>
        <w:spacing w:after="0" w:line="240" w:lineRule="auto"/>
        <w:ind w:hanging="141"/>
        <w:rPr>
          <w:rFonts w:ascii="Times New Roman" w:eastAsia="Calibri" w:hAnsi="Times New Roman" w:cs="Times New Roman"/>
          <w:sz w:val="24"/>
          <w:szCs w:val="24"/>
        </w:rPr>
      </w:pPr>
    </w:p>
    <w:p w:rsidR="00BC1D09" w:rsidRPr="00BC1D09" w:rsidRDefault="00BC1D09" w:rsidP="00BC1D09">
      <w:p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D09">
        <w:rPr>
          <w:rFonts w:ascii="Times New Roman" w:eastAsia="Calibri" w:hAnsi="Times New Roman" w:cs="Times New Roman"/>
          <w:sz w:val="24"/>
          <w:szCs w:val="24"/>
        </w:rPr>
        <w:t>b)</w:t>
      </w:r>
      <w:r w:rsidRPr="00BC1D09">
        <w:rPr>
          <w:rFonts w:ascii="Times New Roman" w:eastAsia="Calibri" w:hAnsi="Times New Roman" w:cs="Times New Roman"/>
          <w:sz w:val="24"/>
          <w:szCs w:val="24"/>
        </w:rPr>
        <w:tab/>
        <w:t xml:space="preserve">nie je upravený v sekundárnom práve Európskej únie, </w:t>
      </w:r>
    </w:p>
    <w:p w:rsidR="00BC1D09" w:rsidRPr="00BC1D09" w:rsidRDefault="00BC1D09" w:rsidP="00BC1D09">
      <w:p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D09" w:rsidRPr="00BC1D09" w:rsidRDefault="00BC1D09" w:rsidP="00BC1D09">
      <w:p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D09">
        <w:rPr>
          <w:rFonts w:ascii="Times New Roman" w:eastAsia="Calibri" w:hAnsi="Times New Roman" w:cs="Times New Roman"/>
          <w:sz w:val="24"/>
          <w:szCs w:val="24"/>
        </w:rPr>
        <w:t>c)</w:t>
      </w:r>
      <w:r w:rsidRPr="00BC1D09">
        <w:rPr>
          <w:rFonts w:ascii="Times New Roman" w:eastAsia="Calibri" w:hAnsi="Times New Roman" w:cs="Times New Roman"/>
          <w:sz w:val="24"/>
          <w:szCs w:val="24"/>
        </w:rPr>
        <w:tab/>
        <w:t xml:space="preserve">nie je obsiahnutý v judikatúre Súdneho dvora Európskej únie, </w:t>
      </w:r>
    </w:p>
    <w:p w:rsidR="00BC1D09" w:rsidRPr="00BC1D09" w:rsidRDefault="00BC1D09" w:rsidP="00BC1D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1D09" w:rsidRPr="00BC1D09" w:rsidRDefault="00BC1D09" w:rsidP="00BC1D09">
      <w:pPr>
        <w:spacing w:after="0" w:line="240" w:lineRule="auto"/>
        <w:ind w:left="425"/>
        <w:rPr>
          <w:rFonts w:ascii="Times New Roman" w:eastAsia="Calibri" w:hAnsi="Times New Roman" w:cs="Times New Roman"/>
          <w:sz w:val="24"/>
          <w:szCs w:val="24"/>
        </w:rPr>
      </w:pPr>
      <w:r w:rsidRPr="00BC1D09">
        <w:rPr>
          <w:rFonts w:ascii="Times New Roman" w:eastAsia="Calibri" w:hAnsi="Times New Roman" w:cs="Times New Roman"/>
          <w:sz w:val="24"/>
          <w:szCs w:val="24"/>
        </w:rPr>
        <w:t>Vzhľadom na to, že predmet návrhu zákona nie je upravený v práve Európskej únie, je bezpredmetné vyjadrovať sa k bodom 4. a 5.</w:t>
      </w:r>
    </w:p>
    <w:p w:rsidR="00BC1D09" w:rsidRPr="00BC1D09" w:rsidRDefault="00BC1D09" w:rsidP="00BC1D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1D09" w:rsidRPr="00BC1D09" w:rsidRDefault="00BC1D09" w:rsidP="00BC1D09">
      <w:pPr>
        <w:spacing w:after="0" w:line="276" w:lineRule="auto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C1D09" w:rsidRPr="00BC1D09" w:rsidRDefault="00BC1D09" w:rsidP="00BC1D09">
      <w:pPr>
        <w:spacing w:after="0" w:line="276" w:lineRule="auto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C1D09" w:rsidRPr="00BC1D09" w:rsidRDefault="00BC1D09" w:rsidP="00BC1D09">
      <w:pPr>
        <w:spacing w:after="0" w:line="276" w:lineRule="auto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C1D09" w:rsidRPr="00BC1D09" w:rsidRDefault="00BC1D09" w:rsidP="00BC1D09">
      <w:pPr>
        <w:spacing w:after="0" w:line="276" w:lineRule="auto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C1D09" w:rsidRPr="00BC1D09" w:rsidRDefault="00BC1D09" w:rsidP="00BC1D09">
      <w:pPr>
        <w:spacing w:after="0" w:line="276" w:lineRule="auto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C1D09" w:rsidRPr="00BC1D09" w:rsidRDefault="00BC1D09" w:rsidP="00BC1D09">
      <w:pPr>
        <w:spacing w:after="0" w:line="276" w:lineRule="auto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C1D09" w:rsidRPr="00BC1D09" w:rsidRDefault="00BC1D09" w:rsidP="00BC1D09">
      <w:pPr>
        <w:spacing w:after="0" w:line="276" w:lineRule="auto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C1D09" w:rsidRPr="00BC1D09" w:rsidRDefault="00BC1D09" w:rsidP="00BC1D09">
      <w:pPr>
        <w:spacing w:after="0" w:line="276" w:lineRule="auto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C1D09" w:rsidRPr="00BC1D09" w:rsidRDefault="00BC1D09" w:rsidP="00BC1D09">
      <w:pPr>
        <w:spacing w:after="0" w:line="276" w:lineRule="auto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C1D09" w:rsidRPr="00BC1D09" w:rsidRDefault="00BC1D09" w:rsidP="00BC1D09">
      <w:pPr>
        <w:spacing w:after="0" w:line="276" w:lineRule="auto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C1D09" w:rsidRPr="00BC1D09" w:rsidRDefault="00BC1D09" w:rsidP="00BC1D09">
      <w:pPr>
        <w:spacing w:after="0" w:line="276" w:lineRule="auto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C1D09" w:rsidRPr="00BC1D09" w:rsidRDefault="00BC1D09" w:rsidP="00BC1D09">
      <w:pPr>
        <w:spacing w:after="0" w:line="276" w:lineRule="auto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C1D09" w:rsidRPr="00BC1D09" w:rsidRDefault="00BC1D09" w:rsidP="00BC1D09">
      <w:pPr>
        <w:spacing w:after="0" w:line="276" w:lineRule="auto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C1D09" w:rsidRPr="00BC1D09" w:rsidRDefault="00BC1D09" w:rsidP="00BC1D09">
      <w:pPr>
        <w:spacing w:after="0" w:line="276" w:lineRule="auto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C1D09" w:rsidRPr="00BC1D09" w:rsidRDefault="00BC1D09" w:rsidP="00BC1D09">
      <w:pPr>
        <w:spacing w:after="0" w:line="276" w:lineRule="auto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C1D09" w:rsidRPr="00BC1D09" w:rsidRDefault="00BC1D09" w:rsidP="00BC1D09">
      <w:pPr>
        <w:spacing w:after="0" w:line="276" w:lineRule="auto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C1D09" w:rsidRPr="00BC1D09" w:rsidRDefault="00BC1D09" w:rsidP="00BC1D09">
      <w:pPr>
        <w:spacing w:after="0" w:line="276" w:lineRule="auto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C1D09" w:rsidRPr="00BC1D09" w:rsidRDefault="00BC1D09" w:rsidP="00BC1D09">
      <w:pPr>
        <w:spacing w:after="0" w:line="276" w:lineRule="auto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C1D09" w:rsidRPr="00BC1D09" w:rsidRDefault="00BC1D09" w:rsidP="00BC1D09">
      <w:pPr>
        <w:spacing w:after="0" w:line="276" w:lineRule="auto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C1D09" w:rsidRPr="00BC1D09" w:rsidRDefault="00BC1D09" w:rsidP="00BC1D09">
      <w:pPr>
        <w:spacing w:after="0" w:line="276" w:lineRule="auto"/>
        <w:ind w:right="-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C1D09" w:rsidRPr="00BC1D09" w:rsidRDefault="00BC1D09" w:rsidP="00BC1D09">
      <w:pPr>
        <w:spacing w:after="0" w:line="276" w:lineRule="auto"/>
        <w:ind w:right="-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C1D09" w:rsidRPr="00BC1D09" w:rsidRDefault="00BC1D09" w:rsidP="00BC1D09">
      <w:pPr>
        <w:spacing w:after="0" w:line="276" w:lineRule="auto"/>
        <w:ind w:right="-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C1D09" w:rsidRPr="00BC1D09" w:rsidRDefault="00BC1D09" w:rsidP="00BC1D09">
      <w:pPr>
        <w:spacing w:after="0" w:line="276" w:lineRule="auto"/>
        <w:ind w:right="-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C1D09" w:rsidRPr="00BC1D09" w:rsidRDefault="00BC1D09" w:rsidP="00BC1D09">
      <w:pPr>
        <w:spacing w:after="0" w:line="276" w:lineRule="auto"/>
        <w:ind w:right="-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C1D09" w:rsidRPr="00BC1D09" w:rsidRDefault="00BC1D09" w:rsidP="00BC1D09">
      <w:pPr>
        <w:spacing w:after="0" w:line="276" w:lineRule="auto"/>
        <w:ind w:right="-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C1D09" w:rsidRPr="00BC1D09" w:rsidRDefault="00BC1D09" w:rsidP="00BC1D09">
      <w:pPr>
        <w:pageBreakBefore/>
        <w:autoSpaceDN w:val="0"/>
        <w:spacing w:before="255" w:after="0" w:line="240" w:lineRule="auto"/>
        <w:jc w:val="center"/>
        <w:textAlignment w:val="baseline"/>
        <w:rPr>
          <w:rFonts w:ascii="Times New Roman" w:eastAsia="Alegreya" w:hAnsi="Times New Roman" w:cs="Times New Roman"/>
          <w:b/>
          <w:caps/>
          <w:spacing w:val="30"/>
          <w:kern w:val="3"/>
          <w:sz w:val="24"/>
          <w:szCs w:val="24"/>
        </w:rPr>
      </w:pPr>
      <w:r w:rsidRPr="00BC1D09">
        <w:rPr>
          <w:rFonts w:ascii="Times New Roman" w:eastAsia="Alegreya" w:hAnsi="Times New Roman" w:cs="Times New Roman"/>
          <w:b/>
          <w:caps/>
          <w:spacing w:val="30"/>
          <w:kern w:val="3"/>
          <w:sz w:val="24"/>
          <w:szCs w:val="24"/>
        </w:rPr>
        <w:lastRenderedPageBreak/>
        <w:t>DOLOŽKA VYBRANÝCH VPLYVOV</w:t>
      </w:r>
    </w:p>
    <w:p w:rsidR="00BC1D09" w:rsidRPr="00BC1D09" w:rsidRDefault="00BC1D09" w:rsidP="00BC1D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128E" w:rsidRPr="00BC1D09" w:rsidRDefault="00BC1D09" w:rsidP="006C128E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D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A.1. Názov materiálu: </w:t>
      </w:r>
      <w:r w:rsidR="00B823DD" w:rsidRPr="00B823DD">
        <w:rPr>
          <w:rFonts w:ascii="Times New Roman" w:eastAsia="Times New Roman" w:hAnsi="Times New Roman" w:cs="Times New Roman"/>
          <w:bCs/>
          <w:sz w:val="24"/>
          <w:szCs w:val="24"/>
        </w:rPr>
        <w:t>návrh na vydanie zákona</w:t>
      </w:r>
      <w:r w:rsidR="00B823DD" w:rsidRPr="00137260">
        <w:rPr>
          <w:rFonts w:ascii="Times New Roman" w:eastAsia="Times New Roman" w:hAnsi="Times New Roman" w:cs="Times New Roman"/>
          <w:sz w:val="24"/>
          <w:szCs w:val="24"/>
          <w:lang w:eastAsia="cs-CZ"/>
        </w:rPr>
        <w:t>, ktorým sa mení a dopĺňa zákon č. 301/2005 Z. z. Trestný poriadok v znení neskorších predpisov</w:t>
      </w:r>
    </w:p>
    <w:p w:rsidR="00BC1D09" w:rsidRPr="00BC1D09" w:rsidRDefault="00BC1D09" w:rsidP="00BC1D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C1D09" w:rsidRPr="00BC1D09" w:rsidRDefault="00BC1D09" w:rsidP="00BC1D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D09">
        <w:rPr>
          <w:rFonts w:ascii="Times New Roman" w:eastAsia="Calibri" w:hAnsi="Times New Roman" w:cs="Times New Roman"/>
          <w:b/>
          <w:bCs/>
          <w:sz w:val="24"/>
          <w:szCs w:val="24"/>
        </w:rPr>
        <w:t>Termín začatia a ukončenia PPK:</w:t>
      </w:r>
      <w:r w:rsidRPr="00BC1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1D09">
        <w:rPr>
          <w:rFonts w:ascii="Times New Roman" w:eastAsia="Calibri" w:hAnsi="Times New Roman" w:cs="Times New Roman"/>
          <w:i/>
          <w:iCs/>
          <w:sz w:val="24"/>
          <w:szCs w:val="24"/>
        </w:rPr>
        <w:t>bezpredmetné</w:t>
      </w:r>
      <w:bookmarkStart w:id="0" w:name="_GoBack"/>
      <w:bookmarkEnd w:id="0"/>
    </w:p>
    <w:p w:rsidR="00BC1D09" w:rsidRPr="00BC1D09" w:rsidRDefault="00BC1D09" w:rsidP="00BC1D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C1D09" w:rsidRPr="00BC1D09" w:rsidRDefault="00BC1D09" w:rsidP="00BC1D09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C1D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A.2. Vplyvy:</w:t>
      </w:r>
    </w:p>
    <w:tbl>
      <w:tblPr>
        <w:tblW w:w="75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1242"/>
        <w:gridCol w:w="1260"/>
        <w:gridCol w:w="1336"/>
      </w:tblGrid>
      <w:tr w:rsidR="00BC1D09" w:rsidRPr="00BC1D09" w:rsidTr="00367EA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C1D09" w:rsidRPr="00BC1D09" w:rsidRDefault="00BC1D09" w:rsidP="00BC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D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1D09" w:rsidRPr="00BC1D09" w:rsidRDefault="00BC1D09" w:rsidP="00BC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D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Pozitívne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1D09" w:rsidRPr="00BC1D09" w:rsidRDefault="00BC1D09" w:rsidP="00BC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D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Žiadne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1D09" w:rsidRPr="00BC1D09" w:rsidRDefault="00BC1D09" w:rsidP="00BC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D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Negatívne</w:t>
            </w:r>
          </w:p>
        </w:tc>
      </w:tr>
      <w:tr w:rsidR="00BC1D09" w:rsidRPr="00BC1D09" w:rsidTr="00367EA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C1D09" w:rsidRPr="00BC1D09" w:rsidRDefault="00BC1D09" w:rsidP="00BC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D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Vplyvy na rozpočet verejnej správy</w:t>
            </w:r>
          </w:p>
          <w:p w:rsidR="00BC1D09" w:rsidRPr="00BC1D09" w:rsidRDefault="00BC1D09" w:rsidP="00BC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D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C1D09" w:rsidRPr="00BC1D09" w:rsidRDefault="00BC1D09" w:rsidP="00BC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C1D09" w:rsidRPr="00BC1D09" w:rsidRDefault="00BC1D09" w:rsidP="00BC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C1D09" w:rsidRPr="00BC1D09" w:rsidRDefault="00BC1D09" w:rsidP="00BC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D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C1D09" w:rsidRPr="00BC1D09" w:rsidRDefault="00BC1D09" w:rsidP="00BC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1D09" w:rsidRPr="00BC1D09" w:rsidTr="00367EA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C1D09" w:rsidRPr="00BC1D09" w:rsidRDefault="00BC1D09" w:rsidP="00BC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D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Vplyvy na podnikateľské prostredie* -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C1D09" w:rsidRPr="00BC1D09" w:rsidRDefault="00BC1D09" w:rsidP="00BC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C1D09" w:rsidRPr="00BC1D09" w:rsidRDefault="00BC1D09" w:rsidP="00BC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D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C1D09" w:rsidRPr="00BC1D09" w:rsidRDefault="00BC1D09" w:rsidP="00BC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C1D09" w:rsidRPr="00BC1D09" w:rsidRDefault="00BC1D09" w:rsidP="00BC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C1D09" w:rsidRPr="00BC1D09" w:rsidRDefault="00BC1D09" w:rsidP="00BC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1D09" w:rsidRPr="00BC1D09" w:rsidTr="00367EA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C1D09" w:rsidRPr="00BC1D09" w:rsidRDefault="00BC1D09" w:rsidP="00BC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D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3. Sociálne vplyvy** </w:t>
            </w:r>
          </w:p>
          <w:p w:rsidR="00BC1D09" w:rsidRPr="00BC1D09" w:rsidRDefault="00BC1D09" w:rsidP="00BC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D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vplyvy  na hospodárenie obyvateľstva,</w:t>
            </w:r>
          </w:p>
          <w:p w:rsidR="00BC1D09" w:rsidRPr="00BC1D09" w:rsidRDefault="00BC1D09" w:rsidP="00BC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D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sociálnu </w:t>
            </w:r>
            <w:proofErr w:type="spellStart"/>
            <w:r w:rsidRPr="00BC1D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exklúziu</w:t>
            </w:r>
            <w:proofErr w:type="spellEnd"/>
            <w:r w:rsidRPr="00BC1D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:rsidR="00BC1D09" w:rsidRPr="00BC1D09" w:rsidRDefault="00BC1D09" w:rsidP="00BC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D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C1D09" w:rsidRPr="00BC1D09" w:rsidRDefault="00BC1D09" w:rsidP="00BC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D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  <w:p w:rsidR="00BC1D09" w:rsidRPr="00BC1D09" w:rsidRDefault="00BC1D09" w:rsidP="00BC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C1D09" w:rsidRPr="00BC1D09" w:rsidRDefault="00BC1D09" w:rsidP="00BC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C1D09" w:rsidRPr="00BC1D09" w:rsidRDefault="00BC1D09" w:rsidP="00BC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C1D09" w:rsidRPr="00BC1D09" w:rsidRDefault="00BC1D09" w:rsidP="00BC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C1D09" w:rsidRPr="00BC1D09" w:rsidRDefault="00BC1D09" w:rsidP="00BC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D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  <w:p w:rsidR="00BC1D09" w:rsidRPr="00BC1D09" w:rsidRDefault="00BC1D09" w:rsidP="00BC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D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  <w:p w:rsidR="00BC1D09" w:rsidRPr="00BC1D09" w:rsidRDefault="00BC1D09" w:rsidP="00BC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D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  <w:p w:rsidR="00BC1D09" w:rsidRPr="00BC1D09" w:rsidRDefault="00BC1D09" w:rsidP="00BC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D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C1D09" w:rsidRPr="00BC1D09" w:rsidRDefault="00BC1D09" w:rsidP="00BC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1D09" w:rsidRPr="00BC1D09" w:rsidTr="00367EA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C1D09" w:rsidRPr="00BC1D09" w:rsidRDefault="00BC1D09" w:rsidP="00BC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D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C1D09" w:rsidRPr="00BC1D09" w:rsidRDefault="00BC1D09" w:rsidP="00BC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C1D09" w:rsidRPr="00BC1D09" w:rsidRDefault="00BC1D09" w:rsidP="00BC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D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C1D09" w:rsidRPr="00BC1D09" w:rsidRDefault="00BC1D09" w:rsidP="00BC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1D09" w:rsidRPr="00BC1D09" w:rsidTr="00367EA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C1D09" w:rsidRPr="00BC1D09" w:rsidRDefault="00BC1D09" w:rsidP="00BC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D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C1D09" w:rsidRPr="00BC1D09" w:rsidRDefault="00BC1D09" w:rsidP="00BC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C1D09" w:rsidRPr="00BC1D09" w:rsidRDefault="00BC1D09" w:rsidP="00BC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D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  <w:p w:rsidR="00BC1D09" w:rsidRPr="00BC1D09" w:rsidRDefault="00BC1D09" w:rsidP="00BC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C1D09" w:rsidRPr="00BC1D09" w:rsidRDefault="00BC1D09" w:rsidP="00BC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1D09" w:rsidRPr="00BC1D09" w:rsidTr="00367EA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C1D09" w:rsidRPr="00BC1D09" w:rsidRDefault="00BC1D09" w:rsidP="00BC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D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 Vplyvy na manželstvo, rodičovstvo a rodinu **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C1D09" w:rsidRPr="00BC1D09" w:rsidRDefault="00BC1D09" w:rsidP="00BC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D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C1D09" w:rsidRPr="00BC1D09" w:rsidRDefault="00BC1D09" w:rsidP="00BC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C1D09" w:rsidRPr="00BC1D09" w:rsidRDefault="00BC1D09" w:rsidP="00BC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1D09" w:rsidRPr="00BC1D09" w:rsidTr="00367EA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C1D09" w:rsidRPr="00BC1D09" w:rsidRDefault="00BC1D09" w:rsidP="00BC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D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 Vplyvy na služby verejnej správy pre občana***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C1D09" w:rsidRPr="00BC1D09" w:rsidRDefault="00BC1D09" w:rsidP="00BC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D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C1D09" w:rsidRPr="00BC1D09" w:rsidRDefault="00BC1D09" w:rsidP="00BC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C1D09" w:rsidRPr="00BC1D09" w:rsidRDefault="00BC1D09" w:rsidP="00BC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C1D09" w:rsidRPr="00BC1D09" w:rsidRDefault="00BC1D09" w:rsidP="00BC1D0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</w:p>
    <w:p w:rsidR="00BC1D09" w:rsidRPr="00BC1D09" w:rsidRDefault="00BC1D09" w:rsidP="00BC1D09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C1D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A.3. Poznámky</w:t>
      </w:r>
    </w:p>
    <w:p w:rsidR="00BC1D09" w:rsidRDefault="00BC1D09" w:rsidP="00BC1D09">
      <w:pPr>
        <w:spacing w:after="0" w:line="2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D09">
        <w:rPr>
          <w:rFonts w:ascii="Times New Roman" w:eastAsia="Calibri" w:hAnsi="Times New Roman" w:cs="Times New Roman"/>
          <w:sz w:val="24"/>
          <w:szCs w:val="24"/>
        </w:rPr>
        <w:t>* Posilnenie procesných záruk fungovania právneho štátu v trestnej oblasti bude mať pozitívny vplyv – v súvislosti s postulátom vymožiteľnosti a predvídateľnosti presadzovania práva – na podnikateľské prostredie. Osobitne sa zvýši miera právnej istoty pri prehliadkach nebytových priestorov a pozemkov.</w:t>
      </w:r>
    </w:p>
    <w:p w:rsidR="001229BD" w:rsidRPr="00BC1D09" w:rsidRDefault="001229BD" w:rsidP="00BC1D09">
      <w:pPr>
        <w:spacing w:after="0" w:line="2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D09" w:rsidRDefault="00BC1D09" w:rsidP="00BC1D09">
      <w:pPr>
        <w:spacing w:after="0" w:line="2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D09">
        <w:rPr>
          <w:rFonts w:ascii="Times New Roman" w:eastAsia="Calibri" w:hAnsi="Times New Roman" w:cs="Times New Roman"/>
          <w:sz w:val="24"/>
          <w:szCs w:val="24"/>
        </w:rPr>
        <w:t xml:space="preserve">** Pozitívne sociálne vplyvy návrhu zákona vo všeobecnosti (nie však čo do konkrétnych vybraných sociálnych vplyvov uvedených v riadku 3 tabuľky) a súčasne jeho pozitívne vplyvy na manželstvo, rodičovstvo a rodinu súvisia s dosahovaním čiastkových cieľov návrhu zákona, ako napr. ochrana súkromia (prehliadky priestorov), posilnenie ochrany pred nespravodlivým stíhaním (zmeny v dôkazovom práve), či vyvážená ochrana práv procesných subjektov pri uplatňovaní inštitútu tzv. spolupracujúcej osoby. </w:t>
      </w:r>
    </w:p>
    <w:p w:rsidR="001229BD" w:rsidRPr="00BC1D09" w:rsidRDefault="001229BD" w:rsidP="00BC1D09">
      <w:pPr>
        <w:spacing w:after="0" w:line="2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D09" w:rsidRPr="00BC1D09" w:rsidRDefault="00BC1D09" w:rsidP="00BC1D09">
      <w:pPr>
        <w:spacing w:after="0" w:line="2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D09">
        <w:rPr>
          <w:rFonts w:ascii="Times New Roman" w:eastAsia="Calibri" w:hAnsi="Times New Roman" w:cs="Times New Roman"/>
          <w:sz w:val="24"/>
          <w:szCs w:val="24"/>
        </w:rPr>
        <w:t xml:space="preserve">Cieľom uvedených úprav je totiž posilnenie materiálnej spravodlivosti a kontrolných mechanizmov v trestnom konaní, čím sa zúži priestor pre uplatňovanie arbitrárnych, nezákonných a materiálne nespravodlivých úradných postupov, ktoré by inak mohli mať nepriaznivé dopady na sociálny a rodinný život osôb dotknutých trestným konaním.   </w:t>
      </w:r>
    </w:p>
    <w:p w:rsidR="00BC1D09" w:rsidRPr="00BC1D09" w:rsidRDefault="00BC1D09" w:rsidP="00BC1D09">
      <w:pPr>
        <w:spacing w:after="0" w:line="2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D09">
        <w:rPr>
          <w:rFonts w:ascii="Times New Roman" w:eastAsia="Calibri" w:hAnsi="Times New Roman" w:cs="Times New Roman"/>
          <w:sz w:val="24"/>
          <w:szCs w:val="24"/>
        </w:rPr>
        <w:lastRenderedPageBreak/>
        <w:t>*** Nakoľko činnosť policajných zložiek spadá pod rezort vnútra, ide nesporne o služby verejnej správy. Posilnenie kontrolných mechanizmov nad uplatňovaním ich pôsobnosti spôsobom navrhnutým v zákone by preto malo viesť aj k posilneniu transparentnosti, zákonnosti  a predvídateľnosti policajnej praxe a tým aj kvality verejných služieb tohto druhu.</w:t>
      </w:r>
    </w:p>
    <w:p w:rsidR="00BC1D09" w:rsidRPr="00BC1D09" w:rsidRDefault="00BC1D09" w:rsidP="00BC1D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C1D09" w:rsidRPr="00BC1D09" w:rsidRDefault="00BC1D09" w:rsidP="00BC1D09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C1D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A.4. Alternatívne riešenia</w:t>
      </w:r>
    </w:p>
    <w:p w:rsidR="00BC1D09" w:rsidRPr="00BC1D09" w:rsidRDefault="00BC1D09" w:rsidP="00BC1D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BC1D09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Nepredkladajú sa </w:t>
      </w:r>
    </w:p>
    <w:p w:rsidR="00BC1D09" w:rsidRPr="00BC1D09" w:rsidRDefault="00BC1D09" w:rsidP="00BC1D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C1D09" w:rsidRPr="00BC1D09" w:rsidRDefault="00BC1D09" w:rsidP="00BC1D09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C1D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A.5. Stanovisko gestorov </w:t>
      </w:r>
    </w:p>
    <w:p w:rsidR="00BC1D09" w:rsidRPr="00BC1D09" w:rsidRDefault="00BC1D09" w:rsidP="00BC1D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1D09">
        <w:rPr>
          <w:rFonts w:ascii="Times New Roman" w:eastAsia="Calibri" w:hAnsi="Times New Roman" w:cs="Times New Roman"/>
          <w:sz w:val="24"/>
          <w:szCs w:val="24"/>
        </w:rPr>
        <w:t>Bezpredmetné</w:t>
      </w:r>
    </w:p>
    <w:p w:rsidR="00BC1D09" w:rsidRPr="00BC1D09" w:rsidRDefault="00BC1D09" w:rsidP="00BC1D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1D09" w:rsidRPr="00BC1D09" w:rsidRDefault="00BC1D09" w:rsidP="00BC1D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1D09" w:rsidRPr="00BC1D09" w:rsidRDefault="00BC1D09" w:rsidP="00BC1D09">
      <w:pPr>
        <w:spacing w:after="0" w:line="22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D09" w:rsidRPr="00BC1D09" w:rsidRDefault="00BC1D09" w:rsidP="00BC1D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1D09" w:rsidRPr="00BC1D09" w:rsidRDefault="00BC1D09" w:rsidP="00BC1D0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32204" w:rsidRDefault="00A32204"/>
    <w:sectPr w:rsidR="00A32204" w:rsidSect="00C905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851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3EB" w:rsidRDefault="005003EB">
      <w:pPr>
        <w:spacing w:after="0" w:line="240" w:lineRule="auto"/>
      </w:pPr>
      <w:r>
        <w:separator/>
      </w:r>
    </w:p>
  </w:endnote>
  <w:endnote w:type="continuationSeparator" w:id="0">
    <w:p w:rsidR="005003EB" w:rsidRDefault="0050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egreya">
    <w:altName w:val="Calibri"/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1B6" w:rsidRDefault="005003E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B33" w:rsidRPr="00DE61B6" w:rsidRDefault="005003EB" w:rsidP="00DE61B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1B6" w:rsidRDefault="005003E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3EB" w:rsidRDefault="005003EB">
      <w:pPr>
        <w:spacing w:after="0" w:line="240" w:lineRule="auto"/>
      </w:pPr>
      <w:r>
        <w:separator/>
      </w:r>
    </w:p>
  </w:footnote>
  <w:footnote w:type="continuationSeparator" w:id="0">
    <w:p w:rsidR="005003EB" w:rsidRDefault="0050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1B6" w:rsidRDefault="005003E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1B6" w:rsidRDefault="005003E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1B6" w:rsidRDefault="005003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478"/>
    <w:multiLevelType w:val="hybridMultilevel"/>
    <w:tmpl w:val="7D6884DC"/>
    <w:lvl w:ilvl="0" w:tplc="6DE09B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B1"/>
    <w:rsid w:val="001229BD"/>
    <w:rsid w:val="00137260"/>
    <w:rsid w:val="004B2583"/>
    <w:rsid w:val="005003EB"/>
    <w:rsid w:val="00504BE2"/>
    <w:rsid w:val="006C128E"/>
    <w:rsid w:val="009A08F5"/>
    <w:rsid w:val="00A32204"/>
    <w:rsid w:val="00B823DD"/>
    <w:rsid w:val="00BB07B1"/>
    <w:rsid w:val="00BC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5117"/>
  <w15:chartTrackingRefBased/>
  <w15:docId w15:val="{A025D8F9-8FB9-487B-B56D-274B3FEF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C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C1D09"/>
  </w:style>
  <w:style w:type="paragraph" w:styleId="Pta">
    <w:name w:val="footer"/>
    <w:basedOn w:val="Normlny"/>
    <w:link w:val="PtaChar"/>
    <w:uiPriority w:val="99"/>
    <w:semiHidden/>
    <w:unhideWhenUsed/>
    <w:rsid w:val="00BC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C1D09"/>
  </w:style>
  <w:style w:type="paragraph" w:styleId="Textbubliny">
    <w:name w:val="Balloon Text"/>
    <w:basedOn w:val="Normlny"/>
    <w:link w:val="TextbublinyChar"/>
    <w:uiPriority w:val="99"/>
    <w:semiHidden/>
    <w:unhideWhenUsed/>
    <w:rsid w:val="006C1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1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2554</Characters>
  <Application>Microsoft Office Word</Application>
  <DocSecurity>0</DocSecurity>
  <Lines>21</Lines>
  <Paragraphs>5</Paragraphs>
  <ScaleCrop>false</ScaleCrop>
  <Company>Kancelaria NRSR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Taraba, Tomáš (asistent)</dc:creator>
  <cp:keywords/>
  <dc:description/>
  <cp:lastModifiedBy>Taraba, Tomáš (asistent)</cp:lastModifiedBy>
  <cp:revision>8</cp:revision>
  <cp:lastPrinted>2022-09-30T11:12:00Z</cp:lastPrinted>
  <dcterms:created xsi:type="dcterms:W3CDTF">2022-09-30T10:25:00Z</dcterms:created>
  <dcterms:modified xsi:type="dcterms:W3CDTF">2022-09-30T11:20:00Z</dcterms:modified>
</cp:coreProperties>
</file>