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998DF" w14:textId="77777777" w:rsidR="00060751" w:rsidRPr="00C53414" w:rsidRDefault="00060751" w:rsidP="00060751">
      <w:pPr>
        <w:spacing w:line="22" w:lineRule="atLeast"/>
        <w:contextualSpacing/>
        <w:jc w:val="center"/>
        <w:rPr>
          <w:rFonts w:ascii="Times New Roman" w:hAnsi="Times New Roman" w:cs="Times New Roman"/>
          <w:b/>
          <w:caps/>
          <w:spacing w:val="30"/>
        </w:rPr>
      </w:pPr>
      <w:r w:rsidRPr="00C53414">
        <w:rPr>
          <w:rFonts w:ascii="Times New Roman" w:hAnsi="Times New Roman" w:cs="Times New Roman"/>
          <w:b/>
          <w:caps/>
          <w:spacing w:val="30"/>
        </w:rPr>
        <w:t>Dôvodová správa</w:t>
      </w:r>
    </w:p>
    <w:p w14:paraId="2F1A65ED" w14:textId="77777777" w:rsidR="00060751" w:rsidRPr="00C53414" w:rsidRDefault="00060751" w:rsidP="00060751">
      <w:pPr>
        <w:spacing w:line="22" w:lineRule="atLeast"/>
        <w:contextualSpacing/>
        <w:jc w:val="both"/>
        <w:rPr>
          <w:rFonts w:ascii="Times New Roman" w:hAnsi="Times New Roman" w:cs="Times New Roman"/>
          <w:b/>
          <w:bCs/>
        </w:rPr>
      </w:pPr>
    </w:p>
    <w:p w14:paraId="22C4F071" w14:textId="77777777" w:rsidR="00060751" w:rsidRPr="00C53414" w:rsidRDefault="00060751" w:rsidP="00060751">
      <w:pPr>
        <w:spacing w:line="22" w:lineRule="atLeast"/>
        <w:contextualSpacing/>
        <w:jc w:val="both"/>
        <w:rPr>
          <w:rFonts w:ascii="Times New Roman" w:hAnsi="Times New Roman" w:cs="Times New Roman"/>
          <w:b/>
          <w:bCs/>
        </w:rPr>
      </w:pPr>
    </w:p>
    <w:p w14:paraId="7848F37E" w14:textId="77777777" w:rsidR="00060751" w:rsidRPr="00C53414" w:rsidRDefault="00060751" w:rsidP="00060751">
      <w:pPr>
        <w:pStyle w:val="Odsekzoznamu"/>
        <w:numPr>
          <w:ilvl w:val="0"/>
          <w:numId w:val="1"/>
        </w:numPr>
        <w:spacing w:after="0" w:line="22" w:lineRule="atLeast"/>
        <w:ind w:left="426" w:hanging="426"/>
        <w:jc w:val="both"/>
        <w:rPr>
          <w:rFonts w:ascii="Times New Roman" w:hAnsi="Times New Roman"/>
          <w:sz w:val="24"/>
          <w:szCs w:val="24"/>
        </w:rPr>
      </w:pPr>
      <w:r w:rsidRPr="00C53414">
        <w:rPr>
          <w:rFonts w:ascii="Times New Roman" w:hAnsi="Times New Roman"/>
          <w:b/>
          <w:bCs/>
          <w:sz w:val="24"/>
          <w:szCs w:val="24"/>
        </w:rPr>
        <w:t>Všeobecná časť</w:t>
      </w:r>
    </w:p>
    <w:p w14:paraId="21B21DD0" w14:textId="77777777" w:rsidR="00060751" w:rsidRPr="00C53414" w:rsidRDefault="00060751" w:rsidP="00060751">
      <w:pPr>
        <w:spacing w:line="22" w:lineRule="atLeast"/>
        <w:ind w:firstLine="708"/>
        <w:contextualSpacing/>
        <w:jc w:val="both"/>
        <w:rPr>
          <w:rFonts w:ascii="Times New Roman" w:hAnsi="Times New Roman" w:cs="Times New Roman"/>
        </w:rPr>
      </w:pPr>
    </w:p>
    <w:p w14:paraId="492E83E9"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Návrh zákona, ktorým sa </w:t>
      </w:r>
      <w:r>
        <w:rPr>
          <w:rFonts w:ascii="Times New Roman" w:hAnsi="Times New Roman" w:cs="Times New Roman"/>
        </w:rPr>
        <w:t>mení a</w:t>
      </w:r>
      <w:r w:rsidRPr="00C53414">
        <w:rPr>
          <w:rFonts w:ascii="Times New Roman" w:hAnsi="Times New Roman" w:cs="Times New Roman"/>
        </w:rPr>
        <w:t xml:space="preserve"> dopĺňa zákon č. 301/2005 Z. z. Trestný poriadok v</w:t>
      </w:r>
      <w:r>
        <w:rPr>
          <w:rFonts w:ascii="Times New Roman" w:hAnsi="Times New Roman" w:cs="Times New Roman"/>
        </w:rPr>
        <w:t> </w:t>
      </w:r>
      <w:r w:rsidRPr="00C53414">
        <w:rPr>
          <w:rFonts w:ascii="Times New Roman" w:hAnsi="Times New Roman" w:cs="Times New Roman"/>
        </w:rPr>
        <w:t>znení neskorších predpisov (ďalej len „návrh zákona“)</w:t>
      </w:r>
      <w:r>
        <w:rPr>
          <w:rFonts w:ascii="Times New Roman" w:hAnsi="Times New Roman" w:cs="Times New Roman"/>
        </w:rPr>
        <w:t>,</w:t>
      </w:r>
      <w:r w:rsidRPr="00C53414">
        <w:rPr>
          <w:rFonts w:ascii="Times New Roman" w:hAnsi="Times New Roman" w:cs="Times New Roman"/>
        </w:rPr>
        <w:t xml:space="preserve"> predkladá do legislatívneho procesu poslanec Národnej rady Slovenskej republiky </w:t>
      </w:r>
      <w:r>
        <w:rPr>
          <w:rFonts w:ascii="Times New Roman" w:hAnsi="Times New Roman" w:cs="Times New Roman"/>
        </w:rPr>
        <w:t>Tomáš Taraba.</w:t>
      </w:r>
    </w:p>
    <w:p w14:paraId="18876933" w14:textId="77777777" w:rsidR="00060751" w:rsidRPr="00C53414" w:rsidRDefault="00060751" w:rsidP="00060751">
      <w:pPr>
        <w:spacing w:line="22" w:lineRule="atLeast"/>
        <w:ind w:firstLine="708"/>
        <w:contextualSpacing/>
        <w:jc w:val="both"/>
        <w:rPr>
          <w:rFonts w:ascii="Times New Roman" w:hAnsi="Times New Roman" w:cs="Times New Roman"/>
        </w:rPr>
      </w:pPr>
    </w:p>
    <w:p w14:paraId="1DDB7E0E"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Návrhom predkladaného zákona sa sleduje cieľ rozšírenia záruk zákonnosti trestného (najmä prípravného) konania.</w:t>
      </w:r>
    </w:p>
    <w:p w14:paraId="087F9F3A" w14:textId="77777777" w:rsidR="00060751" w:rsidRPr="00C53414" w:rsidRDefault="00060751" w:rsidP="00060751">
      <w:pPr>
        <w:spacing w:line="22" w:lineRule="atLeast"/>
        <w:ind w:firstLine="708"/>
        <w:contextualSpacing/>
        <w:jc w:val="both"/>
        <w:rPr>
          <w:rFonts w:ascii="Times New Roman" w:hAnsi="Times New Roman" w:cs="Times New Roman"/>
        </w:rPr>
      </w:pPr>
    </w:p>
    <w:p w14:paraId="230C3A21"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Trestné konanie môže štát viesť len zo zákonných dôvodov a zákonným spôsobom. Zákonný spôsob je upravený v Trestnom poriadku (§ 2 ods. 1), </w:t>
      </w:r>
      <w:r>
        <w:rPr>
          <w:rFonts w:ascii="Times New Roman" w:hAnsi="Times New Roman" w:cs="Times New Roman"/>
        </w:rPr>
        <w:t>keď</w:t>
      </w:r>
      <w:r w:rsidRPr="00C53414">
        <w:rPr>
          <w:rFonts w:ascii="Times New Roman" w:hAnsi="Times New Roman" w:cs="Times New Roman"/>
        </w:rPr>
        <w:t xml:space="preserve"> podľa § 2 ods. 2 Trestného poriadku „</w:t>
      </w:r>
      <w:r w:rsidRPr="00E16407">
        <w:rPr>
          <w:rFonts w:ascii="Times New Roman" w:hAnsi="Times New Roman" w:cs="Times New Roman"/>
        </w:rPr>
        <w:t>[d]</w:t>
      </w:r>
      <w:r w:rsidRPr="00C53414">
        <w:rPr>
          <w:rFonts w:ascii="Times New Roman" w:hAnsi="Times New Roman" w:cs="Times New Roman"/>
        </w:rPr>
        <w:t>o základných práv a slobôd osôb v prípadoch dovolených zákonom možno zasahovať len v miere nevyhnutnej na dosiahnutie účelu trestného konania</w:t>
      </w:r>
      <w:r>
        <w:rPr>
          <w:rFonts w:ascii="Times New Roman" w:hAnsi="Times New Roman" w:cs="Times New Roman"/>
        </w:rPr>
        <w:t xml:space="preserve">, </w:t>
      </w:r>
      <w:r w:rsidRPr="005B5BC1">
        <w:rPr>
          <w:rFonts w:ascii="Times New Roman" w:hAnsi="Times New Roman" w:cs="Times New Roman"/>
        </w:rPr>
        <w:t>pri</w:t>
      </w:r>
      <w:r>
        <w:rPr>
          <w:rFonts w:ascii="Times New Roman" w:hAnsi="Times New Roman" w:cs="Times New Roman"/>
        </w:rPr>
        <w:t>č</w:t>
      </w:r>
      <w:r w:rsidRPr="005B5BC1">
        <w:rPr>
          <w:rFonts w:ascii="Times New Roman" w:hAnsi="Times New Roman" w:cs="Times New Roman"/>
        </w:rPr>
        <w:t>om treba rešpektova</w:t>
      </w:r>
      <w:r>
        <w:rPr>
          <w:rFonts w:ascii="Times New Roman" w:hAnsi="Times New Roman" w:cs="Times New Roman"/>
        </w:rPr>
        <w:t>ť</w:t>
      </w:r>
      <w:r w:rsidRPr="005B5BC1">
        <w:rPr>
          <w:rFonts w:ascii="Times New Roman" w:hAnsi="Times New Roman" w:cs="Times New Roman"/>
        </w:rPr>
        <w:t xml:space="preserve"> dôstojnos</w:t>
      </w:r>
      <w:r>
        <w:rPr>
          <w:rFonts w:ascii="Times New Roman" w:hAnsi="Times New Roman" w:cs="Times New Roman"/>
        </w:rPr>
        <w:t>ť</w:t>
      </w:r>
      <w:r w:rsidRPr="005B5BC1">
        <w:rPr>
          <w:rFonts w:ascii="Times New Roman" w:hAnsi="Times New Roman" w:cs="Times New Roman"/>
        </w:rPr>
        <w:t xml:space="preserve"> osôb a ich sú</w:t>
      </w:r>
      <w:r>
        <w:rPr>
          <w:rFonts w:ascii="Times New Roman" w:hAnsi="Times New Roman" w:cs="Times New Roman"/>
        </w:rPr>
        <w:t>kromie.</w:t>
      </w:r>
      <w:r w:rsidRPr="00C53414">
        <w:rPr>
          <w:rFonts w:ascii="Times New Roman" w:hAnsi="Times New Roman" w:cs="Times New Roman"/>
        </w:rPr>
        <w:t>“</w:t>
      </w:r>
      <w:r>
        <w:rPr>
          <w:rFonts w:ascii="Times New Roman" w:hAnsi="Times New Roman" w:cs="Times New Roman"/>
        </w:rPr>
        <w:t>.</w:t>
      </w:r>
      <w:r w:rsidRPr="00C53414">
        <w:rPr>
          <w:rFonts w:ascii="Times New Roman" w:hAnsi="Times New Roman" w:cs="Times New Roman"/>
        </w:rPr>
        <w:t xml:space="preserve"> </w:t>
      </w:r>
    </w:p>
    <w:p w14:paraId="271ED776" w14:textId="77777777" w:rsidR="00060751" w:rsidRPr="00C53414" w:rsidRDefault="00060751" w:rsidP="00060751">
      <w:pPr>
        <w:spacing w:line="22" w:lineRule="atLeast"/>
        <w:ind w:firstLine="708"/>
        <w:contextualSpacing/>
        <w:jc w:val="both"/>
        <w:rPr>
          <w:rFonts w:ascii="Times New Roman" w:hAnsi="Times New Roman" w:cs="Times New Roman"/>
        </w:rPr>
      </w:pPr>
    </w:p>
    <w:p w14:paraId="653C8AAE"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Aktuálnym problémom aplikácie Trestného poriadku nie je ani tak stanovenie </w:t>
      </w:r>
      <w:r>
        <w:rPr>
          <w:rFonts w:ascii="Times New Roman" w:hAnsi="Times New Roman" w:cs="Times New Roman"/>
        </w:rPr>
        <w:t xml:space="preserve">vecných </w:t>
      </w:r>
      <w:r w:rsidRPr="00C53414">
        <w:rPr>
          <w:rFonts w:ascii="Times New Roman" w:hAnsi="Times New Roman" w:cs="Times New Roman"/>
        </w:rPr>
        <w:t xml:space="preserve">podmienok, za ktorých je možné zasahovať do práv osôb, ako skôr </w:t>
      </w:r>
      <w:r>
        <w:rPr>
          <w:rFonts w:ascii="Times New Roman" w:hAnsi="Times New Roman" w:cs="Times New Roman"/>
        </w:rPr>
        <w:t xml:space="preserve">dôsledné </w:t>
      </w:r>
      <w:r w:rsidRPr="00C53414">
        <w:rPr>
          <w:rFonts w:ascii="Times New Roman" w:hAnsi="Times New Roman" w:cs="Times New Roman"/>
        </w:rPr>
        <w:t xml:space="preserve">zaistenie účinnej a efektívnej kontroly ich dodržiavania priamo v priebehu trestného konania.  </w:t>
      </w:r>
    </w:p>
    <w:p w14:paraId="5EA1139E" w14:textId="77777777" w:rsidR="00060751" w:rsidRPr="00C53414" w:rsidRDefault="00060751" w:rsidP="00060751">
      <w:pPr>
        <w:spacing w:line="22" w:lineRule="atLeast"/>
        <w:ind w:firstLine="708"/>
        <w:contextualSpacing/>
        <w:jc w:val="both"/>
        <w:rPr>
          <w:rFonts w:ascii="Times New Roman" w:hAnsi="Times New Roman" w:cs="Times New Roman"/>
        </w:rPr>
      </w:pPr>
    </w:p>
    <w:p w14:paraId="647A8F81"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Z uvedených dôvodov, v súlade so skúsenosťami z príbuznej jurisdikcie (</w:t>
      </w:r>
      <w:r>
        <w:rPr>
          <w:rFonts w:ascii="Times New Roman" w:hAnsi="Times New Roman" w:cs="Times New Roman"/>
        </w:rPr>
        <w:t>Česká republika</w:t>
      </w:r>
      <w:r w:rsidRPr="00C53414">
        <w:rPr>
          <w:rFonts w:ascii="Times New Roman" w:hAnsi="Times New Roman" w:cs="Times New Roman"/>
        </w:rPr>
        <w:t>), podnetmi z domácej aplikačnej praxe, ako aj právnej doktríny navrhuje sa niekoľko zmien za účelom posilnenia náležitého dohľadu nad dodržiavaním ústavnej zásady viesť trestné stíhanie vždy len zákonným spôsobom</w:t>
      </w:r>
      <w:r>
        <w:rPr>
          <w:rFonts w:ascii="Times New Roman" w:hAnsi="Times New Roman" w:cs="Times New Roman"/>
        </w:rPr>
        <w:t>, a to</w:t>
      </w:r>
      <w:r w:rsidRPr="00C53414">
        <w:rPr>
          <w:rFonts w:ascii="Times New Roman" w:hAnsi="Times New Roman" w:cs="Times New Roman"/>
        </w:rPr>
        <w:t>:</w:t>
      </w:r>
    </w:p>
    <w:p w14:paraId="4CE03269" w14:textId="77777777" w:rsidR="00060751" w:rsidRPr="00C53414" w:rsidRDefault="00060751" w:rsidP="00060751">
      <w:pPr>
        <w:spacing w:line="22" w:lineRule="atLeast"/>
        <w:ind w:firstLine="708"/>
        <w:contextualSpacing/>
        <w:jc w:val="both"/>
        <w:rPr>
          <w:rFonts w:ascii="Times New Roman" w:hAnsi="Times New Roman" w:cs="Times New Roman"/>
        </w:rPr>
      </w:pPr>
    </w:p>
    <w:p w14:paraId="4FFACB39" w14:textId="77777777" w:rsidR="00060751" w:rsidRPr="00C53414" w:rsidRDefault="00060751" w:rsidP="00060751">
      <w:pPr>
        <w:pStyle w:val="Odsekzoznamu"/>
        <w:numPr>
          <w:ilvl w:val="0"/>
          <w:numId w:val="2"/>
        </w:numPr>
        <w:spacing w:after="0" w:line="22" w:lineRule="atLeast"/>
        <w:ind w:left="426" w:hanging="426"/>
        <w:jc w:val="both"/>
        <w:rPr>
          <w:rFonts w:ascii="Times New Roman" w:hAnsi="Times New Roman"/>
          <w:sz w:val="24"/>
          <w:szCs w:val="24"/>
        </w:rPr>
      </w:pPr>
      <w:r w:rsidRPr="00C53414">
        <w:rPr>
          <w:rFonts w:ascii="Times New Roman" w:hAnsi="Times New Roman"/>
          <w:sz w:val="24"/>
          <w:szCs w:val="24"/>
        </w:rPr>
        <w:t>rozšíreni</w:t>
      </w:r>
      <w:r>
        <w:rPr>
          <w:rFonts w:ascii="Times New Roman" w:hAnsi="Times New Roman"/>
          <w:sz w:val="24"/>
          <w:szCs w:val="24"/>
        </w:rPr>
        <w:t>e</w:t>
      </w:r>
      <w:r w:rsidRPr="00C53414">
        <w:rPr>
          <w:rFonts w:ascii="Times New Roman" w:hAnsi="Times New Roman"/>
          <w:sz w:val="24"/>
          <w:szCs w:val="24"/>
        </w:rPr>
        <w:t xml:space="preserve"> </w:t>
      </w:r>
      <w:proofErr w:type="spellStart"/>
      <w:r w:rsidRPr="00C53414">
        <w:rPr>
          <w:rFonts w:ascii="Times New Roman" w:hAnsi="Times New Roman"/>
          <w:sz w:val="24"/>
          <w:szCs w:val="24"/>
        </w:rPr>
        <w:t>dozorových</w:t>
      </w:r>
      <w:proofErr w:type="spellEnd"/>
      <w:r w:rsidRPr="00C53414">
        <w:rPr>
          <w:rFonts w:ascii="Times New Roman" w:hAnsi="Times New Roman"/>
          <w:sz w:val="24"/>
          <w:szCs w:val="24"/>
        </w:rPr>
        <w:t xml:space="preserve"> oprávnení prokuratúry na podnet procesných subjektov, </w:t>
      </w:r>
    </w:p>
    <w:p w14:paraId="635324D1" w14:textId="77777777" w:rsidR="00060751" w:rsidRPr="00C53414" w:rsidRDefault="00060751" w:rsidP="00060751">
      <w:pPr>
        <w:pStyle w:val="Odsekzoznamu"/>
        <w:numPr>
          <w:ilvl w:val="0"/>
          <w:numId w:val="2"/>
        </w:numPr>
        <w:spacing w:after="0" w:line="22" w:lineRule="atLeast"/>
        <w:ind w:left="426" w:hanging="426"/>
        <w:jc w:val="both"/>
        <w:rPr>
          <w:rFonts w:ascii="Times New Roman" w:hAnsi="Times New Roman"/>
          <w:sz w:val="24"/>
          <w:szCs w:val="24"/>
        </w:rPr>
      </w:pPr>
      <w:r w:rsidRPr="00C53414">
        <w:rPr>
          <w:rFonts w:ascii="Times New Roman" w:hAnsi="Times New Roman"/>
          <w:sz w:val="24"/>
          <w:szCs w:val="24"/>
        </w:rPr>
        <w:t>rozšíreni</w:t>
      </w:r>
      <w:r>
        <w:rPr>
          <w:rFonts w:ascii="Times New Roman" w:hAnsi="Times New Roman"/>
          <w:sz w:val="24"/>
          <w:szCs w:val="24"/>
        </w:rPr>
        <w:t>e</w:t>
      </w:r>
      <w:r w:rsidRPr="00C53414">
        <w:rPr>
          <w:rFonts w:ascii="Times New Roman" w:hAnsi="Times New Roman"/>
          <w:sz w:val="24"/>
          <w:szCs w:val="24"/>
        </w:rPr>
        <w:t xml:space="preserve"> úlohy súdu pri zásahoch do základných práv počas prípravného konania,</w:t>
      </w:r>
      <w:r>
        <w:rPr>
          <w:rFonts w:ascii="Times New Roman" w:hAnsi="Times New Roman"/>
          <w:sz w:val="24"/>
          <w:szCs w:val="24"/>
        </w:rPr>
        <w:t xml:space="preserve"> osobitne do práva na súkromie,</w:t>
      </w:r>
    </w:p>
    <w:p w14:paraId="07B86156" w14:textId="77777777" w:rsidR="00060751" w:rsidRPr="00C53414" w:rsidRDefault="00060751" w:rsidP="00060751">
      <w:pPr>
        <w:pStyle w:val="Odsekzoznamu"/>
        <w:numPr>
          <w:ilvl w:val="0"/>
          <w:numId w:val="2"/>
        </w:numPr>
        <w:spacing w:after="0" w:line="22" w:lineRule="atLeast"/>
        <w:ind w:left="426" w:hanging="426"/>
        <w:jc w:val="both"/>
        <w:rPr>
          <w:rFonts w:ascii="Times New Roman" w:hAnsi="Times New Roman"/>
          <w:sz w:val="24"/>
          <w:szCs w:val="24"/>
        </w:rPr>
      </w:pPr>
      <w:r w:rsidRPr="00C53414">
        <w:rPr>
          <w:rFonts w:ascii="Times New Roman" w:hAnsi="Times New Roman"/>
          <w:sz w:val="24"/>
          <w:szCs w:val="24"/>
        </w:rPr>
        <w:t>spresneni</w:t>
      </w:r>
      <w:r>
        <w:rPr>
          <w:rFonts w:ascii="Times New Roman" w:hAnsi="Times New Roman"/>
          <w:sz w:val="24"/>
          <w:szCs w:val="24"/>
        </w:rPr>
        <w:t>e</w:t>
      </w:r>
      <w:r w:rsidRPr="00C53414">
        <w:rPr>
          <w:rFonts w:ascii="Times New Roman" w:hAnsi="Times New Roman"/>
          <w:sz w:val="24"/>
          <w:szCs w:val="24"/>
        </w:rPr>
        <w:t xml:space="preserve"> úpravy nakladania s nezákonne získanými dôkazmi</w:t>
      </w:r>
      <w:r>
        <w:rPr>
          <w:rFonts w:ascii="Times New Roman" w:hAnsi="Times New Roman"/>
          <w:sz w:val="24"/>
          <w:szCs w:val="24"/>
        </w:rPr>
        <w:t xml:space="preserve"> (explicitná úprava možnosti použitia nezákonne získaného dôkazu v prospech obžalovaného)</w:t>
      </w:r>
      <w:r w:rsidRPr="00C53414">
        <w:rPr>
          <w:rFonts w:ascii="Times New Roman" w:hAnsi="Times New Roman"/>
          <w:sz w:val="24"/>
          <w:szCs w:val="24"/>
        </w:rPr>
        <w:t>,</w:t>
      </w:r>
    </w:p>
    <w:p w14:paraId="477AD9F0" w14:textId="77777777" w:rsidR="00060751" w:rsidRDefault="00060751" w:rsidP="00060751">
      <w:pPr>
        <w:pStyle w:val="Odsekzoznamu"/>
        <w:numPr>
          <w:ilvl w:val="0"/>
          <w:numId w:val="2"/>
        </w:numPr>
        <w:spacing w:after="0" w:line="22" w:lineRule="atLeast"/>
        <w:ind w:left="426" w:hanging="426"/>
        <w:jc w:val="both"/>
        <w:rPr>
          <w:rFonts w:ascii="Times New Roman" w:hAnsi="Times New Roman"/>
          <w:sz w:val="24"/>
          <w:szCs w:val="24"/>
        </w:rPr>
      </w:pPr>
      <w:r>
        <w:rPr>
          <w:rFonts w:ascii="Times New Roman" w:hAnsi="Times New Roman"/>
          <w:sz w:val="24"/>
          <w:szCs w:val="24"/>
        </w:rPr>
        <w:t xml:space="preserve">zavedenie </w:t>
      </w:r>
      <w:r w:rsidRPr="00C53414">
        <w:rPr>
          <w:rFonts w:ascii="Times New Roman" w:hAnsi="Times New Roman"/>
          <w:sz w:val="24"/>
          <w:szCs w:val="24"/>
        </w:rPr>
        <w:t>takej úpravy spolupráce prokuratúry a polície s tzv. spolupracujúcimi osobami, ktorá bude posilňovať kontrolu zákonnosti jej podmienok prokuratúrou a</w:t>
      </w:r>
      <w:r>
        <w:rPr>
          <w:rFonts w:ascii="Times New Roman" w:hAnsi="Times New Roman"/>
          <w:sz w:val="24"/>
          <w:szCs w:val="24"/>
        </w:rPr>
        <w:t> </w:t>
      </w:r>
      <w:r w:rsidRPr="00C53414">
        <w:rPr>
          <w:rFonts w:ascii="Times New Roman" w:hAnsi="Times New Roman"/>
          <w:sz w:val="24"/>
          <w:szCs w:val="24"/>
        </w:rPr>
        <w:t>súdmi</w:t>
      </w:r>
      <w:r>
        <w:rPr>
          <w:rFonts w:ascii="Times New Roman" w:hAnsi="Times New Roman"/>
          <w:sz w:val="24"/>
          <w:szCs w:val="24"/>
        </w:rPr>
        <w:t xml:space="preserve"> a najneskôr v súdnom konaní aj obhajobou</w:t>
      </w:r>
      <w:r w:rsidRPr="00C53414">
        <w:rPr>
          <w:rFonts w:ascii="Times New Roman" w:hAnsi="Times New Roman"/>
          <w:sz w:val="24"/>
          <w:szCs w:val="24"/>
        </w:rPr>
        <w:t>.</w:t>
      </w:r>
    </w:p>
    <w:p w14:paraId="4F07A0C8" w14:textId="77777777" w:rsidR="00060751" w:rsidRDefault="00060751" w:rsidP="00060751">
      <w:pPr>
        <w:pStyle w:val="Odsekzoznamu"/>
        <w:spacing w:after="0" w:line="22" w:lineRule="atLeast"/>
        <w:ind w:left="426"/>
        <w:jc w:val="both"/>
        <w:rPr>
          <w:rFonts w:ascii="Times New Roman" w:hAnsi="Times New Roman"/>
          <w:sz w:val="24"/>
          <w:szCs w:val="24"/>
        </w:rPr>
      </w:pPr>
    </w:p>
    <w:p w14:paraId="72AFF544" w14:textId="77777777" w:rsidR="00060751" w:rsidRPr="00C80490" w:rsidRDefault="00060751" w:rsidP="00060751">
      <w:pPr>
        <w:spacing w:line="22" w:lineRule="atLeast"/>
        <w:ind w:firstLine="567"/>
        <w:contextualSpacing/>
        <w:jc w:val="both"/>
        <w:rPr>
          <w:rFonts w:ascii="Times New Roman" w:hAnsi="Times New Roman"/>
        </w:rPr>
      </w:pPr>
      <w:r w:rsidRPr="00C80490">
        <w:rPr>
          <w:rFonts w:ascii="Times New Roman" w:hAnsi="Times New Roman"/>
        </w:rPr>
        <w:t xml:space="preserve">Zároveň sa navrhuje úprava </w:t>
      </w:r>
      <w:r>
        <w:rPr>
          <w:rFonts w:ascii="Times New Roman" w:hAnsi="Times New Roman"/>
        </w:rPr>
        <w:t xml:space="preserve"> </w:t>
      </w:r>
      <w:r w:rsidRPr="00C80490">
        <w:rPr>
          <w:rFonts w:ascii="Times New Roman" w:hAnsi="Times New Roman"/>
        </w:rPr>
        <w:t>pôsobnosti Špecializovaného trestného súdu v oblasti „subvenčných“ trestných činov</w:t>
      </w:r>
      <w:r>
        <w:rPr>
          <w:rFonts w:ascii="Times New Roman" w:hAnsi="Times New Roman"/>
        </w:rPr>
        <w:t xml:space="preserve"> tak, aby pokrývala skutky podobnej (vyššej) typovej spoločenskej závažnosti.</w:t>
      </w:r>
      <w:r w:rsidRPr="00C80490">
        <w:rPr>
          <w:rFonts w:ascii="Times New Roman" w:hAnsi="Times New Roman"/>
        </w:rPr>
        <w:t xml:space="preserve"> </w:t>
      </w:r>
    </w:p>
    <w:p w14:paraId="63611F06" w14:textId="77777777" w:rsidR="00060751" w:rsidRPr="00C53414" w:rsidRDefault="00060751" w:rsidP="00060751">
      <w:pPr>
        <w:spacing w:line="22" w:lineRule="atLeast"/>
        <w:ind w:firstLine="708"/>
        <w:contextualSpacing/>
        <w:jc w:val="both"/>
        <w:rPr>
          <w:rFonts w:ascii="Times New Roman" w:hAnsi="Times New Roman" w:cs="Times New Roman"/>
        </w:rPr>
      </w:pPr>
    </w:p>
    <w:p w14:paraId="1FF0039F"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Detailné odôvodnenie všetkých navrhovaných zmien je uvedené v osobitnej časti dôvodovej správy.</w:t>
      </w:r>
    </w:p>
    <w:p w14:paraId="55C7A774" w14:textId="77777777" w:rsidR="00060751" w:rsidRPr="00C53414" w:rsidRDefault="00060751" w:rsidP="00060751">
      <w:pPr>
        <w:spacing w:line="22" w:lineRule="atLeast"/>
        <w:ind w:firstLine="708"/>
        <w:contextualSpacing/>
        <w:jc w:val="both"/>
        <w:rPr>
          <w:rFonts w:ascii="Times New Roman" w:hAnsi="Times New Roman" w:cs="Times New Roman"/>
        </w:rPr>
      </w:pPr>
    </w:p>
    <w:p w14:paraId="676FEBEC" w14:textId="77777777" w:rsidR="00060751" w:rsidRDefault="00060751" w:rsidP="00060751">
      <w:pPr>
        <w:spacing w:line="22" w:lineRule="atLeast"/>
        <w:ind w:firstLine="567"/>
        <w:contextualSpacing/>
        <w:jc w:val="both"/>
        <w:rPr>
          <w:rFonts w:ascii="Times New Roman" w:hAnsi="Times New Roman" w:cs="Times New Roman"/>
        </w:rPr>
      </w:pPr>
      <w:r w:rsidRPr="000A0664">
        <w:rPr>
          <w:rFonts w:ascii="Times New Roman" w:hAnsi="Times New Roman" w:cs="Times New Roman"/>
        </w:rPr>
        <w:t>Návrh zákona ne</w:t>
      </w:r>
      <w:r>
        <w:rPr>
          <w:rFonts w:ascii="Times New Roman" w:hAnsi="Times New Roman" w:cs="Times New Roman"/>
        </w:rPr>
        <w:t xml:space="preserve">bude mať osobitný </w:t>
      </w:r>
      <w:r w:rsidRPr="000A0664">
        <w:rPr>
          <w:rFonts w:ascii="Times New Roman" w:hAnsi="Times New Roman" w:cs="Times New Roman"/>
        </w:rPr>
        <w:t>vplyv na životné prostredie, informatizáciu spoločnosti</w:t>
      </w:r>
      <w:r>
        <w:rPr>
          <w:rFonts w:ascii="Times New Roman" w:hAnsi="Times New Roman" w:cs="Times New Roman"/>
        </w:rPr>
        <w:t>,</w:t>
      </w:r>
      <w:r w:rsidRPr="000A0664">
        <w:rPr>
          <w:rFonts w:ascii="Times New Roman" w:hAnsi="Times New Roman" w:cs="Times New Roman"/>
        </w:rPr>
        <w:t xml:space="preserve"> ani </w:t>
      </w:r>
      <w:r w:rsidRPr="00304BF5">
        <w:rPr>
          <w:rFonts w:ascii="Times New Roman" w:hAnsi="Times New Roman" w:cs="Times New Roman"/>
        </w:rPr>
        <w:t>rozpočet verejnej správy</w:t>
      </w:r>
      <w:r>
        <w:rPr>
          <w:rFonts w:ascii="Times New Roman" w:hAnsi="Times New Roman" w:cs="Times New Roman"/>
        </w:rPr>
        <w:t>.</w:t>
      </w:r>
      <w:r w:rsidRPr="000A0664">
        <w:rPr>
          <w:rFonts w:ascii="Times New Roman" w:hAnsi="Times New Roman" w:cs="Times New Roman"/>
        </w:rPr>
        <w:t xml:space="preserve"> </w:t>
      </w:r>
    </w:p>
    <w:p w14:paraId="4BBAB452" w14:textId="77777777" w:rsidR="00060751" w:rsidRDefault="00060751" w:rsidP="00060751">
      <w:pPr>
        <w:spacing w:line="22" w:lineRule="atLeast"/>
        <w:ind w:firstLine="567"/>
        <w:contextualSpacing/>
        <w:jc w:val="both"/>
        <w:rPr>
          <w:rFonts w:ascii="Times New Roman" w:hAnsi="Times New Roman" w:cs="Times New Roman"/>
        </w:rPr>
      </w:pPr>
    </w:p>
    <w:p w14:paraId="54A483BB" w14:textId="77777777" w:rsidR="00060751" w:rsidRDefault="00060751" w:rsidP="00060751">
      <w:pPr>
        <w:spacing w:line="22" w:lineRule="atLeast"/>
        <w:ind w:firstLine="567"/>
        <w:contextualSpacing/>
        <w:jc w:val="both"/>
        <w:rPr>
          <w:rFonts w:ascii="Times New Roman" w:hAnsi="Times New Roman" w:cs="Times New Roman"/>
        </w:rPr>
      </w:pPr>
      <w:r>
        <w:rPr>
          <w:rFonts w:ascii="Times New Roman" w:hAnsi="Times New Roman" w:cs="Times New Roman"/>
        </w:rPr>
        <w:t xml:space="preserve">Návrh zákona zakladá </w:t>
      </w:r>
      <w:r w:rsidRPr="000A0664">
        <w:rPr>
          <w:rFonts w:ascii="Times New Roman" w:hAnsi="Times New Roman" w:cs="Times New Roman"/>
        </w:rPr>
        <w:t xml:space="preserve">pozitívne vplyvy na </w:t>
      </w:r>
      <w:r w:rsidRPr="00DB7C1D">
        <w:rPr>
          <w:rFonts w:ascii="Times New Roman" w:hAnsi="Times New Roman" w:cs="Times New Roman"/>
        </w:rPr>
        <w:t xml:space="preserve">služby verejnej správy </w:t>
      </w:r>
      <w:r>
        <w:rPr>
          <w:rFonts w:ascii="Times New Roman" w:hAnsi="Times New Roman" w:cs="Times New Roman"/>
        </w:rPr>
        <w:t xml:space="preserve">(konkrétne policajných zložiek) </w:t>
      </w:r>
      <w:r w:rsidRPr="00DB7C1D">
        <w:rPr>
          <w:rFonts w:ascii="Times New Roman" w:hAnsi="Times New Roman" w:cs="Times New Roman"/>
        </w:rPr>
        <w:t>pre občana</w:t>
      </w:r>
      <w:r w:rsidRPr="000A0664">
        <w:rPr>
          <w:rFonts w:ascii="Times New Roman" w:hAnsi="Times New Roman" w:cs="Times New Roman"/>
        </w:rPr>
        <w:t xml:space="preserve"> </w:t>
      </w:r>
      <w:r>
        <w:rPr>
          <w:rFonts w:ascii="Times New Roman" w:hAnsi="Times New Roman" w:cs="Times New Roman"/>
        </w:rPr>
        <w:t xml:space="preserve">a </w:t>
      </w:r>
      <w:r w:rsidRPr="000A0664">
        <w:rPr>
          <w:rFonts w:ascii="Times New Roman" w:hAnsi="Times New Roman" w:cs="Times New Roman"/>
        </w:rPr>
        <w:t xml:space="preserve">na podnikateľské prostredie, </w:t>
      </w:r>
      <w:r>
        <w:rPr>
          <w:rFonts w:ascii="Times New Roman" w:hAnsi="Times New Roman" w:cs="Times New Roman"/>
        </w:rPr>
        <w:t xml:space="preserve">ako aj </w:t>
      </w:r>
      <w:r w:rsidRPr="000A0664">
        <w:rPr>
          <w:rFonts w:ascii="Times New Roman" w:hAnsi="Times New Roman" w:cs="Times New Roman"/>
        </w:rPr>
        <w:t>pozitívne sociálne vplyvy a pozitívne vplyvy na manželstvo, rodičovstvo a</w:t>
      </w:r>
      <w:r>
        <w:rPr>
          <w:rFonts w:ascii="Times New Roman" w:hAnsi="Times New Roman" w:cs="Times New Roman"/>
        </w:rPr>
        <w:t> </w:t>
      </w:r>
      <w:r w:rsidRPr="000A0664">
        <w:rPr>
          <w:rFonts w:ascii="Times New Roman" w:hAnsi="Times New Roman" w:cs="Times New Roman"/>
        </w:rPr>
        <w:t>rodinu</w:t>
      </w:r>
      <w:r>
        <w:rPr>
          <w:rFonts w:ascii="Times New Roman" w:hAnsi="Times New Roman" w:cs="Times New Roman"/>
        </w:rPr>
        <w:t>.</w:t>
      </w:r>
    </w:p>
    <w:p w14:paraId="465E83E3" w14:textId="77777777" w:rsidR="00060751" w:rsidRDefault="00060751" w:rsidP="00060751">
      <w:pPr>
        <w:spacing w:line="22" w:lineRule="atLeast"/>
        <w:ind w:firstLine="708"/>
        <w:contextualSpacing/>
        <w:jc w:val="both"/>
        <w:rPr>
          <w:rFonts w:ascii="Times New Roman" w:hAnsi="Times New Roman" w:cs="Times New Roman"/>
        </w:rPr>
      </w:pPr>
    </w:p>
    <w:p w14:paraId="32F664F8" w14:textId="77777777" w:rsidR="00060751" w:rsidRDefault="00060751" w:rsidP="00060751">
      <w:pPr>
        <w:spacing w:line="22" w:lineRule="atLeast"/>
        <w:ind w:firstLine="567"/>
        <w:contextualSpacing/>
        <w:jc w:val="both"/>
        <w:rPr>
          <w:rFonts w:ascii="Times New Roman" w:hAnsi="Times New Roman" w:cs="Times New Roman"/>
        </w:rPr>
      </w:pPr>
      <w:r>
        <w:rPr>
          <w:rFonts w:ascii="Times New Roman" w:hAnsi="Times New Roman" w:cs="Times New Roman"/>
        </w:rPr>
        <w:t xml:space="preserve">Návrh zákona bude mať totiž významný pozitívny vplyv na zabezpečenie vysokého stupňa ochrany základných práv občana a človeka v súvislosti s vykonávaním trestnej spravodlivosti postupom podľa Trestného poriadku. </w:t>
      </w:r>
    </w:p>
    <w:p w14:paraId="318C5F34" w14:textId="77777777" w:rsidR="00060751" w:rsidRDefault="00060751" w:rsidP="00060751">
      <w:pPr>
        <w:spacing w:line="22" w:lineRule="atLeast"/>
        <w:ind w:firstLine="567"/>
        <w:contextualSpacing/>
        <w:jc w:val="both"/>
        <w:rPr>
          <w:rFonts w:ascii="Times New Roman" w:hAnsi="Times New Roman" w:cs="Times New Roman"/>
        </w:rPr>
      </w:pPr>
      <w:r>
        <w:rPr>
          <w:rFonts w:ascii="Times New Roman" w:hAnsi="Times New Roman" w:cs="Times New Roman"/>
        </w:rPr>
        <w:lastRenderedPageBreak/>
        <w:t xml:space="preserve">Dosahovanie s tým súvisiacich čiastkových cieľov návrhu zákona ako napr. zvýšená ochrana súkromia (prehliadky priestorov), posilnenie materiálnej spravodlivosti v dôkazovom práve, či vyvážená ochrana práv procesných subjektov pri uplatňovaní inštitútu tzv. spolupracujúcej osoby budú  mať nesporne pozitívne vplyvy na sociálny aj rodinný život osôb, dotknutých úkonmi trestného stíhania. Zúžia totiž priestor pre uplatňovanie arbitrárnych, nezákonných, či materiálne nespravodlivých úradných postupov.  </w:t>
      </w:r>
    </w:p>
    <w:p w14:paraId="712D10F3" w14:textId="77777777" w:rsidR="00060751" w:rsidRDefault="00060751" w:rsidP="00060751">
      <w:pPr>
        <w:spacing w:line="22" w:lineRule="atLeast"/>
        <w:ind w:firstLine="567"/>
        <w:contextualSpacing/>
        <w:jc w:val="both"/>
        <w:rPr>
          <w:rFonts w:ascii="Times New Roman" w:hAnsi="Times New Roman" w:cs="Times New Roman"/>
        </w:rPr>
      </w:pPr>
    </w:p>
    <w:p w14:paraId="68F029EB" w14:textId="77777777" w:rsidR="00060751" w:rsidRDefault="00060751" w:rsidP="00060751">
      <w:pPr>
        <w:spacing w:line="22" w:lineRule="atLeast"/>
        <w:ind w:firstLine="567"/>
        <w:contextualSpacing/>
        <w:jc w:val="both"/>
        <w:rPr>
          <w:rFonts w:ascii="Times New Roman" w:hAnsi="Times New Roman" w:cs="Times New Roman"/>
        </w:rPr>
      </w:pPr>
      <w:r>
        <w:rPr>
          <w:rFonts w:ascii="Times New Roman" w:hAnsi="Times New Roman" w:cs="Times New Roman"/>
        </w:rPr>
        <w:t>Posilnenie procesných záruk fungovania právneho štátu v trestnej oblasti prostredníctvom naplnenia jednotlivých cieľov tohto návrhu zákona bude mať zároveň pozitívny vplyv – v súvislosti s postulátom vymožiteľnosti a predvídateľnosti presadzovania práva – aj na podnikateľské prostredie.</w:t>
      </w:r>
    </w:p>
    <w:p w14:paraId="60850F16" w14:textId="77777777" w:rsidR="00060751" w:rsidRDefault="00060751" w:rsidP="00060751">
      <w:pPr>
        <w:spacing w:line="22" w:lineRule="atLeast"/>
        <w:ind w:firstLine="567"/>
        <w:contextualSpacing/>
        <w:jc w:val="both"/>
        <w:rPr>
          <w:rFonts w:ascii="Times New Roman" w:hAnsi="Times New Roman" w:cs="Times New Roman"/>
        </w:rPr>
      </w:pPr>
    </w:p>
    <w:p w14:paraId="6BA09C5A" w14:textId="77777777" w:rsidR="00060751" w:rsidRDefault="00060751" w:rsidP="00060751">
      <w:pPr>
        <w:spacing w:line="22" w:lineRule="atLeast"/>
        <w:ind w:firstLine="567"/>
        <w:contextualSpacing/>
        <w:jc w:val="both"/>
        <w:rPr>
          <w:rFonts w:ascii="Times New Roman" w:hAnsi="Times New Roman" w:cs="Times New Roman"/>
        </w:rPr>
      </w:pPr>
      <w:r w:rsidRPr="000A0664">
        <w:rPr>
          <w:rFonts w:ascii="Times New Roman" w:hAnsi="Times New Roman"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 s</w:t>
      </w:r>
      <w:r>
        <w:rPr>
          <w:rFonts w:ascii="Times New Roman" w:hAnsi="Times New Roman" w:cs="Times New Roman"/>
        </w:rPr>
        <w:t> </w:t>
      </w:r>
      <w:r w:rsidRPr="000A0664">
        <w:rPr>
          <w:rFonts w:ascii="Times New Roman" w:hAnsi="Times New Roman" w:cs="Times New Roman"/>
        </w:rPr>
        <w:t>právom Európskej únie.</w:t>
      </w:r>
    </w:p>
    <w:p w14:paraId="0B9B0EFA" w14:textId="77777777" w:rsidR="00060751" w:rsidRPr="00304BF5" w:rsidRDefault="00060751" w:rsidP="00060751">
      <w:pPr>
        <w:spacing w:line="22" w:lineRule="atLeast"/>
        <w:ind w:firstLine="708"/>
        <w:jc w:val="both"/>
        <w:rPr>
          <w:rFonts w:ascii="Times New Roman" w:hAnsi="Times New Roman" w:cs="Times New Roman"/>
        </w:rPr>
      </w:pPr>
    </w:p>
    <w:p w14:paraId="569A3E0C" w14:textId="77777777" w:rsidR="00060751" w:rsidRPr="00C53414" w:rsidRDefault="00060751" w:rsidP="00060751">
      <w:pPr>
        <w:spacing w:line="22" w:lineRule="atLeast"/>
        <w:ind w:firstLine="708"/>
        <w:contextualSpacing/>
        <w:jc w:val="both"/>
        <w:rPr>
          <w:rFonts w:ascii="Times New Roman" w:hAnsi="Times New Roman" w:cs="Times New Roman"/>
        </w:rPr>
      </w:pPr>
    </w:p>
    <w:p w14:paraId="764B3928" w14:textId="77777777" w:rsidR="00060751" w:rsidRPr="00C53414" w:rsidRDefault="00060751" w:rsidP="00060751">
      <w:pPr>
        <w:rPr>
          <w:rFonts w:ascii="Times New Roman" w:hAnsi="Times New Roman" w:cs="Times New Roman"/>
          <w:b/>
        </w:rPr>
      </w:pPr>
      <w:r w:rsidRPr="00C53414">
        <w:rPr>
          <w:rFonts w:ascii="Times New Roman" w:hAnsi="Times New Roman" w:cs="Times New Roman"/>
          <w:b/>
        </w:rPr>
        <w:br w:type="page"/>
      </w:r>
    </w:p>
    <w:p w14:paraId="3EDCBBD4" w14:textId="77777777" w:rsidR="00060751" w:rsidRPr="00C53414" w:rsidRDefault="00060751" w:rsidP="00060751">
      <w:pPr>
        <w:pStyle w:val="Odsekzoznamu"/>
        <w:numPr>
          <w:ilvl w:val="0"/>
          <w:numId w:val="1"/>
        </w:numPr>
        <w:spacing w:after="0" w:line="22" w:lineRule="atLeast"/>
        <w:ind w:left="426" w:hanging="426"/>
        <w:jc w:val="both"/>
        <w:rPr>
          <w:rFonts w:ascii="Times New Roman" w:hAnsi="Times New Roman"/>
          <w:b/>
          <w:sz w:val="24"/>
          <w:szCs w:val="24"/>
        </w:rPr>
      </w:pPr>
      <w:r w:rsidRPr="00C53414">
        <w:rPr>
          <w:rFonts w:ascii="Times New Roman" w:hAnsi="Times New Roman"/>
          <w:b/>
          <w:sz w:val="24"/>
          <w:szCs w:val="24"/>
        </w:rPr>
        <w:lastRenderedPageBreak/>
        <w:t>Osobitná časť</w:t>
      </w:r>
    </w:p>
    <w:p w14:paraId="351E7714" w14:textId="77777777" w:rsidR="00060751" w:rsidRPr="00C53414" w:rsidRDefault="00060751" w:rsidP="00060751">
      <w:pPr>
        <w:spacing w:line="22" w:lineRule="atLeast"/>
        <w:contextualSpacing/>
        <w:jc w:val="both"/>
        <w:rPr>
          <w:rFonts w:ascii="Times New Roman" w:hAnsi="Times New Roman" w:cs="Times New Roman"/>
          <w:b/>
          <w:u w:val="single"/>
        </w:rPr>
      </w:pPr>
    </w:p>
    <w:p w14:paraId="6CCB038B" w14:textId="77777777" w:rsidR="00060751" w:rsidRPr="00C53414" w:rsidRDefault="00060751" w:rsidP="00060751">
      <w:pPr>
        <w:spacing w:line="22" w:lineRule="atLeast"/>
        <w:contextualSpacing/>
        <w:jc w:val="both"/>
        <w:rPr>
          <w:rFonts w:ascii="Times New Roman" w:hAnsi="Times New Roman" w:cs="Times New Roman"/>
          <w:b/>
          <w:u w:val="single"/>
        </w:rPr>
      </w:pPr>
      <w:r w:rsidRPr="00C53414">
        <w:rPr>
          <w:rFonts w:ascii="Times New Roman" w:hAnsi="Times New Roman" w:cs="Times New Roman"/>
          <w:b/>
          <w:u w:val="single"/>
        </w:rPr>
        <w:t>K Čl. I</w:t>
      </w:r>
    </w:p>
    <w:p w14:paraId="4353DE10" w14:textId="77777777" w:rsidR="00060751" w:rsidRPr="00C53414" w:rsidRDefault="00060751" w:rsidP="00060751">
      <w:pPr>
        <w:spacing w:line="22" w:lineRule="atLeast"/>
        <w:contextualSpacing/>
        <w:jc w:val="both"/>
        <w:rPr>
          <w:rFonts w:ascii="Times New Roman" w:hAnsi="Times New Roman" w:cs="Times New Roman"/>
          <w:u w:val="single"/>
        </w:rPr>
      </w:pPr>
    </w:p>
    <w:p w14:paraId="037ADB51" w14:textId="77777777" w:rsidR="00060751" w:rsidRPr="00C53414" w:rsidRDefault="00060751" w:rsidP="00060751">
      <w:pPr>
        <w:spacing w:line="22" w:lineRule="atLeast"/>
        <w:contextualSpacing/>
        <w:jc w:val="both"/>
        <w:rPr>
          <w:rFonts w:ascii="Times New Roman" w:hAnsi="Times New Roman" w:cs="Times New Roman"/>
          <w:u w:val="single"/>
        </w:rPr>
      </w:pPr>
      <w:r w:rsidRPr="00C53414">
        <w:rPr>
          <w:rFonts w:ascii="Times New Roman" w:hAnsi="Times New Roman" w:cs="Times New Roman"/>
          <w:u w:val="single"/>
        </w:rPr>
        <w:t>K bodom 1 a 10 (§ 2 ods. 12 a § 119 ods. 6)</w:t>
      </w:r>
    </w:p>
    <w:p w14:paraId="1B3C5B30" w14:textId="77777777" w:rsidR="00060751" w:rsidRPr="00C53414" w:rsidRDefault="00060751" w:rsidP="00060751">
      <w:pPr>
        <w:spacing w:line="22" w:lineRule="atLeast"/>
        <w:contextualSpacing/>
        <w:jc w:val="both"/>
        <w:rPr>
          <w:rFonts w:ascii="Times New Roman" w:hAnsi="Times New Roman" w:cs="Times New Roman"/>
        </w:rPr>
      </w:pPr>
    </w:p>
    <w:p w14:paraId="75831315"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Navrhuje sa v záujme spravodlivosti umožniť použiť v prospech obvineného aj nezákonne získaný dôkaz.</w:t>
      </w:r>
    </w:p>
    <w:p w14:paraId="407FF3E1" w14:textId="77777777" w:rsidR="00060751" w:rsidRPr="00C53414" w:rsidRDefault="00060751" w:rsidP="00060751">
      <w:pPr>
        <w:spacing w:line="22" w:lineRule="atLeast"/>
        <w:contextualSpacing/>
        <w:jc w:val="both"/>
        <w:rPr>
          <w:rFonts w:ascii="Times New Roman" w:hAnsi="Times New Roman" w:cs="Times New Roman"/>
        </w:rPr>
      </w:pPr>
    </w:p>
    <w:p w14:paraId="07BBE445"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Dikciu aj dôvody navrhovanej zmeny prevzal </w:t>
      </w:r>
      <w:r>
        <w:rPr>
          <w:rFonts w:ascii="Times New Roman" w:hAnsi="Times New Roman" w:cs="Times New Roman"/>
        </w:rPr>
        <w:t xml:space="preserve">navrhovateľ </w:t>
      </w:r>
      <w:r w:rsidRPr="00C53414">
        <w:rPr>
          <w:rFonts w:ascii="Times New Roman" w:hAnsi="Times New Roman" w:cs="Times New Roman"/>
        </w:rPr>
        <w:t xml:space="preserve">z odbornej literatúry, na ktorú zároveň </w:t>
      </w:r>
      <w:r>
        <w:rPr>
          <w:rFonts w:ascii="Times New Roman" w:hAnsi="Times New Roman" w:cs="Times New Roman"/>
        </w:rPr>
        <w:t xml:space="preserve">čo do podrobnejších vývodov, prečo je takáto procesná úprava vhodná a potrebná, aj </w:t>
      </w:r>
      <w:r w:rsidRPr="00C53414">
        <w:rPr>
          <w:rFonts w:ascii="Times New Roman" w:hAnsi="Times New Roman" w:cs="Times New Roman"/>
        </w:rPr>
        <w:t>odkazuje</w:t>
      </w:r>
      <w:r>
        <w:rPr>
          <w:rFonts w:ascii="Times New Roman" w:hAnsi="Times New Roman" w:cs="Times New Roman"/>
        </w:rPr>
        <w:t xml:space="preserve">. Ide o článok </w:t>
      </w:r>
      <w:r w:rsidRPr="00C53414">
        <w:rPr>
          <w:rFonts w:ascii="Times New Roman" w:hAnsi="Times New Roman" w:cs="Times New Roman"/>
        </w:rPr>
        <w:t>JUDr. Eduard</w:t>
      </w:r>
      <w:r>
        <w:rPr>
          <w:rFonts w:ascii="Times New Roman" w:hAnsi="Times New Roman" w:cs="Times New Roman"/>
        </w:rPr>
        <w:t>a</w:t>
      </w:r>
      <w:r w:rsidRPr="00C53414">
        <w:rPr>
          <w:rFonts w:ascii="Times New Roman" w:hAnsi="Times New Roman" w:cs="Times New Roman"/>
        </w:rPr>
        <w:t xml:space="preserve"> Burd</w:t>
      </w:r>
      <w:r>
        <w:rPr>
          <w:rFonts w:ascii="Times New Roman" w:hAnsi="Times New Roman" w:cs="Times New Roman"/>
        </w:rPr>
        <w:t>u</w:t>
      </w:r>
      <w:r w:rsidRPr="00C53414">
        <w:rPr>
          <w:rFonts w:ascii="Times New Roman" w:hAnsi="Times New Roman" w:cs="Times New Roman"/>
        </w:rPr>
        <w:t xml:space="preserve"> PhD. </w:t>
      </w:r>
      <w:r>
        <w:rPr>
          <w:rFonts w:ascii="Times New Roman" w:hAnsi="Times New Roman" w:cs="Times New Roman"/>
        </w:rPr>
        <w:t>„</w:t>
      </w:r>
      <w:r w:rsidRPr="00C53414">
        <w:rPr>
          <w:rFonts w:ascii="Times New Roman" w:hAnsi="Times New Roman" w:cs="Times New Roman"/>
        </w:rPr>
        <w:t>Nezákonne získaný dôkaz v prospech obvineného</w:t>
      </w:r>
      <w:r>
        <w:rPr>
          <w:rFonts w:ascii="Times New Roman" w:hAnsi="Times New Roman" w:cs="Times New Roman"/>
        </w:rPr>
        <w:t>“;</w:t>
      </w:r>
      <w:r w:rsidRPr="00C53414">
        <w:rPr>
          <w:rFonts w:ascii="Times New Roman" w:hAnsi="Times New Roman" w:cs="Times New Roman"/>
        </w:rPr>
        <w:t xml:space="preserve"> </w:t>
      </w:r>
      <w:r>
        <w:rPr>
          <w:rFonts w:ascii="Times New Roman" w:hAnsi="Times New Roman" w:cs="Times New Roman"/>
        </w:rPr>
        <w:t xml:space="preserve">vyšiel v zborníku zostavovateľa </w:t>
      </w:r>
      <w:r w:rsidRPr="00C53414">
        <w:rPr>
          <w:rFonts w:ascii="Times New Roman" w:hAnsi="Times New Roman" w:cs="Times New Roman"/>
        </w:rPr>
        <w:t>J. Záhor</w:t>
      </w:r>
      <w:r>
        <w:rPr>
          <w:rFonts w:ascii="Times New Roman" w:hAnsi="Times New Roman" w:cs="Times New Roman"/>
        </w:rPr>
        <w:t>u</w:t>
      </w:r>
      <w:r w:rsidRPr="00C53414">
        <w:rPr>
          <w:rFonts w:ascii="Times New Roman" w:hAnsi="Times New Roman" w:cs="Times New Roman"/>
        </w:rPr>
        <w:t xml:space="preserve"> (</w:t>
      </w:r>
      <w:proofErr w:type="spellStart"/>
      <w:r w:rsidRPr="00C53414">
        <w:rPr>
          <w:rFonts w:ascii="Times New Roman" w:hAnsi="Times New Roman" w:cs="Times New Roman"/>
        </w:rPr>
        <w:t>eds</w:t>
      </w:r>
      <w:proofErr w:type="spellEnd"/>
      <w:r w:rsidRPr="00C53414">
        <w:rPr>
          <w:rFonts w:ascii="Times New Roman" w:hAnsi="Times New Roman" w:cs="Times New Roman"/>
        </w:rPr>
        <w:t xml:space="preserve">.) </w:t>
      </w:r>
      <w:r>
        <w:rPr>
          <w:rFonts w:ascii="Times New Roman" w:hAnsi="Times New Roman" w:cs="Times New Roman"/>
        </w:rPr>
        <w:t>„</w:t>
      </w:r>
      <w:r w:rsidRPr="00C53414">
        <w:rPr>
          <w:rFonts w:ascii="Times New Roman" w:hAnsi="Times New Roman" w:cs="Times New Roman"/>
        </w:rPr>
        <w:t xml:space="preserve">Teoretické a praktické problémy dokazovania, pocta prof. JUDr. Vladimírovi </w:t>
      </w:r>
      <w:proofErr w:type="spellStart"/>
      <w:r w:rsidRPr="00C53414">
        <w:rPr>
          <w:rFonts w:ascii="Times New Roman" w:hAnsi="Times New Roman" w:cs="Times New Roman"/>
        </w:rPr>
        <w:t>Mathernovi</w:t>
      </w:r>
      <w:proofErr w:type="spellEnd"/>
      <w:r w:rsidRPr="00C53414">
        <w:rPr>
          <w:rFonts w:ascii="Times New Roman" w:hAnsi="Times New Roman" w:cs="Times New Roman"/>
        </w:rPr>
        <w:t>, DrSc. K 80. narodeninám</w:t>
      </w:r>
      <w:r>
        <w:rPr>
          <w:rFonts w:ascii="Times New Roman" w:hAnsi="Times New Roman" w:cs="Times New Roman"/>
        </w:rPr>
        <w:t xml:space="preserve">“ vo vydavateľstve </w:t>
      </w:r>
      <w:proofErr w:type="spellStart"/>
      <w:r w:rsidRPr="00C53414">
        <w:rPr>
          <w:rFonts w:ascii="Times New Roman" w:hAnsi="Times New Roman" w:cs="Times New Roman"/>
        </w:rPr>
        <w:t>Eurokodex</w:t>
      </w:r>
      <w:proofErr w:type="spellEnd"/>
      <w:r w:rsidRPr="00C53414">
        <w:rPr>
          <w:rFonts w:ascii="Times New Roman" w:hAnsi="Times New Roman" w:cs="Times New Roman"/>
        </w:rPr>
        <w:t>, Bratislava 2008.</w:t>
      </w:r>
    </w:p>
    <w:p w14:paraId="4E30E343" w14:textId="77777777" w:rsidR="00060751" w:rsidRPr="00C53414" w:rsidRDefault="00060751" w:rsidP="00060751">
      <w:pPr>
        <w:spacing w:line="22" w:lineRule="atLeast"/>
        <w:contextualSpacing/>
        <w:jc w:val="both"/>
        <w:rPr>
          <w:rFonts w:ascii="Times New Roman" w:hAnsi="Times New Roman" w:cs="Times New Roman"/>
        </w:rPr>
      </w:pPr>
    </w:p>
    <w:p w14:paraId="448B6405" w14:textId="77777777" w:rsidR="00060751" w:rsidRPr="00C53414" w:rsidRDefault="00060751" w:rsidP="00060751">
      <w:pPr>
        <w:spacing w:line="22" w:lineRule="atLeast"/>
        <w:contextualSpacing/>
        <w:jc w:val="both"/>
        <w:rPr>
          <w:rFonts w:ascii="Times New Roman" w:hAnsi="Times New Roman" w:cs="Times New Roman"/>
          <w:u w:val="single"/>
        </w:rPr>
      </w:pPr>
      <w:r w:rsidRPr="00C53414">
        <w:rPr>
          <w:rFonts w:ascii="Times New Roman" w:hAnsi="Times New Roman" w:cs="Times New Roman"/>
          <w:u w:val="single"/>
        </w:rPr>
        <w:t>K bodom 2, 5 a 12 (§ 10 ods. 23 a 24, § 33a, § 567s ods. 2</w:t>
      </w:r>
      <w:r w:rsidRPr="00C53414">
        <w:rPr>
          <w:rFonts w:ascii="Times New Roman" w:hAnsi="Times New Roman" w:cs="Times New Roman"/>
        </w:rPr>
        <w:t xml:space="preserve">) </w:t>
      </w:r>
      <w:r w:rsidRPr="00C53414">
        <w:rPr>
          <w:rFonts w:ascii="Times New Roman" w:hAnsi="Times New Roman" w:cs="Times New Roman"/>
          <w:u w:val="single"/>
        </w:rPr>
        <w:t xml:space="preserve"> </w:t>
      </w:r>
    </w:p>
    <w:p w14:paraId="3288F620" w14:textId="77777777" w:rsidR="00060751" w:rsidRPr="00C53414" w:rsidRDefault="00060751" w:rsidP="00060751">
      <w:pPr>
        <w:spacing w:line="22" w:lineRule="atLeast"/>
        <w:contextualSpacing/>
        <w:jc w:val="both"/>
        <w:rPr>
          <w:rFonts w:ascii="Times New Roman" w:hAnsi="Times New Roman" w:cs="Times New Roman"/>
        </w:rPr>
      </w:pPr>
    </w:p>
    <w:p w14:paraId="4B56E917"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Navrhuje sa v záujme kontroly zákonnosti podmienok spolupráce tzv. spolupracujúcich osôb s</w:t>
      </w:r>
      <w:r>
        <w:rPr>
          <w:rFonts w:ascii="Times New Roman" w:hAnsi="Times New Roman" w:cs="Times New Roman"/>
        </w:rPr>
        <w:t> orgánmi činnými v trestnom konaní</w:t>
      </w:r>
      <w:r w:rsidRPr="00C53414">
        <w:rPr>
          <w:rFonts w:ascii="Times New Roman" w:hAnsi="Times New Roman" w:cs="Times New Roman"/>
        </w:rPr>
        <w:t xml:space="preserve">, ale aj </w:t>
      </w:r>
      <w:r>
        <w:rPr>
          <w:rFonts w:ascii="Times New Roman" w:hAnsi="Times New Roman" w:cs="Times New Roman"/>
        </w:rPr>
        <w:t xml:space="preserve">s </w:t>
      </w:r>
      <w:r w:rsidRPr="00C53414">
        <w:rPr>
          <w:rFonts w:ascii="Times New Roman" w:hAnsi="Times New Roman" w:cs="Times New Roman"/>
        </w:rPr>
        <w:t xml:space="preserve">prokurátorom v súdnom konaní  zadefinovať beztak už používané pojmy ako „spolupracujúci obvinený / podozrivý / spolupracujúca osoba“ a „výhody spolupracujúcej osoby, resp. benefity“. </w:t>
      </w:r>
    </w:p>
    <w:p w14:paraId="6038EB6C" w14:textId="77777777" w:rsidR="00060751" w:rsidRPr="00C53414" w:rsidRDefault="00060751" w:rsidP="00060751">
      <w:pPr>
        <w:spacing w:line="22" w:lineRule="atLeast"/>
        <w:contextualSpacing/>
        <w:jc w:val="both"/>
        <w:rPr>
          <w:rFonts w:ascii="Times New Roman" w:hAnsi="Times New Roman" w:cs="Times New Roman"/>
        </w:rPr>
      </w:pPr>
    </w:p>
    <w:p w14:paraId="02AC86CC"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Zároveň sa navrhuje – v novom § 33a - spresniť podmienky spolupráce polície a prokuratúry so spolupracujúcimi osobami, nie však podmienky vecné, ale výlučne podmienky procedurálne, s cieľom umožniť previerku zákonnosti takejto spolupráce v priebehu trestného stíhania, a to aj z podnetu strán, vrátane samotnej spolupracujúcej osoby.</w:t>
      </w:r>
    </w:p>
    <w:p w14:paraId="2FBBFD8D" w14:textId="77777777" w:rsidR="00060751" w:rsidRPr="00C53414" w:rsidRDefault="00060751" w:rsidP="00060751">
      <w:pPr>
        <w:spacing w:line="22" w:lineRule="atLeast"/>
        <w:contextualSpacing/>
        <w:jc w:val="both"/>
        <w:rPr>
          <w:rFonts w:ascii="Times New Roman" w:hAnsi="Times New Roman" w:cs="Times New Roman"/>
        </w:rPr>
      </w:pPr>
    </w:p>
    <w:p w14:paraId="59FAE1F7"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Zároveň podmienky tejto spolupráce musia byť nielen riadne zaznamenané, ale napokon aj v trestnom konaní odkryté, a to najneskôr v štádiu súdneho konania, ak sa navrhuje na hlavnom pojednávaní vypočuť, či čítať výpovede tých svedkov, či obžalovaných, ktorí mali poskytnuté, či prisľúbené benefity.  </w:t>
      </w:r>
    </w:p>
    <w:p w14:paraId="08BBA61D" w14:textId="77777777" w:rsidR="00060751" w:rsidRPr="00C53414" w:rsidRDefault="00060751" w:rsidP="00060751">
      <w:pPr>
        <w:spacing w:line="22" w:lineRule="atLeast"/>
        <w:contextualSpacing/>
        <w:jc w:val="both"/>
        <w:rPr>
          <w:rFonts w:ascii="Times New Roman" w:hAnsi="Times New Roman" w:cs="Times New Roman"/>
        </w:rPr>
      </w:pPr>
    </w:p>
    <w:p w14:paraId="21E050CC"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Uvedená úprava vyžaduje zavedenie prechodného ustanovenia, ktoré upraví postup v trestných stíhania, začatých a právoplatne neskončených do dňa účinnosti tejto novely Trestného poriadku.</w:t>
      </w:r>
    </w:p>
    <w:p w14:paraId="358866AB" w14:textId="77777777" w:rsidR="00060751" w:rsidRPr="00C53414" w:rsidRDefault="00060751" w:rsidP="00060751">
      <w:pPr>
        <w:spacing w:line="22" w:lineRule="atLeast"/>
        <w:contextualSpacing/>
        <w:jc w:val="both"/>
        <w:rPr>
          <w:rFonts w:ascii="Times New Roman" w:hAnsi="Times New Roman" w:cs="Times New Roman"/>
        </w:rPr>
      </w:pPr>
    </w:p>
    <w:p w14:paraId="4CD78FAD" w14:textId="77777777" w:rsidR="00060751" w:rsidRPr="00C53414" w:rsidRDefault="00060751" w:rsidP="00060751">
      <w:pPr>
        <w:spacing w:line="22" w:lineRule="atLeast"/>
        <w:contextualSpacing/>
        <w:jc w:val="both"/>
        <w:rPr>
          <w:rFonts w:ascii="Times New Roman" w:hAnsi="Times New Roman" w:cs="Times New Roman"/>
          <w:u w:val="single"/>
        </w:rPr>
      </w:pPr>
      <w:r w:rsidRPr="00C53414">
        <w:rPr>
          <w:rFonts w:ascii="Times New Roman" w:hAnsi="Times New Roman" w:cs="Times New Roman"/>
          <w:u w:val="single"/>
        </w:rPr>
        <w:t>K bodom 3 a 4 (§ 14</w:t>
      </w:r>
      <w:r w:rsidRPr="00C53414">
        <w:rPr>
          <w:rFonts w:ascii="Times New Roman" w:hAnsi="Times New Roman" w:cs="Times New Roman"/>
        </w:rPr>
        <w:t xml:space="preserve">) </w:t>
      </w:r>
      <w:r w:rsidRPr="00C53414">
        <w:rPr>
          <w:rFonts w:ascii="Times New Roman" w:hAnsi="Times New Roman" w:cs="Times New Roman"/>
          <w:u w:val="single"/>
        </w:rPr>
        <w:t xml:space="preserve"> </w:t>
      </w:r>
    </w:p>
    <w:p w14:paraId="04AFCCB9" w14:textId="77777777" w:rsidR="00060751" w:rsidRPr="00C53414" w:rsidRDefault="00060751" w:rsidP="00060751">
      <w:pPr>
        <w:spacing w:line="22" w:lineRule="atLeast"/>
        <w:contextualSpacing/>
        <w:jc w:val="both"/>
        <w:rPr>
          <w:rFonts w:ascii="Times New Roman" w:hAnsi="Times New Roman" w:cs="Times New Roman"/>
        </w:rPr>
      </w:pPr>
    </w:p>
    <w:p w14:paraId="674D85C2"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Navrhuje sa upraviť pôsobnosť Špecializovaného trestného súdu tak, aby v záujme vyváženia nápadu vecí a odbremenenia tohto súdu od riešenia menej závažných trestných vecí do pôsobnosti tohto súdu z trestných činov podľa § 261 až 263 patrili rovnako ako pri § 266 Trestného zákona len trestné činy v najvyšších odsekoch (t. j. najprísnejšie skutkové podstaty týchto trestných činov).</w:t>
      </w:r>
    </w:p>
    <w:p w14:paraId="2411584B" w14:textId="77777777" w:rsidR="00060751" w:rsidRPr="00C53414" w:rsidRDefault="00060751" w:rsidP="00060751">
      <w:pPr>
        <w:spacing w:line="22" w:lineRule="atLeast"/>
        <w:contextualSpacing/>
        <w:jc w:val="both"/>
        <w:rPr>
          <w:rFonts w:ascii="Times New Roman" w:hAnsi="Times New Roman" w:cs="Times New Roman"/>
        </w:rPr>
      </w:pPr>
      <w:r w:rsidRPr="00C53414">
        <w:rPr>
          <w:rFonts w:ascii="Times New Roman" w:hAnsi="Times New Roman" w:cs="Times New Roman"/>
        </w:rPr>
        <w:t xml:space="preserve"> </w:t>
      </w:r>
    </w:p>
    <w:p w14:paraId="4874EF8A"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Vzhľadom na podobný predmet týchto trestných činov s trestným činom podľa § 225 Trestného zákona rozšíriť pôsobnosť Špecializovaného trestného súdu aj vo vzťahu k trestnému činu podľa § 225 ods. 6 Trestného zákona.</w:t>
      </w:r>
    </w:p>
    <w:p w14:paraId="4916671C" w14:textId="77777777" w:rsidR="00060751" w:rsidRDefault="00060751" w:rsidP="00060751">
      <w:pPr>
        <w:spacing w:line="22" w:lineRule="atLeast"/>
        <w:contextualSpacing/>
        <w:jc w:val="both"/>
        <w:rPr>
          <w:rFonts w:ascii="Times New Roman" w:hAnsi="Times New Roman" w:cs="Times New Roman"/>
        </w:rPr>
      </w:pPr>
    </w:p>
    <w:p w14:paraId="7B7E7F2D" w14:textId="77777777" w:rsidR="00060751" w:rsidRDefault="00060751" w:rsidP="00060751">
      <w:pPr>
        <w:spacing w:line="22" w:lineRule="atLeast"/>
        <w:contextualSpacing/>
        <w:jc w:val="both"/>
        <w:rPr>
          <w:rFonts w:ascii="Times New Roman" w:hAnsi="Times New Roman" w:cs="Times New Roman"/>
        </w:rPr>
      </w:pPr>
    </w:p>
    <w:p w14:paraId="3EE1D1AA" w14:textId="77777777" w:rsidR="00060751" w:rsidRDefault="00060751" w:rsidP="00060751">
      <w:pPr>
        <w:spacing w:line="22" w:lineRule="atLeast"/>
        <w:contextualSpacing/>
        <w:jc w:val="both"/>
        <w:rPr>
          <w:rFonts w:ascii="Times New Roman" w:hAnsi="Times New Roman" w:cs="Times New Roman"/>
        </w:rPr>
      </w:pPr>
    </w:p>
    <w:p w14:paraId="78354B62" w14:textId="77777777" w:rsidR="00060751" w:rsidRDefault="00060751" w:rsidP="00060751">
      <w:pPr>
        <w:spacing w:line="22" w:lineRule="atLeast"/>
        <w:contextualSpacing/>
        <w:jc w:val="both"/>
        <w:rPr>
          <w:rFonts w:ascii="Times New Roman" w:hAnsi="Times New Roman" w:cs="Times New Roman"/>
        </w:rPr>
      </w:pPr>
    </w:p>
    <w:p w14:paraId="2F99ECA2" w14:textId="77777777" w:rsidR="00060751" w:rsidRPr="00C53414" w:rsidRDefault="00060751" w:rsidP="00060751">
      <w:pPr>
        <w:spacing w:line="22" w:lineRule="atLeast"/>
        <w:contextualSpacing/>
        <w:jc w:val="both"/>
        <w:rPr>
          <w:rFonts w:ascii="Times New Roman" w:hAnsi="Times New Roman" w:cs="Times New Roman"/>
        </w:rPr>
      </w:pPr>
    </w:p>
    <w:p w14:paraId="3F17CA69" w14:textId="77777777" w:rsidR="00060751" w:rsidRPr="00C53414" w:rsidRDefault="00060751" w:rsidP="00060751">
      <w:pPr>
        <w:spacing w:line="22" w:lineRule="atLeast"/>
        <w:contextualSpacing/>
        <w:jc w:val="both"/>
        <w:rPr>
          <w:rFonts w:ascii="Times New Roman" w:hAnsi="Times New Roman" w:cs="Times New Roman"/>
          <w:u w:val="single"/>
        </w:rPr>
      </w:pPr>
      <w:r w:rsidRPr="00C53414">
        <w:rPr>
          <w:rFonts w:ascii="Times New Roman" w:hAnsi="Times New Roman" w:cs="Times New Roman"/>
          <w:u w:val="single"/>
        </w:rPr>
        <w:lastRenderedPageBreak/>
        <w:t>K bodom 6 až 9 (§ 101 a § 105 ods. 2</w:t>
      </w:r>
      <w:r w:rsidRPr="00C53414">
        <w:rPr>
          <w:rFonts w:ascii="Times New Roman" w:hAnsi="Times New Roman" w:cs="Times New Roman"/>
        </w:rPr>
        <w:t xml:space="preserve">) </w:t>
      </w:r>
      <w:r w:rsidRPr="00C53414">
        <w:rPr>
          <w:rFonts w:ascii="Times New Roman" w:hAnsi="Times New Roman" w:cs="Times New Roman"/>
          <w:u w:val="single"/>
        </w:rPr>
        <w:t xml:space="preserve"> </w:t>
      </w:r>
    </w:p>
    <w:p w14:paraId="0EBCE388" w14:textId="77777777" w:rsidR="00060751" w:rsidRPr="00C53414" w:rsidRDefault="00060751" w:rsidP="00060751">
      <w:pPr>
        <w:spacing w:line="22" w:lineRule="atLeast"/>
        <w:contextualSpacing/>
        <w:jc w:val="both"/>
        <w:rPr>
          <w:rFonts w:ascii="Times New Roman" w:hAnsi="Times New Roman" w:cs="Times New Roman"/>
        </w:rPr>
      </w:pPr>
    </w:p>
    <w:p w14:paraId="7F719385"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Navrhuje sa obdobne ako českom Trestnom </w:t>
      </w:r>
      <w:proofErr w:type="spellStart"/>
      <w:r w:rsidRPr="00C53414">
        <w:rPr>
          <w:rFonts w:ascii="Times New Roman" w:hAnsi="Times New Roman" w:cs="Times New Roman"/>
        </w:rPr>
        <w:t>řáde</w:t>
      </w:r>
      <w:proofErr w:type="spellEnd"/>
      <w:r w:rsidRPr="00C53414">
        <w:rPr>
          <w:rFonts w:ascii="Times New Roman" w:hAnsi="Times New Roman" w:cs="Times New Roman"/>
        </w:rPr>
        <w:t xml:space="preserve"> (§ 83a) viazať prehliadku iných priestorov a pozemkov z ústavnoprávnych dôvodov aj v prípravnom konaní vždy na príkaz súdu (sudcu pre prípravné konanie).</w:t>
      </w:r>
    </w:p>
    <w:p w14:paraId="43356195" w14:textId="77777777" w:rsidR="00060751" w:rsidRPr="00C53414" w:rsidRDefault="00060751" w:rsidP="00060751">
      <w:pPr>
        <w:spacing w:line="22" w:lineRule="atLeast"/>
        <w:contextualSpacing/>
        <w:jc w:val="both"/>
        <w:rPr>
          <w:rFonts w:ascii="Times New Roman" w:hAnsi="Times New Roman" w:cs="Times New Roman"/>
        </w:rPr>
      </w:pPr>
    </w:p>
    <w:p w14:paraId="71ED6C2A"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S tým súvisí aj zrovnoprávnenie ďalších podmienok vykonávania tejto prehliadky s domovou prehliadkou. </w:t>
      </w:r>
    </w:p>
    <w:p w14:paraId="3C5B7BB2" w14:textId="77777777" w:rsidR="00060751" w:rsidRPr="00C53414" w:rsidRDefault="00060751" w:rsidP="00060751">
      <w:pPr>
        <w:spacing w:line="22" w:lineRule="atLeast"/>
        <w:contextualSpacing/>
        <w:jc w:val="both"/>
        <w:rPr>
          <w:rFonts w:ascii="Times New Roman" w:hAnsi="Times New Roman" w:cs="Times New Roman"/>
        </w:rPr>
      </w:pPr>
    </w:p>
    <w:p w14:paraId="1CA53FFF"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V Českej republike bol dôvodom podobnej zmeny pred viac ako 10 rokmi nález Ústavného súdu, ktorý v </w:t>
      </w:r>
      <w:r>
        <w:rPr>
          <w:rFonts w:ascii="Times New Roman" w:hAnsi="Times New Roman" w:cs="Times New Roman"/>
        </w:rPr>
        <w:t>princípe</w:t>
      </w:r>
      <w:r w:rsidRPr="00C53414">
        <w:rPr>
          <w:rFonts w:ascii="Times New Roman" w:hAnsi="Times New Roman" w:cs="Times New Roman"/>
        </w:rPr>
        <w:t xml:space="preserve"> konštatoval, že kvalitatívny rozdiel medzi domovou prehliadkou a prehliadkou iných priestorov a pozemkov neodôvodňuje rozdielny postup pri povoľovaní týchto prehliadok</w:t>
      </w:r>
      <w:r>
        <w:rPr>
          <w:rFonts w:ascii="Times New Roman" w:hAnsi="Times New Roman" w:cs="Times New Roman"/>
        </w:rPr>
        <w:t xml:space="preserve">, </w:t>
      </w:r>
      <w:proofErr w:type="spellStart"/>
      <w:r>
        <w:rPr>
          <w:rFonts w:ascii="Times New Roman" w:hAnsi="Times New Roman" w:cs="Times New Roman"/>
        </w:rPr>
        <w:t>t.j</w:t>
      </w:r>
      <w:proofErr w:type="spellEnd"/>
      <w:r>
        <w:rPr>
          <w:rFonts w:ascii="Times New Roman" w:hAnsi="Times New Roman" w:cs="Times New Roman"/>
        </w:rPr>
        <w:t xml:space="preserve">. že neodôvodňuje taký postup, </w:t>
      </w:r>
      <w:r w:rsidRPr="00C53414">
        <w:rPr>
          <w:rFonts w:ascii="Times New Roman" w:hAnsi="Times New Roman" w:cs="Times New Roman"/>
        </w:rPr>
        <w:t xml:space="preserve"> </w:t>
      </w:r>
      <w:r>
        <w:rPr>
          <w:rFonts w:ascii="Times New Roman" w:hAnsi="Times New Roman" w:cs="Times New Roman"/>
        </w:rPr>
        <w:t xml:space="preserve">kedy by </w:t>
      </w:r>
      <w:r w:rsidRPr="00C53414">
        <w:rPr>
          <w:rFonts w:ascii="Times New Roman" w:hAnsi="Times New Roman" w:cs="Times New Roman"/>
        </w:rPr>
        <w:t xml:space="preserve">iné ako domové prehliadky </w:t>
      </w:r>
      <w:r>
        <w:rPr>
          <w:rFonts w:ascii="Times New Roman" w:hAnsi="Times New Roman" w:cs="Times New Roman"/>
        </w:rPr>
        <w:t xml:space="preserve">(prehliadky iných priestorov a pozemkov) </w:t>
      </w:r>
      <w:r w:rsidRPr="00C53414">
        <w:rPr>
          <w:rFonts w:ascii="Times New Roman" w:hAnsi="Times New Roman" w:cs="Times New Roman"/>
        </w:rPr>
        <w:t xml:space="preserve">mohol povoľovať napr. aj iný orgán ako súd (štátny zástupca, u nás prokurátor). Ústavnoprávne dôvody, platné v Českej republike sa pritom vzhľadom na podobnosť našich ústavných poriadkov nelíšia od dôvodov, ktoré treba zohľadňovať v našich právnych podmienkach.  </w:t>
      </w:r>
    </w:p>
    <w:p w14:paraId="0A94D56F" w14:textId="77777777" w:rsidR="00060751" w:rsidRPr="00C53414" w:rsidRDefault="00060751" w:rsidP="00060751">
      <w:pPr>
        <w:spacing w:line="22" w:lineRule="atLeast"/>
        <w:contextualSpacing/>
        <w:jc w:val="both"/>
        <w:rPr>
          <w:rFonts w:ascii="Times New Roman" w:hAnsi="Times New Roman" w:cs="Times New Roman"/>
        </w:rPr>
      </w:pPr>
    </w:p>
    <w:p w14:paraId="0ACCB4DB" w14:textId="77777777" w:rsidR="00060751" w:rsidRPr="00C53414" w:rsidRDefault="00060751" w:rsidP="00060751">
      <w:pPr>
        <w:spacing w:line="22" w:lineRule="atLeast"/>
        <w:contextualSpacing/>
        <w:jc w:val="both"/>
        <w:rPr>
          <w:rFonts w:ascii="Times New Roman" w:hAnsi="Times New Roman" w:cs="Times New Roman"/>
          <w:u w:val="single"/>
        </w:rPr>
      </w:pPr>
      <w:r w:rsidRPr="00C53414">
        <w:rPr>
          <w:rFonts w:ascii="Times New Roman" w:hAnsi="Times New Roman" w:cs="Times New Roman"/>
          <w:u w:val="single"/>
        </w:rPr>
        <w:t>K bodu 11 (§ 210</w:t>
      </w:r>
      <w:r w:rsidRPr="00C53414">
        <w:rPr>
          <w:rFonts w:ascii="Times New Roman" w:hAnsi="Times New Roman" w:cs="Times New Roman"/>
        </w:rPr>
        <w:t xml:space="preserve">) </w:t>
      </w:r>
      <w:r w:rsidRPr="00C53414">
        <w:rPr>
          <w:rFonts w:ascii="Times New Roman" w:hAnsi="Times New Roman" w:cs="Times New Roman"/>
          <w:u w:val="single"/>
        </w:rPr>
        <w:t xml:space="preserve"> </w:t>
      </w:r>
    </w:p>
    <w:p w14:paraId="6A42EB81" w14:textId="77777777" w:rsidR="00060751" w:rsidRPr="00C53414" w:rsidRDefault="00060751" w:rsidP="00060751">
      <w:pPr>
        <w:spacing w:line="22" w:lineRule="atLeast"/>
        <w:contextualSpacing/>
        <w:jc w:val="both"/>
        <w:rPr>
          <w:rFonts w:ascii="Times New Roman" w:hAnsi="Times New Roman" w:cs="Times New Roman"/>
        </w:rPr>
      </w:pPr>
    </w:p>
    <w:p w14:paraId="2451ABAD" w14:textId="77777777" w:rsidR="00060751" w:rsidRPr="00C53414"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Navrhuje sa rozšíriť oprávnenie procesných subjektov (obvinený, poškodený, zúčastnená osoba) žiadať podľa § 210 Trestného poriadku o preskúmanie postupu nielen policajta, ale aj </w:t>
      </w:r>
      <w:proofErr w:type="spellStart"/>
      <w:r w:rsidRPr="00C53414">
        <w:rPr>
          <w:rFonts w:ascii="Times New Roman" w:hAnsi="Times New Roman" w:cs="Times New Roman"/>
        </w:rPr>
        <w:t>dozorového</w:t>
      </w:r>
      <w:proofErr w:type="spellEnd"/>
      <w:r w:rsidRPr="00C53414">
        <w:rPr>
          <w:rFonts w:ascii="Times New Roman" w:hAnsi="Times New Roman" w:cs="Times New Roman"/>
        </w:rPr>
        <w:t xml:space="preserve"> prokurátora, a to v súlade s podobnou úpravou uvedenou v § 157a českého </w:t>
      </w:r>
      <w:proofErr w:type="spellStart"/>
      <w:r w:rsidRPr="00C53414">
        <w:rPr>
          <w:rFonts w:ascii="Times New Roman" w:hAnsi="Times New Roman" w:cs="Times New Roman"/>
        </w:rPr>
        <w:t>Trestního</w:t>
      </w:r>
      <w:proofErr w:type="spellEnd"/>
      <w:r w:rsidRPr="00C53414">
        <w:rPr>
          <w:rFonts w:ascii="Times New Roman" w:hAnsi="Times New Roman" w:cs="Times New Roman"/>
        </w:rPr>
        <w:t xml:space="preserve"> </w:t>
      </w:r>
      <w:proofErr w:type="spellStart"/>
      <w:r w:rsidRPr="00C53414">
        <w:rPr>
          <w:rFonts w:ascii="Times New Roman" w:hAnsi="Times New Roman" w:cs="Times New Roman"/>
        </w:rPr>
        <w:t>řádu</w:t>
      </w:r>
      <w:proofErr w:type="spellEnd"/>
      <w:r w:rsidRPr="00C53414">
        <w:rPr>
          <w:rFonts w:ascii="Times New Roman" w:hAnsi="Times New Roman" w:cs="Times New Roman"/>
        </w:rPr>
        <w:t>. Aktuálna úprava týchto otázok v internom predpise Generálnej prokuratúry Slovenskej republiky sa z hľadiska princípu právnej istoty totiž javí ako nedostatočná.</w:t>
      </w:r>
    </w:p>
    <w:p w14:paraId="6C33D054" w14:textId="77777777" w:rsidR="00060751" w:rsidRPr="00C53414" w:rsidRDefault="00060751" w:rsidP="00060751">
      <w:pPr>
        <w:spacing w:line="22" w:lineRule="atLeast"/>
        <w:contextualSpacing/>
        <w:jc w:val="both"/>
        <w:rPr>
          <w:rFonts w:ascii="Times New Roman" w:hAnsi="Times New Roman" w:cs="Times New Roman"/>
        </w:rPr>
      </w:pPr>
    </w:p>
    <w:p w14:paraId="1ACC2778" w14:textId="77777777" w:rsidR="00060751" w:rsidRPr="00C53414" w:rsidRDefault="00060751" w:rsidP="00060751">
      <w:pPr>
        <w:spacing w:line="22" w:lineRule="atLeast"/>
        <w:contextualSpacing/>
        <w:jc w:val="both"/>
        <w:rPr>
          <w:rFonts w:ascii="Times New Roman" w:hAnsi="Times New Roman" w:cs="Times New Roman"/>
        </w:rPr>
      </w:pPr>
    </w:p>
    <w:p w14:paraId="2512F14D" w14:textId="77777777" w:rsidR="00060751" w:rsidRPr="00C53414" w:rsidRDefault="00060751" w:rsidP="00060751">
      <w:pPr>
        <w:spacing w:line="22" w:lineRule="atLeast"/>
        <w:contextualSpacing/>
        <w:jc w:val="both"/>
        <w:rPr>
          <w:rFonts w:ascii="Times New Roman" w:hAnsi="Times New Roman" w:cs="Times New Roman"/>
          <w:b/>
          <w:u w:val="single"/>
        </w:rPr>
      </w:pPr>
      <w:r>
        <w:rPr>
          <w:rFonts w:ascii="Times New Roman" w:hAnsi="Times New Roman" w:cs="Times New Roman"/>
          <w:b/>
          <w:u w:val="single"/>
        </w:rPr>
        <w:t>K Č</w:t>
      </w:r>
      <w:r w:rsidRPr="00C53414">
        <w:rPr>
          <w:rFonts w:ascii="Times New Roman" w:hAnsi="Times New Roman" w:cs="Times New Roman"/>
          <w:b/>
          <w:u w:val="single"/>
        </w:rPr>
        <w:t>l. II</w:t>
      </w:r>
    </w:p>
    <w:p w14:paraId="62BFCE1E" w14:textId="77777777" w:rsidR="00060751" w:rsidRPr="00C53414" w:rsidRDefault="00060751" w:rsidP="00060751">
      <w:pPr>
        <w:spacing w:line="22" w:lineRule="atLeast"/>
        <w:contextualSpacing/>
        <w:jc w:val="both"/>
        <w:rPr>
          <w:rFonts w:ascii="Times New Roman" w:hAnsi="Times New Roman" w:cs="Times New Roman"/>
        </w:rPr>
      </w:pPr>
    </w:p>
    <w:p w14:paraId="7353491C" w14:textId="77777777" w:rsidR="00060751" w:rsidRDefault="00060751" w:rsidP="00060751">
      <w:pPr>
        <w:spacing w:line="22" w:lineRule="atLeast"/>
        <w:ind w:firstLine="567"/>
        <w:contextualSpacing/>
        <w:jc w:val="both"/>
        <w:rPr>
          <w:rFonts w:ascii="Times New Roman" w:hAnsi="Times New Roman" w:cs="Times New Roman"/>
        </w:rPr>
      </w:pPr>
      <w:r w:rsidRPr="00C53414">
        <w:rPr>
          <w:rFonts w:ascii="Times New Roman" w:hAnsi="Times New Roman" w:cs="Times New Roman"/>
        </w:rPr>
        <w:t xml:space="preserve">Navrhuje sa účinnosť zákona od 1. januára 2023. </w:t>
      </w:r>
    </w:p>
    <w:p w14:paraId="5D28ACCF" w14:textId="77777777" w:rsidR="00060751" w:rsidRPr="00C53414" w:rsidRDefault="00060751" w:rsidP="00060751">
      <w:pPr>
        <w:spacing w:line="22" w:lineRule="atLeast"/>
        <w:contextualSpacing/>
        <w:jc w:val="both"/>
        <w:rPr>
          <w:rFonts w:ascii="Times New Roman" w:hAnsi="Times New Roman" w:cs="Times New Roman"/>
        </w:rPr>
      </w:pPr>
      <w:bookmarkStart w:id="0" w:name="_GoBack"/>
      <w:bookmarkEnd w:id="0"/>
    </w:p>
    <w:sectPr w:rsidR="00060751" w:rsidRPr="00C53414" w:rsidSect="00C90500">
      <w:headerReference w:type="even" r:id="rId7"/>
      <w:headerReference w:type="default" r:id="rId8"/>
      <w:footerReference w:type="even" r:id="rId9"/>
      <w:footerReference w:type="default" r:id="rId10"/>
      <w:headerReference w:type="first" r:id="rId11"/>
      <w:footerReference w:type="first" r:id="rId12"/>
      <w:pgSz w:w="11906" w:h="16838"/>
      <w:pgMar w:top="1135" w:right="1417" w:bottom="851"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CD27A" w14:textId="77777777" w:rsidR="00397EC4" w:rsidRDefault="00397EC4">
      <w:r>
        <w:separator/>
      </w:r>
    </w:p>
  </w:endnote>
  <w:endnote w:type="continuationSeparator" w:id="0">
    <w:p w14:paraId="5BFE5092" w14:textId="77777777" w:rsidR="00397EC4" w:rsidRDefault="0039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egreya">
    <w:altName w:val="Calibri"/>
    <w:charset w:val="00"/>
    <w:family w:val="moder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03054" w14:textId="77777777" w:rsidR="00DE61B6" w:rsidRDefault="00397EC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C307" w14:textId="77777777" w:rsidR="009D7B33" w:rsidRPr="00DE61B6" w:rsidRDefault="00397EC4" w:rsidP="00DE61B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56A3" w14:textId="77777777" w:rsidR="00DE61B6" w:rsidRDefault="00397E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E3BD" w14:textId="77777777" w:rsidR="00397EC4" w:rsidRDefault="00397EC4">
      <w:r>
        <w:separator/>
      </w:r>
    </w:p>
  </w:footnote>
  <w:footnote w:type="continuationSeparator" w:id="0">
    <w:p w14:paraId="0485513B" w14:textId="77777777" w:rsidR="00397EC4" w:rsidRDefault="0039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81E2" w14:textId="77777777" w:rsidR="00DE61B6" w:rsidRDefault="00397EC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0511" w14:textId="77777777" w:rsidR="00DE61B6" w:rsidRDefault="00397EC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8CDC" w14:textId="77777777" w:rsidR="00DE61B6" w:rsidRDefault="00397EC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478"/>
    <w:multiLevelType w:val="hybridMultilevel"/>
    <w:tmpl w:val="7D6884DC"/>
    <w:lvl w:ilvl="0" w:tplc="6DE09B5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DC58E1"/>
    <w:multiLevelType w:val="hybridMultilevel"/>
    <w:tmpl w:val="C6CABAD8"/>
    <w:lvl w:ilvl="0" w:tplc="9F26F86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6D1E58DC"/>
    <w:multiLevelType w:val="hybridMultilevel"/>
    <w:tmpl w:val="78942AA6"/>
    <w:lvl w:ilvl="0" w:tplc="041B0001">
      <w:start w:val="1"/>
      <w:numFmt w:val="bullet"/>
      <w:lvlText w:val=""/>
      <w:lvlJc w:val="left"/>
      <w:pPr>
        <w:ind w:left="1776"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0E"/>
    <w:rsid w:val="0000690E"/>
    <w:rsid w:val="00060751"/>
    <w:rsid w:val="00397EC4"/>
    <w:rsid w:val="0087372D"/>
    <w:rsid w:val="00F07B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5016"/>
  <w15:chartTrackingRefBased/>
  <w15:docId w15:val="{BD5F54A8-DB51-E34E-AF00-A124D90C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60751"/>
    <w:pPr>
      <w:tabs>
        <w:tab w:val="center" w:pos="4536"/>
        <w:tab w:val="right" w:pos="9072"/>
      </w:tabs>
    </w:pPr>
    <w:rPr>
      <w:sz w:val="22"/>
      <w:szCs w:val="22"/>
    </w:rPr>
  </w:style>
  <w:style w:type="character" w:customStyle="1" w:styleId="HlavikaChar">
    <w:name w:val="Hlavička Char"/>
    <w:basedOn w:val="Predvolenpsmoodseku"/>
    <w:link w:val="Hlavika"/>
    <w:uiPriority w:val="99"/>
    <w:rsid w:val="00060751"/>
    <w:rPr>
      <w:sz w:val="22"/>
      <w:szCs w:val="22"/>
    </w:rPr>
  </w:style>
  <w:style w:type="paragraph" w:styleId="Pta">
    <w:name w:val="footer"/>
    <w:basedOn w:val="Normlny"/>
    <w:link w:val="PtaChar"/>
    <w:uiPriority w:val="99"/>
    <w:unhideWhenUsed/>
    <w:rsid w:val="00060751"/>
    <w:pPr>
      <w:tabs>
        <w:tab w:val="center" w:pos="4536"/>
        <w:tab w:val="right" w:pos="9072"/>
      </w:tabs>
    </w:pPr>
    <w:rPr>
      <w:sz w:val="22"/>
      <w:szCs w:val="22"/>
    </w:rPr>
  </w:style>
  <w:style w:type="character" w:customStyle="1" w:styleId="PtaChar">
    <w:name w:val="Päta Char"/>
    <w:basedOn w:val="Predvolenpsmoodseku"/>
    <w:link w:val="Pta"/>
    <w:uiPriority w:val="99"/>
    <w:rsid w:val="00060751"/>
    <w:rPr>
      <w:sz w:val="22"/>
      <w:szCs w:val="22"/>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60751"/>
    <w:pPr>
      <w:spacing w:after="160" w:line="259" w:lineRule="auto"/>
      <w:ind w:left="720"/>
      <w:contextualSpacing/>
    </w:pPr>
    <w:rPr>
      <w:rFonts w:eastAsia="Times New Roman" w:cs="Times New Roman"/>
      <w:sz w:val="22"/>
      <w:szCs w:val="22"/>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060751"/>
    <w:rPr>
      <w:rFonts w:eastAsia="Times New Roman" w:cs="Times New Roman"/>
      <w:sz w:val="22"/>
      <w:szCs w:val="22"/>
    </w:rPr>
  </w:style>
  <w:style w:type="paragraph" w:styleId="Normlnywebov">
    <w:name w:val="Normal (Web)"/>
    <w:basedOn w:val="Normlny"/>
    <w:uiPriority w:val="99"/>
    <w:rsid w:val="00060751"/>
    <w:pPr>
      <w:spacing w:before="100" w:beforeAutospacing="1" w:after="100" w:afterAutospacing="1"/>
    </w:pPr>
    <w:rPr>
      <w:rFonts w:ascii="Times New Roman" w:eastAsia="Times New Roman" w:hAnsi="Times New Roman" w:cs="Times New Roman"/>
      <w:lang w:eastAsia="sk-SK"/>
    </w:rPr>
  </w:style>
  <w:style w:type="paragraph" w:styleId="Zkladntext">
    <w:name w:val="Body Text"/>
    <w:basedOn w:val="Normlny"/>
    <w:link w:val="ZkladntextChar"/>
    <w:uiPriority w:val="99"/>
    <w:semiHidden/>
    <w:unhideWhenUsed/>
    <w:rsid w:val="00060751"/>
    <w:pPr>
      <w:spacing w:after="120"/>
    </w:pPr>
    <w:rPr>
      <w:rFonts w:ascii="Calibri" w:eastAsia="Calibri" w:hAnsi="Calibri" w:cs="Calibri"/>
      <w:lang w:eastAsia="sk-SK"/>
    </w:rPr>
  </w:style>
  <w:style w:type="character" w:customStyle="1" w:styleId="ZkladntextChar">
    <w:name w:val="Základný text Char"/>
    <w:basedOn w:val="Predvolenpsmoodseku"/>
    <w:link w:val="Zkladntext"/>
    <w:uiPriority w:val="99"/>
    <w:semiHidden/>
    <w:rsid w:val="00060751"/>
    <w:rPr>
      <w:rFonts w:ascii="Calibri" w:eastAsia="Calibri" w:hAnsi="Calibri" w:cs="Calibri"/>
      <w:lang w:eastAsia="sk-SK"/>
    </w:rPr>
  </w:style>
  <w:style w:type="paragraph" w:customStyle="1" w:styleId="Standard">
    <w:name w:val="Standard"/>
    <w:rsid w:val="00060751"/>
    <w:pPr>
      <w:suppressAutoHyphens/>
      <w:autoSpaceDN w:val="0"/>
      <w:spacing w:before="255" w:line="264" w:lineRule="auto"/>
      <w:textAlignment w:val="baseline"/>
    </w:pPr>
    <w:rPr>
      <w:rFonts w:ascii="Alegreya" w:eastAsia="Alegreya" w:hAnsi="Alegreya" w:cs="Alegreya"/>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 lenovo</dc:creator>
  <cp:keywords/>
  <dc:description/>
  <cp:lastModifiedBy>Taraba, Tomáš (asistent)</cp:lastModifiedBy>
  <cp:revision>3</cp:revision>
  <dcterms:created xsi:type="dcterms:W3CDTF">2022-09-30T09:44:00Z</dcterms:created>
  <dcterms:modified xsi:type="dcterms:W3CDTF">2022-09-30T10:26:00Z</dcterms:modified>
</cp:coreProperties>
</file>