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03B27" w14:textId="77777777" w:rsidR="001B23B7" w:rsidRPr="006045CB"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14:paraId="51403B28" w14:textId="77777777"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14:paraId="51403B2A" w14:textId="77777777" w:rsidTr="000800FC">
        <w:tc>
          <w:tcPr>
            <w:tcW w:w="9180" w:type="dxa"/>
            <w:gridSpan w:val="11"/>
            <w:tcBorders>
              <w:bottom w:val="single" w:sz="4" w:space="0" w:color="FFFFFF"/>
            </w:tcBorders>
            <w:shd w:val="clear" w:color="auto" w:fill="E2E2E2"/>
          </w:tcPr>
          <w:p w14:paraId="51403B29"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14:paraId="51403B2C" w14:textId="77777777" w:rsidTr="000800FC">
        <w:tc>
          <w:tcPr>
            <w:tcW w:w="9180" w:type="dxa"/>
            <w:gridSpan w:val="11"/>
            <w:tcBorders>
              <w:bottom w:val="single" w:sz="4" w:space="0" w:color="FFFFFF"/>
            </w:tcBorders>
            <w:shd w:val="clear" w:color="auto" w:fill="E2E2E2"/>
          </w:tcPr>
          <w:p w14:paraId="51403B2B"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14:paraId="51403B2F" w14:textId="77777777" w:rsidTr="000800FC">
        <w:tc>
          <w:tcPr>
            <w:tcW w:w="9180" w:type="dxa"/>
            <w:gridSpan w:val="11"/>
            <w:tcBorders>
              <w:top w:val="single" w:sz="4" w:space="0" w:color="FFFFFF"/>
              <w:bottom w:val="single" w:sz="4" w:space="0" w:color="auto"/>
            </w:tcBorders>
          </w:tcPr>
          <w:p w14:paraId="51403B2D" w14:textId="0A768138" w:rsidR="001B23B7" w:rsidRPr="00B043B4" w:rsidRDefault="00E0493F" w:rsidP="000800FC">
            <w:pPr>
              <w:rPr>
                <w:rFonts w:ascii="Times New Roman" w:eastAsia="Times New Roman" w:hAnsi="Times New Roman" w:cs="Times New Roman"/>
                <w:sz w:val="20"/>
                <w:szCs w:val="20"/>
                <w:lang w:eastAsia="sk-SK"/>
              </w:rPr>
            </w:pPr>
            <w:r w:rsidRPr="00E0493F">
              <w:rPr>
                <w:rFonts w:ascii="Times New Roman" w:eastAsia="Times New Roman" w:hAnsi="Times New Roman" w:cs="Times New Roman"/>
                <w:sz w:val="20"/>
                <w:szCs w:val="20"/>
                <w:lang w:eastAsia="sk-SK"/>
              </w:rPr>
              <w:t>Návrh zákona, ktorým sa mení a dopĺňa zákon č. 71/2013 Z. z. o poskytovaní dotácií v pôsobnosti Ministerstva hospodárstva Slovenskej republiky v znení neskorších predpisov</w:t>
            </w:r>
          </w:p>
          <w:p w14:paraId="51403B2E"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51403B31"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51403B30"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14:paraId="51403B34"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49A0C3FC" w14:textId="77777777" w:rsidR="001B23B7" w:rsidRDefault="00E0493F" w:rsidP="000800FC">
            <w:pPr>
              <w:rPr>
                <w:rFonts w:ascii="Times New Roman" w:eastAsia="Times New Roman" w:hAnsi="Times New Roman" w:cs="Times New Roman"/>
                <w:sz w:val="20"/>
                <w:szCs w:val="20"/>
                <w:lang w:eastAsia="sk-SK"/>
              </w:rPr>
            </w:pPr>
            <w:r w:rsidRPr="00E0493F">
              <w:rPr>
                <w:rFonts w:ascii="Times New Roman" w:eastAsia="Times New Roman" w:hAnsi="Times New Roman" w:cs="Times New Roman"/>
                <w:sz w:val="20"/>
                <w:szCs w:val="20"/>
                <w:lang w:eastAsia="sk-SK"/>
              </w:rPr>
              <w:t>Ministerstvo hospodárstva Slovenskej republiky</w:t>
            </w:r>
          </w:p>
          <w:p w14:paraId="51403B33" w14:textId="295554BE" w:rsidR="00E0493F" w:rsidRPr="00B043B4" w:rsidRDefault="00E0493F" w:rsidP="000800FC">
            <w:pPr>
              <w:rPr>
                <w:rFonts w:ascii="Times New Roman" w:eastAsia="Times New Roman" w:hAnsi="Times New Roman" w:cs="Times New Roman"/>
                <w:sz w:val="20"/>
                <w:szCs w:val="20"/>
                <w:lang w:eastAsia="sk-SK"/>
              </w:rPr>
            </w:pPr>
          </w:p>
        </w:tc>
      </w:tr>
      <w:tr w:rsidR="001B23B7" w:rsidRPr="00B043B4" w14:paraId="51403B38"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1403B35"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1403B36"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51403B37"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14:paraId="51403B3C" w14:textId="77777777" w:rsidTr="000800FC">
        <w:tc>
          <w:tcPr>
            <w:tcW w:w="4212" w:type="dxa"/>
            <w:gridSpan w:val="2"/>
            <w:vMerge/>
            <w:tcBorders>
              <w:top w:val="nil"/>
              <w:left w:val="single" w:sz="4" w:space="0" w:color="auto"/>
              <w:bottom w:val="single" w:sz="4" w:space="0" w:color="FFFFFF"/>
            </w:tcBorders>
            <w:shd w:val="clear" w:color="auto" w:fill="E2E2E2"/>
          </w:tcPr>
          <w:p w14:paraId="51403B39"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1403B3A" w14:textId="7D219372" w:rsidR="001B23B7" w:rsidRPr="00B043B4" w:rsidRDefault="00E0493F"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1403B3B" w14:textId="77777777"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14:paraId="51403B40" w14:textId="77777777" w:rsidTr="000800FC">
        <w:tc>
          <w:tcPr>
            <w:tcW w:w="4212" w:type="dxa"/>
            <w:gridSpan w:val="2"/>
            <w:vMerge/>
            <w:tcBorders>
              <w:top w:val="nil"/>
              <w:left w:val="single" w:sz="4" w:space="0" w:color="auto"/>
              <w:bottom w:val="single" w:sz="4" w:space="0" w:color="auto"/>
            </w:tcBorders>
            <w:shd w:val="clear" w:color="auto" w:fill="E2E2E2"/>
          </w:tcPr>
          <w:p w14:paraId="51403B3D"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1403B3E"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1403B3F"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14:paraId="51403B43"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51403B41"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14:paraId="51403B42" w14:textId="77777777" w:rsidR="001B23B7" w:rsidRPr="00B043B4" w:rsidRDefault="001B23B7" w:rsidP="000800FC">
            <w:pPr>
              <w:rPr>
                <w:rFonts w:ascii="Times New Roman" w:eastAsia="Times New Roman" w:hAnsi="Times New Roman" w:cs="Times New Roman"/>
                <w:sz w:val="20"/>
                <w:szCs w:val="20"/>
                <w:lang w:eastAsia="sk-SK"/>
              </w:rPr>
            </w:pPr>
          </w:p>
        </w:tc>
      </w:tr>
      <w:tr w:rsidR="00E0493F" w:rsidRPr="00B043B4" w14:paraId="51403B46"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1403B44" w14:textId="77777777" w:rsidR="00E0493F" w:rsidRPr="00B043B4" w:rsidRDefault="00E0493F" w:rsidP="00E0493F">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1403B45" w14:textId="28C3695A" w:rsidR="00E0493F" w:rsidRPr="00E0493F" w:rsidRDefault="00E0493F" w:rsidP="00E0493F">
            <w:pPr>
              <w:rPr>
                <w:rFonts w:ascii="Times New Roman" w:eastAsia="Times New Roman" w:hAnsi="Times New Roman" w:cs="Times New Roman"/>
                <w:i/>
                <w:sz w:val="20"/>
                <w:szCs w:val="20"/>
                <w:lang w:eastAsia="sk-SK"/>
              </w:rPr>
            </w:pPr>
            <w:r w:rsidRPr="00E0493F">
              <w:rPr>
                <w:rFonts w:ascii="Times New Roman" w:hAnsi="Times New Roman" w:cs="Times New Roman"/>
                <w:sz w:val="20"/>
              </w:rPr>
              <w:t>-</w:t>
            </w:r>
          </w:p>
        </w:tc>
      </w:tr>
      <w:tr w:rsidR="00E0493F" w:rsidRPr="00B043B4" w14:paraId="51403B49"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1403B47" w14:textId="77777777" w:rsidR="00E0493F" w:rsidRPr="00B043B4" w:rsidRDefault="00E0493F" w:rsidP="00E0493F">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51403B48" w14:textId="6BAD5ADD" w:rsidR="00E0493F" w:rsidRPr="00E0493F" w:rsidRDefault="00E0493F" w:rsidP="00E0493F">
            <w:pPr>
              <w:rPr>
                <w:rFonts w:ascii="Times New Roman" w:eastAsia="Times New Roman" w:hAnsi="Times New Roman" w:cs="Times New Roman"/>
                <w:i/>
                <w:sz w:val="20"/>
                <w:szCs w:val="20"/>
                <w:lang w:eastAsia="sk-SK"/>
              </w:rPr>
            </w:pPr>
            <w:r w:rsidRPr="00E0493F">
              <w:rPr>
                <w:rFonts w:ascii="Times New Roman" w:hAnsi="Times New Roman" w:cs="Times New Roman"/>
                <w:sz w:val="20"/>
              </w:rPr>
              <w:t>jún 2022</w:t>
            </w:r>
          </w:p>
        </w:tc>
      </w:tr>
      <w:tr w:rsidR="00E0493F" w:rsidRPr="00B043B4" w14:paraId="51403B4C"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1403B4A" w14:textId="77777777" w:rsidR="00E0493F" w:rsidRPr="00B043B4" w:rsidRDefault="00E0493F" w:rsidP="00E0493F">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51403B4B" w14:textId="7483C0D3" w:rsidR="00E0493F" w:rsidRPr="00E0493F" w:rsidRDefault="00E0493F" w:rsidP="00E0493F">
            <w:pPr>
              <w:rPr>
                <w:rFonts w:ascii="Times New Roman" w:eastAsia="Times New Roman" w:hAnsi="Times New Roman" w:cs="Times New Roman"/>
                <w:i/>
                <w:sz w:val="20"/>
                <w:szCs w:val="20"/>
                <w:lang w:eastAsia="sk-SK"/>
              </w:rPr>
            </w:pPr>
            <w:r w:rsidRPr="00E0493F">
              <w:rPr>
                <w:rFonts w:ascii="Times New Roman" w:hAnsi="Times New Roman" w:cs="Times New Roman"/>
                <w:sz w:val="20"/>
              </w:rPr>
              <w:t>-</w:t>
            </w:r>
          </w:p>
        </w:tc>
      </w:tr>
      <w:tr w:rsidR="00E0493F" w:rsidRPr="00B043B4" w14:paraId="51403B4F"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1403B4D" w14:textId="77777777" w:rsidR="00E0493F" w:rsidRPr="00B043B4" w:rsidRDefault="00E0493F" w:rsidP="00E0493F">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51403B4E" w14:textId="246FCE96" w:rsidR="00E0493F" w:rsidRPr="00E0493F" w:rsidRDefault="00E0493F" w:rsidP="00E0493F">
            <w:pPr>
              <w:rPr>
                <w:rFonts w:ascii="Times New Roman" w:eastAsia="Times New Roman" w:hAnsi="Times New Roman" w:cs="Times New Roman"/>
                <w:i/>
                <w:sz w:val="20"/>
                <w:szCs w:val="20"/>
                <w:lang w:eastAsia="sk-SK"/>
              </w:rPr>
            </w:pPr>
            <w:r w:rsidRPr="00E0493F">
              <w:rPr>
                <w:rFonts w:ascii="Times New Roman" w:hAnsi="Times New Roman" w:cs="Times New Roman"/>
                <w:sz w:val="20"/>
              </w:rPr>
              <w:t>september 2022</w:t>
            </w:r>
          </w:p>
        </w:tc>
      </w:tr>
      <w:tr w:rsidR="001B23B7" w:rsidRPr="00B043B4" w14:paraId="51403B51" w14:textId="77777777" w:rsidTr="000800FC">
        <w:tc>
          <w:tcPr>
            <w:tcW w:w="9180" w:type="dxa"/>
            <w:gridSpan w:val="11"/>
            <w:tcBorders>
              <w:top w:val="single" w:sz="4" w:space="0" w:color="auto"/>
              <w:left w:val="nil"/>
              <w:bottom w:val="single" w:sz="4" w:space="0" w:color="auto"/>
              <w:right w:val="nil"/>
            </w:tcBorders>
            <w:shd w:val="clear" w:color="auto" w:fill="FFFFFF"/>
          </w:tcPr>
          <w:p w14:paraId="51403B50"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51403B53"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1403B52"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14:paraId="51403B56"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1403B55" w14:textId="2E17F5A5" w:rsidR="001B23B7" w:rsidRPr="00E0493F" w:rsidRDefault="00E0493F" w:rsidP="00E0493F">
            <w:pPr>
              <w:jc w:val="both"/>
              <w:rPr>
                <w:rFonts w:ascii="Times New Roman" w:eastAsia="Times New Roman" w:hAnsi="Times New Roman" w:cs="Times New Roman"/>
                <w:b/>
                <w:sz w:val="20"/>
                <w:szCs w:val="20"/>
                <w:lang w:eastAsia="sk-SK"/>
              </w:rPr>
            </w:pPr>
            <w:r w:rsidRPr="00E0493F">
              <w:rPr>
                <w:rFonts w:ascii="Times New Roman" w:eastAsia="Times New Roman" w:hAnsi="Times New Roman" w:cs="Times New Roman"/>
                <w:sz w:val="20"/>
                <w:szCs w:val="20"/>
                <w:lang w:eastAsia="sk-SK"/>
              </w:rPr>
              <w:t>Platné znenie zákona č. 71/2013 Z. z. o poskytovaní dotácií v pôsobnosti Ministerstva hospodárstva Slovenskej republiky v znení neskorších predpisov dostatočne nereflektuje posun  v oblasti infraštruktúry priemyselných zón dosiahnutý v období od vyhlásenia zákona. Úroveň miestnej infraštruktúry v priemyselných zónach sa stáva čoraz dôležitejším faktorom ovplyvňujúcim rozhodnutie investorov umiestniť investíciu v priemyselnej zóne. Málo flexibilné a často nejednoznačné podmienky poskytnutia dotácie sťažujú obciam a vyšším územným celkom využívanie tejto možnosti vo vyššej miere.</w:t>
            </w:r>
          </w:p>
        </w:tc>
      </w:tr>
      <w:tr w:rsidR="001B23B7" w:rsidRPr="00B043B4" w14:paraId="51403B58"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51403B57"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14:paraId="51403B5B"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44432B0C" w14:textId="77777777" w:rsidR="00E0493F" w:rsidRPr="00E0493F" w:rsidRDefault="00E0493F" w:rsidP="00E0493F">
            <w:pPr>
              <w:jc w:val="both"/>
              <w:rPr>
                <w:rFonts w:ascii="Times New Roman" w:eastAsia="Times New Roman" w:hAnsi="Times New Roman" w:cs="Times New Roman"/>
                <w:sz w:val="20"/>
                <w:szCs w:val="20"/>
                <w:lang w:eastAsia="sk-SK"/>
              </w:rPr>
            </w:pPr>
            <w:r w:rsidRPr="00E0493F">
              <w:rPr>
                <w:rFonts w:ascii="Times New Roman" w:eastAsia="Times New Roman" w:hAnsi="Times New Roman" w:cs="Times New Roman"/>
                <w:sz w:val="20"/>
                <w:szCs w:val="20"/>
                <w:lang w:eastAsia="sk-SK"/>
              </w:rPr>
              <w:t>Hlavným cieľom návrhu zákona je upraviť podmienky poskytovania dotácií na rozvoj priemyselnej výroby, výskumu, vývoja a služieb v reakcii na aplikačnú prax a posun v oblasti infraštruktúry priemyselných zón dosiahnutý v období od vyhlásenia zákona. Vedľajším cieľom návrhu zákona je zapracovať bežné zmeny týkajúce sa ostatných účelov dotácií v reakcii na aplikačnú prax a úpravy reagujúce na stav v oblasti banských činností.</w:t>
            </w:r>
          </w:p>
          <w:p w14:paraId="5FD740C7" w14:textId="77777777" w:rsidR="00E0493F" w:rsidRPr="00E0493F" w:rsidRDefault="00E0493F" w:rsidP="00E0493F">
            <w:pPr>
              <w:jc w:val="both"/>
              <w:rPr>
                <w:rFonts w:ascii="Times New Roman" w:eastAsia="Times New Roman" w:hAnsi="Times New Roman" w:cs="Times New Roman"/>
                <w:sz w:val="20"/>
                <w:szCs w:val="20"/>
                <w:lang w:eastAsia="sk-SK"/>
              </w:rPr>
            </w:pPr>
          </w:p>
          <w:p w14:paraId="51403B5A" w14:textId="3093CEDF" w:rsidR="001B23B7" w:rsidRPr="00B043B4" w:rsidRDefault="00E0493F" w:rsidP="00E0493F">
            <w:pPr>
              <w:jc w:val="both"/>
              <w:rPr>
                <w:rFonts w:ascii="Times New Roman" w:eastAsia="Times New Roman" w:hAnsi="Times New Roman" w:cs="Times New Roman"/>
                <w:sz w:val="20"/>
                <w:szCs w:val="20"/>
                <w:lang w:eastAsia="sk-SK"/>
              </w:rPr>
            </w:pPr>
            <w:r w:rsidRPr="00E0493F">
              <w:rPr>
                <w:rFonts w:ascii="Times New Roman" w:eastAsia="Times New Roman" w:hAnsi="Times New Roman" w:cs="Times New Roman"/>
                <w:sz w:val="20"/>
                <w:szCs w:val="20"/>
                <w:lang w:eastAsia="sk-SK"/>
              </w:rPr>
              <w:t>Výsledný stav bude reflektovať rozšírenie účelov použitia dotácie o čoraz aktuálnejšiu preložku elektronických komunikačných sietí alebo vybraných líniových stavieb a náklady na štúdiu realizovateľnosti projektu súvisiaceho s rozvojom priemyselnej výroby, výskumu a vývoja a služieb. Zároveň dôjde k úprave podmienok spolufinancovania, ako aj vyčleneniu prehľadnejších povinností prijímateľa. Taktiež dochádza k vytvoreniu priestoru pre udeľovanie dotácií bez vyhlásenia výzvy na predkladanie žiadostí v prípade mimoriadnych</w:t>
            </w:r>
            <w:r>
              <w:rPr>
                <w:rFonts w:ascii="Times New Roman" w:eastAsia="Times New Roman" w:hAnsi="Times New Roman" w:cs="Times New Roman"/>
                <w:sz w:val="20"/>
                <w:szCs w:val="20"/>
                <w:lang w:eastAsia="sk-SK"/>
              </w:rPr>
              <w:br/>
            </w:r>
            <w:r w:rsidRPr="00E0493F">
              <w:rPr>
                <w:rFonts w:ascii="Times New Roman" w:eastAsia="Times New Roman" w:hAnsi="Times New Roman" w:cs="Times New Roman"/>
                <w:sz w:val="20"/>
                <w:szCs w:val="20"/>
                <w:lang w:eastAsia="sk-SK"/>
              </w:rPr>
              <w:t>a naliehavých úloh súvisiacich s investíciou investora.</w:t>
            </w:r>
          </w:p>
        </w:tc>
      </w:tr>
      <w:tr w:rsidR="001B23B7" w:rsidRPr="00B043B4" w14:paraId="51403B5D"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51403B5C"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1B23B7" w:rsidRPr="00B043B4" w14:paraId="51403B60"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0C0C986A" w14:textId="77777777" w:rsidR="00E0493F" w:rsidRDefault="00E0493F" w:rsidP="00E0493F">
            <w:pPr>
              <w:jc w:val="both"/>
              <w:rPr>
                <w:rFonts w:ascii="Times New Roman" w:eastAsia="Times New Roman" w:hAnsi="Times New Roman" w:cs="Times New Roman"/>
                <w:sz w:val="20"/>
                <w:szCs w:val="20"/>
                <w:lang w:eastAsia="sk-SK"/>
              </w:rPr>
            </w:pPr>
            <w:r w:rsidRPr="00E0493F">
              <w:rPr>
                <w:rFonts w:ascii="Times New Roman" w:eastAsia="Times New Roman" w:hAnsi="Times New Roman" w:cs="Times New Roman"/>
                <w:sz w:val="20"/>
                <w:szCs w:val="20"/>
                <w:lang w:eastAsia="sk-SK"/>
              </w:rPr>
              <w:t>Žiadatelia o dotáciu v pôsobnosti Ministerstva hospodárstva Slovenskej</w:t>
            </w:r>
            <w:r>
              <w:rPr>
                <w:rFonts w:ascii="Times New Roman" w:eastAsia="Times New Roman" w:hAnsi="Times New Roman" w:cs="Times New Roman"/>
                <w:sz w:val="20"/>
                <w:szCs w:val="20"/>
                <w:lang w:eastAsia="sk-SK"/>
              </w:rPr>
              <w:t xml:space="preserve"> republiky – obce, VÚC, ostatní ž</w:t>
            </w:r>
            <w:r w:rsidRPr="00E0493F">
              <w:rPr>
                <w:rFonts w:ascii="Times New Roman" w:eastAsia="Times New Roman" w:hAnsi="Times New Roman" w:cs="Times New Roman"/>
                <w:sz w:val="20"/>
                <w:szCs w:val="20"/>
                <w:lang w:eastAsia="sk-SK"/>
              </w:rPr>
              <w:t>iadatelia</w:t>
            </w:r>
          </w:p>
          <w:p w14:paraId="51403B5F" w14:textId="28BA3EEB" w:rsidR="001B23B7" w:rsidRPr="00E0493F" w:rsidRDefault="001B23B7" w:rsidP="00E0493F">
            <w:pPr>
              <w:jc w:val="both"/>
              <w:rPr>
                <w:rFonts w:ascii="Times New Roman" w:eastAsia="Times New Roman" w:hAnsi="Times New Roman" w:cs="Times New Roman"/>
                <w:sz w:val="20"/>
                <w:szCs w:val="20"/>
                <w:lang w:eastAsia="sk-SK"/>
              </w:rPr>
            </w:pPr>
          </w:p>
        </w:tc>
      </w:tr>
      <w:tr w:rsidR="001B23B7" w:rsidRPr="00B043B4" w14:paraId="51403B62"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51403B61"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043B4" w14:paraId="51403B66" w14:textId="77777777" w:rsidTr="00E0493F">
        <w:trPr>
          <w:trHeight w:val="540"/>
        </w:trPr>
        <w:tc>
          <w:tcPr>
            <w:tcW w:w="9180" w:type="dxa"/>
            <w:gridSpan w:val="11"/>
            <w:tcBorders>
              <w:top w:val="nil"/>
              <w:left w:val="single" w:sz="4" w:space="0" w:color="auto"/>
              <w:bottom w:val="single" w:sz="4" w:space="0" w:color="auto"/>
              <w:right w:val="single" w:sz="4" w:space="0" w:color="auto"/>
            </w:tcBorders>
            <w:shd w:val="clear" w:color="auto" w:fill="FFFFFF"/>
          </w:tcPr>
          <w:p w14:paraId="51403B65" w14:textId="7973FE7A" w:rsidR="001B23B7" w:rsidRPr="00E0493F" w:rsidRDefault="00E0493F" w:rsidP="000800FC">
            <w:pPr>
              <w:jc w:val="both"/>
              <w:rPr>
                <w:rFonts w:ascii="Times New Roman" w:eastAsia="Times New Roman" w:hAnsi="Times New Roman" w:cs="Times New Roman"/>
                <w:sz w:val="20"/>
                <w:szCs w:val="20"/>
                <w:lang w:eastAsia="sk-SK"/>
              </w:rPr>
            </w:pPr>
            <w:r w:rsidRPr="00E0493F">
              <w:rPr>
                <w:rFonts w:ascii="Times New Roman" w:eastAsia="Times New Roman" w:hAnsi="Times New Roman" w:cs="Times New Roman"/>
                <w:sz w:val="20"/>
                <w:szCs w:val="20"/>
                <w:lang w:eastAsia="sk-SK"/>
              </w:rPr>
              <w:t>Neschválenie návrhu zákona a ponechanie v platnosti aktuálneho znenia zákona č. 71/2013 Z. z.</w:t>
            </w:r>
          </w:p>
        </w:tc>
      </w:tr>
      <w:tr w:rsidR="001B23B7" w:rsidRPr="00B043B4" w14:paraId="51403B68"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1403B67"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1B23B7" w:rsidRPr="00B043B4" w14:paraId="51403B6C" w14:textId="77777777" w:rsidTr="000800FC">
        <w:tc>
          <w:tcPr>
            <w:tcW w:w="6203" w:type="dxa"/>
            <w:gridSpan w:val="7"/>
            <w:tcBorders>
              <w:top w:val="single" w:sz="4" w:space="0" w:color="FFFFFF"/>
              <w:left w:val="single" w:sz="4" w:space="0" w:color="auto"/>
              <w:bottom w:val="nil"/>
              <w:right w:val="nil"/>
            </w:tcBorders>
            <w:shd w:val="clear" w:color="auto" w:fill="FFFFFF"/>
          </w:tcPr>
          <w:p w14:paraId="51403B69"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1403B6A" w14:textId="77777777" w:rsidR="001B23B7" w:rsidRPr="00B043B4" w:rsidRDefault="005238CE"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203EE3">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1403B6B" w14:textId="77777777" w:rsidR="001B23B7" w:rsidRPr="00B043B4" w:rsidRDefault="005238CE"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203EE3">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14:paraId="51403B6F" w14:textId="77777777" w:rsidTr="00E0493F">
        <w:trPr>
          <w:trHeight w:val="598"/>
        </w:trPr>
        <w:tc>
          <w:tcPr>
            <w:tcW w:w="9180" w:type="dxa"/>
            <w:gridSpan w:val="11"/>
            <w:tcBorders>
              <w:top w:val="nil"/>
              <w:left w:val="single" w:sz="4" w:space="0" w:color="auto"/>
              <w:bottom w:val="single" w:sz="4" w:space="0" w:color="auto"/>
              <w:right w:val="single" w:sz="4" w:space="0" w:color="auto"/>
            </w:tcBorders>
            <w:shd w:val="clear" w:color="auto" w:fill="FFFFFF"/>
          </w:tcPr>
          <w:p w14:paraId="51403B6D"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51403B6E"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51403B71"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1403B70"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14:paraId="51403B73"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p w14:paraId="51403B72" w14:textId="77EFFF0E" w:rsidR="001B23B7" w:rsidRPr="00E0493F" w:rsidRDefault="00E0493F" w:rsidP="000800FC">
            <w:pPr>
              <w:jc w:val="both"/>
              <w:rPr>
                <w:rFonts w:ascii="Times New Roman" w:eastAsia="Times New Roman" w:hAnsi="Times New Roman" w:cs="Times New Roman"/>
                <w:sz w:val="20"/>
                <w:szCs w:val="20"/>
                <w:lang w:eastAsia="sk-SK"/>
              </w:rPr>
            </w:pPr>
            <w:r w:rsidRPr="00E0493F">
              <w:rPr>
                <w:rFonts w:ascii="Times New Roman" w:eastAsia="Times New Roman" w:hAnsi="Times New Roman" w:cs="Times New Roman"/>
                <w:sz w:val="20"/>
                <w:szCs w:val="20"/>
                <w:lang w:eastAsia="sk-SK"/>
              </w:rPr>
              <w:t>Nedochádza k transpozícii práva EÚ.</w:t>
            </w:r>
          </w:p>
        </w:tc>
      </w:tr>
      <w:tr w:rsidR="001B23B7" w:rsidRPr="00B043B4" w14:paraId="51403B75" w14:textId="77777777"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51403B74" w14:textId="77777777" w:rsidR="001B23B7" w:rsidRPr="00B043B4" w:rsidRDefault="001B23B7" w:rsidP="000800FC">
            <w:pPr>
              <w:jc w:val="center"/>
              <w:rPr>
                <w:rFonts w:ascii="Times New Roman" w:eastAsia="Times New Roman" w:hAnsi="Times New Roman" w:cs="Times New Roman"/>
                <w:sz w:val="20"/>
                <w:szCs w:val="20"/>
                <w:lang w:eastAsia="sk-SK"/>
              </w:rPr>
            </w:pPr>
          </w:p>
        </w:tc>
      </w:tr>
      <w:tr w:rsidR="001B23B7" w:rsidRPr="00B043B4" w14:paraId="51403B77"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1403B76"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Preskúmanie účelnosti</w:t>
            </w:r>
          </w:p>
        </w:tc>
      </w:tr>
      <w:tr w:rsidR="001B23B7" w:rsidRPr="00B043B4" w14:paraId="51403B7B"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5779094" w14:textId="77777777" w:rsidR="00E0493F" w:rsidRPr="00E0493F" w:rsidRDefault="00E0493F" w:rsidP="00E0493F">
            <w:pPr>
              <w:jc w:val="both"/>
              <w:rPr>
                <w:rFonts w:ascii="Times New Roman" w:eastAsia="Times New Roman" w:hAnsi="Times New Roman" w:cs="Times New Roman"/>
                <w:sz w:val="20"/>
                <w:szCs w:val="20"/>
                <w:lang w:eastAsia="sk-SK"/>
              </w:rPr>
            </w:pPr>
            <w:r w:rsidRPr="00E0493F">
              <w:rPr>
                <w:rFonts w:ascii="Times New Roman" w:eastAsia="Times New Roman" w:hAnsi="Times New Roman" w:cs="Times New Roman"/>
                <w:sz w:val="20"/>
                <w:szCs w:val="20"/>
                <w:lang w:eastAsia="sk-SK"/>
              </w:rPr>
              <w:t>K preskúmaniu účelnosti ministerstvo pristúpi po najbližšom vyhodnotení výzvy na predkladanie žiadostí o dotáciu na rozvoj priemyselnej výroby, výskumu a vývoja a služieb, ktorá sa bude vyhlasovať podľa podmienok navrhovaných v materiáli. Dátum vyhlásenia uvedenej výzvy nemožno špecifikovať, keďže sa bude odvíjať od množstva alokovaných finančných prostriedkov v príslušnej rozpočtovej kapitole ministerstva. Následne sa bude preskúmavať účelnosť aj po vyhodnotení výziev vyhlásených v budúcnosti (aj vo vzťahu k ostatným účelom dotácie, pri ktorých sa navrhujú menšie bežné zmeny). K preskúmaniu dôjde odhadom do troch mesiacov od vyhodnotenia výzvy.</w:t>
            </w:r>
          </w:p>
          <w:p w14:paraId="56F22374" w14:textId="77777777" w:rsidR="00E0493F" w:rsidRPr="00E0493F" w:rsidRDefault="00E0493F" w:rsidP="00E0493F">
            <w:pPr>
              <w:jc w:val="both"/>
              <w:rPr>
                <w:rFonts w:ascii="Times New Roman" w:eastAsia="Times New Roman" w:hAnsi="Times New Roman" w:cs="Times New Roman"/>
                <w:sz w:val="20"/>
                <w:szCs w:val="20"/>
                <w:lang w:eastAsia="sk-SK"/>
              </w:rPr>
            </w:pPr>
          </w:p>
          <w:p w14:paraId="51403B7A" w14:textId="224700FE" w:rsidR="001B23B7" w:rsidRPr="00B043B4" w:rsidRDefault="00E0493F" w:rsidP="00E0493F">
            <w:pPr>
              <w:jc w:val="both"/>
              <w:rPr>
                <w:rFonts w:ascii="Times New Roman" w:eastAsia="Times New Roman" w:hAnsi="Times New Roman" w:cs="Times New Roman"/>
                <w:i/>
                <w:sz w:val="20"/>
                <w:szCs w:val="20"/>
                <w:lang w:eastAsia="sk-SK"/>
              </w:rPr>
            </w:pPr>
            <w:r w:rsidRPr="00E0493F">
              <w:rPr>
                <w:rFonts w:ascii="Times New Roman" w:eastAsia="Times New Roman" w:hAnsi="Times New Roman" w:cs="Times New Roman"/>
                <w:sz w:val="20"/>
                <w:szCs w:val="20"/>
                <w:lang w:eastAsia="sk-SK"/>
              </w:rPr>
              <w:t>Pri preskúmaní účelnosti sa vykoná najmä  vyhodnotenie, či sa navrhované úpravy účelov dotácie a podmienok, za ktorých sa dotácie poskytujú, prejavili na záujme samospráv žiadať o tento druh dotácií vo vyššej miere. Preskúma sa tiež, či úprava spolufinancovania bude mať vplyv na začatie jeho využívania. Najdôležitejším bodom vyhodnotenia účelnosti bude tiež vplyv navrhovaných úprav na príchod investorov do priemyselných zón, ktoré budú podľa nich podporené dotáciou.</w:t>
            </w:r>
          </w:p>
        </w:tc>
      </w:tr>
      <w:tr w:rsidR="001B23B7" w:rsidRPr="00B043B4" w14:paraId="51403B82" w14:textId="77777777" w:rsidTr="000800FC">
        <w:tc>
          <w:tcPr>
            <w:tcW w:w="9180" w:type="dxa"/>
            <w:gridSpan w:val="11"/>
            <w:tcBorders>
              <w:top w:val="nil"/>
              <w:left w:val="nil"/>
              <w:bottom w:val="single" w:sz="4" w:space="0" w:color="auto"/>
              <w:right w:val="nil"/>
            </w:tcBorders>
            <w:shd w:val="clear" w:color="auto" w:fill="FFFFFF"/>
          </w:tcPr>
          <w:p w14:paraId="51403B7C" w14:textId="77777777" w:rsidR="001B23B7" w:rsidRPr="00B043B4" w:rsidRDefault="001B23B7" w:rsidP="000800FC">
            <w:pPr>
              <w:rPr>
                <w:rFonts w:ascii="Times New Roman" w:eastAsia="Times New Roman" w:hAnsi="Times New Roman" w:cs="Times New Roman"/>
                <w:b/>
                <w:sz w:val="20"/>
                <w:szCs w:val="20"/>
                <w:lang w:eastAsia="sk-SK"/>
              </w:rPr>
            </w:pPr>
          </w:p>
          <w:p w14:paraId="51403B7D" w14:textId="77777777" w:rsidR="001B23B7" w:rsidRPr="00B043B4" w:rsidRDefault="001B23B7" w:rsidP="000800FC">
            <w:pPr>
              <w:rPr>
                <w:rFonts w:ascii="Times New Roman" w:eastAsia="Times New Roman" w:hAnsi="Times New Roman" w:cs="Times New Roman"/>
                <w:b/>
                <w:sz w:val="20"/>
                <w:szCs w:val="20"/>
                <w:lang w:eastAsia="sk-SK"/>
              </w:rPr>
            </w:pPr>
          </w:p>
          <w:p w14:paraId="51403B7E" w14:textId="77777777" w:rsidR="001B23B7" w:rsidRPr="00B043B4" w:rsidRDefault="001B23B7" w:rsidP="000800FC">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51403B7F" w14:textId="77777777" w:rsidR="00A340BB" w:rsidRDefault="001B23B7">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sidR="00A340BB">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sidR="00A340BB">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sidR="00A340BB">
              <w:rPr>
                <w:rFonts w:ascii="Times New Roman" w:eastAsia="Times New Roman" w:hAnsi="Times New Roman" w:cs="Times New Roman"/>
                <w:sz w:val="20"/>
                <w:szCs w:val="20"/>
                <w:lang w:eastAsia="sk-SK"/>
              </w:rPr>
              <w:t>.</w:t>
            </w:r>
          </w:p>
          <w:p w14:paraId="51403B80" w14:textId="77777777" w:rsidR="004C6831" w:rsidRDefault="004C6831">
            <w:pPr>
              <w:rPr>
                <w:rFonts w:ascii="Times New Roman" w:eastAsia="Times New Roman" w:hAnsi="Times New Roman" w:cs="Times New Roman"/>
                <w:sz w:val="20"/>
                <w:szCs w:val="20"/>
                <w:lang w:eastAsia="sk-SK"/>
              </w:rPr>
            </w:pPr>
          </w:p>
          <w:p w14:paraId="51403B81" w14:textId="77777777" w:rsidR="001B23B7" w:rsidRPr="00B043B4" w:rsidRDefault="001B23B7">
            <w:pPr>
              <w:rPr>
                <w:rFonts w:ascii="Times New Roman" w:eastAsia="Times New Roman" w:hAnsi="Times New Roman" w:cs="Times New Roman"/>
                <w:b/>
                <w:sz w:val="20"/>
                <w:szCs w:val="20"/>
                <w:lang w:eastAsia="sk-SK"/>
              </w:rPr>
            </w:pPr>
          </w:p>
        </w:tc>
      </w:tr>
      <w:tr w:rsidR="001B23B7" w:rsidRPr="00B043B4" w14:paraId="51403B84"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51403B83"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1B23B7" w:rsidRPr="00B043B4" w14:paraId="51403B8C"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51403B85"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51403B86" w14:textId="77777777" w:rsidR="001B23B7" w:rsidRPr="00B043B4" w:rsidRDefault="003145AE"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51403B87"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51403B88" w14:textId="441F5DC1" w:rsidR="001B23B7" w:rsidRPr="00B043B4" w:rsidRDefault="00E0493F"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51403B89"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51403B8A" w14:textId="77777777" w:rsidR="001B23B7" w:rsidRPr="00B043B4" w:rsidRDefault="00203EE3"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51403B8B" w14:textId="77777777" w:rsidR="001B23B7" w:rsidRPr="00B043B4" w:rsidRDefault="001B23B7" w:rsidP="000800F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14:paraId="51403B96" w14:textId="77777777" w:rsidTr="004C6831">
        <w:tc>
          <w:tcPr>
            <w:tcW w:w="3812" w:type="dxa"/>
            <w:tcBorders>
              <w:top w:val="nil"/>
              <w:left w:val="single" w:sz="4" w:space="0" w:color="auto"/>
              <w:bottom w:val="nil"/>
              <w:right w:val="single" w:sz="4" w:space="0" w:color="auto"/>
            </w:tcBorders>
            <w:shd w:val="clear" w:color="auto" w:fill="E2E2E2"/>
          </w:tcPr>
          <w:p w14:paraId="51403B8D" w14:textId="77777777"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z toho rozpočtovo zabezpečené vplyvy, </w:t>
            </w:r>
            <w:r w:rsidR="00A340BB" w:rsidRPr="00A340B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p>
          <w:p w14:paraId="51403B8E" w14:textId="77777777"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v prípade identifikovaného negatívneho </w:t>
            </w:r>
          </w:p>
          <w:p w14:paraId="51403B8F" w14:textId="77777777" w:rsidR="003145AE" w:rsidRPr="00A340BB"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51403B90" w14:textId="77777777" w:rsidR="001B23B7" w:rsidRPr="00B043B4" w:rsidRDefault="003145AE"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1403B91" w14:textId="77777777"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1403B92" w14:textId="77777777" w:rsidR="001B23B7" w:rsidRPr="00B043B4" w:rsidRDefault="00203EE3"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1403B93" w14:textId="77777777"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1403B94" w14:textId="77777777" w:rsidR="001B23B7" w:rsidRPr="00B043B4" w:rsidRDefault="00203EE3"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1403B95" w14:textId="77777777" w:rsidR="001B23B7" w:rsidRPr="00B043B4" w:rsidRDefault="001B23B7" w:rsidP="00203EE3">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3145AE" w:rsidRPr="00B043B4" w14:paraId="51403B9E" w14:textId="77777777" w:rsidTr="004C6831">
        <w:tc>
          <w:tcPr>
            <w:tcW w:w="3812" w:type="dxa"/>
            <w:tcBorders>
              <w:top w:val="nil"/>
              <w:left w:val="single" w:sz="4" w:space="0" w:color="auto"/>
              <w:bottom w:val="nil"/>
              <w:right w:val="single" w:sz="4" w:space="0" w:color="auto"/>
            </w:tcBorders>
            <w:shd w:val="clear" w:color="auto" w:fill="E2E2E2"/>
          </w:tcPr>
          <w:p w14:paraId="51403B97" w14:textId="77777777" w:rsidR="003145AE" w:rsidRPr="003145AE"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51403B98"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51403B99"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51403B9A" w14:textId="50727D15" w:rsidR="003145AE" w:rsidRPr="00B043B4" w:rsidRDefault="00E0493F"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51403B9B"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51403B9C" w14:textId="77777777" w:rsidR="003145AE" w:rsidRPr="00B043B4" w:rsidRDefault="003145AE" w:rsidP="003145A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51403B9D" w14:textId="77777777" w:rsidR="003145AE" w:rsidRPr="00B043B4" w:rsidRDefault="003145AE" w:rsidP="003145AE">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51403BA7" w14:textId="77777777" w:rsidTr="004C6831">
        <w:tc>
          <w:tcPr>
            <w:tcW w:w="3812" w:type="dxa"/>
            <w:tcBorders>
              <w:top w:val="nil"/>
              <w:left w:val="single" w:sz="4" w:space="0" w:color="auto"/>
              <w:bottom w:val="single" w:sz="4" w:space="0" w:color="000000"/>
              <w:right w:val="single" w:sz="4" w:space="0" w:color="auto"/>
            </w:tcBorders>
            <w:shd w:val="clear" w:color="auto" w:fill="E2E2E2"/>
          </w:tcPr>
          <w:p w14:paraId="51403B9F" w14:textId="77777777" w:rsid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51403BA0" w14:textId="77777777" w:rsidR="003145AE" w:rsidRP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51403BA1" w14:textId="77777777"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1403BA2"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1403BA3" w14:textId="77777777"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1403BA4"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1403BA5" w14:textId="77777777" w:rsidR="003145AE" w:rsidRPr="00B043B4" w:rsidRDefault="003145AE" w:rsidP="003145A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1403BA6" w14:textId="77777777" w:rsidR="003145AE" w:rsidRPr="00B043B4" w:rsidRDefault="003145AE" w:rsidP="003145AE">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3145AE" w:rsidRPr="00B043B4" w14:paraId="51403BAF" w14:textId="77777777" w:rsidTr="00203EE3">
        <w:tc>
          <w:tcPr>
            <w:tcW w:w="3812" w:type="dxa"/>
            <w:tcBorders>
              <w:top w:val="single" w:sz="4" w:space="0" w:color="000000"/>
              <w:left w:val="single" w:sz="4" w:space="0" w:color="auto"/>
              <w:bottom w:val="nil"/>
              <w:right w:val="single" w:sz="4" w:space="0" w:color="auto"/>
            </w:tcBorders>
            <w:shd w:val="clear" w:color="auto" w:fill="E2E2E2"/>
          </w:tcPr>
          <w:p w14:paraId="51403BA8"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51403BA9"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51403BAA"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51403BAB" w14:textId="36D5AD3B" w:rsidR="003145AE" w:rsidRPr="00B043B4" w:rsidRDefault="00E0493F"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51403BAC"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51403BAD"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51403BAE"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51403BB8" w14:textId="77777777" w:rsidTr="00203EE3">
        <w:tc>
          <w:tcPr>
            <w:tcW w:w="3812" w:type="dxa"/>
            <w:tcBorders>
              <w:top w:val="nil"/>
              <w:left w:val="single" w:sz="4" w:space="0" w:color="000000"/>
              <w:bottom w:val="nil"/>
              <w:right w:val="single" w:sz="4" w:space="0" w:color="000000"/>
            </w:tcBorders>
            <w:shd w:val="clear" w:color="auto" w:fill="E2E2E2"/>
          </w:tcPr>
          <w:p w14:paraId="51403BB0"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51403BB1" w14:textId="77777777" w:rsidR="003145AE" w:rsidRPr="00B043B4" w:rsidRDefault="003145AE" w:rsidP="00314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51403BB2" w14:textId="77777777"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1403BB3" w14:textId="77777777" w:rsidR="003145AE" w:rsidRPr="00B043B4" w:rsidRDefault="003145AE" w:rsidP="003145AE">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1403BB4" w14:textId="0F3BCB1C" w:rsidR="003145AE" w:rsidRPr="00B043B4" w:rsidRDefault="00E0493F"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1403BB5"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1403BB6" w14:textId="77777777"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1403BB7" w14:textId="77777777" w:rsidR="003145AE" w:rsidRPr="00B043B4" w:rsidRDefault="003145AE" w:rsidP="003145AE">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3145AE" w:rsidRPr="00B043B4" w14:paraId="51403BC1"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51403BB9" w14:textId="77777777" w:rsidR="003145AE" w:rsidRDefault="003145AE" w:rsidP="003145A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51403BBA" w14:textId="77777777" w:rsidR="003145AE" w:rsidRPr="00B043B4"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1403BBB"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1403BBC"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51403BBD" w14:textId="77777777" w:rsidR="003145AE" w:rsidRPr="00B043B4" w:rsidRDefault="003145AE" w:rsidP="003145A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51403BBE" w14:textId="77777777" w:rsidR="003145AE" w:rsidRPr="00B043B4" w:rsidRDefault="003145AE" w:rsidP="003145A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1403BBF" w14:textId="4E1FB040" w:rsidR="003145AE" w:rsidRPr="00B043B4" w:rsidRDefault="00E0493F"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1403BC0"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3145AE" w:rsidRPr="00B043B4" w14:paraId="51403BC9" w14:textId="77777777"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14:paraId="51403BC2"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1403BC3"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1403BC4"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1403BC5" w14:textId="1F58BCDE" w:rsidR="003145AE" w:rsidRPr="00B043B4" w:rsidRDefault="00E0493F"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1403BC6"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1403BC7"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1403BC8"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51403BD1"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51403BCA"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1403BCB"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1403BCC"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1403BCD" w14:textId="051FAD1E" w:rsidR="003145AE" w:rsidRPr="00B043B4" w:rsidRDefault="00E0493F"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1403BCE"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1403BCF"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1403BD0"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51403BD9"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51403BD2"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1403BD3"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1403BD4"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1403BD5" w14:textId="6CEABB97" w:rsidR="003145AE" w:rsidRPr="00B043B4" w:rsidRDefault="00E0493F"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1403BD6"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1403BD7"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1403BD8"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14:paraId="51403BE1"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51403BDA"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51403BDB"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51403BDC" w14:textId="77777777"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51403BDD"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51403BDE"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51403BDF"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51403BE0" w14:textId="77777777"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14:paraId="51403BE9" w14:textId="77777777" w:rsidTr="00B547F5">
        <w:tc>
          <w:tcPr>
            <w:tcW w:w="3812" w:type="dxa"/>
            <w:tcBorders>
              <w:top w:val="nil"/>
              <w:left w:val="single" w:sz="4" w:space="0" w:color="auto"/>
              <w:bottom w:val="nil"/>
              <w:right w:val="single" w:sz="4" w:space="0" w:color="auto"/>
            </w:tcBorders>
            <w:shd w:val="clear" w:color="auto" w:fill="E2E2E2"/>
          </w:tcPr>
          <w:p w14:paraId="51403BE2" w14:textId="77777777"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51403BE3"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51403BE4"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1403BE5" w14:textId="775D75FD" w:rsidR="000F2BE9" w:rsidRPr="00B043B4" w:rsidRDefault="00E0493F"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51403BE6"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1403BE7"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51403BE8"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14:paraId="51403BF1" w14:textId="77777777" w:rsidTr="00B547F5">
        <w:tc>
          <w:tcPr>
            <w:tcW w:w="3812" w:type="dxa"/>
            <w:tcBorders>
              <w:top w:val="nil"/>
              <w:left w:val="single" w:sz="4" w:space="0" w:color="auto"/>
              <w:bottom w:val="nil"/>
              <w:right w:val="single" w:sz="4" w:space="0" w:color="auto"/>
            </w:tcBorders>
            <w:shd w:val="clear" w:color="auto" w:fill="E2E2E2"/>
          </w:tcPr>
          <w:p w14:paraId="51403BEA" w14:textId="77777777"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51403BEB"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51403BEC"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51403BED" w14:textId="24C3C9F3" w:rsidR="000F2BE9" w:rsidRPr="00B043B4" w:rsidRDefault="00E0493F"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51403BEE"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51403BEF"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51403BF0"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14:paraId="51403BF9"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51403BF2" w14:textId="77777777"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51403BF3"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51403BF4" w14:textId="77777777"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1403BF5" w14:textId="1897E076" w:rsidR="00A340BB" w:rsidRPr="00B043B4" w:rsidRDefault="00E0493F"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1403BF6" w14:textId="77777777"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51403BF7"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1403BF8" w14:textId="77777777"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51403BFA" w14:textId="77777777"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14:paraId="51403BFC"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51403BFB"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14:paraId="51403C03" w14:textId="77777777"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5DF358EF" w14:textId="10468B7B" w:rsidR="00E0493F" w:rsidRDefault="00E0493F" w:rsidP="00E0493F">
            <w:pPr>
              <w:jc w:val="both"/>
              <w:rPr>
                <w:rFonts w:ascii="Times New Roman" w:eastAsia="Times New Roman" w:hAnsi="Times New Roman" w:cs="Times New Roman"/>
                <w:sz w:val="20"/>
                <w:szCs w:val="20"/>
                <w:lang w:eastAsia="sk-SK"/>
              </w:rPr>
            </w:pPr>
            <w:r w:rsidRPr="00E0493F">
              <w:rPr>
                <w:rFonts w:ascii="Times New Roman" w:eastAsia="Times New Roman" w:hAnsi="Times New Roman" w:cs="Times New Roman"/>
                <w:sz w:val="20"/>
                <w:szCs w:val="20"/>
                <w:lang w:eastAsia="sk-SK"/>
              </w:rPr>
              <w:t>Návrh zákona, ktorým sa mení a dopĺňa zákon č. 71/2013 Z. z. o poskytovaní dotácií v pôsobnosti Ministerstva hospodárstva Slovenskej republiky v znení neskorších predpisov vzhľadom na rozsah navrhovaných úprav podmienok poskytovania dotácií nemá pozitívne ani negatívne vybrané vplyvy. V budúcnosti sa očakávajú pozitívne sekundárne vplyvy, najmä na podnikateľské prostredie.</w:t>
            </w:r>
          </w:p>
          <w:p w14:paraId="7D619DC9" w14:textId="77777777" w:rsidR="009E3FD2" w:rsidRDefault="009E3FD2" w:rsidP="00E0493F">
            <w:pPr>
              <w:jc w:val="both"/>
              <w:rPr>
                <w:rFonts w:ascii="Times New Roman" w:eastAsia="Times New Roman" w:hAnsi="Times New Roman" w:cs="Times New Roman"/>
                <w:sz w:val="20"/>
                <w:szCs w:val="20"/>
                <w:lang w:eastAsia="sk-SK"/>
              </w:rPr>
            </w:pPr>
          </w:p>
          <w:p w14:paraId="51403C02" w14:textId="0DF468CD" w:rsidR="001B23B7" w:rsidRPr="00B043B4" w:rsidRDefault="007453BE" w:rsidP="009E3FD2">
            <w:pPr>
              <w:jc w:val="both"/>
              <w:rPr>
                <w:rFonts w:ascii="Times New Roman" w:eastAsia="Calibri" w:hAnsi="Times New Roman" w:cs="Times New Roman"/>
                <w:b/>
              </w:rPr>
            </w:pPr>
            <w:r>
              <w:rPr>
                <w:rFonts w:ascii="Times New Roman" w:eastAsia="Times New Roman" w:hAnsi="Times New Roman" w:cs="Times New Roman"/>
                <w:sz w:val="20"/>
                <w:szCs w:val="20"/>
                <w:lang w:eastAsia="sk-SK"/>
              </w:rPr>
              <w:t xml:space="preserve">Návrh zákona má potenciálny negatívny sociálny vplyv na žiadateľov o poskytnutie dotácie, fyzické osoby – nepodnikateľov, ktoré nedisponujú prístupom ku kvalifikovanému elektronickému podpisu. </w:t>
            </w:r>
            <w:r w:rsidR="009E3FD2">
              <w:rPr>
                <w:rFonts w:ascii="Times New Roman" w:eastAsia="Times New Roman" w:hAnsi="Times New Roman" w:cs="Times New Roman"/>
                <w:sz w:val="20"/>
                <w:szCs w:val="20"/>
                <w:lang w:eastAsia="sk-SK"/>
              </w:rPr>
              <w:t>Z aplikačnej praxe</w:t>
            </w:r>
            <w:r>
              <w:rPr>
                <w:rFonts w:ascii="Times New Roman" w:eastAsia="Times New Roman" w:hAnsi="Times New Roman" w:cs="Times New Roman"/>
                <w:sz w:val="20"/>
                <w:szCs w:val="20"/>
                <w:lang w:eastAsia="sk-SK"/>
              </w:rPr>
              <w:t xml:space="preserve"> MH SR</w:t>
            </w:r>
            <w:r w:rsidR="009E3FD2">
              <w:rPr>
                <w:rFonts w:ascii="Times New Roman" w:eastAsia="Times New Roman" w:hAnsi="Times New Roman" w:cs="Times New Roman"/>
                <w:sz w:val="20"/>
                <w:szCs w:val="20"/>
                <w:lang w:eastAsia="sk-SK"/>
              </w:rPr>
              <w:t xml:space="preserve"> </w:t>
            </w:r>
            <w:r w:rsidR="009E3FD2" w:rsidRPr="009E3FD2">
              <w:rPr>
                <w:rFonts w:ascii="Times New Roman" w:eastAsia="Times New Roman" w:hAnsi="Times New Roman" w:cs="Times New Roman"/>
                <w:sz w:val="20"/>
                <w:szCs w:val="20"/>
                <w:lang w:eastAsia="sk-SK"/>
              </w:rPr>
              <w:t xml:space="preserve">vyplýva, že žiadosti o poskytnutie dotácie v listinnej podobe od osôb nedisponujúcich kvalifikovaným </w:t>
            </w:r>
            <w:r w:rsidR="009E3FD2" w:rsidRPr="009E3FD2">
              <w:rPr>
                <w:rFonts w:ascii="Times New Roman" w:eastAsia="Times New Roman" w:hAnsi="Times New Roman" w:cs="Times New Roman"/>
                <w:sz w:val="20"/>
                <w:szCs w:val="20"/>
                <w:lang w:eastAsia="sk-SK"/>
              </w:rPr>
              <w:lastRenderedPageBreak/>
              <w:t>elektronickým podpisom sa vyskytujú</w:t>
            </w:r>
            <w:r w:rsidR="009E3FD2">
              <w:rPr>
                <w:rFonts w:ascii="Times New Roman" w:eastAsia="Times New Roman" w:hAnsi="Times New Roman" w:cs="Times New Roman"/>
                <w:sz w:val="20"/>
                <w:szCs w:val="20"/>
                <w:lang w:eastAsia="sk-SK"/>
              </w:rPr>
              <w:t xml:space="preserve"> v minimálnej miere</w:t>
            </w:r>
            <w:r w:rsidR="009E3FD2" w:rsidRPr="009E3FD2">
              <w:rPr>
                <w:rFonts w:ascii="Times New Roman" w:eastAsia="Times New Roman" w:hAnsi="Times New Roman" w:cs="Times New Roman"/>
                <w:sz w:val="20"/>
                <w:szCs w:val="20"/>
                <w:lang w:eastAsia="sk-SK"/>
              </w:rPr>
              <w:t xml:space="preserve">. </w:t>
            </w:r>
            <w:r w:rsidR="009E3FD2">
              <w:rPr>
                <w:rFonts w:ascii="Times New Roman" w:eastAsia="Times New Roman" w:hAnsi="Times New Roman" w:cs="Times New Roman"/>
                <w:sz w:val="20"/>
                <w:szCs w:val="20"/>
                <w:lang w:eastAsia="sk-SK"/>
              </w:rPr>
              <w:t xml:space="preserve">Taktiež, MH SR </w:t>
            </w:r>
            <w:r w:rsidR="009E3FD2" w:rsidRPr="009E3FD2">
              <w:rPr>
                <w:rFonts w:ascii="Times New Roman" w:eastAsia="Times New Roman" w:hAnsi="Times New Roman" w:cs="Times New Roman"/>
                <w:sz w:val="20"/>
                <w:szCs w:val="20"/>
                <w:lang w:eastAsia="sk-SK"/>
              </w:rPr>
              <w:t>v súčasnosti preferuje nastavenie výziev na predkladanie žiadostí v plne elektronickej podobe a navrhovanou úpravou sa tento postup stane jedinou alternatívou, čím sa reflektuje na aplikačnú prax.</w:t>
            </w:r>
            <w:r w:rsidR="009E3FD2">
              <w:rPr>
                <w:rFonts w:ascii="Times New Roman" w:eastAsia="Times New Roman" w:hAnsi="Times New Roman" w:cs="Times New Roman"/>
                <w:sz w:val="20"/>
                <w:szCs w:val="20"/>
                <w:lang w:eastAsia="sk-SK"/>
              </w:rPr>
              <w:t xml:space="preserve"> Vzhľadom na uvedené je </w:t>
            </w:r>
            <w:r>
              <w:rPr>
                <w:rFonts w:ascii="Times New Roman" w:eastAsia="Times New Roman" w:hAnsi="Times New Roman" w:cs="Times New Roman"/>
                <w:sz w:val="20"/>
                <w:szCs w:val="20"/>
                <w:lang w:eastAsia="sk-SK"/>
              </w:rPr>
              <w:t>vplyv možné popísať ako</w:t>
            </w:r>
            <w:r w:rsidR="006676C9">
              <w:rPr>
                <w:rFonts w:ascii="Times New Roman" w:eastAsia="Times New Roman" w:hAnsi="Times New Roman" w:cs="Times New Roman"/>
                <w:sz w:val="20"/>
                <w:szCs w:val="20"/>
                <w:lang w:eastAsia="sk-SK"/>
              </w:rPr>
              <w:t xml:space="preserve"> marginálny, t. j. zanedbateľný, a v zmysle bodu 9. Jednotnej metodiky je vyznačený ako žiadny.</w:t>
            </w:r>
          </w:p>
        </w:tc>
      </w:tr>
      <w:tr w:rsidR="001B23B7" w:rsidRPr="00B043B4" w14:paraId="51403C05"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51403C0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Kontakt na spracovateľa</w:t>
            </w:r>
          </w:p>
        </w:tc>
      </w:tr>
      <w:tr w:rsidR="001B23B7" w:rsidRPr="00B043B4" w14:paraId="51403C07"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1403C06" w14:textId="5A568C81" w:rsidR="001B23B7" w:rsidRPr="00E0493F" w:rsidRDefault="00E0493F" w:rsidP="000800FC">
            <w:pPr>
              <w:rPr>
                <w:rFonts w:ascii="Times New Roman" w:eastAsia="Times New Roman" w:hAnsi="Times New Roman" w:cs="Times New Roman"/>
                <w:sz w:val="20"/>
                <w:szCs w:val="20"/>
                <w:lang w:eastAsia="sk-SK"/>
              </w:rPr>
            </w:pPr>
            <w:r w:rsidRPr="00E0493F">
              <w:rPr>
                <w:rFonts w:ascii="Times New Roman" w:eastAsia="Times New Roman" w:hAnsi="Times New Roman" w:cs="Times New Roman"/>
                <w:sz w:val="20"/>
                <w:szCs w:val="20"/>
                <w:lang w:eastAsia="sk-SK"/>
              </w:rPr>
              <w:t>Marek Solivarský, odbor investícií MH SR - marek.solivarsky@mhsr.sk</w:t>
            </w:r>
          </w:p>
        </w:tc>
      </w:tr>
      <w:tr w:rsidR="001B23B7" w:rsidRPr="00B043B4" w14:paraId="51403C09"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51403C08"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14:paraId="51403C0D"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1403C0B" w14:textId="5F67FA4E" w:rsidR="001B23B7" w:rsidRPr="00E0493F" w:rsidRDefault="00E0493F" w:rsidP="00E0493F">
            <w:pPr>
              <w:jc w:val="both"/>
              <w:rPr>
                <w:rFonts w:ascii="Times New Roman" w:eastAsia="Times New Roman" w:hAnsi="Times New Roman" w:cs="Times New Roman"/>
                <w:sz w:val="20"/>
                <w:szCs w:val="20"/>
                <w:lang w:eastAsia="sk-SK"/>
              </w:rPr>
            </w:pPr>
            <w:r w:rsidRPr="00E0493F">
              <w:rPr>
                <w:rFonts w:ascii="Times New Roman" w:eastAsia="Times New Roman" w:hAnsi="Times New Roman" w:cs="Times New Roman"/>
                <w:sz w:val="20"/>
                <w:szCs w:val="20"/>
                <w:lang w:eastAsia="sk-SK"/>
              </w:rPr>
              <w:t>Aplikačná prax Ministerstva hospodárstva Slovenskej republiky pri uplatňovaní zákona č. 71/2013 Z. z.</w:t>
            </w:r>
            <w:r>
              <w:rPr>
                <w:rFonts w:ascii="Times New Roman" w:eastAsia="Times New Roman" w:hAnsi="Times New Roman" w:cs="Times New Roman"/>
                <w:sz w:val="20"/>
                <w:szCs w:val="20"/>
                <w:lang w:eastAsia="sk-SK"/>
              </w:rPr>
              <w:br/>
            </w:r>
            <w:r w:rsidRPr="00E0493F">
              <w:rPr>
                <w:rFonts w:ascii="Times New Roman" w:eastAsia="Times New Roman" w:hAnsi="Times New Roman" w:cs="Times New Roman"/>
                <w:sz w:val="20"/>
                <w:szCs w:val="20"/>
                <w:lang w:eastAsia="sk-SK"/>
              </w:rPr>
              <w:t xml:space="preserve">o poskytovaní dotácií v pôsobnosti Ministerstva hospodárstva Slovenskej republiky v znení neskorších predpisov. </w:t>
            </w:r>
          </w:p>
          <w:p w14:paraId="51403C0C" w14:textId="77777777"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14:paraId="51403C10"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51403C0E" w14:textId="77777777"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14:paraId="51403C0F" w14:textId="77777777"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14:paraId="51403C19"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1403C11"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51403C15" w14:textId="77777777" w:rsidTr="000800FC">
              <w:trPr>
                <w:trHeight w:val="396"/>
              </w:trPr>
              <w:tc>
                <w:tcPr>
                  <w:tcW w:w="2552" w:type="dxa"/>
                </w:tcPr>
                <w:p w14:paraId="51403C12" w14:textId="77777777" w:rsidR="001B23B7" w:rsidRPr="00B043B4" w:rsidRDefault="005238CE"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51403C13" w14:textId="77777777" w:rsidR="001B23B7" w:rsidRPr="00B043B4" w:rsidRDefault="005238CE"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51403C14" w14:textId="77777777" w:rsidR="001B23B7" w:rsidRPr="00B043B4" w:rsidRDefault="005238CE"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51403C16" w14:textId="77777777"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51403C17" w14:textId="77777777" w:rsidR="001B23B7" w:rsidRDefault="001B23B7" w:rsidP="000800FC">
            <w:pPr>
              <w:rPr>
                <w:rFonts w:ascii="Times New Roman" w:eastAsia="Times New Roman" w:hAnsi="Times New Roman" w:cs="Times New Roman"/>
                <w:b/>
                <w:sz w:val="20"/>
                <w:szCs w:val="20"/>
                <w:lang w:eastAsia="sk-SK"/>
              </w:rPr>
            </w:pPr>
          </w:p>
          <w:p w14:paraId="51403C18" w14:textId="77777777"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14:paraId="51403C1B"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51403C1A" w14:textId="77777777"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14:paraId="51403C24" w14:textId="77777777" w:rsidTr="000800FC">
        <w:tblPrEx>
          <w:tblBorders>
            <w:insideH w:val="single" w:sz="4" w:space="0" w:color="FFFFFF"/>
            <w:insideV w:val="single" w:sz="4" w:space="0" w:color="FFFFFF"/>
          </w:tblBorders>
        </w:tblPrEx>
        <w:tc>
          <w:tcPr>
            <w:tcW w:w="9176" w:type="dxa"/>
            <w:shd w:val="clear" w:color="auto" w:fill="FFFFFF"/>
          </w:tcPr>
          <w:p w14:paraId="51403C1C"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51403C20" w14:textId="77777777" w:rsidTr="000800FC">
              <w:trPr>
                <w:trHeight w:val="396"/>
              </w:trPr>
              <w:tc>
                <w:tcPr>
                  <w:tcW w:w="2552" w:type="dxa"/>
                </w:tcPr>
                <w:p w14:paraId="51403C1D" w14:textId="77777777" w:rsidR="001B23B7" w:rsidRPr="00B043B4" w:rsidRDefault="005238CE"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51403C1E" w14:textId="77777777" w:rsidR="001B23B7" w:rsidRPr="00B043B4" w:rsidRDefault="005238CE"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51403C1F" w14:textId="77777777" w:rsidR="001B23B7" w:rsidRPr="00B043B4" w:rsidRDefault="005238CE"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51403C21" w14:textId="77777777"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51403C22" w14:textId="77777777" w:rsidR="001B23B7" w:rsidRPr="00B043B4" w:rsidRDefault="001B23B7" w:rsidP="000800FC">
            <w:pPr>
              <w:rPr>
                <w:rFonts w:ascii="Times New Roman" w:eastAsia="Times New Roman" w:hAnsi="Times New Roman" w:cs="Times New Roman"/>
                <w:b/>
                <w:sz w:val="20"/>
                <w:szCs w:val="20"/>
                <w:lang w:eastAsia="sk-SK"/>
              </w:rPr>
            </w:pPr>
          </w:p>
          <w:p w14:paraId="51403C23" w14:textId="77777777" w:rsidR="001B23B7" w:rsidRPr="00B043B4" w:rsidRDefault="001B23B7" w:rsidP="000800FC">
            <w:pPr>
              <w:rPr>
                <w:rFonts w:ascii="Times New Roman" w:eastAsia="Times New Roman" w:hAnsi="Times New Roman" w:cs="Times New Roman"/>
                <w:b/>
                <w:sz w:val="20"/>
                <w:szCs w:val="20"/>
                <w:lang w:eastAsia="sk-SK"/>
              </w:rPr>
            </w:pPr>
          </w:p>
        </w:tc>
      </w:tr>
    </w:tbl>
    <w:p w14:paraId="51403C25" w14:textId="77777777" w:rsidR="00274130" w:rsidRDefault="005238CE"/>
    <w:sectPr w:rsidR="00274130" w:rsidSect="001E356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03C28" w14:textId="77777777" w:rsidR="00ED1AC0" w:rsidRDefault="00ED1AC0" w:rsidP="001B23B7">
      <w:pPr>
        <w:spacing w:after="0" w:line="240" w:lineRule="auto"/>
      </w:pPr>
      <w:r>
        <w:separator/>
      </w:r>
    </w:p>
  </w:endnote>
  <w:endnote w:type="continuationSeparator" w:id="0">
    <w:p w14:paraId="51403C29" w14:textId="77777777" w:rsidR="00ED1AC0" w:rsidRDefault="00ED1AC0"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51403C2C" w14:textId="637A3A42"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5238CE">
          <w:rPr>
            <w:rFonts w:ascii="Times New Roman" w:hAnsi="Times New Roman" w:cs="Times New Roman"/>
            <w:noProof/>
            <w:sz w:val="24"/>
            <w:szCs w:val="24"/>
          </w:rPr>
          <w:t>2</w:t>
        </w:r>
        <w:r w:rsidRPr="006045CB">
          <w:rPr>
            <w:rFonts w:ascii="Times New Roman" w:hAnsi="Times New Roman" w:cs="Times New Roman"/>
            <w:sz w:val="24"/>
            <w:szCs w:val="24"/>
          </w:rPr>
          <w:fldChar w:fldCharType="end"/>
        </w:r>
      </w:p>
    </w:sdtContent>
  </w:sdt>
  <w:p w14:paraId="51403C2D" w14:textId="77777777" w:rsidR="001B23B7" w:rsidRDefault="001B23B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03C26" w14:textId="77777777" w:rsidR="00ED1AC0" w:rsidRDefault="00ED1AC0" w:rsidP="001B23B7">
      <w:pPr>
        <w:spacing w:after="0" w:line="240" w:lineRule="auto"/>
      </w:pPr>
      <w:r>
        <w:separator/>
      </w:r>
    </w:p>
  </w:footnote>
  <w:footnote w:type="continuationSeparator" w:id="0">
    <w:p w14:paraId="51403C27" w14:textId="77777777" w:rsidR="00ED1AC0" w:rsidRDefault="00ED1AC0"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3C2A" w14:textId="77777777"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14:paraId="51403C2B" w14:textId="77777777" w:rsidR="001B23B7" w:rsidRDefault="001B23B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43706"/>
    <w:rsid w:val="00082320"/>
    <w:rsid w:val="00097069"/>
    <w:rsid w:val="000D348F"/>
    <w:rsid w:val="000F2BE9"/>
    <w:rsid w:val="001B23B7"/>
    <w:rsid w:val="001E3562"/>
    <w:rsid w:val="00203EE3"/>
    <w:rsid w:val="0023360B"/>
    <w:rsid w:val="00243652"/>
    <w:rsid w:val="003145AE"/>
    <w:rsid w:val="003A057B"/>
    <w:rsid w:val="0049476D"/>
    <w:rsid w:val="004A4383"/>
    <w:rsid w:val="004C6831"/>
    <w:rsid w:val="005238CE"/>
    <w:rsid w:val="00591EC6"/>
    <w:rsid w:val="006676C9"/>
    <w:rsid w:val="006F678E"/>
    <w:rsid w:val="006F6B62"/>
    <w:rsid w:val="00720322"/>
    <w:rsid w:val="007453BE"/>
    <w:rsid w:val="0075197E"/>
    <w:rsid w:val="00761208"/>
    <w:rsid w:val="007B40C1"/>
    <w:rsid w:val="00865E81"/>
    <w:rsid w:val="008801B5"/>
    <w:rsid w:val="008B222D"/>
    <w:rsid w:val="008C79B7"/>
    <w:rsid w:val="009431E3"/>
    <w:rsid w:val="009475F5"/>
    <w:rsid w:val="009717F5"/>
    <w:rsid w:val="009C424C"/>
    <w:rsid w:val="009E09F7"/>
    <w:rsid w:val="009E3FD2"/>
    <w:rsid w:val="009F4832"/>
    <w:rsid w:val="00A340BB"/>
    <w:rsid w:val="00A41A76"/>
    <w:rsid w:val="00AC30D6"/>
    <w:rsid w:val="00B547F5"/>
    <w:rsid w:val="00B84F87"/>
    <w:rsid w:val="00BA2BF4"/>
    <w:rsid w:val="00CE6AAE"/>
    <w:rsid w:val="00CF1A25"/>
    <w:rsid w:val="00D2313B"/>
    <w:rsid w:val="00D50F1E"/>
    <w:rsid w:val="00DF357C"/>
    <w:rsid w:val="00E0493F"/>
    <w:rsid w:val="00ED1AC0"/>
    <w:rsid w:val="00F87681"/>
    <w:rsid w:val="00FA02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3B27"/>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0955733-19BF-4066-8158-71F3A415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6469</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2022-09-26T09:32:00Z</dcterms:created>
  <dcterms:modified xsi:type="dcterms:W3CDTF">2022-09-26T09:32:00Z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