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A8" w:rsidRDefault="004C08A8" w:rsidP="004C08A8">
      <w:pPr>
        <w:spacing w:after="46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sk-SK"/>
        </w:rPr>
      </w:pPr>
      <w:r w:rsidRPr="001915DC">
        <w:rPr>
          <w:rFonts w:ascii="Times New Roman" w:eastAsia="Times New Roman" w:hAnsi="Times New Roman" w:cs="Times New Roman"/>
          <w:bCs/>
          <w:color w:val="000000"/>
          <w:sz w:val="24"/>
          <w:lang w:eastAsia="sk-SK"/>
        </w:rPr>
        <w:t>(návrh)</w:t>
      </w:r>
    </w:p>
    <w:p w:rsidR="001915DC" w:rsidRDefault="001915DC" w:rsidP="004C08A8">
      <w:pPr>
        <w:spacing w:after="46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sk-SK"/>
        </w:rPr>
      </w:pPr>
    </w:p>
    <w:p w:rsidR="001915DC" w:rsidRPr="001915DC" w:rsidRDefault="001915DC" w:rsidP="004C08A8">
      <w:pPr>
        <w:spacing w:after="46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sk-SK"/>
        </w:rPr>
      </w:pPr>
    </w:p>
    <w:p w:rsidR="004C08A8" w:rsidRPr="001915DC" w:rsidRDefault="001915DC" w:rsidP="004C08A8">
      <w:pPr>
        <w:spacing w:after="46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  <w:t>ZÁKON,</w:t>
      </w:r>
    </w:p>
    <w:p w:rsidR="004C08A8" w:rsidRPr="001915DC" w:rsidRDefault="004C08A8" w:rsidP="008A6AB5">
      <w:pPr>
        <w:spacing w:after="46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  <w:r w:rsidRPr="001915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ktorým sa mení a dopĺňa zákon č. 50/1976 Zb. o územnom plánovaní a stavebnom poriadku (stavebný zákon) v znení neskorších predpisov</w:t>
      </w:r>
      <w:r w:rsidR="008B1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 a ktorým sa mení zákon č. 282/2015 </w:t>
      </w:r>
      <w:proofErr w:type="spellStart"/>
      <w:r w:rsidR="008B1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Z.z</w:t>
      </w:r>
      <w:proofErr w:type="spellEnd"/>
      <w:r w:rsidR="008B19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. o vyvlastňovaní pozemkov a stavieb a o nútenom obmedzení vlastníckeho práva k nim a o zmene a doplnení niektorých zákonov</w:t>
      </w:r>
    </w:p>
    <w:p w:rsidR="004C08A8" w:rsidRPr="004C08A8" w:rsidRDefault="004C08A8" w:rsidP="008A6AB5">
      <w:pPr>
        <w:spacing w:after="46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4C08A8" w:rsidRPr="004C08A8" w:rsidRDefault="004C08A8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Národná rada Slovenskej republiky sa uzniesla na tomto zákone: </w:t>
      </w:r>
    </w:p>
    <w:p w:rsidR="004C08A8" w:rsidRPr="004C08A8" w:rsidRDefault="004C08A8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4C08A8" w:rsidRDefault="004C08A8" w:rsidP="001915DC">
      <w:pPr>
        <w:spacing w:after="46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Čl. I</w:t>
      </w:r>
    </w:p>
    <w:p w:rsidR="001915DC" w:rsidRPr="004C08A8" w:rsidRDefault="001915DC" w:rsidP="001915DC">
      <w:pPr>
        <w:spacing w:after="46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</w:p>
    <w:p w:rsidR="004C08A8" w:rsidRDefault="004C08A8" w:rsidP="008A6AB5">
      <w:pPr>
        <w:spacing w:after="46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 č. 50/1976 Zb. o územnom plánovaní a stavebnom priadku </w:t>
      </w:r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(stavebný zákon) </w:t>
      </w: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znení </w:t>
      </w:r>
      <w:r w:rsidR="00B47AB1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zákonov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č. 139/1982 Zb., zákona č. 103/1990 Zb., zákona č. 262/1992 Zb., zákona </w:t>
      </w:r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Národnej rady Slovenskej republiky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č. 136/1995 Z. z., zákona </w:t>
      </w:r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Národnej rady Slovenskej republiky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č. 199/1995 Z. z., </w:t>
      </w:r>
      <w:r w:rsidR="008B19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nálezu Ústavného súdu Slovenskej republiky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č. 286/1996 Z. z., zákona č. 229/1997 Z. z., zákona č. 175/1999 Z. z., zákona č.  237/2000 Z. z., </w:t>
      </w:r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416/2001 </w:t>
      </w:r>
      <w:proofErr w:type="spellStart"/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Z.z</w:t>
      </w:r>
      <w:proofErr w:type="spellEnd"/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.,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553/2001 Z. z., zákona č. 217/2002 Z. z., zákona č. 416/2001 Z. z., </w:t>
      </w:r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553/2001 </w:t>
      </w:r>
      <w:proofErr w:type="spellStart"/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Z.z</w:t>
      </w:r>
      <w:proofErr w:type="spellEnd"/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., </w:t>
      </w:r>
      <w:r w:rsidR="008B19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nálezu Ústavného súdu Slovenskej republiky </w:t>
      </w:r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217/2002 </w:t>
      </w:r>
      <w:proofErr w:type="spellStart"/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Z.z</w:t>
      </w:r>
      <w:proofErr w:type="spellEnd"/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.,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103/2003 Z. z., zákona č. 245/2003 Z. z., zákona č. 417/2003 Z. z., zákona č. 608/2003 Z. z., zákona č. 541/2004 Z. z., zákona č. 290/2005 Z. z., zákona č. 479/2005 Z. z., zákona č. 24/2006 Z. z., zákona č. 218/2007 Z. z., zákona č. 540/2008 Z. z., zákona č. 66/2009 Z. z., zákona č. 513/2009 Z. z., </w:t>
      </w:r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118/2010 </w:t>
      </w:r>
      <w:proofErr w:type="spellStart"/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Z.z</w:t>
      </w:r>
      <w:proofErr w:type="spellEnd"/>
      <w:r w:rsidR="001915D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.,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145/2010 Z. z., zákona č. 547/2010 Z. z., zákona č. 408/2011 Z. z., zákona č. 300/2012 Z. z., </w:t>
      </w:r>
      <w:r w:rsid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180/2013 </w:t>
      </w:r>
      <w:proofErr w:type="spellStart"/>
      <w:r w:rsid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Z.z</w:t>
      </w:r>
      <w:proofErr w:type="spellEnd"/>
      <w:r w:rsid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., </w:t>
      </w:r>
      <w:r w:rsidR="00347F9E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219/2013 Z. z., zákona č. 368/2013 Z. z., </w:t>
      </w:r>
      <w:r w:rsidR="00347F9E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293/2014 Z. z.,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314/2014 Z. z., zákona č. 154/2015 Z. z., </w:t>
      </w:r>
      <w:r w:rsidR="00347F9E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247/2015 Z. z., </w:t>
      </w:r>
      <w:r w:rsidR="009B4CDA" w:rsidRPr="009B4CD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zákona č. 254/2015 Z. z., zákona č. 177/2018 Z. z., zákona č. 312/2018 Z. z., zákona č. 93/2019 Z. z., zákona č. 279/2019 Z. z., zákona č. 90/2020 Z. z., zákona č. 145/2021 Z. z., zákona č. 149/2021 Z. z., zákona č. 172/2022 Z. z. </w:t>
      </w: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sa mení a dopĺňa takto: </w:t>
      </w:r>
    </w:p>
    <w:p w:rsidR="00347F9E" w:rsidRPr="004C08A8" w:rsidRDefault="00347F9E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4C08A8" w:rsidRPr="00347F9E" w:rsidRDefault="004C08A8" w:rsidP="00347F9E">
      <w:pPr>
        <w:pStyle w:val="Odsekzoznamu"/>
        <w:numPr>
          <w:ilvl w:val="0"/>
          <w:numId w:val="6"/>
        </w:numPr>
        <w:spacing w:after="4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2 ods. 2 sa pripája písmeno e), ktoré znie: </w:t>
      </w:r>
    </w:p>
    <w:p w:rsidR="00347F9E" w:rsidRDefault="004C08A8" w:rsidP="00347F9E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„e) vydávaním územného stanoviska.“. </w:t>
      </w:r>
    </w:p>
    <w:p w:rsidR="00347F9E" w:rsidRDefault="00347F9E" w:rsidP="00347F9E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4C08A8" w:rsidRPr="00347F9E" w:rsidRDefault="004C08A8" w:rsidP="00347F9E">
      <w:pPr>
        <w:pStyle w:val="Odsekzoznamu"/>
        <w:numPr>
          <w:ilvl w:val="0"/>
          <w:numId w:val="6"/>
        </w:numPr>
        <w:spacing w:after="4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2 ods. 6 sa za slovo „činnosť“ vkladajú slová „a na vydávanie územného stanoviska“. </w:t>
      </w:r>
    </w:p>
    <w:p w:rsidR="004C08A8" w:rsidRPr="004C08A8" w:rsidRDefault="004C08A8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347F9E" w:rsidRPr="00347F9E" w:rsidRDefault="004C08A8" w:rsidP="00347F9E">
      <w:pPr>
        <w:pStyle w:val="Odsekzoznamu"/>
        <w:numPr>
          <w:ilvl w:val="0"/>
          <w:numId w:val="6"/>
        </w:numPr>
        <w:spacing w:after="4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2 ods. 7 sa slovo „dokumentácia“ nahrádza slovami „dokumentácia, územné rozhodnutie a územné stanovisko“. </w:t>
      </w:r>
    </w:p>
    <w:p w:rsidR="00347F9E" w:rsidRPr="00347F9E" w:rsidRDefault="00347F9E" w:rsidP="00347F9E">
      <w:pPr>
        <w:pStyle w:val="Odsekzoznamu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4C08A8" w:rsidRPr="00347F9E" w:rsidRDefault="004C08A8" w:rsidP="00347F9E">
      <w:pPr>
        <w:pStyle w:val="Odsekzoznamu"/>
        <w:numPr>
          <w:ilvl w:val="0"/>
          <w:numId w:val="6"/>
        </w:numPr>
        <w:spacing w:after="4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7 ods. 2 písm. d) sa za slovo „rozhodovanie“ vkladajú slová „a na vydávanie územného stanoviska“. </w:t>
      </w:r>
    </w:p>
    <w:p w:rsidR="004C08A8" w:rsidRPr="004C08A8" w:rsidRDefault="004C08A8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4C08A8" w:rsidRPr="004C08A8" w:rsidRDefault="00347F9E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</w:t>
      </w:r>
      <w:r w:rsidR="004C08A8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5.V § 11 odsek 2 znie: </w:t>
      </w:r>
    </w:p>
    <w:p w:rsidR="004C08A8" w:rsidRDefault="004C08A8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„(2) Mestá a obce sú povinné mať územný plán obce.“. </w:t>
      </w:r>
    </w:p>
    <w:p w:rsidR="004C08A8" w:rsidRPr="004C08A8" w:rsidRDefault="004C08A8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4C08A8" w:rsidRPr="004C08A8" w:rsidRDefault="00347F9E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</w:t>
      </w:r>
      <w:r w:rsidR="004C08A8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6.</w:t>
      </w:r>
      <w:r w:rsidR="004C08A8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§ 16 sa dopĺňa odsekmi 5 a 6, ktoré znejú: </w:t>
      </w:r>
    </w:p>
    <w:p w:rsidR="004C08A8" w:rsidRPr="004C08A8" w:rsidRDefault="004C08A8" w:rsidP="00347F9E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„(5) Orgánom územného plánovania na vydanie územného stanoviska je obec. </w:t>
      </w:r>
    </w:p>
    <w:p w:rsidR="004C08A8" w:rsidRDefault="004C08A8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(6) V hlavnom meste Bratislave a v meste Košice je príslušným na vydanie územného stanoviska orgán územného plánovania</w:t>
      </w:r>
      <w:r w:rsid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ktorý schválil územnoplánovaciu dokumentáciu.“.</w:t>
      </w:r>
    </w:p>
    <w:p w:rsidR="004C08A8" w:rsidRDefault="004C08A8" w:rsidP="004C08A8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5903DB" w:rsidRPr="004C08A8" w:rsidRDefault="00347F9E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</w:t>
      </w:r>
      <w:r w:rsidR="005B2DA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7.  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prvej časti sa za oddiel </w:t>
      </w:r>
      <w:r w:rsidR="005903D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7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vkladá oddiel 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7a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, ktorý vrátane nadpisu znie: </w:t>
      </w:r>
    </w:p>
    <w:p w:rsidR="005903DB" w:rsidRDefault="005903DB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5903DB" w:rsidRPr="004C08A8" w:rsidRDefault="005903DB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5903DB" w:rsidRPr="004C08A8" w:rsidRDefault="005903DB" w:rsidP="005903DB">
      <w:pPr>
        <w:spacing w:after="46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„ODDIEL </w:t>
      </w:r>
      <w:r w:rsid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7a</w:t>
      </w:r>
    </w:p>
    <w:p w:rsidR="005903DB" w:rsidRPr="00F466E3" w:rsidRDefault="005903DB" w:rsidP="005903DB">
      <w:pPr>
        <w:spacing w:after="46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F466E3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ÚZEMNÉ STANOVISKO</w:t>
      </w:r>
    </w:p>
    <w:p w:rsidR="005903DB" w:rsidRPr="004C08A8" w:rsidRDefault="005903DB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5903DB" w:rsidRPr="004C08A8" w:rsidRDefault="005903DB" w:rsidP="005903DB">
      <w:pPr>
        <w:spacing w:after="46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31</w:t>
      </w: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</w:t>
      </w:r>
    </w:p>
    <w:p w:rsidR="005903DB" w:rsidRDefault="005903DB" w:rsidP="00A73BC5">
      <w:pPr>
        <w:pStyle w:val="Odsekzoznamu"/>
        <w:numPr>
          <w:ilvl w:val="0"/>
          <w:numId w:val="7"/>
        </w:numPr>
        <w:spacing w:after="4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94C9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Územné stanovisko, </w:t>
      </w:r>
      <w:r w:rsidR="007033D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vydáva </w:t>
      </w:r>
      <w:r w:rsidRPr="00103D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orgán územného plánovania</w:t>
      </w:r>
      <w:r w:rsidR="00103D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 ktorým uplatňuje obsah územnoplánovacej dokumentácie a</w:t>
      </w:r>
      <w:r w:rsidRPr="00103D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potvrdzuje súlad navrhovanej stavby s cieľmi a zámermi územného plánovania</w:t>
      </w:r>
      <w:r w:rsidR="00C74BBC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="0011315B" w:rsidRPr="00103D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103D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 urbanistickými a architektonickými požiadavkami</w:t>
      </w:r>
      <w:r w:rsidR="006A5481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Pr="00103D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s verejným dopravným a technickým vybavením územia</w:t>
      </w:r>
      <w:r w:rsidR="007033D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194C93" w:rsidRPr="00194C93" w:rsidRDefault="00194C93" w:rsidP="00194C93">
      <w:pPr>
        <w:pStyle w:val="Odsekzoznamu"/>
        <w:spacing w:after="46"/>
        <w:ind w:left="108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5903DB" w:rsidRPr="00A73BC5" w:rsidRDefault="005903DB" w:rsidP="00A73BC5">
      <w:pPr>
        <w:pStyle w:val="Odsekzoznamu"/>
        <w:numPr>
          <w:ilvl w:val="0"/>
          <w:numId w:val="7"/>
        </w:numPr>
        <w:spacing w:after="46"/>
        <w:jc w:val="both"/>
        <w:rPr>
          <w:rFonts w:ascii="Times New Roman" w:eastAsia="Times New Roman" w:hAnsi="Times New Roman" w:cs="Times New Roman"/>
          <w:strike/>
          <w:color w:val="000000"/>
          <w:sz w:val="24"/>
          <w:lang w:eastAsia="sk-SK"/>
        </w:rPr>
      </w:pP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Podkladom na vydanie územného stanoviska je územný plán obce </w:t>
      </w:r>
      <w:r w:rsidRPr="006A5481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 územný plán zóny</w:t>
      </w: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 Ak pre obec nebol spracovaný územný plán obce </w:t>
      </w:r>
      <w:r w:rsidRPr="006A5481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alebo územný plán zóny</w:t>
      </w: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, podkladom na vydanie územného stanoviska sú </w:t>
      </w:r>
      <w:r w:rsidR="006A5481"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územno</w:t>
      </w: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technické požiadavky na výstavbu</w:t>
      </w:r>
      <w:r w:rsid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Pr="00347F9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C74BB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spracované územnoplánovacie podklady a ostatné existujúce podklady </w:t>
      </w:r>
      <w:r w:rsidR="00A73BC5">
        <w:rPr>
          <w:rFonts w:ascii="Times New Roman" w:eastAsia="Times New Roman" w:hAnsi="Times New Roman" w:cs="Times New Roman"/>
          <w:strike/>
          <w:color w:val="000000"/>
          <w:sz w:val="24"/>
          <w:lang w:eastAsia="sk-SK"/>
        </w:rPr>
        <w:t>.</w:t>
      </w:r>
    </w:p>
    <w:p w:rsidR="005903DB" w:rsidRPr="004C08A8" w:rsidRDefault="005903DB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5903DB" w:rsidRPr="0011315B" w:rsidRDefault="005903DB" w:rsidP="00A73BC5">
      <w:pPr>
        <w:pStyle w:val="Odsekzoznamu"/>
        <w:numPr>
          <w:ilvl w:val="0"/>
          <w:numId w:val="7"/>
        </w:numPr>
        <w:spacing w:after="4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Orgán územného plánovania vydá územné stanovisko </w:t>
      </w:r>
      <w:r w:rsidRPr="00C74BBC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 žiadosť stavebníka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do 30 dní odo dňa doručenia žiadosti. Ak je výsledkom posúdenia žiadosti nesúlad s požiadavkami podľa </w:t>
      </w:r>
      <w:r w:rsidR="00E7690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§ 31a 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ods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eku</w:t>
      </w:r>
      <w:r w:rsidR="0011315B" w:rsidRPr="00E7690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E7690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, orgán územného plánovania </w:t>
      </w:r>
      <w:r w:rsidR="00C74BBC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nevydá stanovisko a </w:t>
      </w:r>
      <w:r w:rsidR="0011315B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vráti 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žiadosť </w:t>
      </w:r>
      <w:r w:rsidR="0011315B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 rovnakej lehote 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stavebníkovi s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odôvodnením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vrátenia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</w:p>
    <w:p w:rsidR="005903DB" w:rsidRPr="004C08A8" w:rsidRDefault="005903DB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5903DB" w:rsidRPr="004C08A8" w:rsidRDefault="005903DB" w:rsidP="005903DB">
      <w:pPr>
        <w:spacing w:after="46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31</w:t>
      </w: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b</w:t>
      </w:r>
    </w:p>
    <w:p w:rsidR="005903DB" w:rsidRPr="00A73BC5" w:rsidRDefault="005903DB" w:rsidP="00A73BC5">
      <w:pPr>
        <w:pStyle w:val="Odsekzoznamu"/>
        <w:numPr>
          <w:ilvl w:val="0"/>
          <w:numId w:val="9"/>
        </w:numPr>
        <w:spacing w:after="4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Žiadosť o územné stanovisko obsahuje meno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a 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priezvisko (názov) a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adresu (sídlo) stavebníka; </w:t>
      </w:r>
      <w:r w:rsidR="00E7690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popis navrhovanej stavby 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so stručnou charakteristikou územia; druhy a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parcelné čísla dotknutých pozemkov podľa katastra nehnuteľností. Prílohou žiadosti 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sú údaje o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súlade návrhu stavby s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E7690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podkladmi podľa § 31a ods. 2 a dokumentácia navrhovanej stavby v rozsahu: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urbanistické začlenenie stavby do územia; navrhované umiestnenie stavby na pozemku </w:t>
      </w:r>
      <w:r w:rsidR="00A73BC5">
        <w:rPr>
          <w:rFonts w:ascii="Times New Roman" w:eastAsia="Times New Roman" w:hAnsi="Times New Roman" w:cs="Times New Roman"/>
          <w:strike/>
          <w:color w:val="000000"/>
          <w:sz w:val="24"/>
          <w:lang w:eastAsia="sk-SK"/>
        </w:rPr>
        <w:t>(</w:t>
      </w:r>
      <w:r w:rsidR="00417B1A" w:rsidRPr="00E7690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zastavovací plán</w:t>
      </w:r>
      <w:r w:rsidR="00417B1A" w:rsidRPr="00A73BC5">
        <w:rPr>
          <w:rFonts w:ascii="Times New Roman" w:eastAsia="Times New Roman" w:hAnsi="Times New Roman" w:cs="Times New Roman"/>
          <w:strike/>
          <w:color w:val="000000"/>
          <w:sz w:val="24"/>
          <w:lang w:eastAsia="sk-SK"/>
        </w:rPr>
        <w:t>)</w:t>
      </w:r>
      <w:r w:rsidR="001720C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s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1720C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vyznačením väzieb na okolie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; architektonické riešenie stavby, jej </w:t>
      </w:r>
      <w:proofErr w:type="spellStart"/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hmotové</w:t>
      </w:r>
      <w:proofErr w:type="spellEnd"/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členenie, 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vzhľad a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pôdorysné usporiadanie; údaje o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základnom stavebnotechnickom a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konštrukčnom riešení stavby; údaje o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požiadavkách stavby na dopravné napojenie vrátane parkovania a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návrh napojenia stavby na dopravné vybavenie územia a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jestvujúce siete a</w:t>
      </w:r>
      <w:r w:rsid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 </w:t>
      </w:r>
      <w:r w:rsidR="00417B1A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zariadenia technického vybavenia </w:t>
      </w:r>
      <w:r w:rsidR="00246C6F" w:rsidRPr="0011315B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</w:p>
    <w:p w:rsidR="005903DB" w:rsidRPr="00A73BC5" w:rsidRDefault="005903DB" w:rsidP="00A73BC5">
      <w:pPr>
        <w:spacing w:after="46"/>
        <w:rPr>
          <w:rFonts w:ascii="Times New Roman" w:eastAsia="Times New Roman" w:hAnsi="Times New Roman" w:cs="Times New Roman"/>
          <w:strike/>
          <w:color w:val="000000"/>
          <w:sz w:val="24"/>
          <w:lang w:eastAsia="sk-SK"/>
        </w:rPr>
      </w:pPr>
    </w:p>
    <w:p w:rsidR="005903DB" w:rsidRPr="004C08A8" w:rsidRDefault="005903DB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(3)</w:t>
      </w:r>
      <w:r w:rsidR="00194C9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Územné stanovisko obsahuje tieto údaje: </w:t>
      </w:r>
    </w:p>
    <w:p w:rsidR="005903DB" w:rsidRPr="004C08A8" w:rsidRDefault="00246C6F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a) 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stručný </w:t>
      </w:r>
      <w:r w:rsidR="006614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opis </w:t>
      </w:r>
      <w:r w:rsid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predmetu </w:t>
      </w:r>
      <w:r w:rsidR="005903DB" w:rsidRP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žiadosti</w:t>
      </w:r>
      <w:r w:rsidR="00661415">
        <w:rPr>
          <w:rFonts w:ascii="Times New Roman" w:eastAsia="Times New Roman" w:hAnsi="Times New Roman" w:cs="Times New Roman"/>
          <w:strike/>
          <w:color w:val="000000"/>
          <w:sz w:val="24"/>
          <w:lang w:eastAsia="sk-SK"/>
        </w:rPr>
        <w:t xml:space="preserve"> </w:t>
      </w:r>
      <w:r w:rsidR="006614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navrhovanej stavby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</w:p>
    <w:p w:rsidR="00A73BC5" w:rsidRDefault="00246C6F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b) 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druhy a parcelné čísla dotknutých pozemkov navrhovanej stavby podľa katastra </w:t>
      </w:r>
      <w:r w:rsid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5903DB" w:rsidRPr="004C08A8" w:rsidRDefault="00A73BC5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nehnuteľností</w:t>
      </w:r>
      <w:r w:rsidR="00246C6F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5903DB" w:rsidRPr="00A73BC5" w:rsidRDefault="00246C6F" w:rsidP="006253F4">
      <w:pPr>
        <w:spacing w:after="46"/>
        <w:ind w:left="720"/>
        <w:rPr>
          <w:rFonts w:ascii="Times New Roman" w:eastAsia="Times New Roman" w:hAnsi="Times New Roman" w:cs="Times New Roman"/>
          <w:strike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c) 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vyjadrenie</w:t>
      </w:r>
      <w:r w:rsidR="0043353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6614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že 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je navrhovaná stavba v súlade </w:t>
      </w:r>
      <w:r w:rsid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 obsahom územnoplánovacej dokumentácie</w:t>
      </w:r>
      <w:r w:rsid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7033D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="005903DB" w:rsidRP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</w:t>
      </w:r>
      <w:r w:rsidR="005903DB" w:rsidRPr="004C08A8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5903DB" w:rsidRP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cieľmi a zámermi územného plánovania</w:t>
      </w:r>
      <w:r w:rsid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, </w:t>
      </w:r>
      <w:r w:rsidR="006253F4" w:rsidRPr="00103D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 urbanistickými a architektonickými požiadavkami </w:t>
      </w:r>
      <w:r w:rsid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a </w:t>
      </w:r>
      <w:r w:rsidR="006253F4" w:rsidRPr="00103D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 verejným dopravným a technickým vybavením územia</w:t>
      </w:r>
      <w:r w:rsid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; </w:t>
      </w:r>
      <w:r w:rsidR="005903DB" w:rsidRP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alebo vyjadrenie</w:t>
      </w:r>
      <w:r w:rsid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="005903DB" w:rsidRP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6253F4" w:rsidRP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že </w:t>
      </w:r>
      <w:r w:rsidR="005903DB" w:rsidRP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navrhovaná stavba nie je v rozpore s </w:t>
      </w:r>
      <w:r w:rsid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územno</w:t>
      </w:r>
      <w:r w:rsidR="005903DB" w:rsidRP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technickými požiadavkami na výstavbu</w:t>
      </w:r>
      <w:r w:rsidR="0043353E" w:rsidRP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, </w:t>
      </w:r>
      <w:r w:rsidR="005903DB" w:rsidRP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</w:t>
      </w:r>
      <w:r w:rsidR="005F05E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</w:t>
      </w:r>
      <w:r w:rsidR="005903DB" w:rsidRP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5F05E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spracovanými </w:t>
      </w:r>
      <w:r w:rsid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územnoplánovacími </w:t>
      </w:r>
      <w:r w:rsidR="005903DB" w:rsidRPr="006253F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podkladmi a s ostatnými existujúcimi podkladmi</w:t>
      </w:r>
      <w:r w:rsidR="00A73BC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</w:p>
    <w:p w:rsidR="005903DB" w:rsidRPr="004C08A8" w:rsidRDefault="005903DB" w:rsidP="005903DB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5903DB" w:rsidRPr="00194C93" w:rsidRDefault="005903DB" w:rsidP="00194C93">
      <w:pPr>
        <w:pStyle w:val="Odsekzoznamu"/>
        <w:numPr>
          <w:ilvl w:val="0"/>
          <w:numId w:val="7"/>
        </w:numPr>
        <w:spacing w:after="4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94C9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K územnému  stanovisku pripojí orgán územného plánovania overený situačný výkres </w:t>
      </w:r>
      <w:r w:rsidR="007033D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súčasného stavu územia na podklade katastrálnej mapy </w:t>
      </w:r>
      <w:r w:rsidRPr="00A73BC5">
        <w:rPr>
          <w:rFonts w:ascii="Times New Roman" w:eastAsia="Times New Roman" w:hAnsi="Times New Roman" w:cs="Times New Roman"/>
          <w:strike/>
          <w:color w:val="000000"/>
          <w:sz w:val="24"/>
          <w:lang w:eastAsia="sk-SK"/>
        </w:rPr>
        <w:t>(</w:t>
      </w:r>
      <w:r w:rsidRPr="005F05E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zastavovací plán)</w:t>
      </w:r>
      <w:r w:rsidRPr="00194C9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so zakreslením </w:t>
      </w:r>
      <w:r w:rsidR="007033D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navrhovanej stavby a jej polohy</w:t>
      </w:r>
      <w:r w:rsidRPr="00194C9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 </w:t>
      </w:r>
    </w:p>
    <w:p w:rsidR="005903DB" w:rsidRPr="004C08A8" w:rsidRDefault="005903DB" w:rsidP="005903DB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5903DB" w:rsidRPr="00194C93" w:rsidRDefault="005903DB" w:rsidP="00194C93">
      <w:pPr>
        <w:pStyle w:val="Odsekzoznamu"/>
        <w:numPr>
          <w:ilvl w:val="0"/>
          <w:numId w:val="7"/>
        </w:numPr>
        <w:spacing w:after="4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194C93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Územné stanovisko platí dva roky odo dňa jeho doručenia stavebníkovi; nestráca platnosť, ak v tejto lehote stavebník podal stavebnému úradu žiadosť o stavebné povolenie“. </w:t>
      </w:r>
    </w:p>
    <w:p w:rsidR="005903DB" w:rsidRDefault="005903DB" w:rsidP="0043353E">
      <w:pPr>
        <w:spacing w:after="46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5903DB" w:rsidRPr="002D7E92" w:rsidRDefault="004C08A8" w:rsidP="005903DB">
      <w:pPr>
        <w:spacing w:after="46"/>
        <w:ind w:left="720"/>
        <w:rPr>
          <w:rFonts w:ascii="Times New Roman" w:eastAsia="Times New Roman" w:hAnsi="Times New Roman" w:cs="Times New Roman"/>
          <w:sz w:val="24"/>
          <w:lang w:eastAsia="sk-SK"/>
        </w:rPr>
      </w:pPr>
      <w:r w:rsidRPr="002D7E92">
        <w:rPr>
          <w:rFonts w:ascii="Times New Roman" w:eastAsia="Times New Roman" w:hAnsi="Times New Roman" w:cs="Times New Roman"/>
          <w:sz w:val="24"/>
          <w:lang w:eastAsia="sk-SK"/>
        </w:rPr>
        <w:t>8.</w:t>
      </w:r>
      <w:r w:rsidR="005903DB"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V § 39a ods. 4 </w:t>
      </w:r>
      <w:r w:rsidR="002D7E92" w:rsidRPr="002D7E92">
        <w:rPr>
          <w:rFonts w:ascii="Times New Roman" w:eastAsia="Times New Roman" w:hAnsi="Times New Roman" w:cs="Times New Roman"/>
          <w:sz w:val="24"/>
          <w:lang w:eastAsia="sk-SK"/>
        </w:rPr>
        <w:t>znie:</w:t>
      </w:r>
    </w:p>
    <w:p w:rsidR="005B2DAC" w:rsidRPr="002D7E92" w:rsidRDefault="004C08A8" w:rsidP="005903DB">
      <w:pPr>
        <w:spacing w:after="46"/>
        <w:ind w:left="720"/>
        <w:rPr>
          <w:rFonts w:ascii="Times New Roman" w:eastAsia="Times New Roman" w:hAnsi="Times New Roman" w:cs="Times New Roman"/>
          <w:sz w:val="24"/>
          <w:lang w:eastAsia="sk-SK"/>
        </w:rPr>
      </w:pPr>
      <w:r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 w:rsidR="008C0E86"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Stavebný úrad spojí územné konanie o umiestnení stavby so stavebným konaním </w:t>
      </w:r>
    </w:p>
    <w:p w:rsidR="008C0E86" w:rsidRPr="002D7E92" w:rsidRDefault="002817B8" w:rsidP="00E007E4">
      <w:pPr>
        <w:pStyle w:val="Odsekzoznamu"/>
        <w:numPr>
          <w:ilvl w:val="0"/>
          <w:numId w:val="12"/>
        </w:numPr>
        <w:spacing w:after="46"/>
        <w:ind w:left="993" w:hanging="284"/>
        <w:rPr>
          <w:rFonts w:ascii="Times New Roman" w:eastAsia="Times New Roman" w:hAnsi="Times New Roman" w:cs="Times New Roman"/>
          <w:sz w:val="24"/>
          <w:lang w:eastAsia="sk-SK"/>
        </w:rPr>
      </w:pPr>
      <w:r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pri </w:t>
      </w:r>
      <w:r w:rsidR="008C0E86" w:rsidRPr="002D7E92">
        <w:rPr>
          <w:rFonts w:ascii="Times New Roman" w:eastAsia="Times New Roman" w:hAnsi="Times New Roman" w:cs="Times New Roman"/>
          <w:sz w:val="24"/>
          <w:lang w:eastAsia="sk-SK"/>
        </w:rPr>
        <w:t>jednoduch</w:t>
      </w:r>
      <w:r w:rsidRPr="002D7E92">
        <w:rPr>
          <w:rFonts w:ascii="Times New Roman" w:eastAsia="Times New Roman" w:hAnsi="Times New Roman" w:cs="Times New Roman"/>
          <w:sz w:val="24"/>
          <w:lang w:eastAsia="sk-SK"/>
        </w:rPr>
        <w:t>ej</w:t>
      </w:r>
      <w:r w:rsidR="008C0E86"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 stavb</w:t>
      </w:r>
      <w:r w:rsidRPr="002D7E92">
        <w:rPr>
          <w:rFonts w:ascii="Times New Roman" w:eastAsia="Times New Roman" w:hAnsi="Times New Roman" w:cs="Times New Roman"/>
          <w:sz w:val="24"/>
          <w:lang w:eastAsia="sk-SK"/>
        </w:rPr>
        <w:t>e</w:t>
      </w:r>
      <w:r w:rsidR="008C0E86"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  alebo jej prístavb</w:t>
      </w:r>
      <w:r w:rsidRPr="002D7E92">
        <w:rPr>
          <w:rFonts w:ascii="Times New Roman" w:eastAsia="Times New Roman" w:hAnsi="Times New Roman" w:cs="Times New Roman"/>
          <w:sz w:val="24"/>
          <w:lang w:eastAsia="sk-SK"/>
        </w:rPr>
        <w:t>e</w:t>
      </w:r>
      <w:r w:rsidR="008C0E86"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 a nadstavb</w:t>
      </w:r>
      <w:r w:rsidRPr="002D7E92">
        <w:rPr>
          <w:rFonts w:ascii="Times New Roman" w:eastAsia="Times New Roman" w:hAnsi="Times New Roman" w:cs="Times New Roman"/>
          <w:sz w:val="24"/>
          <w:lang w:eastAsia="sk-SK"/>
        </w:rPr>
        <w:t>e</w:t>
      </w:r>
      <w:r w:rsidR="008C0E86" w:rsidRPr="002D7E92">
        <w:rPr>
          <w:rFonts w:ascii="Times New Roman" w:eastAsia="Times New Roman" w:hAnsi="Times New Roman" w:cs="Times New Roman"/>
          <w:sz w:val="24"/>
          <w:lang w:eastAsia="sk-SK"/>
        </w:rPr>
        <w:t>, ak sú podmienky umiestnenia jednoznačné vzhľadom na pomery v území,</w:t>
      </w:r>
    </w:p>
    <w:p w:rsidR="008C0E86" w:rsidRDefault="002817B8" w:rsidP="00E007E4">
      <w:pPr>
        <w:pStyle w:val="Odsekzoznamu"/>
        <w:numPr>
          <w:ilvl w:val="0"/>
          <w:numId w:val="12"/>
        </w:numPr>
        <w:spacing w:after="46"/>
        <w:ind w:left="993" w:hanging="284"/>
        <w:rPr>
          <w:rFonts w:ascii="Times New Roman" w:eastAsia="Times New Roman" w:hAnsi="Times New Roman" w:cs="Times New Roman"/>
          <w:sz w:val="24"/>
          <w:lang w:eastAsia="sk-SK"/>
        </w:rPr>
      </w:pPr>
      <w:r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ak </w:t>
      </w:r>
      <w:r w:rsidR="008C0E86" w:rsidRPr="002D7E92">
        <w:rPr>
          <w:rFonts w:ascii="Times New Roman" w:eastAsia="Times New Roman" w:hAnsi="Times New Roman" w:cs="Times New Roman"/>
          <w:sz w:val="24"/>
          <w:lang w:eastAsia="sk-SK"/>
        </w:rPr>
        <w:t>podmienky na umiestnenie</w:t>
      </w:r>
      <w:r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 stavby</w:t>
      </w:r>
      <w:r w:rsidR="008C0E86" w:rsidRPr="002D7E92">
        <w:rPr>
          <w:rFonts w:ascii="Times New Roman" w:eastAsia="Times New Roman" w:hAnsi="Times New Roman" w:cs="Times New Roman"/>
          <w:sz w:val="24"/>
          <w:lang w:eastAsia="sk-SK"/>
        </w:rPr>
        <w:t xml:space="preserve"> vyplývajú z územného plánu zóny,</w:t>
      </w:r>
    </w:p>
    <w:p w:rsidR="008C0E86" w:rsidRDefault="002817B8" w:rsidP="00E007E4">
      <w:pPr>
        <w:pStyle w:val="Odsekzoznamu"/>
        <w:numPr>
          <w:ilvl w:val="0"/>
          <w:numId w:val="12"/>
        </w:numPr>
        <w:spacing w:after="46"/>
        <w:ind w:left="993" w:hanging="284"/>
        <w:rPr>
          <w:lang w:eastAsia="sk-SK"/>
        </w:rPr>
      </w:pPr>
      <w:r w:rsidRPr="0046169D">
        <w:rPr>
          <w:rFonts w:ascii="Times New Roman" w:eastAsia="Times New Roman" w:hAnsi="Times New Roman" w:cs="Times New Roman"/>
          <w:sz w:val="24"/>
          <w:lang w:eastAsia="sk-SK"/>
        </w:rPr>
        <w:t xml:space="preserve">pri stavbe, pre ktorú bolo vydané </w:t>
      </w:r>
      <w:r w:rsidR="008C0E86" w:rsidRPr="0046169D">
        <w:rPr>
          <w:rFonts w:ascii="Times New Roman" w:eastAsia="Times New Roman" w:hAnsi="Times New Roman" w:cs="Times New Roman"/>
          <w:sz w:val="24"/>
          <w:lang w:eastAsia="sk-SK"/>
        </w:rPr>
        <w:t>územné stanovisk</w:t>
      </w:r>
      <w:r w:rsidRPr="0046169D">
        <w:rPr>
          <w:rFonts w:ascii="Times New Roman" w:eastAsia="Times New Roman" w:hAnsi="Times New Roman" w:cs="Times New Roman"/>
          <w:sz w:val="24"/>
          <w:lang w:eastAsia="sk-SK"/>
        </w:rPr>
        <w:t>o</w:t>
      </w:r>
      <w:r w:rsidR="00A73BC5" w:rsidRPr="0046169D">
        <w:rPr>
          <w:rFonts w:ascii="Times New Roman" w:eastAsia="Times New Roman" w:hAnsi="Times New Roman" w:cs="Times New Roman"/>
          <w:sz w:val="24"/>
          <w:lang w:eastAsia="sk-SK"/>
        </w:rPr>
        <w:t>.</w:t>
      </w:r>
      <w:r w:rsidR="002D7E92" w:rsidRPr="0046169D"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</w:p>
    <w:p w:rsidR="00A73BC5" w:rsidRPr="0046169D" w:rsidRDefault="00A73BC5" w:rsidP="0046169D">
      <w:pPr>
        <w:spacing w:after="46"/>
        <w:rPr>
          <w:rFonts w:ascii="Times New Roman" w:eastAsia="Times New Roman" w:hAnsi="Times New Roman" w:cs="Times New Roman"/>
          <w:sz w:val="24"/>
          <w:lang w:eastAsia="sk-SK"/>
        </w:rPr>
      </w:pPr>
    </w:p>
    <w:p w:rsidR="00D526DD" w:rsidRPr="0046169D" w:rsidRDefault="0043353E" w:rsidP="0043353E">
      <w:pPr>
        <w:spacing w:after="28" w:line="27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9. </w:t>
      </w:r>
      <w:r w:rsidR="00D526DD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60 ods. 1 sa za slovo „rozhodnutia“ </w:t>
      </w:r>
      <w:r w:rsidR="00C910E5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vkladajú slová</w:t>
      </w:r>
      <w:r w:rsidR="00D526DD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„alebo </w:t>
      </w:r>
      <w:r w:rsidR="00495D07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zastavovací plán podľa </w:t>
      </w:r>
      <w:r w:rsidR="00D526DD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územného stanoviska“. </w:t>
      </w:r>
    </w:p>
    <w:p w:rsidR="00495D07" w:rsidRDefault="00495D07" w:rsidP="0043353E">
      <w:pPr>
        <w:spacing w:after="28" w:line="27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BE474C" w:rsidRPr="005B0ADB" w:rsidRDefault="00495D07" w:rsidP="0043353E">
      <w:pPr>
        <w:spacing w:after="28" w:line="27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B0AD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10. V § 60  ods. 2 </w:t>
      </w:r>
      <w:r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písm. d) sa za slovo „rozhodnutia“ vkladajú slová „alebo zastavovacieho plánu poľa územného stanoviska“</w:t>
      </w:r>
      <w:r w:rsidR="00C92B0D" w:rsidRPr="005B0ADB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495D07" w:rsidRDefault="00495D07" w:rsidP="0043353E">
      <w:pPr>
        <w:spacing w:after="28" w:line="27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D526DD" w:rsidRPr="00D526DD" w:rsidRDefault="0043353E" w:rsidP="0043353E">
      <w:pPr>
        <w:spacing w:after="28" w:line="27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1</w:t>
      </w:r>
      <w:r w:rsidR="00495D0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 </w:t>
      </w:r>
      <w:r w:rsidR="00D526DD"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61 ods. 2 sa na konci pripájajú tieto slová: „a ak nie je spoločným prerokovaním na rozhodnutie špeciálneho stavebného úradu (§ 65)“. </w:t>
      </w:r>
    </w:p>
    <w:p w:rsidR="00D526DD" w:rsidRPr="00D526DD" w:rsidRDefault="00D526DD" w:rsidP="00D526DD">
      <w:pPr>
        <w:spacing w:after="47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43353E" w:rsidRDefault="00495D07" w:rsidP="0043353E">
      <w:pPr>
        <w:spacing w:after="111" w:line="34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12</w:t>
      </w:r>
      <w:r w:rsidR="0043353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. </w:t>
      </w:r>
      <w:r w:rsidR="0012050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</w:t>
      </w:r>
      <w:r w:rsidR="00D526DD"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§ 61 sa</w:t>
      </w:r>
      <w:r w:rsidR="009568A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835C2C">
        <w:rPr>
          <w:rFonts w:ascii="Times New Roman" w:eastAsia="Times New Roman" w:hAnsi="Times New Roman" w:cs="Times New Roman"/>
          <w:color w:val="000000"/>
          <w:sz w:val="24"/>
          <w:lang w:eastAsia="sk-SK"/>
        </w:rPr>
        <w:t>dopĺňa</w:t>
      </w:r>
      <w:r w:rsidR="009568A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nový odsek</w:t>
      </w:r>
      <w:r w:rsidR="0012050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7</w:t>
      </w:r>
      <w:r w:rsidR="00D526DD"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, ktorý znie: </w:t>
      </w:r>
    </w:p>
    <w:p w:rsidR="00D526DD" w:rsidRPr="00D526DD" w:rsidRDefault="00D526DD" w:rsidP="0043353E">
      <w:pPr>
        <w:spacing w:after="111" w:line="34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 xml:space="preserve">„(7) Ak ide o stavebné konanie stavebného úradu a špeciálneho stavebného úradu, stavebný úrad postupuje podľa odsekov 1 až 4 v súčinnosti so špeciálnym stavebným úradom.“. </w:t>
      </w:r>
    </w:p>
    <w:p w:rsidR="00D526DD" w:rsidRPr="0046169D" w:rsidRDefault="00495D07" w:rsidP="0043353E">
      <w:pPr>
        <w:spacing w:after="0" w:line="27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13</w:t>
      </w:r>
      <w:r w:rsidR="0043353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D526DD"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62 ods. 1 písm. </w:t>
      </w:r>
      <w:r w:rsidR="00D526DD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a) sa na konci pripájajú</w:t>
      </w:r>
      <w:r w:rsidR="00B812BF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tieto</w:t>
      </w:r>
      <w:r w:rsidR="00D526DD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slová „alebo </w:t>
      </w:r>
      <w:r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zastavovací plán podľa </w:t>
      </w:r>
      <w:r w:rsidR="00D526DD" w:rsidRPr="0046169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územného stanoviska“. </w:t>
      </w:r>
    </w:p>
    <w:p w:rsidR="00784A5A" w:rsidRPr="00D526DD" w:rsidRDefault="00D526DD" w:rsidP="00495D07">
      <w:pPr>
        <w:spacing w:after="45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D526DD" w:rsidRPr="00D526DD" w:rsidRDefault="0043353E" w:rsidP="0043353E">
      <w:pPr>
        <w:spacing w:after="177" w:line="271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14.</w:t>
      </w:r>
      <w:r w:rsidR="00495D07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D526DD"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Doterajší text § 65 sa označuje ako odsek 1 a dopĺňa sa odsekom 2, ktorý znie: </w:t>
      </w:r>
    </w:p>
    <w:p w:rsidR="00D526DD" w:rsidRDefault="00D526DD" w:rsidP="00D526DD">
      <w:pPr>
        <w:spacing w:after="28" w:line="271" w:lineRule="auto"/>
        <w:ind w:left="709" w:right="293" w:hanging="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„(2) Správne orgány podľa výsledku stavebného konania, v ktorom mali postavenie dotknutého orgánu podľa odseku 1, vydajú samostatne rozhodnutie potrebné na uskutočnenie stavby.“. </w:t>
      </w:r>
    </w:p>
    <w:p w:rsidR="009E1064" w:rsidRDefault="009E1064" w:rsidP="00D526DD">
      <w:pPr>
        <w:spacing w:after="28" w:line="271" w:lineRule="auto"/>
        <w:ind w:left="709" w:right="293" w:hanging="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9E1064" w:rsidRPr="009E1064" w:rsidRDefault="009E1064" w:rsidP="0043353E">
      <w:pPr>
        <w:pStyle w:val="Odsekzoznamu"/>
        <w:numPr>
          <w:ilvl w:val="0"/>
          <w:numId w:val="10"/>
        </w:numPr>
        <w:spacing w:after="28" w:line="271" w:lineRule="auto"/>
        <w:ind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9E106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Štvrtá časť  (§ 108 až § 116) sa vypúšťa. </w:t>
      </w:r>
    </w:p>
    <w:p w:rsidR="009E1064" w:rsidRPr="009E1064" w:rsidRDefault="009E1064" w:rsidP="009E1064">
      <w:pPr>
        <w:pStyle w:val="Odsekzoznamu"/>
        <w:spacing w:after="28" w:line="271" w:lineRule="auto"/>
        <w:ind w:left="705"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9E1064" w:rsidRDefault="009E1064" w:rsidP="0043353E">
      <w:pPr>
        <w:pStyle w:val="Odsekzoznamu"/>
        <w:numPr>
          <w:ilvl w:val="0"/>
          <w:numId w:val="10"/>
        </w:numPr>
        <w:spacing w:after="28" w:line="271" w:lineRule="auto"/>
        <w:ind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9E106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§ 117a sa vypúšťa.</w:t>
      </w:r>
    </w:p>
    <w:p w:rsidR="00205311" w:rsidRPr="00205311" w:rsidRDefault="00205311" w:rsidP="00205311">
      <w:pPr>
        <w:pStyle w:val="Odsekzoznamu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205311" w:rsidRPr="0043353E" w:rsidRDefault="00205311" w:rsidP="0043353E">
      <w:pPr>
        <w:pStyle w:val="Odsekzoznamu"/>
        <w:numPr>
          <w:ilvl w:val="0"/>
          <w:numId w:val="10"/>
        </w:numPr>
        <w:spacing w:after="28" w:line="271" w:lineRule="auto"/>
        <w:ind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061D6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118 </w:t>
      </w:r>
      <w:r w:rsidR="008061D6" w:rsidRPr="008061D6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sa </w:t>
      </w:r>
      <w:r w:rsidRPr="009568AA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slová „krajský stavebný úrad “ </w:t>
      </w:r>
      <w:r w:rsidR="00C910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</w:t>
      </w:r>
      <w:r w:rsidR="008061D6" w:rsidRPr="00C910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hrádzajú </w:t>
      </w:r>
      <w:r w:rsidR="00C910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slovami</w:t>
      </w:r>
      <w:r w:rsidR="0043353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B812BF" w:rsidRPr="0043353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„okresný úrad v sídle kraja</w:t>
      </w:r>
      <w:r w:rsidRPr="0043353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.“</w:t>
      </w:r>
    </w:p>
    <w:p w:rsidR="00651473" w:rsidRDefault="00651473" w:rsidP="00205311">
      <w:pPr>
        <w:pStyle w:val="Odsekzoznamu"/>
        <w:spacing w:after="28" w:line="271" w:lineRule="auto"/>
        <w:ind w:left="705"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B812BF" w:rsidRDefault="00B812BF" w:rsidP="0043353E">
      <w:pPr>
        <w:pStyle w:val="Odsekzoznamu"/>
        <w:numPr>
          <w:ilvl w:val="0"/>
          <w:numId w:val="10"/>
        </w:numPr>
        <w:spacing w:after="28" w:line="271" w:lineRule="auto"/>
        <w:ind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 § 118 sa na konci pripája táto veta: „Okresný úrad v sídle kraja preskúmava rozhodnutia obce ako stavebného úradu mimo odvolacieho konania.“.</w:t>
      </w:r>
    </w:p>
    <w:p w:rsidR="00D526DD" w:rsidRPr="00495D07" w:rsidRDefault="00D526DD" w:rsidP="00495D07">
      <w:pPr>
        <w:spacing w:after="28" w:line="271" w:lineRule="auto"/>
        <w:ind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D526DD" w:rsidRDefault="00D526DD" w:rsidP="0043353E">
      <w:pPr>
        <w:pStyle w:val="Odsekzoznamu"/>
        <w:numPr>
          <w:ilvl w:val="0"/>
          <w:numId w:val="10"/>
        </w:numPr>
        <w:spacing w:after="28" w:line="271" w:lineRule="auto"/>
        <w:ind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§ 136 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sa </w:t>
      </w:r>
      <w:r w:rsidR="0043353E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dopĺňa o </w:t>
      </w:r>
      <w:r w:rsidR="00C910E5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nový odsek</w:t>
      </w:r>
      <w:r w:rsidR="008061D6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4, ktorý znie: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D526DD" w:rsidRPr="00D526DD" w:rsidRDefault="00D526DD" w:rsidP="00D526DD">
      <w:pPr>
        <w:pStyle w:val="Odsekzoznamu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D526DD" w:rsidRDefault="00D526DD" w:rsidP="00D526DD">
      <w:pPr>
        <w:pStyle w:val="Odsekzoznamu"/>
        <w:spacing w:after="28" w:line="271" w:lineRule="auto"/>
        <w:ind w:left="705" w:right="29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„(4) Ak dôjde pri prerokúvaní územnoplánovacej dokumentácie k rozporným stanoviskám medzi orgánom územného plánovania, ktorý obstaráva </w:t>
      </w:r>
      <w:r w:rsidR="003A6493">
        <w:rPr>
          <w:rFonts w:ascii="Times New Roman" w:eastAsia="Times New Roman" w:hAnsi="Times New Roman" w:cs="Times New Roman"/>
          <w:color w:val="000000"/>
          <w:sz w:val="24"/>
          <w:lang w:eastAsia="sk-SK"/>
        </w:rPr>
        <w:t>územnoplánovaciu dokumentáciu</w:t>
      </w: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a dotknutým orgánom štátnej správy a rozpor sa nepodarilo odstrániť dohodou, orgán územného plánovania si vyžiada potvrdenie alebo zmenu stanoviska od orgánu, ktorý je nadriadeným orgánom dotknutého orgánu štátnej správy.“</w:t>
      </w:r>
    </w:p>
    <w:p w:rsidR="00D526DD" w:rsidRPr="00D526DD" w:rsidRDefault="00D526DD" w:rsidP="00D526DD">
      <w:pPr>
        <w:spacing w:after="46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D526DD" w:rsidRPr="00D526DD" w:rsidRDefault="00D526DD" w:rsidP="0043353E">
      <w:pPr>
        <w:numPr>
          <w:ilvl w:val="0"/>
          <w:numId w:val="10"/>
        </w:numPr>
        <w:spacing w:after="28" w:line="271" w:lineRule="auto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 § 140a ods. 1 písm. b) sa vypúšťajú slová „nie je stavebným úradom podľa tohto zákona a“. </w:t>
      </w:r>
    </w:p>
    <w:p w:rsidR="00D526DD" w:rsidRPr="00D526DD" w:rsidRDefault="00D526DD" w:rsidP="00D526DD">
      <w:pPr>
        <w:spacing w:after="44"/>
        <w:ind w:left="72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D526DD" w:rsidRDefault="00D526DD" w:rsidP="0043353E">
      <w:pPr>
        <w:numPr>
          <w:ilvl w:val="0"/>
          <w:numId w:val="10"/>
        </w:numPr>
        <w:spacing w:after="28" w:line="271" w:lineRule="auto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 §140a ods. 4</w:t>
      </w:r>
      <w:r w:rsidR="00205311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="0012050E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znie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:</w:t>
      </w:r>
    </w:p>
    <w:p w:rsidR="00D526DD" w:rsidRDefault="00D526DD" w:rsidP="00D526DD">
      <w:pPr>
        <w:pStyle w:val="Odsekzoznamu"/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D526DD" w:rsidRDefault="00D526DD" w:rsidP="00D526DD">
      <w:pPr>
        <w:spacing w:after="28" w:line="271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„</w:t>
      </w: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Obec ako dotknutý orgán uplatňuje v konaniach obsah územnoplánovacej dokumentácie, najmä zásady a regulatívy záväznej časti územnoplánovacej dokumentácie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,</w:t>
      </w: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ak pre konanie nevydala územné stanovisko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  <w:r w:rsidRPr="00D526DD">
        <w:t xml:space="preserve"> </w:t>
      </w:r>
      <w:r w:rsidRPr="00D526DD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Ak podľa osobitného predpisu  je obec orgánom verejnej správy chrániacim záujmy  uvedené v § 126, je dotknutým orgánom podľa odseku 1 písm. a) a vzťahuje sa na ňu § 140b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“</w:t>
      </w:r>
    </w:p>
    <w:p w:rsidR="00D526DD" w:rsidRDefault="00D526DD" w:rsidP="00D526DD">
      <w:pPr>
        <w:pStyle w:val="Odsekzoznamu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835C2C" w:rsidRPr="00835C2C" w:rsidRDefault="00835C2C" w:rsidP="00835C2C">
      <w:pPr>
        <w:rPr>
          <w:rFonts w:ascii="Times New Roman" w:hAnsi="Times New Roman" w:cs="Times New Roman"/>
          <w:noProof/>
          <w:sz w:val="24"/>
          <w:szCs w:val="24"/>
        </w:rPr>
      </w:pP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2</w:t>
      </w:r>
      <w:r w:rsidR="001F69D3">
        <w:rPr>
          <w:rFonts w:ascii="Times New Roman" w:hAnsi="Times New Roman" w:cs="Times New Roman"/>
          <w:noProof/>
          <w:sz w:val="24"/>
          <w:szCs w:val="24"/>
        </w:rPr>
        <w:t>2</w:t>
      </w:r>
      <w:r w:rsidRPr="00835C2C">
        <w:rPr>
          <w:rFonts w:ascii="Times New Roman" w:hAnsi="Times New Roman" w:cs="Times New Roman"/>
          <w:noProof/>
          <w:sz w:val="24"/>
          <w:szCs w:val="24"/>
        </w:rPr>
        <w:t>.</w:t>
      </w:r>
      <w:r w:rsidRPr="00835C2C">
        <w:rPr>
          <w:rFonts w:ascii="Times New Roman" w:hAnsi="Times New Roman" w:cs="Times New Roman"/>
          <w:noProof/>
          <w:sz w:val="24"/>
          <w:szCs w:val="24"/>
        </w:rPr>
        <w:tab/>
        <w:t>Dopĺňa sa nový § 142j, ktorý znie: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„ § 142j  Prechodné ustanovenie k úprave účinnej od </w:t>
      </w:r>
      <w:r w:rsidR="003D6234">
        <w:rPr>
          <w:rFonts w:ascii="Times New Roman" w:hAnsi="Times New Roman" w:cs="Times New Roman"/>
          <w:noProof/>
          <w:sz w:val="24"/>
          <w:szCs w:val="24"/>
        </w:rPr>
        <w:t>1. januára 2023</w:t>
      </w:r>
      <w:r w:rsidRPr="00835C2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Územné konania o umiestnení stavby začaté na stavebnom úrade podľa doterajších predpisov, ktoré neboli právoplatne skončené rozhodnutím vo veci do </w:t>
      </w:r>
      <w:r w:rsidR="003D6234">
        <w:rPr>
          <w:rFonts w:ascii="Times New Roman" w:hAnsi="Times New Roman" w:cs="Times New Roman"/>
          <w:noProof/>
          <w:sz w:val="24"/>
          <w:szCs w:val="24"/>
        </w:rPr>
        <w:t>31. decembra 2022</w:t>
      </w:r>
      <w:r w:rsidRPr="00835C2C">
        <w:rPr>
          <w:rFonts w:ascii="Times New Roman" w:hAnsi="Times New Roman" w:cs="Times New Roman"/>
          <w:noProof/>
          <w:sz w:val="24"/>
          <w:szCs w:val="24"/>
        </w:rPr>
        <w:t>, sa dokončia na stavebnom úrade podľa doterajších predpisov podľa predpisov účinných do</w:t>
      </w:r>
      <w:r w:rsidR="003D6234">
        <w:rPr>
          <w:rFonts w:ascii="Times New Roman" w:hAnsi="Times New Roman" w:cs="Times New Roman"/>
          <w:noProof/>
          <w:sz w:val="24"/>
          <w:szCs w:val="24"/>
        </w:rPr>
        <w:t xml:space="preserve"> 31. decembra 2022.</w:t>
      </w: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“ 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2</w:t>
      </w:r>
      <w:r w:rsidR="001F69D3">
        <w:rPr>
          <w:rFonts w:ascii="Times New Roman" w:hAnsi="Times New Roman" w:cs="Times New Roman"/>
          <w:noProof/>
          <w:sz w:val="24"/>
          <w:szCs w:val="24"/>
        </w:rPr>
        <w:t>3</w:t>
      </w:r>
      <w:r w:rsidRPr="00835C2C">
        <w:rPr>
          <w:rFonts w:ascii="Times New Roman" w:hAnsi="Times New Roman" w:cs="Times New Roman"/>
          <w:noProof/>
          <w:sz w:val="24"/>
          <w:szCs w:val="24"/>
        </w:rPr>
        <w:t>.</w:t>
      </w:r>
      <w:r w:rsidRPr="00835C2C">
        <w:rPr>
          <w:rFonts w:ascii="Times New Roman" w:hAnsi="Times New Roman" w:cs="Times New Roman"/>
          <w:noProof/>
          <w:sz w:val="24"/>
          <w:szCs w:val="24"/>
        </w:rPr>
        <w:tab/>
      </w:r>
    </w:p>
    <w:p w:rsidR="00835C2C" w:rsidRPr="00835C2C" w:rsidRDefault="00835C2C" w:rsidP="00835C2C">
      <w:pPr>
        <w:ind w:left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Čl. II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Zákon č.  282/2015 Z. z. o vyvlastňovaní pozemkov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 stavieb a o nútenom obmedzení </w:t>
      </w:r>
      <w:r w:rsidRPr="00835C2C">
        <w:rPr>
          <w:rFonts w:ascii="Times New Roman" w:hAnsi="Times New Roman" w:cs="Times New Roman"/>
          <w:noProof/>
          <w:sz w:val="24"/>
          <w:szCs w:val="24"/>
        </w:rPr>
        <w:t>vlastníckeho práva k nim  a o zmene a doplnení niektorých zákonov v znení zákona               č. 177/2018 Z. z., zákona č. 90/2020 Z. z. a zákona č. 310/2021 Z. z. sa mení a dopĺňa takto: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1.</w:t>
      </w:r>
      <w:r w:rsidRPr="00835C2C">
        <w:rPr>
          <w:rFonts w:ascii="Times New Roman" w:hAnsi="Times New Roman" w:cs="Times New Roman"/>
          <w:noProof/>
          <w:sz w:val="24"/>
          <w:szCs w:val="24"/>
        </w:rPr>
        <w:tab/>
        <w:t>§ 2 ods. 2 znie: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„Vyvlastnenie musí byť v súlade s cieľmi a zámermi územného plánovania, ten sa preukazuje územným rozhodnutím alebo územným stanoviskom vo vyvlastňovacom konaní, ak osobitný predpis1) neustanovuje inak.“.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Poznámka pod čiarou k odkazu 1 znie: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„1) § 11 ods. 10 zákona č. 371/2021 Z. z. o významných investíciách.“.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2.  V § 9 ods. 3 písm. g) sa na konci pripája čiarka a slová „ územné stanovisko vrátane overeného situačného výkresu stavby (zastavovací plán) so zakreslením predmetu územného stanoviska 9a).“.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Poznámka pod čiarou k odkazu 9a znie: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„9a) § 31a zákona č. 50/1976 Zb. o územnom plánovaní a stavebnom poriadku v znení neskorších predpisov.“.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3. V § 9 ods. 3 sa vypúšťa písm. h).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4. V 17 ods. 3 v druhej vete sa za slová „na daný účel“ vkladajú slová „alebo územné stanovisko“. 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5. Za § 19a sa dopĺňa nový § 19b ktorý znie: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>„§ 19b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Prechodné ustanovenia k úpravám účinným od </w:t>
      </w:r>
      <w:r w:rsidR="003D6234">
        <w:rPr>
          <w:rFonts w:ascii="Times New Roman" w:hAnsi="Times New Roman" w:cs="Times New Roman"/>
          <w:noProof/>
          <w:sz w:val="24"/>
          <w:szCs w:val="24"/>
        </w:rPr>
        <w:t xml:space="preserve">1. januára </w:t>
      </w: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3D6234">
        <w:rPr>
          <w:rFonts w:ascii="Times New Roman" w:hAnsi="Times New Roman" w:cs="Times New Roman"/>
          <w:noProof/>
          <w:sz w:val="24"/>
          <w:szCs w:val="24"/>
        </w:rPr>
        <w:t>3</w:t>
      </w:r>
      <w:r w:rsidRPr="00835C2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  <w:r w:rsidRPr="00835C2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Konania o vyvlastnení začaté pred </w:t>
      </w:r>
      <w:r w:rsidR="003D6234">
        <w:rPr>
          <w:rFonts w:ascii="Times New Roman" w:hAnsi="Times New Roman" w:cs="Times New Roman"/>
          <w:noProof/>
          <w:sz w:val="24"/>
          <w:szCs w:val="24"/>
        </w:rPr>
        <w:t>1. januárom</w:t>
      </w: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3D6234">
        <w:rPr>
          <w:rFonts w:ascii="Times New Roman" w:hAnsi="Times New Roman" w:cs="Times New Roman"/>
          <w:noProof/>
          <w:sz w:val="24"/>
          <w:szCs w:val="24"/>
        </w:rPr>
        <w:t>3</w:t>
      </w: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 sa dokončia podľa predpisu účinného do </w:t>
      </w:r>
      <w:r w:rsidR="003D6234">
        <w:rPr>
          <w:rFonts w:ascii="Times New Roman" w:hAnsi="Times New Roman" w:cs="Times New Roman"/>
          <w:noProof/>
          <w:sz w:val="24"/>
          <w:szCs w:val="24"/>
        </w:rPr>
        <w:t xml:space="preserve">31. decembra </w:t>
      </w:r>
      <w:r w:rsidRPr="00835C2C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3D6234">
        <w:rPr>
          <w:rFonts w:ascii="Times New Roman" w:hAnsi="Times New Roman" w:cs="Times New Roman"/>
          <w:noProof/>
          <w:sz w:val="24"/>
          <w:szCs w:val="24"/>
        </w:rPr>
        <w:t>2</w:t>
      </w:r>
      <w:r w:rsidRPr="00835C2C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35C2C" w:rsidRPr="00835C2C" w:rsidRDefault="00835C2C" w:rsidP="00835C2C">
      <w:pPr>
        <w:ind w:left="709"/>
        <w:rPr>
          <w:rFonts w:ascii="Times New Roman" w:hAnsi="Times New Roman" w:cs="Times New Roman"/>
          <w:noProof/>
          <w:sz w:val="24"/>
          <w:szCs w:val="24"/>
        </w:rPr>
      </w:pPr>
    </w:p>
    <w:p w:rsidR="003A6493" w:rsidRDefault="003A6493" w:rsidP="003A6493">
      <w:pPr>
        <w:pStyle w:val="Odsekzoznamu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A6493" w:rsidRDefault="003A6493" w:rsidP="003A6493">
      <w:pPr>
        <w:pStyle w:val="Odsekzoznamu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Čl. III</w:t>
      </w:r>
    </w:p>
    <w:p w:rsidR="003A6493" w:rsidRDefault="003A6493" w:rsidP="003A6493">
      <w:pPr>
        <w:pStyle w:val="Odsekzoznamu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3A6493" w:rsidRDefault="003A6493" w:rsidP="003A6493">
      <w:pPr>
        <w:pStyle w:val="Odsekzoznamu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Tento zákon nadobúda účinnosť </w:t>
      </w:r>
      <w:r w:rsidR="003D623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1. januára 2023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.</w:t>
      </w:r>
    </w:p>
    <w:p w:rsidR="00FB2B71" w:rsidRDefault="00FB2B71"/>
    <w:sectPr w:rsidR="00FB2B71" w:rsidSect="00246C6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B3C"/>
    <w:multiLevelType w:val="hybridMultilevel"/>
    <w:tmpl w:val="8062A75C"/>
    <w:lvl w:ilvl="0" w:tplc="48148894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8F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63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EB3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07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66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423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606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2D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920C1"/>
    <w:multiLevelType w:val="hybridMultilevel"/>
    <w:tmpl w:val="441AF060"/>
    <w:lvl w:ilvl="0" w:tplc="D9369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73E20"/>
    <w:multiLevelType w:val="hybridMultilevel"/>
    <w:tmpl w:val="4968B30E"/>
    <w:lvl w:ilvl="0" w:tplc="041B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3BDC1FA5"/>
    <w:multiLevelType w:val="hybridMultilevel"/>
    <w:tmpl w:val="7BBC5466"/>
    <w:lvl w:ilvl="0" w:tplc="48148894">
      <w:start w:val="9"/>
      <w:numFmt w:val="decimal"/>
      <w:lvlText w:val="%1.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FB747CF"/>
    <w:multiLevelType w:val="hybridMultilevel"/>
    <w:tmpl w:val="95DEDB1E"/>
    <w:lvl w:ilvl="0" w:tplc="5C12759E">
      <w:start w:val="1"/>
      <w:numFmt w:val="decimal"/>
      <w:lvlText w:val="(%1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71731CE"/>
    <w:multiLevelType w:val="hybridMultilevel"/>
    <w:tmpl w:val="04CEBBA8"/>
    <w:lvl w:ilvl="0" w:tplc="D682F388">
      <w:start w:val="1"/>
      <w:numFmt w:val="decimal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CA6F9E"/>
    <w:multiLevelType w:val="hybridMultilevel"/>
    <w:tmpl w:val="044E8774"/>
    <w:lvl w:ilvl="0" w:tplc="3C8E87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71325F9F"/>
    <w:multiLevelType w:val="hybridMultilevel"/>
    <w:tmpl w:val="6CAC608C"/>
    <w:lvl w:ilvl="0" w:tplc="34809330">
      <w:start w:val="1"/>
      <w:numFmt w:val="decimal"/>
      <w:lvlText w:val="(%1)"/>
      <w:lvlJc w:val="left"/>
      <w:pPr>
        <w:ind w:left="1095" w:hanging="405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76C52DB4"/>
    <w:multiLevelType w:val="hybridMultilevel"/>
    <w:tmpl w:val="1988FD88"/>
    <w:lvl w:ilvl="0" w:tplc="F6281C3E">
      <w:start w:val="16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4D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4C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68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026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72F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AA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47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29F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0456B3"/>
    <w:multiLevelType w:val="hybridMultilevel"/>
    <w:tmpl w:val="5BF2DA88"/>
    <w:lvl w:ilvl="0" w:tplc="0D0CDCB4">
      <w:start w:val="1"/>
      <w:numFmt w:val="decimal"/>
      <w:lvlText w:val="(%1)"/>
      <w:lvlJc w:val="left"/>
      <w:pPr>
        <w:ind w:left="690" w:hanging="69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200C11"/>
    <w:multiLevelType w:val="hybridMultilevel"/>
    <w:tmpl w:val="2F3EC994"/>
    <w:lvl w:ilvl="0" w:tplc="4DA62E14">
      <w:start w:val="1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F065095"/>
    <w:multiLevelType w:val="hybridMultilevel"/>
    <w:tmpl w:val="54C0D3B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35"/>
    <w:rsid w:val="00020580"/>
    <w:rsid w:val="000C0B67"/>
    <w:rsid w:val="00103DE5"/>
    <w:rsid w:val="0011315B"/>
    <w:rsid w:val="0012050E"/>
    <w:rsid w:val="001720CA"/>
    <w:rsid w:val="001779D2"/>
    <w:rsid w:val="001915DC"/>
    <w:rsid w:val="00194C93"/>
    <w:rsid w:val="001F69D3"/>
    <w:rsid w:val="00205311"/>
    <w:rsid w:val="00220314"/>
    <w:rsid w:val="00246C6F"/>
    <w:rsid w:val="00260896"/>
    <w:rsid w:val="00263B32"/>
    <w:rsid w:val="00272C2C"/>
    <w:rsid w:val="002817B8"/>
    <w:rsid w:val="002D7E92"/>
    <w:rsid w:val="00323527"/>
    <w:rsid w:val="00347F9E"/>
    <w:rsid w:val="00371764"/>
    <w:rsid w:val="003A6493"/>
    <w:rsid w:val="003D6234"/>
    <w:rsid w:val="004035E6"/>
    <w:rsid w:val="00416A3B"/>
    <w:rsid w:val="00417B1A"/>
    <w:rsid w:val="0043353E"/>
    <w:rsid w:val="00433FD3"/>
    <w:rsid w:val="0046169D"/>
    <w:rsid w:val="00495D07"/>
    <w:rsid w:val="00496B9B"/>
    <w:rsid w:val="004A6BC1"/>
    <w:rsid w:val="004C08A8"/>
    <w:rsid w:val="00526DF5"/>
    <w:rsid w:val="005903DB"/>
    <w:rsid w:val="005B0ADB"/>
    <w:rsid w:val="005B2DAC"/>
    <w:rsid w:val="005F05E3"/>
    <w:rsid w:val="005F5A03"/>
    <w:rsid w:val="006253F4"/>
    <w:rsid w:val="00651473"/>
    <w:rsid w:val="00657705"/>
    <w:rsid w:val="00661415"/>
    <w:rsid w:val="006A5481"/>
    <w:rsid w:val="007033D4"/>
    <w:rsid w:val="007353BF"/>
    <w:rsid w:val="007378EF"/>
    <w:rsid w:val="007545CC"/>
    <w:rsid w:val="0078119D"/>
    <w:rsid w:val="00784A5A"/>
    <w:rsid w:val="007A489B"/>
    <w:rsid w:val="008061D6"/>
    <w:rsid w:val="00832A80"/>
    <w:rsid w:val="00835C2C"/>
    <w:rsid w:val="00843C1A"/>
    <w:rsid w:val="008523BB"/>
    <w:rsid w:val="00892AD1"/>
    <w:rsid w:val="008A6AB5"/>
    <w:rsid w:val="008B19A8"/>
    <w:rsid w:val="008C0E86"/>
    <w:rsid w:val="00914F20"/>
    <w:rsid w:val="00920947"/>
    <w:rsid w:val="00922389"/>
    <w:rsid w:val="009358E8"/>
    <w:rsid w:val="00952174"/>
    <w:rsid w:val="009568AA"/>
    <w:rsid w:val="009B4CDA"/>
    <w:rsid w:val="009C1832"/>
    <w:rsid w:val="009E1064"/>
    <w:rsid w:val="00A01FF8"/>
    <w:rsid w:val="00A31A60"/>
    <w:rsid w:val="00A36A3C"/>
    <w:rsid w:val="00A73575"/>
    <w:rsid w:val="00A73BC5"/>
    <w:rsid w:val="00B21077"/>
    <w:rsid w:val="00B47AB1"/>
    <w:rsid w:val="00B51C66"/>
    <w:rsid w:val="00B63E89"/>
    <w:rsid w:val="00B70771"/>
    <w:rsid w:val="00B812BF"/>
    <w:rsid w:val="00B85DDD"/>
    <w:rsid w:val="00BA018B"/>
    <w:rsid w:val="00BE474C"/>
    <w:rsid w:val="00C05F3B"/>
    <w:rsid w:val="00C12223"/>
    <w:rsid w:val="00C20719"/>
    <w:rsid w:val="00C26B98"/>
    <w:rsid w:val="00C441C1"/>
    <w:rsid w:val="00C51486"/>
    <w:rsid w:val="00C735A2"/>
    <w:rsid w:val="00C74BBC"/>
    <w:rsid w:val="00C82881"/>
    <w:rsid w:val="00C82CF7"/>
    <w:rsid w:val="00C910E5"/>
    <w:rsid w:val="00C92B0D"/>
    <w:rsid w:val="00C973D4"/>
    <w:rsid w:val="00CD2288"/>
    <w:rsid w:val="00CF263C"/>
    <w:rsid w:val="00D01135"/>
    <w:rsid w:val="00D526DD"/>
    <w:rsid w:val="00D63F01"/>
    <w:rsid w:val="00D80349"/>
    <w:rsid w:val="00DB05EC"/>
    <w:rsid w:val="00DC32D1"/>
    <w:rsid w:val="00E007E4"/>
    <w:rsid w:val="00E27C5C"/>
    <w:rsid w:val="00E75AE2"/>
    <w:rsid w:val="00E7690D"/>
    <w:rsid w:val="00E82D29"/>
    <w:rsid w:val="00ED34A1"/>
    <w:rsid w:val="00F14664"/>
    <w:rsid w:val="00F466E3"/>
    <w:rsid w:val="00F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236F"/>
  <w15:chartTrackingRefBased/>
  <w15:docId w15:val="{B3EA2EC9-CC04-4AEA-B8FE-C3843C4B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526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26DD"/>
    <w:pPr>
      <w:spacing w:after="28" w:line="240" w:lineRule="auto"/>
      <w:ind w:left="36" w:hanging="10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26DD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6D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26DD"/>
    <w:pPr>
      <w:spacing w:after="160"/>
      <w:ind w:left="0" w:firstLine="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26DD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5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DBBE-7834-462C-8E31-5EDC98C8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Kovácsová, Zuzana</dc:creator>
  <cp:keywords/>
  <dc:description/>
  <cp:lastModifiedBy>Rajprichová, Viera</cp:lastModifiedBy>
  <cp:revision>2</cp:revision>
  <cp:lastPrinted>2022-09-14T08:45:00Z</cp:lastPrinted>
  <dcterms:created xsi:type="dcterms:W3CDTF">2022-09-29T07:39:00Z</dcterms:created>
  <dcterms:modified xsi:type="dcterms:W3CDTF">2022-09-29T07:39:00Z</dcterms:modified>
</cp:coreProperties>
</file>