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8EC" w:rsidRPr="00841AE2" w:rsidRDefault="002B79AC" w:rsidP="00BA58EC">
      <w:pPr>
        <w:jc w:val="center"/>
        <w:rPr>
          <w:rFonts w:ascii="Times New Roman" w:hAnsi="Times New Roman" w:cs="Times New Roman"/>
          <w:b/>
          <w:sz w:val="24"/>
          <w:szCs w:val="24"/>
        </w:rPr>
      </w:pPr>
      <w:r w:rsidRPr="00841AE2">
        <w:rPr>
          <w:rFonts w:ascii="Times New Roman" w:hAnsi="Times New Roman" w:cs="Times New Roman"/>
          <w:b/>
          <w:sz w:val="24"/>
          <w:szCs w:val="24"/>
        </w:rPr>
        <w:t>Dôvodová správa</w:t>
      </w:r>
    </w:p>
    <w:p w:rsidR="002B79AC" w:rsidRPr="00841AE2" w:rsidRDefault="002B79AC" w:rsidP="00ED1233">
      <w:pPr>
        <w:pStyle w:val="Odsekzoznamu"/>
        <w:numPr>
          <w:ilvl w:val="0"/>
          <w:numId w:val="1"/>
        </w:numPr>
        <w:ind w:left="392"/>
        <w:rPr>
          <w:rFonts w:ascii="Times New Roman" w:hAnsi="Times New Roman" w:cs="Times New Roman"/>
          <w:b/>
          <w:sz w:val="24"/>
        </w:rPr>
      </w:pPr>
      <w:r w:rsidRPr="00841AE2">
        <w:rPr>
          <w:rFonts w:ascii="Times New Roman" w:hAnsi="Times New Roman" w:cs="Times New Roman"/>
          <w:b/>
          <w:sz w:val="24"/>
        </w:rPr>
        <w:t>Všeobecná časť</w:t>
      </w:r>
    </w:p>
    <w:p w:rsidR="008534C6" w:rsidRDefault="008534C6" w:rsidP="008534C6">
      <w:pPr>
        <w:spacing w:line="240" w:lineRule="auto"/>
        <w:ind w:firstLine="708"/>
        <w:jc w:val="both"/>
        <w:rPr>
          <w:rFonts w:ascii="Times New Roman" w:hAnsi="Times New Roman" w:cs="Times New Roman"/>
          <w:sz w:val="24"/>
        </w:rPr>
      </w:pPr>
      <w:r>
        <w:rPr>
          <w:rFonts w:ascii="Times New Roman" w:hAnsi="Times New Roman" w:cs="Times New Roman"/>
          <w:sz w:val="24"/>
        </w:rPr>
        <w:t xml:space="preserve">Návrh zákona, ktorým sa mení a dopĺňa zákon č. 583/2008 Z. z. o prevencii kriminality a inej protispoločenskej činnosti a o zmene a doplnení niektorých zákonov v znení neskorších predpisov sa predkladá </w:t>
      </w:r>
      <w:r w:rsidRPr="00302B6D">
        <w:rPr>
          <w:rFonts w:ascii="Times New Roman" w:hAnsi="Times New Roman" w:cs="Times New Roman"/>
          <w:sz w:val="24"/>
        </w:rPr>
        <w:t>na základe Plánu legislatívnych úloh vlády Slovenskej republiky na</w:t>
      </w:r>
      <w:r w:rsidR="00753E30">
        <w:rPr>
          <w:rFonts w:ascii="Times New Roman" w:hAnsi="Times New Roman" w:cs="Times New Roman"/>
          <w:sz w:val="24"/>
        </w:rPr>
        <w:t> </w:t>
      </w:r>
      <w:r w:rsidRPr="00302B6D">
        <w:rPr>
          <w:rFonts w:ascii="Times New Roman" w:hAnsi="Times New Roman" w:cs="Times New Roman"/>
          <w:sz w:val="24"/>
        </w:rPr>
        <w:t xml:space="preserve">mesiace jún až december 2021. Predloženým návrhom zákona sa zároveň napĺňajú záväzky deklarované v Programovom vyhlásení vlády </w:t>
      </w:r>
      <w:r>
        <w:rPr>
          <w:rFonts w:ascii="Times New Roman" w:hAnsi="Times New Roman" w:cs="Times New Roman"/>
          <w:sz w:val="24"/>
        </w:rPr>
        <w:t>na obdobie rokov 2020-2024, ktorými sú potreba pokračovania v budovaní systémových riešení na ochranu a podporu obetí domáceho násilia, sexuálneho násilia a násilia páchaného na ženách, ako aj potreba venovania osobitnej pozornosti obzvlášť zraniteľným obetiam trestných činov s cieľom minimalizovať opakovanú a druhotnú viktimizáciu obetí.</w:t>
      </w:r>
    </w:p>
    <w:p w:rsidR="0075602A" w:rsidRPr="006F0AEF" w:rsidRDefault="0075602A" w:rsidP="0075602A">
      <w:pPr>
        <w:spacing w:line="240" w:lineRule="auto"/>
        <w:ind w:firstLine="708"/>
        <w:jc w:val="both"/>
        <w:rPr>
          <w:rFonts w:ascii="Times New Roman" w:hAnsi="Times New Roman" w:cs="Times New Roman"/>
          <w:sz w:val="24"/>
        </w:rPr>
      </w:pPr>
      <w:r w:rsidRPr="006F0AEF">
        <w:rPr>
          <w:rFonts w:ascii="Times New Roman" w:hAnsi="Times New Roman" w:cs="Times New Roman"/>
          <w:sz w:val="24"/>
        </w:rPr>
        <w:t xml:space="preserve">Predkladaným návrhom zákona sa nadväzuje na národný projekt s názvom „Zlepšenie prístupu obetí trestných činov k službám a vytvorenie kontaktných bodov pre obete“ (ďalej len „národný projekt“) realizovaný Ministerstvom vnútra Slovenskej republiky (ďalej len „ministerstvo“). Vzhľadom na skutočnosť, že obete trestných činov vo významnej miere </w:t>
      </w:r>
      <w:r w:rsidRPr="000E556F">
        <w:rPr>
          <w:rFonts w:ascii="Times New Roman" w:hAnsi="Times New Roman" w:cs="Times New Roman"/>
          <w:sz w:val="24"/>
        </w:rPr>
        <w:t>využívajú okrem iných dostupných služieb aj služby informačných kancelárií pre obete, ktoré sú zriadené na základe národného projektu, je potrebné, aby informačné kancelárie pre</w:t>
      </w:r>
      <w:r w:rsidR="00753E30">
        <w:rPr>
          <w:rFonts w:ascii="Times New Roman" w:hAnsi="Times New Roman" w:cs="Times New Roman"/>
          <w:sz w:val="24"/>
        </w:rPr>
        <w:t> </w:t>
      </w:r>
      <w:r w:rsidRPr="000E556F">
        <w:rPr>
          <w:rFonts w:ascii="Times New Roman" w:hAnsi="Times New Roman" w:cs="Times New Roman"/>
          <w:sz w:val="24"/>
        </w:rPr>
        <w:t>obete vykonávali svoju činnosť aj po uplynutí doby realizácie národného projektu. V súčasnosti je národný projekt v procese predĺženia s predpoklada</w:t>
      </w:r>
      <w:r w:rsidR="00753E30">
        <w:rPr>
          <w:rFonts w:ascii="Times New Roman" w:hAnsi="Times New Roman" w:cs="Times New Roman"/>
          <w:sz w:val="24"/>
        </w:rPr>
        <w:t>ným financovaním aktivít do 31. </w:t>
      </w:r>
      <w:r w:rsidRPr="000E556F">
        <w:rPr>
          <w:rFonts w:ascii="Times New Roman" w:hAnsi="Times New Roman" w:cs="Times New Roman"/>
          <w:sz w:val="24"/>
        </w:rPr>
        <w:t>decembra 2023.</w:t>
      </w:r>
    </w:p>
    <w:p w:rsidR="008534C6" w:rsidRDefault="008534C6" w:rsidP="008534C6">
      <w:pPr>
        <w:spacing w:line="240" w:lineRule="auto"/>
        <w:jc w:val="both"/>
        <w:rPr>
          <w:rFonts w:ascii="Times New Roman" w:hAnsi="Times New Roman" w:cs="Times New Roman"/>
          <w:sz w:val="24"/>
        </w:rPr>
      </w:pPr>
      <w:r>
        <w:rPr>
          <w:rFonts w:ascii="Times New Roman" w:hAnsi="Times New Roman" w:cs="Times New Roman"/>
          <w:b/>
          <w:sz w:val="28"/>
        </w:rPr>
        <w:tab/>
      </w:r>
      <w:r>
        <w:rPr>
          <w:rFonts w:ascii="Times New Roman" w:hAnsi="Times New Roman" w:cs="Times New Roman"/>
          <w:sz w:val="24"/>
        </w:rPr>
        <w:t>Cieľom predkladaného návrhu zákona je rozšíriť pôsobnosť ministerstva v oblasti zlepšenia ochrany, podpory a pomoci nielen obetiam kriminality</w:t>
      </w:r>
      <w:r>
        <w:rPr>
          <w:rFonts w:ascii="Times New Roman" w:hAnsi="Times New Roman" w:cs="Times New Roman"/>
          <w:color w:val="00B050"/>
          <w:sz w:val="24"/>
        </w:rPr>
        <w:t>,</w:t>
      </w:r>
      <w:r>
        <w:rPr>
          <w:rFonts w:ascii="Times New Roman" w:hAnsi="Times New Roman" w:cs="Times New Roman"/>
          <w:sz w:val="24"/>
        </w:rPr>
        <w:t xml:space="preserve"> ale aj obetiam inej protispoločenskej činnosti. Na tento účel sa navrhuje, aby ministerstvo zriaďovalo informačné kancelárie pre obete ako súčasti svojej organizačnej štruktúry. V záujme zabezpečenia efektívnosti využívania informačných kancelárií pre obete je kľúčová ich občianska dostupnosť, preto sa navrhuje, aby informačné kancelárie pre obete boli zriadené spravidla so</w:t>
      </w:r>
      <w:r w:rsidR="00753E30">
        <w:rPr>
          <w:rFonts w:ascii="Times New Roman" w:hAnsi="Times New Roman" w:cs="Times New Roman"/>
          <w:sz w:val="24"/>
        </w:rPr>
        <w:t> </w:t>
      </w:r>
      <w:r>
        <w:rPr>
          <w:rFonts w:ascii="Times New Roman" w:hAnsi="Times New Roman" w:cs="Times New Roman"/>
          <w:sz w:val="24"/>
        </w:rPr>
        <w:t>sídlom v okresnom úrade v sídle kraja.</w:t>
      </w:r>
    </w:p>
    <w:p w:rsidR="008534C6" w:rsidRPr="00333CE2" w:rsidRDefault="008534C6" w:rsidP="008534C6">
      <w:pPr>
        <w:spacing w:line="240" w:lineRule="auto"/>
        <w:jc w:val="both"/>
        <w:rPr>
          <w:rFonts w:ascii="Times New Roman" w:hAnsi="Times New Roman" w:cs="Times New Roman"/>
          <w:sz w:val="24"/>
          <w:szCs w:val="24"/>
        </w:rPr>
      </w:pPr>
      <w:r>
        <w:rPr>
          <w:rFonts w:ascii="Times New Roman" w:hAnsi="Times New Roman" w:cs="Times New Roman"/>
          <w:sz w:val="24"/>
        </w:rPr>
        <w:tab/>
      </w:r>
      <w:r>
        <w:rPr>
          <w:rFonts w:ascii="Times New Roman" w:hAnsi="Times New Roman" w:cs="Times New Roman"/>
          <w:sz w:val="24"/>
          <w:szCs w:val="24"/>
        </w:rPr>
        <w:t xml:space="preserve">Okrem vyššie uvedeného sa navrhujú aj úpravy vyplývajúce z aplikačnej praxe; vypúšťa sa termín pre schvaľovanie a poskytovanie dotácií v oblasti prevencie kriminality, ktorý nie je možné dodržať vzhľadom na enormný nárast žiadostí o poskytnutie dotácií v oblasti prevencie kriminality, </w:t>
      </w:r>
      <w:r w:rsidRPr="00333CE2">
        <w:rPr>
          <w:rFonts w:ascii="Times New Roman" w:hAnsi="Times New Roman" w:cs="Times New Roman"/>
          <w:sz w:val="24"/>
          <w:szCs w:val="24"/>
        </w:rPr>
        <w:t xml:space="preserve">ako aj časovú náročnosť procesu schvaľovania a poskytovania týchto dotácií a taktiež sa vypúšťa ustanovenie zákona, ktoré obligatórne určuje právnu formu Informačného centra na boj proti obchodovaniu </w:t>
      </w:r>
      <w:r w:rsidR="00D45CBF">
        <w:rPr>
          <w:rFonts w:ascii="Times New Roman" w:hAnsi="Times New Roman" w:cs="Times New Roman"/>
          <w:sz w:val="24"/>
          <w:szCs w:val="24"/>
        </w:rPr>
        <w:t>s ľuďmi a prevenciu kriminality</w:t>
      </w:r>
      <w:r w:rsidRPr="00333CE2">
        <w:rPr>
          <w:rFonts w:ascii="Times New Roman" w:hAnsi="Times New Roman" w:cs="Times New Roman"/>
          <w:sz w:val="24"/>
          <w:szCs w:val="24"/>
        </w:rPr>
        <w:t xml:space="preserve"> ako zariadenie ministerstva.</w:t>
      </w:r>
    </w:p>
    <w:p w:rsidR="008534C6" w:rsidRPr="00333CE2" w:rsidRDefault="008534C6" w:rsidP="008534C6">
      <w:pPr>
        <w:spacing w:line="240" w:lineRule="auto"/>
        <w:ind w:firstLine="720"/>
        <w:jc w:val="both"/>
        <w:rPr>
          <w:rFonts w:ascii="Times New Roman" w:hAnsi="Times New Roman" w:cs="Times New Roman"/>
          <w:sz w:val="24"/>
          <w:szCs w:val="24"/>
        </w:rPr>
      </w:pPr>
      <w:r w:rsidRPr="00333CE2">
        <w:rPr>
          <w:rFonts w:ascii="Times New Roman" w:hAnsi="Times New Roman" w:cs="Times New Roman"/>
          <w:sz w:val="24"/>
          <w:szCs w:val="24"/>
        </w:rPr>
        <w:t>Návrh zákona má negatívny vplyv na rozpočet verejnej správy a pozitívny sociálny vplyv, čo je podrobne vyjadrené v doložke vybraných vplyvov. Návrh zákona nemá vplyv na</w:t>
      </w:r>
      <w:r w:rsidR="00753E30">
        <w:rPr>
          <w:rFonts w:ascii="Times New Roman" w:hAnsi="Times New Roman" w:cs="Times New Roman"/>
          <w:sz w:val="24"/>
          <w:szCs w:val="24"/>
        </w:rPr>
        <w:t> </w:t>
      </w:r>
      <w:r w:rsidRPr="00333CE2">
        <w:rPr>
          <w:rFonts w:ascii="Times New Roman" w:hAnsi="Times New Roman" w:cs="Times New Roman"/>
          <w:sz w:val="24"/>
          <w:szCs w:val="24"/>
        </w:rPr>
        <w:t xml:space="preserve">podnikateľské prostredie, vplyvy na informatizáciu, na životné prostredie, na služby verejnej správy pre občana ani na manželstvo, rodičovstvo a rodinu. </w:t>
      </w:r>
    </w:p>
    <w:p w:rsidR="008534C6" w:rsidRDefault="008534C6" w:rsidP="008534C6">
      <w:pPr>
        <w:pStyle w:val="Normlnywebov"/>
        <w:spacing w:before="0" w:beforeAutospacing="0" w:after="200" w:afterAutospacing="0"/>
        <w:ind w:firstLine="720"/>
        <w:jc w:val="both"/>
      </w:pPr>
      <w:r w:rsidRPr="00333CE2">
        <w:t xml:space="preserve">Predložený návrh zákona je v súlade s Ústavou Slovenskej republiky, ústavnými zákonmi a nálezmi Ústavného súdu Slovenskej </w:t>
      </w:r>
      <w:r>
        <w:t>republiky, zákonmi, medzinárodnými zmluvami a inými medzinárodnými dokumentmi, ktorými je Slovenská republika viazaná, ako aj v súlade s právom Európskej únie.</w:t>
      </w:r>
    </w:p>
    <w:p w:rsidR="008534C6" w:rsidRDefault="008534C6" w:rsidP="008534C6">
      <w:pPr>
        <w:pStyle w:val="Normlnywebov"/>
        <w:spacing w:before="0" w:beforeAutospacing="0" w:after="200" w:afterAutospacing="0"/>
        <w:ind w:firstLine="720"/>
        <w:jc w:val="both"/>
      </w:pPr>
      <w:r>
        <w:t>Návrh zákona nie je predmetom vnútrokomunitárneho pripomienkového konania.</w:t>
      </w:r>
    </w:p>
    <w:p w:rsidR="008534C6" w:rsidRDefault="008534C6" w:rsidP="00787BEB">
      <w:pPr>
        <w:pStyle w:val="Normlnywebov"/>
        <w:spacing w:before="0" w:beforeAutospacing="0" w:after="200" w:afterAutospacing="0"/>
        <w:ind w:firstLine="720"/>
        <w:jc w:val="both"/>
      </w:pPr>
      <w:r>
        <w:lastRenderedPageBreak/>
        <w:t xml:space="preserve">V navrhovanej účinnosti </w:t>
      </w:r>
      <w:r w:rsidRPr="000E556F">
        <w:t xml:space="preserve">zákona </w:t>
      </w:r>
      <w:r w:rsidR="0075602A" w:rsidRPr="000E556F">
        <w:t>1. februára 2023</w:t>
      </w:r>
      <w:r w:rsidRPr="000E556F">
        <w:t xml:space="preserve"> sa zohľadňuje</w:t>
      </w:r>
      <w:r>
        <w:t> predpokladaný priebeh legislatívneho procesu a dostatočná dĺžka legisvakancie na prípravu jeho vykonávania.</w:t>
      </w:r>
    </w:p>
    <w:p w:rsidR="0075602A" w:rsidRDefault="0075602A" w:rsidP="00787BEB">
      <w:pPr>
        <w:pStyle w:val="Normlnywebov"/>
        <w:spacing w:before="0" w:beforeAutospacing="0" w:after="200" w:afterAutospacing="0"/>
        <w:ind w:firstLine="720"/>
        <w:jc w:val="both"/>
      </w:pPr>
    </w:p>
    <w:p w:rsidR="0075602A" w:rsidRDefault="0075602A" w:rsidP="00787BEB">
      <w:pPr>
        <w:pStyle w:val="Normlnywebov"/>
        <w:spacing w:before="0" w:beforeAutospacing="0" w:after="200" w:afterAutospacing="0"/>
        <w:ind w:firstLine="720"/>
        <w:jc w:val="both"/>
      </w:pPr>
    </w:p>
    <w:p w:rsidR="0075602A" w:rsidRDefault="0075602A"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Pr="000515D2" w:rsidRDefault="000515D2" w:rsidP="000515D2">
      <w:pPr>
        <w:spacing w:after="0" w:line="240" w:lineRule="auto"/>
        <w:jc w:val="center"/>
        <w:rPr>
          <w:rFonts w:ascii="Times New Roman" w:eastAsia="Times New Roman" w:hAnsi="Times New Roman" w:cs="Times New Roman"/>
          <w:b/>
          <w:sz w:val="28"/>
          <w:szCs w:val="28"/>
          <w:lang w:eastAsia="sk-SK"/>
        </w:rPr>
      </w:pPr>
      <w:r w:rsidRPr="000515D2">
        <w:rPr>
          <w:rFonts w:ascii="Times New Roman" w:eastAsia="Times New Roman" w:hAnsi="Times New Roman" w:cs="Times New Roman"/>
          <w:b/>
          <w:sz w:val="28"/>
          <w:szCs w:val="28"/>
          <w:lang w:eastAsia="sk-SK"/>
        </w:rPr>
        <w:lastRenderedPageBreak/>
        <w:t>Doložka vybraných vplyvov</w:t>
      </w:r>
    </w:p>
    <w:p w:rsidR="000515D2" w:rsidRPr="000515D2" w:rsidRDefault="000515D2" w:rsidP="000515D2">
      <w:pPr>
        <w:contextualSpacing/>
        <w:rPr>
          <w:rFonts w:ascii="Calibri" w:eastAsia="Calibri" w:hAnsi="Calibri" w:cs="Times New Roman"/>
          <w:b/>
        </w:rPr>
      </w:pPr>
    </w:p>
    <w:tbl>
      <w:tblPr>
        <w:tblStyle w:val="Mriekatabuky1"/>
        <w:tblW w:w="9180"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297"/>
      </w:tblGrid>
      <w:tr w:rsidR="000515D2" w:rsidRPr="000515D2" w:rsidTr="00F1463E">
        <w:tc>
          <w:tcPr>
            <w:tcW w:w="9180" w:type="dxa"/>
            <w:gridSpan w:val="11"/>
            <w:tcBorders>
              <w:bottom w:val="single" w:sz="4" w:space="0" w:color="FFFFFF"/>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Základné údaje</w:t>
            </w:r>
          </w:p>
        </w:tc>
      </w:tr>
      <w:tr w:rsidR="000515D2" w:rsidRPr="000515D2" w:rsidTr="00F1463E">
        <w:tc>
          <w:tcPr>
            <w:tcW w:w="9180" w:type="dxa"/>
            <w:gridSpan w:val="11"/>
            <w:tcBorders>
              <w:bottom w:val="single" w:sz="4" w:space="0" w:color="FFFFFF"/>
            </w:tcBorders>
            <w:shd w:val="clear" w:color="auto" w:fill="E2E2E2"/>
          </w:tcPr>
          <w:p w:rsidR="000515D2" w:rsidRPr="000515D2" w:rsidRDefault="000515D2" w:rsidP="000515D2">
            <w:pPr>
              <w:contextualSpacing/>
              <w:rPr>
                <w:rFonts w:ascii="Times New Roman" w:eastAsia="Calibri" w:hAnsi="Times New Roman" w:cs="Times New Roman"/>
                <w:b/>
              </w:rPr>
            </w:pPr>
            <w:r w:rsidRPr="000515D2">
              <w:rPr>
                <w:rFonts w:ascii="Times New Roman" w:eastAsia="Calibri" w:hAnsi="Times New Roman" w:cs="Times New Roman"/>
                <w:b/>
              </w:rPr>
              <w:t>Názov materiálu</w:t>
            </w:r>
          </w:p>
        </w:tc>
      </w:tr>
      <w:tr w:rsidR="000515D2" w:rsidRPr="000515D2" w:rsidTr="00F1463E">
        <w:tc>
          <w:tcPr>
            <w:tcW w:w="9180" w:type="dxa"/>
            <w:gridSpan w:val="11"/>
            <w:tcBorders>
              <w:top w:val="single" w:sz="4" w:space="0" w:color="FFFFFF"/>
              <w:bottom w:val="single" w:sz="4" w:space="0" w:color="auto"/>
            </w:tcBorders>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Návrh zákona, ktorým sa mení a dopĺňa zákon č. 583/2008 Z. z. o prevencii kriminality a inej protispoločenskej činnosti a o zmene a doplnení niektorých zákonov v znení neskorších predpisov</w:t>
            </w:r>
          </w:p>
          <w:p w:rsidR="000515D2" w:rsidRPr="000515D2" w:rsidRDefault="000515D2" w:rsidP="000515D2">
            <w:pPr>
              <w:spacing w:after="0" w:line="240" w:lineRule="auto"/>
              <w:rPr>
                <w:rFonts w:ascii="Times New Roman" w:eastAsia="Times New Roman" w:hAnsi="Times New Roman" w:cs="Times New Roman"/>
                <w:sz w:val="20"/>
                <w:szCs w:val="20"/>
              </w:rPr>
            </w:pPr>
          </w:p>
        </w:tc>
      </w:tr>
      <w:tr w:rsidR="000515D2" w:rsidRPr="000515D2" w:rsidTr="00F1463E">
        <w:tc>
          <w:tcPr>
            <w:tcW w:w="9180" w:type="dxa"/>
            <w:gridSpan w:val="11"/>
            <w:tcBorders>
              <w:top w:val="single" w:sz="4" w:space="0" w:color="auto"/>
              <w:left w:val="single" w:sz="4" w:space="0" w:color="auto"/>
              <w:bottom w:val="single" w:sz="4" w:space="0" w:color="FFFFFF"/>
            </w:tcBorders>
            <w:shd w:val="clear" w:color="auto" w:fill="E2E2E2"/>
          </w:tcPr>
          <w:p w:rsidR="000515D2" w:rsidRPr="000515D2" w:rsidRDefault="000515D2" w:rsidP="000515D2">
            <w:pPr>
              <w:contextualSpacing/>
              <w:rPr>
                <w:rFonts w:ascii="Times New Roman" w:eastAsia="Calibri" w:hAnsi="Times New Roman" w:cs="Times New Roman"/>
                <w:b/>
              </w:rPr>
            </w:pPr>
            <w:r w:rsidRPr="000515D2">
              <w:rPr>
                <w:rFonts w:ascii="Times New Roman" w:eastAsia="Calibri" w:hAnsi="Times New Roman" w:cs="Times New Roman"/>
                <w:b/>
              </w:rPr>
              <w:t>Predkladateľ (a spolupredkladateľ)</w:t>
            </w:r>
          </w:p>
        </w:tc>
      </w:tr>
      <w:tr w:rsidR="000515D2" w:rsidRPr="000515D2" w:rsidTr="00F1463E">
        <w:tc>
          <w:tcPr>
            <w:tcW w:w="9180" w:type="dxa"/>
            <w:gridSpan w:val="11"/>
            <w:tcBorders>
              <w:top w:val="single" w:sz="4" w:space="0" w:color="FFFFFF"/>
              <w:left w:val="single" w:sz="4" w:space="0" w:color="auto"/>
              <w:bottom w:val="single" w:sz="4" w:space="0" w:color="auto"/>
            </w:tcBorders>
            <w:shd w:val="clear" w:color="auto" w:fill="FFFFFF"/>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Ministerstvo vnútra Slovenskej republiky</w:t>
            </w:r>
          </w:p>
          <w:p w:rsidR="000515D2" w:rsidRPr="000515D2" w:rsidRDefault="000515D2" w:rsidP="000515D2">
            <w:pPr>
              <w:spacing w:after="0" w:line="240" w:lineRule="auto"/>
              <w:rPr>
                <w:rFonts w:ascii="Times New Roman" w:eastAsia="Times New Roman" w:hAnsi="Times New Roman" w:cs="Times New Roman"/>
                <w:sz w:val="20"/>
                <w:szCs w:val="20"/>
              </w:rPr>
            </w:pPr>
          </w:p>
        </w:tc>
      </w:tr>
      <w:tr w:rsidR="000515D2" w:rsidRPr="000515D2" w:rsidTr="00F1463E">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0515D2" w:rsidRPr="000515D2" w:rsidRDefault="000515D2" w:rsidP="000515D2">
            <w:pPr>
              <w:contextualSpacing/>
              <w:rPr>
                <w:rFonts w:ascii="Times New Roman" w:eastAsia="Calibri" w:hAnsi="Times New Roman" w:cs="Times New Roman"/>
                <w:b/>
              </w:rPr>
            </w:pPr>
            <w:r w:rsidRPr="000515D2">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515D2" w:rsidRPr="000515D2" w:rsidRDefault="000515D2" w:rsidP="000515D2">
                <w:pPr>
                  <w:spacing w:after="0" w:line="240" w:lineRule="auto"/>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4263" w:type="dxa"/>
            <w:gridSpan w:val="7"/>
            <w:tcBorders>
              <w:top w:val="single" w:sz="4" w:space="0" w:color="auto"/>
              <w:left w:val="nil"/>
              <w:bottom w:val="single" w:sz="4" w:space="0" w:color="auto"/>
              <w:right w:val="single" w:sz="4" w:space="0" w:color="auto"/>
            </w:tcBorders>
            <w:shd w:val="clear" w:color="auto" w:fill="FFFFFF"/>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Materiál nelegislatívnej povahy</w:t>
            </w:r>
          </w:p>
        </w:tc>
      </w:tr>
      <w:tr w:rsidR="000515D2" w:rsidRPr="000515D2" w:rsidTr="00F1463E">
        <w:tc>
          <w:tcPr>
            <w:tcW w:w="4212" w:type="dxa"/>
            <w:gridSpan w:val="2"/>
            <w:vMerge/>
            <w:tcBorders>
              <w:top w:val="nil"/>
              <w:left w:val="single" w:sz="4" w:space="0" w:color="auto"/>
              <w:bottom w:val="single" w:sz="4" w:space="0" w:color="FFFFFF"/>
            </w:tcBorders>
            <w:shd w:val="clear" w:color="auto" w:fill="E2E2E2"/>
          </w:tcPr>
          <w:p w:rsidR="000515D2" w:rsidRPr="000515D2" w:rsidRDefault="000515D2" w:rsidP="000515D2">
            <w:pPr>
              <w:spacing w:after="0" w:line="240" w:lineRule="auto"/>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515D2" w:rsidRPr="000515D2" w:rsidRDefault="000515D2" w:rsidP="000515D2">
                <w:pPr>
                  <w:spacing w:after="0" w:line="240" w:lineRule="auto"/>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Materiál legislatívnej povahy</w:t>
            </w:r>
          </w:p>
        </w:tc>
      </w:tr>
      <w:tr w:rsidR="000515D2" w:rsidRPr="000515D2" w:rsidTr="00F1463E">
        <w:tc>
          <w:tcPr>
            <w:tcW w:w="4212" w:type="dxa"/>
            <w:gridSpan w:val="2"/>
            <w:vMerge/>
            <w:tcBorders>
              <w:top w:val="nil"/>
              <w:left w:val="single" w:sz="4" w:space="0" w:color="auto"/>
              <w:bottom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1821804044"/>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0515D2" w:rsidRPr="000515D2" w:rsidRDefault="000515D2" w:rsidP="000515D2">
                <w:pPr>
                  <w:spacing w:after="0" w:line="240" w:lineRule="auto"/>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4263" w:type="dxa"/>
            <w:gridSpan w:val="7"/>
            <w:tcBorders>
              <w:top w:val="single" w:sz="4" w:space="0" w:color="auto"/>
              <w:left w:val="nil"/>
              <w:bottom w:val="single" w:sz="4" w:space="0" w:color="auto"/>
            </w:tcBorders>
            <w:shd w:val="clear" w:color="auto" w:fill="FFFFFF"/>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Transpozícia práva EÚ</w:t>
            </w:r>
          </w:p>
        </w:tc>
      </w:tr>
      <w:tr w:rsidR="000515D2" w:rsidRPr="000515D2" w:rsidTr="00F1463E">
        <w:tc>
          <w:tcPr>
            <w:tcW w:w="9180" w:type="dxa"/>
            <w:gridSpan w:val="11"/>
            <w:tcBorders>
              <w:top w:val="single" w:sz="4" w:space="0" w:color="auto"/>
              <w:left w:val="single" w:sz="4" w:space="0" w:color="auto"/>
              <w:bottom w:val="single" w:sz="4" w:space="0" w:color="FFFFFF"/>
            </w:tcBorders>
            <w:shd w:val="clear" w:color="auto" w:fill="FFFFFF"/>
          </w:tcPr>
          <w:p w:rsidR="000515D2" w:rsidRPr="000515D2" w:rsidRDefault="000515D2" w:rsidP="000515D2">
            <w:pPr>
              <w:spacing w:after="0" w:line="240" w:lineRule="auto"/>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V prípade transpozície uveďte zoznam transponovaných predpisov:</w:t>
            </w:r>
          </w:p>
          <w:p w:rsidR="000515D2" w:rsidRPr="000515D2" w:rsidRDefault="000515D2" w:rsidP="000515D2">
            <w:pPr>
              <w:spacing w:after="0" w:line="240" w:lineRule="auto"/>
              <w:jc w:val="both"/>
              <w:rPr>
                <w:rFonts w:ascii="Times New Roman" w:eastAsia="Times New Roman" w:hAnsi="Times New Roman" w:cs="Times New Roman"/>
                <w:sz w:val="24"/>
              </w:rPr>
            </w:pPr>
            <w:r w:rsidRPr="000515D2">
              <w:rPr>
                <w:rFonts w:ascii="Times New Roman" w:eastAsiaTheme="minorHAnsi" w:hAnsi="Times New Roman" w:cs="Times New Roman"/>
                <w:sz w:val="20"/>
                <w:shd w:val="clear" w:color="auto" w:fill="FFFFFF"/>
              </w:rPr>
              <w:t>Smernica Európskeho parlamentu a Rady 2012/29/EÚ z  25. októbra 2012 , ktorou sa stanovujú minimálne normy v oblasti práv, podpory a ochrany obetí trestných činov a ktorou sa nahrádza rámcové rozhodnutie Rady 2001/220/SVV.</w:t>
            </w:r>
          </w:p>
        </w:tc>
      </w:tr>
      <w:tr w:rsidR="000515D2" w:rsidRPr="000515D2" w:rsidTr="00F1463E">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0515D2" w:rsidRPr="000515D2" w:rsidRDefault="000515D2" w:rsidP="000515D2">
            <w:pPr>
              <w:contextualSpacing/>
              <w:rPr>
                <w:rFonts w:ascii="Times New Roman" w:eastAsia="Calibri" w:hAnsi="Times New Roman" w:cs="Times New Roman"/>
                <w:b/>
              </w:rPr>
            </w:pPr>
            <w:r w:rsidRPr="000515D2">
              <w:rPr>
                <w:rFonts w:ascii="Times New Roman" w:eastAsia="Calibri" w:hAnsi="Times New Roman" w:cs="Times New Roman"/>
                <w:b/>
              </w:rPr>
              <w:t>Termín začiatku a ukončenia PPK</w:t>
            </w:r>
          </w:p>
        </w:tc>
        <w:tc>
          <w:tcPr>
            <w:tcW w:w="3231" w:type="dxa"/>
            <w:gridSpan w:val="5"/>
            <w:tcBorders>
              <w:top w:val="single" w:sz="4" w:space="0" w:color="000000"/>
              <w:left w:val="single" w:sz="4" w:space="0" w:color="auto"/>
              <w:bottom w:val="single" w:sz="4" w:space="0" w:color="auto"/>
              <w:right w:val="single" w:sz="4" w:space="0" w:color="auto"/>
            </w:tcBorders>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2. 12. 2021- 10. 12. 2021</w:t>
            </w:r>
          </w:p>
        </w:tc>
      </w:tr>
      <w:tr w:rsidR="000515D2" w:rsidRPr="000515D2" w:rsidTr="00F1463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contextualSpacing/>
              <w:rPr>
                <w:rFonts w:ascii="Times New Roman" w:eastAsia="Calibri" w:hAnsi="Times New Roman" w:cs="Times New Roman"/>
                <w:b/>
              </w:rPr>
            </w:pPr>
            <w:r w:rsidRPr="000515D2">
              <w:rPr>
                <w:rFonts w:ascii="Times New Roman" w:eastAsia="Calibri" w:hAnsi="Times New Roman" w:cs="Times New Roman"/>
                <w:b/>
              </w:rPr>
              <w:t>Predpokladaný termín predloženia na pripomienkové konanie</w:t>
            </w:r>
          </w:p>
        </w:tc>
        <w:tc>
          <w:tcPr>
            <w:tcW w:w="3231" w:type="dxa"/>
            <w:gridSpan w:val="5"/>
            <w:tcBorders>
              <w:top w:val="single" w:sz="4" w:space="0" w:color="auto"/>
              <w:left w:val="single" w:sz="4" w:space="0" w:color="auto"/>
              <w:bottom w:val="single" w:sz="4" w:space="0" w:color="auto"/>
              <w:right w:val="single" w:sz="4" w:space="0" w:color="auto"/>
            </w:tcBorders>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16. 2. 2022 – 8. 3. 2022</w:t>
            </w:r>
          </w:p>
        </w:tc>
      </w:tr>
      <w:tr w:rsidR="000515D2" w:rsidRPr="000515D2" w:rsidTr="00F1463E">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spacing w:after="0"/>
              <w:contextualSpacing/>
              <w:rPr>
                <w:rFonts w:ascii="Calibri" w:eastAsia="Calibri" w:hAnsi="Calibri" w:cs="Times New Roman"/>
                <w:b/>
              </w:rPr>
            </w:pPr>
            <w:r w:rsidRPr="000515D2">
              <w:rPr>
                <w:rFonts w:ascii="Times New Roman" w:eastAsia="Calibri" w:hAnsi="Times New Roman" w:cs="Times New Roman"/>
                <w:b/>
              </w:rPr>
              <w:t>Predpokladaný termín začiatku a ukončenia ZP**</w:t>
            </w:r>
            <w:r w:rsidRPr="000515D2">
              <w:rPr>
                <w:rFonts w:ascii="Calibri" w:eastAsia="Calibri" w:hAnsi="Calibri" w:cs="Times New Roman"/>
                <w:b/>
              </w:rPr>
              <w:t xml:space="preserve"> </w:t>
            </w:r>
          </w:p>
        </w:tc>
        <w:tc>
          <w:tcPr>
            <w:tcW w:w="3231" w:type="dxa"/>
            <w:gridSpan w:val="5"/>
            <w:tcBorders>
              <w:top w:val="single" w:sz="4" w:space="0" w:color="auto"/>
              <w:left w:val="single" w:sz="4" w:space="0" w:color="auto"/>
              <w:bottom w:val="single" w:sz="4" w:space="0" w:color="auto"/>
              <w:right w:val="single" w:sz="4" w:space="0" w:color="auto"/>
            </w:tcBorders>
          </w:tcPr>
          <w:p w:rsidR="000515D2" w:rsidRPr="000515D2" w:rsidRDefault="000515D2" w:rsidP="000515D2">
            <w:pPr>
              <w:spacing w:after="0" w:line="240" w:lineRule="auto"/>
              <w:rPr>
                <w:rFonts w:ascii="Times New Roman" w:eastAsia="Times New Roman" w:hAnsi="Times New Roman" w:cs="Times New Roman"/>
                <w:i/>
                <w:sz w:val="20"/>
                <w:szCs w:val="20"/>
              </w:rPr>
            </w:pPr>
          </w:p>
        </w:tc>
      </w:tr>
      <w:tr w:rsidR="000515D2" w:rsidRPr="000515D2" w:rsidTr="00F1463E">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contextualSpacing/>
              <w:jc w:val="both"/>
              <w:rPr>
                <w:rFonts w:ascii="Times New Roman" w:eastAsia="Calibri" w:hAnsi="Times New Roman" w:cs="Times New Roman"/>
                <w:b/>
              </w:rPr>
            </w:pPr>
            <w:r w:rsidRPr="000515D2">
              <w:rPr>
                <w:rFonts w:ascii="Times New Roman" w:eastAsia="Calibri" w:hAnsi="Times New Roman" w:cs="Times New Roman"/>
                <w:b/>
              </w:rPr>
              <w:t>Predpokladaný termín predloženia na rokovanie vlády SR*</w:t>
            </w:r>
          </w:p>
        </w:tc>
        <w:tc>
          <w:tcPr>
            <w:tcW w:w="3231" w:type="dxa"/>
            <w:gridSpan w:val="5"/>
            <w:tcBorders>
              <w:top w:val="single" w:sz="4" w:space="0" w:color="auto"/>
              <w:left w:val="single" w:sz="4" w:space="0" w:color="auto"/>
              <w:bottom w:val="single" w:sz="4" w:space="0" w:color="auto"/>
              <w:right w:val="single" w:sz="4" w:space="0" w:color="auto"/>
            </w:tcBorders>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september 2022</w:t>
            </w:r>
          </w:p>
        </w:tc>
      </w:tr>
      <w:tr w:rsidR="000515D2" w:rsidRPr="000515D2" w:rsidTr="00F1463E">
        <w:tc>
          <w:tcPr>
            <w:tcW w:w="9180" w:type="dxa"/>
            <w:gridSpan w:val="11"/>
            <w:tcBorders>
              <w:top w:val="single" w:sz="4" w:space="0" w:color="auto"/>
              <w:left w:val="nil"/>
              <w:bottom w:val="single" w:sz="4" w:space="0" w:color="auto"/>
              <w:right w:val="nil"/>
            </w:tcBorders>
            <w:shd w:val="clear" w:color="auto" w:fill="FFFFFF"/>
          </w:tcPr>
          <w:p w:rsidR="000515D2" w:rsidRPr="000515D2" w:rsidRDefault="000515D2" w:rsidP="000515D2">
            <w:pPr>
              <w:spacing w:after="0" w:line="240" w:lineRule="auto"/>
              <w:rPr>
                <w:rFonts w:ascii="Times New Roman" w:eastAsia="Times New Roman" w:hAnsi="Times New Roman" w:cs="Times New Roman"/>
                <w:sz w:val="20"/>
                <w:szCs w:val="20"/>
              </w:rPr>
            </w:pPr>
          </w:p>
        </w:tc>
      </w:tr>
      <w:tr w:rsidR="000515D2" w:rsidRPr="000515D2" w:rsidTr="00F1463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Definovanie problému</w:t>
            </w:r>
          </w:p>
        </w:tc>
      </w:tr>
      <w:tr w:rsidR="000515D2" w:rsidRPr="000515D2" w:rsidTr="00F1463E">
        <w:trPr>
          <w:trHeight w:val="718"/>
        </w:trPr>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jc w:val="both"/>
              <w:rPr>
                <w:rFonts w:ascii="Times New Roman" w:eastAsia="Times New Roman" w:hAnsi="Times New Roman" w:cs="Times New Roman"/>
                <w:b/>
                <w:sz w:val="20"/>
                <w:szCs w:val="20"/>
              </w:rPr>
            </w:pPr>
            <w:r w:rsidRPr="000515D2">
              <w:rPr>
                <w:rFonts w:ascii="Times New Roman" w:eastAsia="Times New Roman" w:hAnsi="Times New Roman" w:cs="Times New Roman"/>
                <w:sz w:val="20"/>
                <w:szCs w:val="20"/>
              </w:rPr>
              <w:t>Potreba nadviazania na národný projekt „</w:t>
            </w:r>
            <w:r w:rsidRPr="000515D2">
              <w:rPr>
                <w:rFonts w:ascii="Times New Roman" w:eastAsiaTheme="minorHAnsi" w:hAnsi="Times New Roman" w:cs="Times New Roman"/>
                <w:sz w:val="20"/>
                <w:szCs w:val="20"/>
              </w:rPr>
              <w:t>Zlepšenie prístupu obetí trestných činov k službám a vytvorenie kontaktných bodov pre obete“ realizovaný Ministerstvom vnútra Slovenskej republiky, ktorého doba realizácie uplynie v decembri 2023. Informačné kancelárie v súčasnosti vykonávajú svoju činnosti na základe tohto národného projektu. Vzhľadom na skutočnosť, že informačné kancelárie poskytujú efektívnu pomoc obetiam trestných činov , je potrebné, aby informačné kancelárie existovali a vykonávali činnosť aj po uplynutí termínu realizácie národného projektu. Zároveň prijatím navrhovanej právnej úpravy dôjde k zabezpečeniu udržateľnosti výsledkov národného projektu, a teda k splneniu záväzku Ministerstva vnútra Slovenskej republiky.</w:t>
            </w:r>
          </w:p>
        </w:tc>
      </w:tr>
      <w:tr w:rsidR="000515D2" w:rsidRPr="000515D2" w:rsidTr="00F1463E">
        <w:tc>
          <w:tcPr>
            <w:tcW w:w="9180" w:type="dxa"/>
            <w:gridSpan w:val="11"/>
            <w:tcBorders>
              <w:top w:val="single" w:sz="4" w:space="0" w:color="auto"/>
              <w:left w:val="single" w:sz="4" w:space="0" w:color="auto"/>
              <w:bottom w:val="nil"/>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Ciele a výsledný stav</w:t>
            </w:r>
          </w:p>
        </w:tc>
      </w:tr>
      <w:tr w:rsidR="000515D2" w:rsidRPr="000515D2" w:rsidTr="00F1463E">
        <w:trPr>
          <w:trHeight w:val="741"/>
        </w:trPr>
        <w:tc>
          <w:tcPr>
            <w:tcW w:w="9180" w:type="dxa"/>
            <w:gridSpan w:val="11"/>
            <w:tcBorders>
              <w:top w:val="nil"/>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Cieľom návrhu zákona je rozšírenie </w:t>
            </w:r>
            <w:r w:rsidRPr="000515D2">
              <w:rPr>
                <w:rFonts w:ascii="Times New Roman" w:eastAsiaTheme="minorHAnsi" w:hAnsi="Times New Roman" w:cs="Times New Roman"/>
                <w:sz w:val="20"/>
                <w:szCs w:val="20"/>
              </w:rPr>
              <w:t xml:space="preserve">pôsobnosti Ministerstva vnútra Slovenskej republiky v oblasti zlepšenia ochrany, podpory a pomoci nielen obetiam kriminality, ale aj obetiam inej protispoločenskej činnosti. Na výkon tejto pôsobnosti Ministerstvo vnútra Slovenskej republiky zriaďuje informačné kancelárie. </w:t>
            </w:r>
          </w:p>
        </w:tc>
      </w:tr>
      <w:tr w:rsidR="000515D2" w:rsidRPr="000515D2" w:rsidTr="00F1463E">
        <w:tc>
          <w:tcPr>
            <w:tcW w:w="9180" w:type="dxa"/>
            <w:gridSpan w:val="11"/>
            <w:tcBorders>
              <w:top w:val="single" w:sz="4" w:space="0" w:color="auto"/>
              <w:left w:val="single" w:sz="4" w:space="0" w:color="auto"/>
              <w:bottom w:val="nil"/>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Dotknuté subjekty</w:t>
            </w:r>
          </w:p>
        </w:tc>
      </w:tr>
      <w:tr w:rsidR="000515D2" w:rsidRPr="000515D2" w:rsidTr="00F1463E">
        <w:tc>
          <w:tcPr>
            <w:tcW w:w="9180" w:type="dxa"/>
            <w:gridSpan w:val="11"/>
            <w:tcBorders>
              <w:top w:val="nil"/>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Ministerstvo vnútra Slovenskej republiky</w:t>
            </w:r>
          </w:p>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Obete kriminality a inej protispoločenskej činnosti</w:t>
            </w:r>
          </w:p>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Okresné úrady v sídlach krajov</w:t>
            </w:r>
          </w:p>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sz w:val="20"/>
                <w:szCs w:val="20"/>
              </w:rPr>
              <w:t>Žiadatelia o dotácie zo štátneho rozpočtu na financovanie projektov v oblasti prevencie kriminality</w:t>
            </w:r>
          </w:p>
          <w:p w:rsidR="000515D2" w:rsidRPr="000515D2" w:rsidRDefault="000515D2" w:rsidP="000515D2">
            <w:pPr>
              <w:spacing w:after="0" w:line="240" w:lineRule="auto"/>
              <w:rPr>
                <w:rFonts w:ascii="Times New Roman" w:eastAsia="Times New Roman" w:hAnsi="Times New Roman" w:cs="Times New Roman"/>
                <w:i/>
                <w:sz w:val="20"/>
                <w:szCs w:val="20"/>
              </w:rPr>
            </w:pPr>
          </w:p>
        </w:tc>
      </w:tr>
      <w:tr w:rsidR="000515D2" w:rsidRPr="000515D2" w:rsidTr="00F1463E">
        <w:tc>
          <w:tcPr>
            <w:tcW w:w="9180" w:type="dxa"/>
            <w:gridSpan w:val="11"/>
            <w:tcBorders>
              <w:top w:val="single" w:sz="4" w:space="0" w:color="auto"/>
              <w:left w:val="single" w:sz="4" w:space="0" w:color="auto"/>
              <w:bottom w:val="nil"/>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Alternatívne riešenia</w:t>
            </w:r>
          </w:p>
        </w:tc>
      </w:tr>
      <w:tr w:rsidR="000515D2" w:rsidRPr="000515D2" w:rsidTr="00F1463E">
        <w:trPr>
          <w:trHeight w:val="1524"/>
        </w:trPr>
        <w:tc>
          <w:tcPr>
            <w:tcW w:w="9180" w:type="dxa"/>
            <w:gridSpan w:val="11"/>
            <w:tcBorders>
              <w:top w:val="nil"/>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Neprijatím návrhu zákona, a tým pádom nezabezpečením udržateľnosti výsledkov národného projektu by bol porušený záväzok Ministerstva vnútra Slovenskej republiky, prijímateľa finančných prostriedkov, a aj medzinárodný záväzok Slovenskej republiky voči Európskej únii vyplývajúci z partnerskej dohody, a tým by Slovenskej republike vyplynulo možné uloženie sankcií a povinnosť vrátenia finančných prostriedkov.</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Žiadosť o nenávratný finančný príspevok schválená Európskou komisiou obsahuje popis projektu, ktorého súčasťou je „Situácia po realizácii projektu a udržateľnosť projektu“, ktorá zaväzuje MV SR k  udržateľnosti výsledkov projektu v nasledovnom rozsahu:</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zabezpečiť pokračovanie činnosti novovybudovaného špeciálneho pracoviska pre analýzu potrieb a podporu obetí,</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pokračovať v poskytovaní služieb prostredníctvom vytvorenej siete kontaktných bodov vzniknutých s podporou projektu,</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pri rozširovaní systému prevencie kriminality vychádzať zo schválených štandardov a metodík vytvorených pre špecifické oblasti,</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lastRenderedPageBreak/>
              <w:t>• systemizovať kontaktné body a pripraviť predpoklady pre ich legislatívne ukotvenie (zjednotenie činností kontaktných bodov, vytvorenie siete kontaktných bodov, zlepšiť rozsah a dostupnosť služieb vykonávaných pre cieľovú skupinu a zabezpečenie systémovosti financovania kontaktných bodov ako štandardného prvku prevencie kriminality),</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zabezpečiť pokračovanie poskytovania pomoci a podpory obetiam trestných činov prostredníctvom platformy vzniknutej s podporou projektu,</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zachovať dostupnosť pro-klientsky orientovaných služieb poskytovaných prostredníctvom vytvorenej databázy dostupnej na webovom sídle, ktorá obsahuje informácie, činnosť a údaje z jednotlivých kontaktných bodov,</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pokračovať v preventívnych aktivitách zameraných na zvýšenie kvality života a pocitu bezpečia cieľových skupín, ktoré budú zabezpečované sieťou koordinátorov a vytvorenou platformou.</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Predkladateľ nevidí iný možný spôsob zabezpečenia udržateľnosti projektu, zriadenia informačných kancelárií, nasystemizovania pracovných miest a zabezpečenia finančných prostriedkov rozpočtovým opatrením, ako prijatím návrhu zákona. </w:t>
            </w:r>
          </w:p>
          <w:p w:rsidR="000515D2" w:rsidRPr="000515D2" w:rsidRDefault="000515D2" w:rsidP="000515D2">
            <w:pPr>
              <w:spacing w:after="0" w:line="240" w:lineRule="auto"/>
              <w:jc w:val="both"/>
              <w:rPr>
                <w:rFonts w:ascii="Times New Roman" w:eastAsia="Times New Roman" w:hAnsi="Times New Roman" w:cs="Times New Roman"/>
                <w:sz w:val="20"/>
                <w:szCs w:val="20"/>
              </w:rPr>
            </w:pPr>
          </w:p>
        </w:tc>
      </w:tr>
      <w:tr w:rsidR="000515D2" w:rsidRPr="000515D2" w:rsidTr="00F1463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lastRenderedPageBreak/>
              <w:t>Vykonávacie predpisy</w:t>
            </w:r>
          </w:p>
        </w:tc>
      </w:tr>
      <w:tr w:rsidR="000515D2" w:rsidRPr="000515D2" w:rsidTr="00F1463E">
        <w:tc>
          <w:tcPr>
            <w:tcW w:w="6203" w:type="dxa"/>
            <w:gridSpan w:val="7"/>
            <w:tcBorders>
              <w:top w:val="single" w:sz="4" w:space="0" w:color="FFFFFF"/>
              <w:left w:val="single" w:sz="4" w:space="0" w:color="auto"/>
              <w:bottom w:val="nil"/>
              <w:right w:val="nil"/>
            </w:tcBorders>
            <w:shd w:val="clear" w:color="auto" w:fill="FFFFFF"/>
          </w:tcPr>
          <w:p w:rsidR="000515D2" w:rsidRPr="000515D2" w:rsidRDefault="000515D2" w:rsidP="000515D2">
            <w:pPr>
              <w:spacing w:after="0" w:line="240" w:lineRule="auto"/>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0515D2" w:rsidRPr="000515D2" w:rsidRDefault="00053B06" w:rsidP="000515D2">
            <w:pPr>
              <w:spacing w:after="0" w:line="240" w:lineRule="auto"/>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929613764"/>
                <w14:checkbox>
                  <w14:checked w14:val="0"/>
                  <w14:checkedState w14:val="2612" w14:font="MS Gothic"/>
                  <w14:uncheckedState w14:val="2610" w14:font="MS Gothic"/>
                </w14:checkbox>
              </w:sdtPr>
              <w:sdtEndPr/>
              <w:sdtContent>
                <w:r w:rsidR="000515D2" w:rsidRPr="000515D2">
                  <w:rPr>
                    <w:rFonts w:ascii="Segoe UI Symbol" w:eastAsia="Times New Roman" w:hAnsi="Segoe UI Symbol" w:cs="Segoe UI Symbol"/>
                    <w:b/>
                    <w:sz w:val="20"/>
                    <w:szCs w:val="20"/>
                  </w:rPr>
                  <w:t>☐</w:t>
                </w:r>
              </w:sdtContent>
            </w:sdt>
            <w:r w:rsidR="000515D2" w:rsidRPr="000515D2">
              <w:rPr>
                <w:rFonts w:ascii="Times New Roman" w:eastAsia="Times New Roman" w:hAnsi="Times New Roman" w:cs="Times New Roman"/>
                <w:b/>
                <w:sz w:val="20"/>
                <w:szCs w:val="20"/>
              </w:rPr>
              <w:t xml:space="preserve">  Áno</w:t>
            </w:r>
          </w:p>
        </w:tc>
        <w:tc>
          <w:tcPr>
            <w:tcW w:w="1560" w:type="dxa"/>
            <w:gridSpan w:val="2"/>
            <w:tcBorders>
              <w:top w:val="single" w:sz="4" w:space="0" w:color="FFFFFF"/>
              <w:left w:val="nil"/>
              <w:bottom w:val="nil"/>
              <w:right w:val="single" w:sz="4" w:space="0" w:color="auto"/>
            </w:tcBorders>
            <w:shd w:val="clear" w:color="auto" w:fill="FFFFFF"/>
          </w:tcPr>
          <w:p w:rsidR="000515D2" w:rsidRPr="000515D2" w:rsidRDefault="00053B06" w:rsidP="000515D2">
            <w:pPr>
              <w:spacing w:after="0" w:line="240" w:lineRule="auto"/>
              <w:jc w:val="center"/>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594626508"/>
                <w14:checkbox>
                  <w14:checked w14:val="1"/>
                  <w14:checkedState w14:val="2612" w14:font="MS Gothic"/>
                  <w14:uncheckedState w14:val="2610" w14:font="MS Gothic"/>
                </w14:checkbox>
              </w:sdtPr>
              <w:sdtEndPr/>
              <w:sdtContent>
                <w:r w:rsidR="000515D2" w:rsidRPr="000515D2">
                  <w:rPr>
                    <w:rFonts w:ascii="Segoe UI Symbol" w:eastAsia="Times New Roman" w:hAnsi="Segoe UI Symbol" w:cs="Segoe UI Symbol"/>
                    <w:b/>
                    <w:sz w:val="20"/>
                    <w:szCs w:val="20"/>
                  </w:rPr>
                  <w:t>☒</w:t>
                </w:r>
              </w:sdtContent>
            </w:sdt>
            <w:r w:rsidR="000515D2" w:rsidRPr="000515D2">
              <w:rPr>
                <w:rFonts w:ascii="Times New Roman" w:eastAsia="Times New Roman" w:hAnsi="Times New Roman" w:cs="Times New Roman"/>
                <w:b/>
                <w:sz w:val="20"/>
                <w:szCs w:val="20"/>
              </w:rPr>
              <w:t xml:space="preserve">  Nie</w:t>
            </w:r>
          </w:p>
        </w:tc>
      </w:tr>
      <w:tr w:rsidR="000515D2" w:rsidRPr="000515D2" w:rsidTr="00F1463E">
        <w:tc>
          <w:tcPr>
            <w:tcW w:w="9180" w:type="dxa"/>
            <w:gridSpan w:val="11"/>
            <w:tcBorders>
              <w:top w:val="nil"/>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Ak áno, uveďte ktoré oblasti budú nimi upravené, resp. ktorých vykonávacích predpisov sa zmena dotkne:</w:t>
            </w:r>
          </w:p>
          <w:p w:rsidR="000515D2" w:rsidRPr="000515D2" w:rsidRDefault="000515D2" w:rsidP="000515D2">
            <w:pPr>
              <w:spacing w:after="0" w:line="240" w:lineRule="auto"/>
              <w:rPr>
                <w:rFonts w:ascii="Times New Roman" w:eastAsia="Times New Roman" w:hAnsi="Times New Roman" w:cs="Times New Roman"/>
                <w:sz w:val="20"/>
                <w:szCs w:val="20"/>
              </w:rPr>
            </w:pPr>
          </w:p>
        </w:tc>
      </w:tr>
      <w:tr w:rsidR="000515D2" w:rsidRPr="000515D2" w:rsidTr="00F1463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 xml:space="preserve">Transpozícia práva EÚ </w:t>
            </w:r>
          </w:p>
        </w:tc>
      </w:tr>
      <w:tr w:rsidR="000515D2" w:rsidRPr="000515D2" w:rsidTr="00F1463E">
        <w:trPr>
          <w:trHeight w:val="157"/>
        </w:trPr>
        <w:tc>
          <w:tcPr>
            <w:tcW w:w="9180" w:type="dxa"/>
            <w:gridSpan w:val="11"/>
            <w:tcBorders>
              <w:top w:val="nil"/>
              <w:left w:val="single" w:sz="4" w:space="0" w:color="000000"/>
              <w:bottom w:val="nil"/>
              <w:right w:val="single" w:sz="4" w:space="0" w:color="auto"/>
            </w:tcBorders>
            <w:shd w:val="clear" w:color="auto" w:fill="FFFFFF"/>
          </w:tcPr>
          <w:p w:rsidR="000515D2" w:rsidRPr="000515D2" w:rsidRDefault="000515D2" w:rsidP="000515D2">
            <w:pPr>
              <w:spacing w:after="0" w:line="240" w:lineRule="auto"/>
              <w:jc w:val="both"/>
              <w:rPr>
                <w:rFonts w:ascii="Times New Roman" w:eastAsiaTheme="minorHAnsi" w:hAnsi="Times New Roman" w:cs="Times New Roman"/>
                <w:i/>
                <w:iCs/>
                <w:color w:val="000000"/>
                <w:sz w:val="20"/>
                <w:szCs w:val="20"/>
              </w:rPr>
            </w:pPr>
            <w:r w:rsidRPr="000515D2">
              <w:rPr>
                <w:rFonts w:ascii="Times New Roman" w:eastAsiaTheme="minorHAnsi" w:hAnsi="Times New Roman" w:cs="Times New Roman"/>
                <w:i/>
                <w:iCs/>
                <w:color w:val="000000"/>
                <w:sz w:val="20"/>
                <w:szCs w:val="20"/>
              </w:rPr>
              <w:t>Uveďte, v ktorých ustanoveniach ide národná právna úprava nad rámec minimálnych požiadaviek EÚ spolu s odôvodnením</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heme="minorHAnsi" w:hAnsi="Times New Roman" w:cs="Times New Roman"/>
                <w:iCs/>
                <w:color w:val="000000"/>
                <w:sz w:val="20"/>
                <w:szCs w:val="20"/>
              </w:rPr>
              <w:t>V žiadnom.</w:t>
            </w:r>
          </w:p>
        </w:tc>
      </w:tr>
      <w:tr w:rsidR="000515D2" w:rsidRPr="000515D2" w:rsidTr="00F1463E">
        <w:trPr>
          <w:trHeight w:val="248"/>
        </w:trPr>
        <w:tc>
          <w:tcPr>
            <w:tcW w:w="9180" w:type="dxa"/>
            <w:gridSpan w:val="11"/>
            <w:tcBorders>
              <w:top w:val="nil"/>
              <w:left w:val="single" w:sz="4" w:space="0" w:color="000000"/>
              <w:bottom w:val="single" w:sz="4" w:space="0" w:color="000000"/>
              <w:right w:val="single" w:sz="4" w:space="0" w:color="000000"/>
            </w:tcBorders>
            <w:shd w:val="clear" w:color="auto" w:fill="FFFFFF"/>
          </w:tcPr>
          <w:p w:rsidR="000515D2" w:rsidRPr="000515D2" w:rsidRDefault="000515D2" w:rsidP="000515D2">
            <w:pPr>
              <w:spacing w:after="0" w:line="240" w:lineRule="auto"/>
              <w:jc w:val="center"/>
              <w:rPr>
                <w:rFonts w:ascii="Times New Roman" w:eastAsia="Times New Roman" w:hAnsi="Times New Roman" w:cs="Times New Roman"/>
                <w:sz w:val="20"/>
                <w:szCs w:val="20"/>
              </w:rPr>
            </w:pPr>
          </w:p>
        </w:tc>
      </w:tr>
      <w:tr w:rsidR="000515D2" w:rsidRPr="000515D2" w:rsidTr="00F1463E">
        <w:tc>
          <w:tcPr>
            <w:tcW w:w="9180" w:type="dxa"/>
            <w:gridSpan w:val="11"/>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Preskúmanie účelnosti</w:t>
            </w:r>
          </w:p>
        </w:tc>
      </w:tr>
      <w:tr w:rsidR="000515D2" w:rsidRPr="000515D2" w:rsidTr="00F1463E">
        <w:tc>
          <w:tcPr>
            <w:tcW w:w="9180" w:type="dxa"/>
            <w:gridSpan w:val="11"/>
            <w:tcBorders>
              <w:top w:val="single" w:sz="4" w:space="0" w:color="FFFFFF"/>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jc w:val="both"/>
              <w:rPr>
                <w:rFonts w:ascii="Times New Roman" w:eastAsia="Times New Roman" w:hAnsi="Times New Roman" w:cs="Times New Roman"/>
                <w:color w:val="FF0000"/>
                <w:sz w:val="20"/>
                <w:szCs w:val="20"/>
              </w:rPr>
            </w:pPr>
            <w:r w:rsidRPr="000515D2">
              <w:rPr>
                <w:rFonts w:ascii="Times New Roman" w:eastAsia="Times New Roman" w:hAnsi="Times New Roman" w:cs="Times New Roman"/>
                <w:sz w:val="20"/>
                <w:szCs w:val="20"/>
              </w:rPr>
              <w:t>Účelnosť činnosti informačných kancelárií je v rámci národného projektu „</w:t>
            </w:r>
            <w:r w:rsidRPr="000515D2">
              <w:rPr>
                <w:rFonts w:ascii="Times New Roman" w:eastAsiaTheme="minorHAnsi" w:hAnsi="Times New Roman" w:cs="Times New Roman"/>
                <w:sz w:val="20"/>
                <w:szCs w:val="20"/>
              </w:rPr>
              <w:t xml:space="preserve">Zlepšenie prístupu obetí trestných činov k službám a vytvorenie kontaktných bodov pre obete“ </w:t>
            </w:r>
            <w:r w:rsidRPr="000515D2">
              <w:rPr>
                <w:rFonts w:ascii="Times New Roman" w:eastAsia="Times New Roman" w:hAnsi="Times New Roman" w:cs="Times New Roman"/>
                <w:sz w:val="20"/>
                <w:szCs w:val="20"/>
              </w:rPr>
              <w:t>vyhodnocovaná a kontrolovaná už od roku 2018. Všetky údaje sú vyhodnocované a analyticky spracovávané na mesačnej báze. Po prijatí návrhu zákona sa bude vo vyhodnocovaní činností informačných kancelárií naďalej pokračovať na pravidelnej báze. Hlavnými kritériami na spracovanie analýzy a vyhodnotenie činnosti informačných kancelárií je počet klientov na informačných kanceláriách, cieľové skupiny a druh sprostredkovanej pomoci.</w:t>
            </w:r>
          </w:p>
        </w:tc>
      </w:tr>
      <w:tr w:rsidR="000515D2" w:rsidRPr="000515D2" w:rsidTr="00F1463E">
        <w:tc>
          <w:tcPr>
            <w:tcW w:w="9180" w:type="dxa"/>
            <w:gridSpan w:val="11"/>
            <w:tcBorders>
              <w:top w:val="nil"/>
              <w:left w:val="nil"/>
              <w:bottom w:val="single" w:sz="4" w:space="0" w:color="auto"/>
              <w:right w:val="nil"/>
            </w:tcBorders>
            <w:shd w:val="clear" w:color="auto" w:fill="FFFFFF"/>
          </w:tcPr>
          <w:p w:rsidR="000515D2" w:rsidRPr="000515D2" w:rsidRDefault="000515D2" w:rsidP="000515D2">
            <w:pPr>
              <w:spacing w:after="0" w:line="240" w:lineRule="auto"/>
              <w:rPr>
                <w:rFonts w:ascii="Times New Roman" w:eastAsia="Times New Roman" w:hAnsi="Times New Roman" w:cs="Times New Roman"/>
                <w:b/>
                <w:sz w:val="20"/>
                <w:szCs w:val="20"/>
              </w:rPr>
            </w:pPr>
          </w:p>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vyplniť iba v prípade, ak materiál nie je zahrnutý do Plánu práce vlády Slovenskej republiky alebo Plánu        legislatívnych úloh vlády Slovenskej republiky. </w:t>
            </w:r>
          </w:p>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vyplniť iba v prípade, ak sa záverečné posúdenie vybraných vplyvov uskutočnilo v zmysle bodu 9.1. jednotnej metodiky.</w:t>
            </w:r>
          </w:p>
          <w:p w:rsidR="000515D2" w:rsidRPr="000515D2" w:rsidRDefault="000515D2" w:rsidP="000515D2">
            <w:pPr>
              <w:spacing w:after="0" w:line="240" w:lineRule="auto"/>
              <w:rPr>
                <w:rFonts w:ascii="Times New Roman" w:eastAsia="Times New Roman" w:hAnsi="Times New Roman" w:cs="Times New Roman"/>
                <w:b/>
                <w:sz w:val="20"/>
                <w:szCs w:val="20"/>
              </w:rPr>
            </w:pPr>
          </w:p>
        </w:tc>
      </w:tr>
      <w:tr w:rsidR="000515D2" w:rsidRPr="000515D2" w:rsidTr="00F1463E">
        <w:trPr>
          <w:trHeight w:val="283"/>
        </w:trPr>
        <w:tc>
          <w:tcPr>
            <w:tcW w:w="9180"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Vybrané vplyvy  materiálu</w:t>
            </w:r>
          </w:p>
        </w:tc>
      </w:tr>
      <w:tr w:rsidR="000515D2" w:rsidRPr="000515D2" w:rsidTr="00F1463E">
        <w:tc>
          <w:tcPr>
            <w:tcW w:w="3812" w:type="dxa"/>
            <w:tcBorders>
              <w:top w:val="single" w:sz="4" w:space="0" w:color="auto"/>
              <w:left w:val="single" w:sz="4" w:space="0" w:color="auto"/>
              <w:bottom w:val="nil"/>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Vplyvy na rozpočet verejnej správy</w:t>
            </w:r>
          </w:p>
        </w:tc>
        <w:sdt>
          <w:sdtPr>
            <w:rPr>
              <w:rFonts w:ascii="Times New Roman" w:eastAsia="Times New Roman" w:hAnsi="Times New Roman" w:cs="Times New Roman"/>
              <w:b/>
              <w:sz w:val="20"/>
              <w:szCs w:val="20"/>
            </w:rPr>
            <w:id w:val="-1066412587"/>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133" w:type="dxa"/>
            <w:tcBorders>
              <w:top w:val="single" w:sz="4" w:space="0" w:color="auto"/>
              <w:left w:val="nil"/>
              <w:bottom w:val="dotted" w:sz="4" w:space="0" w:color="auto"/>
              <w:right w:val="nil"/>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0515D2" w:rsidRPr="000515D2" w:rsidRDefault="000515D2" w:rsidP="000515D2">
                <w:pPr>
                  <w:spacing w:after="0" w:line="240" w:lineRule="auto"/>
                  <w:ind w:right="-108"/>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Negatívne</w:t>
            </w:r>
          </w:p>
        </w:tc>
      </w:tr>
      <w:tr w:rsidR="000515D2" w:rsidRPr="000515D2" w:rsidTr="00F1463E">
        <w:tc>
          <w:tcPr>
            <w:tcW w:w="3812" w:type="dxa"/>
            <w:tcBorders>
              <w:top w:val="nil"/>
              <w:left w:val="single" w:sz="4" w:space="0" w:color="auto"/>
              <w:bottom w:val="single" w:sz="4" w:space="0" w:color="000000"/>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z toho rozpočtovo zabezpečené vplyvy,         </w:t>
            </w:r>
          </w:p>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v prípade identifikovaného negatívneho </w:t>
            </w:r>
          </w:p>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vplyvu</w:t>
            </w:r>
          </w:p>
        </w:tc>
        <w:sdt>
          <w:sdtPr>
            <w:rPr>
              <w:rFonts w:ascii="Times New Roman" w:eastAsia="Times New Roman" w:hAnsi="Times New Roman" w:cs="Times New Roman"/>
              <w:sz w:val="20"/>
              <w:szCs w:val="20"/>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shd w:val="clear" w:color="auto" w:fill="auto"/>
                <w:vAlign w:val="center"/>
              </w:tcPr>
              <w:p w:rsidR="000515D2" w:rsidRPr="000515D2" w:rsidRDefault="000515D2" w:rsidP="000515D2">
                <w:pPr>
                  <w:spacing w:after="0" w:line="240" w:lineRule="auto"/>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1312" w:type="dxa"/>
            <w:gridSpan w:val="2"/>
            <w:tcBorders>
              <w:top w:val="dotted" w:sz="4" w:space="0" w:color="auto"/>
              <w:left w:val="nil"/>
              <w:bottom w:val="single" w:sz="4" w:space="0" w:color="auto"/>
              <w:right w:val="nil"/>
            </w:tcBorders>
            <w:shd w:val="clear" w:color="auto" w:fill="auto"/>
            <w:vAlign w:val="center"/>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Áno</w:t>
            </w:r>
          </w:p>
        </w:tc>
        <w:sdt>
          <w:sdtPr>
            <w:rPr>
              <w:rFonts w:ascii="Times New Roman" w:eastAsia="Times New Roman" w:hAnsi="Times New Roman" w:cs="Times New Roman"/>
              <w:sz w:val="20"/>
              <w:szCs w:val="20"/>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1133" w:type="dxa"/>
            <w:tcBorders>
              <w:top w:val="dotted" w:sz="4" w:space="0" w:color="auto"/>
              <w:left w:val="nil"/>
              <w:bottom w:val="single" w:sz="4" w:space="0" w:color="auto"/>
              <w:right w:val="nil"/>
            </w:tcBorders>
            <w:vAlign w:val="center"/>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Nie</w:t>
            </w:r>
          </w:p>
        </w:tc>
        <w:sdt>
          <w:sdtPr>
            <w:rPr>
              <w:rFonts w:ascii="Times New Roman" w:eastAsia="Times New Roman" w:hAnsi="Times New Roman" w:cs="Times New Roman"/>
              <w:sz w:val="20"/>
              <w:szCs w:val="20"/>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0515D2" w:rsidRPr="000515D2" w:rsidRDefault="000515D2" w:rsidP="000515D2">
                <w:pPr>
                  <w:spacing w:after="0" w:line="240" w:lineRule="auto"/>
                  <w:ind w:right="-108"/>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Čiastočne</w:t>
            </w:r>
          </w:p>
        </w:tc>
      </w:tr>
      <w:tr w:rsidR="000515D2" w:rsidRPr="000515D2" w:rsidTr="00F1463E">
        <w:tc>
          <w:tcPr>
            <w:tcW w:w="3812" w:type="dxa"/>
            <w:tcBorders>
              <w:top w:val="single" w:sz="4" w:space="0" w:color="000000"/>
              <w:left w:val="single" w:sz="4" w:space="0" w:color="auto"/>
              <w:bottom w:val="nil"/>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Vplyvy na podnikateľské prostredie</w:t>
            </w:r>
          </w:p>
        </w:tc>
        <w:sdt>
          <w:sdtPr>
            <w:rPr>
              <w:rFonts w:ascii="Times New Roman" w:eastAsia="Times New Roman" w:hAnsi="Times New Roman" w:cs="Times New Roman"/>
              <w:b/>
              <w:sz w:val="20"/>
              <w:szCs w:val="20"/>
            </w:rPr>
            <w:id w:val="4709412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dotted" w:sz="4" w:space="0" w:color="auto"/>
              <w:right w:val="nil"/>
            </w:tcBorders>
            <w:vAlign w:val="center"/>
          </w:tcPr>
          <w:p w:rsidR="000515D2" w:rsidRPr="000515D2" w:rsidRDefault="000515D2" w:rsidP="000515D2">
            <w:pPr>
              <w:spacing w:after="0" w:line="240" w:lineRule="auto"/>
              <w:ind w:right="-108"/>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2038465019"/>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133" w:type="dxa"/>
            <w:tcBorders>
              <w:top w:val="single" w:sz="4" w:space="0" w:color="auto"/>
              <w:left w:val="nil"/>
              <w:bottom w:val="dotted" w:sz="4" w:space="0" w:color="auto"/>
              <w:right w:val="nil"/>
            </w:tcBorders>
            <w:vAlign w:val="center"/>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558398718"/>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297" w:type="dxa"/>
            <w:tcBorders>
              <w:top w:val="single" w:sz="4" w:space="0" w:color="auto"/>
              <w:left w:val="nil"/>
              <w:bottom w:val="dotted" w:sz="4" w:space="0" w:color="auto"/>
              <w:right w:val="single" w:sz="4" w:space="0" w:color="auto"/>
            </w:tcBorders>
            <w:vAlign w:val="center"/>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Negatívne</w:t>
            </w:r>
          </w:p>
        </w:tc>
      </w:tr>
      <w:tr w:rsidR="000515D2" w:rsidRPr="000515D2" w:rsidTr="00F1463E">
        <w:tc>
          <w:tcPr>
            <w:tcW w:w="3812" w:type="dxa"/>
            <w:tcBorders>
              <w:top w:val="nil"/>
              <w:left w:val="single" w:sz="4" w:space="0" w:color="000000"/>
              <w:bottom w:val="nil"/>
              <w:right w:val="single" w:sz="4" w:space="0" w:color="000000"/>
            </w:tcBorders>
            <w:shd w:val="clear" w:color="auto" w:fill="E2E2E2"/>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z toho vplyvy na MSP</w:t>
            </w:r>
          </w:p>
          <w:p w:rsidR="000515D2" w:rsidRPr="000515D2" w:rsidRDefault="000515D2" w:rsidP="000515D2">
            <w:pPr>
              <w:spacing w:after="0" w:line="240" w:lineRule="auto"/>
              <w:rPr>
                <w:rFonts w:ascii="Times New Roman" w:eastAsia="Times New Roman" w:hAnsi="Times New Roman" w:cs="Times New Roman"/>
                <w:sz w:val="20"/>
                <w:szCs w:val="20"/>
              </w:rPr>
            </w:pPr>
          </w:p>
        </w:tc>
        <w:sdt>
          <w:sdtPr>
            <w:rPr>
              <w:rFonts w:ascii="Times New Roman" w:eastAsia="Times New Roman" w:hAnsi="Times New Roman" w:cs="Times New Roman"/>
              <w:sz w:val="20"/>
              <w:szCs w:val="20"/>
            </w:rPr>
            <w:id w:val="862408102"/>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1312" w:type="dxa"/>
            <w:gridSpan w:val="2"/>
            <w:tcBorders>
              <w:top w:val="dotted" w:sz="4" w:space="0" w:color="auto"/>
              <w:left w:val="nil"/>
              <w:bottom w:val="dotted" w:sz="4" w:space="0" w:color="auto"/>
              <w:right w:val="nil"/>
            </w:tcBorders>
            <w:vAlign w:val="center"/>
          </w:tcPr>
          <w:p w:rsidR="000515D2" w:rsidRPr="000515D2" w:rsidRDefault="000515D2" w:rsidP="000515D2">
            <w:pPr>
              <w:spacing w:after="0" w:line="240" w:lineRule="auto"/>
              <w:ind w:right="-108"/>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Pozitívne</w:t>
            </w:r>
          </w:p>
        </w:tc>
        <w:sdt>
          <w:sdtPr>
            <w:rPr>
              <w:rFonts w:ascii="Times New Roman" w:eastAsia="Times New Roman" w:hAnsi="Times New Roman" w:cs="Times New Roman"/>
              <w:sz w:val="20"/>
              <w:szCs w:val="20"/>
            </w:rPr>
            <w:id w:val="994611021"/>
            <w14:checkbox>
              <w14:checked w14:val="1"/>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1133" w:type="dxa"/>
            <w:tcBorders>
              <w:top w:val="dotted" w:sz="4" w:space="0" w:color="auto"/>
              <w:left w:val="nil"/>
              <w:bottom w:val="dotted" w:sz="4" w:space="0" w:color="auto"/>
              <w:right w:val="nil"/>
            </w:tcBorders>
            <w:vAlign w:val="center"/>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Žiadne</w:t>
            </w:r>
          </w:p>
        </w:tc>
        <w:sdt>
          <w:sdtPr>
            <w:rPr>
              <w:rFonts w:ascii="Times New Roman" w:eastAsia="Times New Roman" w:hAnsi="Times New Roman" w:cs="Times New Roman"/>
              <w:sz w:val="20"/>
              <w:szCs w:val="20"/>
            </w:rPr>
            <w:id w:val="-386717170"/>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sz w:val="20"/>
                    <w:szCs w:val="20"/>
                  </w:rPr>
                </w:pPr>
                <w:r w:rsidRPr="000515D2">
                  <w:rPr>
                    <w:rFonts w:ascii="Segoe UI Symbol" w:eastAsia="Times New Roman" w:hAnsi="Segoe UI Symbol" w:cs="Segoe UI Symbol"/>
                    <w:sz w:val="20"/>
                    <w:szCs w:val="20"/>
                  </w:rPr>
                  <w:t>☐</w:t>
                </w:r>
              </w:p>
            </w:tc>
          </w:sdtContent>
        </w:sdt>
        <w:tc>
          <w:tcPr>
            <w:tcW w:w="1297" w:type="dxa"/>
            <w:tcBorders>
              <w:top w:val="dotted" w:sz="4" w:space="0" w:color="auto"/>
              <w:left w:val="nil"/>
              <w:bottom w:val="dotted" w:sz="4" w:space="0" w:color="auto"/>
              <w:right w:val="single" w:sz="4" w:space="0" w:color="auto"/>
            </w:tcBorders>
            <w:vAlign w:val="center"/>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Negatívne</w:t>
            </w:r>
          </w:p>
        </w:tc>
      </w:tr>
      <w:tr w:rsidR="000515D2" w:rsidRPr="000515D2" w:rsidTr="00F1463E">
        <w:tc>
          <w:tcPr>
            <w:tcW w:w="3812" w:type="dxa"/>
            <w:tcBorders>
              <w:top w:val="nil"/>
              <w:left w:val="single" w:sz="4" w:space="0" w:color="auto"/>
              <w:bottom w:val="single" w:sz="4" w:space="0" w:color="auto"/>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Mechanizmus znižovania byrokracie    </w:t>
            </w:r>
          </w:p>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sz w:val="20"/>
                <w:szCs w:val="20"/>
              </w:rPr>
              <w:t xml:space="preserve">    a nákladov sa uplatňuje:</w:t>
            </w:r>
          </w:p>
        </w:tc>
        <w:sdt>
          <w:sdtPr>
            <w:rPr>
              <w:rFonts w:ascii="Times New Roman" w:eastAsia="Times New Roman" w:hAnsi="Times New Roman" w:cs="Times New Roman"/>
              <w:b/>
              <w:sz w:val="20"/>
              <w:szCs w:val="20"/>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596" w:type="dxa"/>
            <w:gridSpan w:val="3"/>
            <w:tcBorders>
              <w:top w:val="dotted" w:sz="4" w:space="0" w:color="auto"/>
              <w:left w:val="nil"/>
              <w:bottom w:val="single" w:sz="4" w:space="0" w:color="auto"/>
              <w:right w:val="nil"/>
            </w:tcBorders>
            <w:vAlign w:val="center"/>
          </w:tcPr>
          <w:p w:rsidR="000515D2" w:rsidRPr="000515D2" w:rsidRDefault="000515D2" w:rsidP="000515D2">
            <w:pPr>
              <w:spacing w:after="0" w:line="240" w:lineRule="auto"/>
              <w:ind w:right="-108"/>
              <w:rPr>
                <w:rFonts w:ascii="Times New Roman" w:eastAsia="Times New Roman" w:hAnsi="Times New Roman" w:cs="Times New Roman"/>
                <w:b/>
                <w:sz w:val="20"/>
                <w:szCs w:val="20"/>
              </w:rPr>
            </w:pPr>
            <w:r w:rsidRPr="000515D2">
              <w:rPr>
                <w:rFonts w:ascii="Times New Roman" w:eastAsia="Times New Roman" w:hAnsi="Times New Roman" w:cs="Times New Roman"/>
                <w:sz w:val="20"/>
                <w:szCs w:val="20"/>
              </w:rPr>
              <w:t>Áno</w:t>
            </w:r>
          </w:p>
        </w:tc>
        <w:tc>
          <w:tcPr>
            <w:tcW w:w="254" w:type="dxa"/>
            <w:tcBorders>
              <w:top w:val="dotted" w:sz="4" w:space="0" w:color="auto"/>
              <w:left w:val="nil"/>
              <w:bottom w:val="single"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p>
        </w:tc>
        <w:tc>
          <w:tcPr>
            <w:tcW w:w="1133" w:type="dxa"/>
            <w:tcBorders>
              <w:top w:val="dotted" w:sz="4" w:space="0" w:color="auto"/>
              <w:left w:val="nil"/>
              <w:bottom w:val="single"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p>
        </w:tc>
        <w:sdt>
          <w:sdtPr>
            <w:rPr>
              <w:rFonts w:ascii="Times New Roman" w:eastAsia="Times New Roman" w:hAnsi="Times New Roman" w:cs="Times New Roman"/>
              <w:b/>
              <w:sz w:val="20"/>
              <w:szCs w:val="20"/>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297" w:type="dxa"/>
            <w:tcBorders>
              <w:top w:val="dotted" w:sz="4" w:space="0" w:color="auto"/>
              <w:left w:val="nil"/>
              <w:bottom w:val="single" w:sz="4" w:space="0" w:color="auto"/>
              <w:right w:val="single" w:sz="4" w:space="0" w:color="auto"/>
            </w:tcBorders>
            <w:vAlign w:val="center"/>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sz w:val="20"/>
                <w:szCs w:val="20"/>
              </w:rPr>
              <w:t>Nie</w:t>
            </w:r>
          </w:p>
        </w:tc>
      </w:tr>
      <w:tr w:rsidR="000515D2" w:rsidRPr="000515D2" w:rsidTr="00F1463E">
        <w:tc>
          <w:tcPr>
            <w:tcW w:w="3812" w:type="dxa"/>
            <w:tcBorders>
              <w:top w:val="single" w:sz="4" w:space="0" w:color="000000"/>
              <w:left w:val="single" w:sz="4" w:space="0" w:color="auto"/>
              <w:bottom w:val="single" w:sz="4" w:space="0" w:color="auto"/>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Sociálne vplyvy</w:t>
            </w:r>
          </w:p>
        </w:tc>
        <w:sdt>
          <w:sdtPr>
            <w:rPr>
              <w:rFonts w:ascii="Times New Roman" w:eastAsia="Times New Roman" w:hAnsi="Times New Roman" w:cs="Times New Roman"/>
              <w:b/>
              <w:sz w:val="20"/>
              <w:szCs w:val="20"/>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ind w:right="-108"/>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1692835279"/>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Negatívne</w:t>
            </w:r>
          </w:p>
        </w:tc>
      </w:tr>
      <w:tr w:rsidR="000515D2" w:rsidRPr="000515D2" w:rsidTr="00F1463E">
        <w:tc>
          <w:tcPr>
            <w:tcW w:w="3812" w:type="dxa"/>
            <w:tcBorders>
              <w:top w:val="single" w:sz="4" w:space="0" w:color="auto"/>
              <w:left w:val="single" w:sz="4" w:space="0" w:color="auto"/>
              <w:bottom w:val="single" w:sz="4" w:space="0" w:color="auto"/>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Vplyvy na životné prostredie</w:t>
            </w:r>
          </w:p>
        </w:tc>
        <w:sdt>
          <w:sdtPr>
            <w:rPr>
              <w:rFonts w:ascii="Times New Roman" w:eastAsia="Times New Roman" w:hAnsi="Times New Roman" w:cs="Times New Roman"/>
              <w:b/>
              <w:sz w:val="20"/>
              <w:szCs w:val="20"/>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ind w:right="-108"/>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Negatívne</w:t>
            </w:r>
          </w:p>
        </w:tc>
      </w:tr>
      <w:tr w:rsidR="000515D2" w:rsidRPr="000515D2" w:rsidTr="00F1463E">
        <w:tc>
          <w:tcPr>
            <w:tcW w:w="3812" w:type="dxa"/>
            <w:tcBorders>
              <w:top w:val="single" w:sz="4" w:space="0" w:color="auto"/>
              <w:left w:val="single" w:sz="4" w:space="0" w:color="auto"/>
              <w:bottom w:val="single" w:sz="4" w:space="0" w:color="auto"/>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Vplyvy na informatizáciu spoločnosti</w:t>
            </w:r>
          </w:p>
        </w:tc>
        <w:sdt>
          <w:sdtPr>
            <w:rPr>
              <w:rFonts w:ascii="Times New Roman" w:eastAsia="Times New Roman" w:hAnsi="Times New Roman" w:cs="Times New Roman"/>
              <w:b/>
              <w:sz w:val="20"/>
              <w:szCs w:val="20"/>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312"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ind w:right="-108"/>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133" w:type="dxa"/>
            <w:tcBorders>
              <w:top w:val="single" w:sz="4" w:space="0" w:color="auto"/>
              <w:left w:val="nil"/>
              <w:bottom w:val="single" w:sz="4" w:space="0" w:color="auto"/>
              <w:right w:val="nil"/>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0515D2" w:rsidRPr="000515D2" w:rsidTr="00F1463E">
        <w:tc>
          <w:tcPr>
            <w:tcW w:w="3812" w:type="dxa"/>
            <w:tcBorders>
              <w:top w:val="single" w:sz="4" w:space="0" w:color="auto"/>
              <w:left w:val="single" w:sz="4" w:space="0" w:color="auto"/>
              <w:bottom w:val="nil"/>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b/>
                <w:sz w:val="20"/>
                <w:szCs w:val="20"/>
                <w:lang w:eastAsia="sk-SK"/>
              </w:rPr>
            </w:pPr>
            <w:r w:rsidRPr="000515D2">
              <w:rPr>
                <w:rFonts w:ascii="Times New Roman" w:eastAsia="Calibri" w:hAnsi="Times New Roman" w:cs="Times New Roman"/>
                <w:b/>
                <w:sz w:val="20"/>
                <w:szCs w:val="20"/>
              </w:rPr>
              <w:t>Vplyvy na služby verejnej správy pre občana, z toho</w:t>
            </w:r>
          </w:p>
        </w:tc>
        <w:tc>
          <w:tcPr>
            <w:tcW w:w="541" w:type="dxa"/>
            <w:tcBorders>
              <w:top w:val="single" w:sz="4" w:space="0" w:color="auto"/>
              <w:left w:val="single" w:sz="4" w:space="0" w:color="auto"/>
              <w:bottom w:val="nil"/>
              <w:right w:val="nil"/>
            </w:tcBorders>
            <w:shd w:val="clear" w:color="auto" w:fill="auto"/>
          </w:tcPr>
          <w:p w:rsidR="000515D2" w:rsidRPr="000515D2" w:rsidRDefault="000515D2" w:rsidP="000515D2">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515D2" w:rsidRPr="000515D2" w:rsidRDefault="000515D2" w:rsidP="000515D2">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515D2" w:rsidRPr="000515D2" w:rsidRDefault="000515D2" w:rsidP="000515D2">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515D2" w:rsidRPr="000515D2" w:rsidRDefault="000515D2" w:rsidP="000515D2">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515D2" w:rsidRPr="000515D2" w:rsidRDefault="000515D2" w:rsidP="000515D2">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515D2" w:rsidRPr="000515D2" w:rsidRDefault="000515D2" w:rsidP="000515D2">
            <w:pPr>
              <w:spacing w:after="0" w:line="240" w:lineRule="auto"/>
              <w:rPr>
                <w:rFonts w:ascii="Times New Roman" w:eastAsia="Times New Roman" w:hAnsi="Times New Roman" w:cs="Times New Roman"/>
                <w:b/>
                <w:sz w:val="20"/>
                <w:szCs w:val="20"/>
                <w:lang w:eastAsia="sk-SK"/>
              </w:rPr>
            </w:pPr>
          </w:p>
        </w:tc>
      </w:tr>
      <w:tr w:rsidR="000515D2" w:rsidRPr="000515D2" w:rsidTr="00F1463E">
        <w:tc>
          <w:tcPr>
            <w:tcW w:w="3812" w:type="dxa"/>
            <w:tcBorders>
              <w:top w:val="nil"/>
              <w:left w:val="single" w:sz="4" w:space="0" w:color="auto"/>
              <w:bottom w:val="nil"/>
              <w:right w:val="single" w:sz="4" w:space="0" w:color="auto"/>
            </w:tcBorders>
            <w:shd w:val="clear" w:color="auto" w:fill="E2E2E2"/>
          </w:tcPr>
          <w:p w:rsidR="000515D2" w:rsidRPr="000515D2" w:rsidRDefault="000515D2" w:rsidP="000515D2">
            <w:pPr>
              <w:spacing w:after="0" w:line="240" w:lineRule="auto"/>
              <w:rPr>
                <w:rFonts w:ascii="Times New Roman" w:eastAsia="Calibri" w:hAnsi="Times New Roman" w:cs="Times New Roman"/>
                <w:b/>
                <w:sz w:val="20"/>
                <w:szCs w:val="20"/>
              </w:rPr>
            </w:pPr>
            <w:r w:rsidRPr="000515D2">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515D2" w:rsidRPr="000515D2" w:rsidRDefault="000515D2" w:rsidP="000515D2">
                <w:pPr>
                  <w:spacing w:after="0" w:line="240" w:lineRule="auto"/>
                  <w:jc w:val="center"/>
                  <w:rPr>
                    <w:rFonts w:ascii="Times New Roman" w:eastAsia="Times New Roman" w:hAnsi="Times New Roman" w:cs="Times New Roman"/>
                    <w:b/>
                    <w:sz w:val="20"/>
                    <w:szCs w:val="20"/>
                    <w:lang w:eastAsia="sk-SK"/>
                  </w:rPr>
                </w:pPr>
                <w:r w:rsidRPr="000515D2">
                  <w:rPr>
                    <w:rFonts w:ascii="Segoe UI Symbol" w:eastAsia="Times New Roman" w:hAnsi="Segoe UI Symbol" w:cs="Segoe UI Symbol"/>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515D2" w:rsidRPr="000515D2" w:rsidRDefault="000515D2" w:rsidP="000515D2">
            <w:pPr>
              <w:spacing w:after="0" w:line="240" w:lineRule="auto"/>
              <w:ind w:right="-108"/>
              <w:rPr>
                <w:rFonts w:ascii="Times New Roman" w:eastAsia="Times New Roman" w:hAnsi="Times New Roman" w:cs="Times New Roman"/>
                <w:b/>
                <w:sz w:val="20"/>
                <w:szCs w:val="20"/>
                <w:lang w:eastAsia="sk-SK"/>
              </w:rPr>
            </w:pPr>
            <w:r w:rsidRPr="000515D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515D2" w:rsidRPr="000515D2" w:rsidRDefault="000515D2" w:rsidP="000515D2">
                <w:pPr>
                  <w:spacing w:after="0" w:line="240" w:lineRule="auto"/>
                  <w:jc w:val="center"/>
                  <w:rPr>
                    <w:rFonts w:ascii="Times New Roman" w:eastAsia="Times New Roman" w:hAnsi="Times New Roman" w:cs="Times New Roman"/>
                    <w:b/>
                    <w:sz w:val="20"/>
                    <w:szCs w:val="20"/>
                    <w:lang w:eastAsia="sk-SK"/>
                  </w:rPr>
                </w:pPr>
                <w:r w:rsidRPr="000515D2">
                  <w:rPr>
                    <w:rFonts w:ascii="Segoe UI Symbol" w:eastAsia="Times New Roman" w:hAnsi="Segoe UI Symbol" w:cs="Segoe UI Symbol"/>
                    <w:b/>
                    <w:sz w:val="20"/>
                    <w:szCs w:val="20"/>
                    <w:lang w:eastAsia="sk-SK"/>
                  </w:rPr>
                  <w:t>☒</w:t>
                </w:r>
              </w:p>
            </w:tc>
          </w:sdtContent>
        </w:sdt>
        <w:tc>
          <w:tcPr>
            <w:tcW w:w="1133" w:type="dxa"/>
            <w:tcBorders>
              <w:top w:val="nil"/>
              <w:left w:val="nil"/>
              <w:bottom w:val="dotted" w:sz="4" w:space="0" w:color="auto"/>
              <w:right w:val="nil"/>
            </w:tcBorders>
            <w:shd w:val="clear" w:color="auto" w:fill="auto"/>
          </w:tcPr>
          <w:p w:rsidR="000515D2" w:rsidRPr="000515D2" w:rsidRDefault="000515D2" w:rsidP="000515D2">
            <w:pPr>
              <w:spacing w:after="0" w:line="240" w:lineRule="auto"/>
              <w:rPr>
                <w:rFonts w:ascii="Times New Roman" w:eastAsia="Times New Roman" w:hAnsi="Times New Roman" w:cs="Times New Roman"/>
                <w:b/>
                <w:sz w:val="20"/>
                <w:szCs w:val="20"/>
                <w:lang w:eastAsia="sk-SK"/>
              </w:rPr>
            </w:pPr>
            <w:r w:rsidRPr="000515D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515D2" w:rsidRPr="000515D2" w:rsidRDefault="000515D2" w:rsidP="000515D2">
                <w:pPr>
                  <w:spacing w:after="0" w:line="240" w:lineRule="auto"/>
                  <w:jc w:val="center"/>
                  <w:rPr>
                    <w:rFonts w:ascii="Times New Roman" w:eastAsia="Times New Roman" w:hAnsi="Times New Roman" w:cs="Times New Roman"/>
                    <w:b/>
                    <w:sz w:val="20"/>
                    <w:szCs w:val="20"/>
                    <w:lang w:eastAsia="sk-SK"/>
                  </w:rPr>
                </w:pPr>
                <w:r w:rsidRPr="000515D2">
                  <w:rPr>
                    <w:rFonts w:ascii="Segoe UI Symbol" w:eastAsia="Times New Roman" w:hAnsi="Segoe UI Symbol" w:cs="Segoe UI Symbol"/>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515D2" w:rsidRPr="000515D2" w:rsidRDefault="000515D2" w:rsidP="000515D2">
            <w:pPr>
              <w:spacing w:after="0" w:line="240" w:lineRule="auto"/>
              <w:rPr>
                <w:rFonts w:ascii="Times New Roman" w:eastAsia="Times New Roman" w:hAnsi="Times New Roman" w:cs="Times New Roman"/>
                <w:b/>
                <w:sz w:val="20"/>
                <w:szCs w:val="20"/>
                <w:lang w:eastAsia="sk-SK"/>
              </w:rPr>
            </w:pPr>
            <w:r w:rsidRPr="000515D2">
              <w:rPr>
                <w:rFonts w:ascii="Times New Roman" w:eastAsia="Times New Roman" w:hAnsi="Times New Roman" w:cs="Times New Roman"/>
                <w:b/>
                <w:sz w:val="20"/>
                <w:szCs w:val="20"/>
                <w:lang w:eastAsia="sk-SK"/>
              </w:rPr>
              <w:t>Negatívne</w:t>
            </w:r>
          </w:p>
        </w:tc>
      </w:tr>
      <w:tr w:rsidR="000515D2" w:rsidRPr="000515D2" w:rsidTr="00F1463E">
        <w:tc>
          <w:tcPr>
            <w:tcW w:w="3812" w:type="dxa"/>
            <w:tcBorders>
              <w:top w:val="nil"/>
              <w:left w:val="single" w:sz="4" w:space="0" w:color="auto"/>
              <w:bottom w:val="nil"/>
              <w:right w:val="single" w:sz="4" w:space="0" w:color="auto"/>
            </w:tcBorders>
            <w:shd w:val="clear" w:color="auto" w:fill="E2E2E2"/>
          </w:tcPr>
          <w:p w:rsidR="000515D2" w:rsidRPr="000515D2" w:rsidRDefault="000515D2" w:rsidP="000515D2">
            <w:pPr>
              <w:spacing w:after="0" w:line="240" w:lineRule="auto"/>
              <w:rPr>
                <w:rFonts w:ascii="Times New Roman" w:eastAsia="Calibri" w:hAnsi="Times New Roman" w:cs="Times New Roman"/>
                <w:b/>
                <w:sz w:val="20"/>
                <w:szCs w:val="20"/>
              </w:rPr>
            </w:pPr>
            <w:r w:rsidRPr="000515D2">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lang w:eastAsia="sk-SK"/>
                  </w:rPr>
                </w:pPr>
                <w:r w:rsidRPr="000515D2">
                  <w:rPr>
                    <w:rFonts w:ascii="Segoe UI Symbol" w:eastAsia="Times New Roman" w:hAnsi="Segoe UI Symbol" w:cs="Segoe UI Symbol"/>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515D2" w:rsidRPr="000515D2" w:rsidRDefault="000515D2" w:rsidP="000515D2">
            <w:pPr>
              <w:spacing w:after="0" w:line="240" w:lineRule="auto"/>
              <w:ind w:right="-108"/>
              <w:rPr>
                <w:rFonts w:ascii="Times New Roman" w:eastAsia="Times New Roman" w:hAnsi="Times New Roman" w:cs="Times New Roman"/>
                <w:b/>
                <w:sz w:val="20"/>
                <w:szCs w:val="20"/>
                <w:lang w:eastAsia="sk-SK"/>
              </w:rPr>
            </w:pPr>
            <w:r w:rsidRPr="000515D2">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lang w:eastAsia="sk-SK"/>
                  </w:rPr>
                </w:pPr>
                <w:r w:rsidRPr="000515D2">
                  <w:rPr>
                    <w:rFonts w:ascii="Segoe UI Symbol" w:eastAsia="Times New Roman" w:hAnsi="Segoe UI Symbol" w:cs="Segoe UI Symbol"/>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515D2" w:rsidRPr="000515D2" w:rsidRDefault="000515D2" w:rsidP="000515D2">
            <w:pPr>
              <w:spacing w:after="0" w:line="240" w:lineRule="auto"/>
              <w:rPr>
                <w:rFonts w:ascii="Times New Roman" w:eastAsia="Times New Roman" w:hAnsi="Times New Roman" w:cs="Times New Roman"/>
                <w:b/>
                <w:sz w:val="20"/>
                <w:szCs w:val="20"/>
                <w:lang w:eastAsia="sk-SK"/>
              </w:rPr>
            </w:pPr>
            <w:r w:rsidRPr="000515D2">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lang w:eastAsia="sk-SK"/>
                  </w:rPr>
                </w:pPr>
                <w:r w:rsidRPr="000515D2">
                  <w:rPr>
                    <w:rFonts w:ascii="Segoe UI Symbol" w:eastAsia="Times New Roman" w:hAnsi="Segoe UI Symbol" w:cs="Segoe UI Symbol"/>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515D2" w:rsidRPr="000515D2" w:rsidRDefault="000515D2" w:rsidP="000515D2">
            <w:pPr>
              <w:spacing w:after="0" w:line="240" w:lineRule="auto"/>
              <w:rPr>
                <w:rFonts w:ascii="Times New Roman" w:eastAsia="Times New Roman" w:hAnsi="Times New Roman" w:cs="Times New Roman"/>
                <w:b/>
                <w:sz w:val="20"/>
                <w:szCs w:val="20"/>
                <w:lang w:eastAsia="sk-SK"/>
              </w:rPr>
            </w:pPr>
            <w:r w:rsidRPr="000515D2">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0515D2" w:rsidRPr="000515D2" w:rsidTr="00F1463E">
        <w:tc>
          <w:tcPr>
            <w:tcW w:w="3812" w:type="dxa"/>
            <w:tcBorders>
              <w:top w:val="single" w:sz="4" w:space="0" w:color="000000"/>
              <w:left w:val="single" w:sz="4" w:space="0" w:color="auto"/>
              <w:bottom w:val="single" w:sz="4" w:space="0" w:color="auto"/>
              <w:right w:val="single" w:sz="4" w:space="0" w:color="auto"/>
            </w:tcBorders>
            <w:shd w:val="clear" w:color="auto" w:fill="E2E2E2"/>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Vplyvy na manželstvo, rodičovstvo a rodinu</w:t>
            </w:r>
          </w:p>
        </w:tc>
        <w:sdt>
          <w:sdtPr>
            <w:rPr>
              <w:rFonts w:ascii="Times New Roman" w:eastAsia="Times New Roman" w:hAnsi="Times New Roman" w:cs="Times New Roman"/>
              <w:b/>
              <w:sz w:val="20"/>
              <w:szCs w:val="20"/>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312" w:type="dxa"/>
            <w:tcBorders>
              <w:top w:val="single" w:sz="4" w:space="0" w:color="auto"/>
              <w:left w:val="nil"/>
              <w:bottom w:val="single" w:sz="4" w:space="0" w:color="auto"/>
              <w:right w:val="nil"/>
            </w:tcBorders>
            <w:vAlign w:val="center"/>
          </w:tcPr>
          <w:p w:rsidR="000515D2" w:rsidRPr="000515D2" w:rsidRDefault="000515D2" w:rsidP="000515D2">
            <w:pPr>
              <w:spacing w:after="0" w:line="240" w:lineRule="auto"/>
              <w:ind w:right="-108"/>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Pozitívne</w:t>
            </w:r>
          </w:p>
        </w:tc>
        <w:sdt>
          <w:sdtPr>
            <w:rPr>
              <w:rFonts w:ascii="Times New Roman" w:eastAsia="Times New Roman" w:hAnsi="Times New Roman" w:cs="Times New Roman"/>
              <w:b/>
              <w:sz w:val="20"/>
              <w:szCs w:val="20"/>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133" w:type="dxa"/>
            <w:tcBorders>
              <w:top w:val="single" w:sz="4" w:space="0" w:color="auto"/>
              <w:left w:val="nil"/>
              <w:bottom w:val="single" w:sz="4" w:space="0" w:color="auto"/>
              <w:right w:val="nil"/>
            </w:tcBorders>
            <w:vAlign w:val="center"/>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Žiadne</w:t>
            </w:r>
          </w:p>
        </w:tc>
        <w:sdt>
          <w:sdtPr>
            <w:rPr>
              <w:rFonts w:ascii="Times New Roman" w:eastAsia="Times New Roman" w:hAnsi="Times New Roman" w:cs="Times New Roman"/>
              <w:b/>
              <w:sz w:val="20"/>
              <w:szCs w:val="20"/>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0515D2" w:rsidRPr="000515D2" w:rsidRDefault="000515D2" w:rsidP="000515D2">
                <w:pPr>
                  <w:spacing w:after="0" w:line="240" w:lineRule="auto"/>
                  <w:jc w:val="center"/>
                  <w:rPr>
                    <w:rFonts w:ascii="Times New Roman" w:eastAsia="Times New Roman" w:hAnsi="Times New Roman" w:cs="Times New Roman"/>
                    <w:b/>
                    <w:sz w:val="20"/>
                    <w:szCs w:val="20"/>
                  </w:rPr>
                </w:pPr>
                <w:r w:rsidRPr="000515D2">
                  <w:rPr>
                    <w:rFonts w:ascii="Segoe UI Symbol" w:eastAsia="Times New Roman" w:hAnsi="Segoe UI Symbol" w:cs="Segoe UI Symbol"/>
                    <w:b/>
                    <w:sz w:val="20"/>
                    <w:szCs w:val="20"/>
                  </w:rPr>
                  <w:t>☐</w:t>
                </w:r>
              </w:p>
            </w:tc>
          </w:sdtContent>
        </w:sdt>
        <w:tc>
          <w:tcPr>
            <w:tcW w:w="1297" w:type="dxa"/>
            <w:tcBorders>
              <w:top w:val="single" w:sz="4" w:space="0" w:color="auto"/>
              <w:left w:val="nil"/>
              <w:bottom w:val="single" w:sz="4" w:space="0" w:color="auto"/>
              <w:right w:val="single" w:sz="4" w:space="0" w:color="auto"/>
            </w:tcBorders>
            <w:vAlign w:val="center"/>
          </w:tcPr>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Negatívne</w:t>
            </w:r>
          </w:p>
        </w:tc>
      </w:tr>
    </w:tbl>
    <w:p w:rsidR="000515D2" w:rsidRPr="000515D2" w:rsidRDefault="000515D2" w:rsidP="000515D2">
      <w:pPr>
        <w:spacing w:after="0" w:line="240" w:lineRule="auto"/>
        <w:ind w:right="141"/>
        <w:rPr>
          <w:rFonts w:ascii="Times New Roman" w:eastAsia="Times New Roman" w:hAnsi="Times New Roman" w:cs="Times New Roman"/>
          <w:b/>
          <w:sz w:val="20"/>
          <w:szCs w:val="20"/>
          <w:lang w:eastAsia="sk-SK"/>
        </w:rPr>
      </w:pPr>
    </w:p>
    <w:tbl>
      <w:tblPr>
        <w:tblStyle w:val="Mriekatabuky1"/>
        <w:tblW w:w="9176" w:type="dxa"/>
        <w:tblLayout w:type="fixed"/>
        <w:tblLook w:val="04A0" w:firstRow="1" w:lastRow="0" w:firstColumn="1" w:lastColumn="0" w:noHBand="0" w:noVBand="1"/>
      </w:tblPr>
      <w:tblGrid>
        <w:gridCol w:w="9176"/>
      </w:tblGrid>
      <w:tr w:rsidR="000515D2" w:rsidRPr="000515D2" w:rsidTr="00F1463E">
        <w:tc>
          <w:tcPr>
            <w:tcW w:w="9176" w:type="dxa"/>
            <w:tcBorders>
              <w:top w:val="single" w:sz="4" w:space="0" w:color="auto"/>
              <w:left w:val="single" w:sz="4" w:space="0" w:color="auto"/>
              <w:bottom w:val="nil"/>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lastRenderedPageBreak/>
              <w:t>Poznámky</w:t>
            </w:r>
          </w:p>
        </w:tc>
      </w:tr>
      <w:tr w:rsidR="000515D2" w:rsidRPr="000515D2" w:rsidTr="00F1463E">
        <w:trPr>
          <w:trHeight w:val="713"/>
        </w:trPr>
        <w:tc>
          <w:tcPr>
            <w:tcW w:w="9176" w:type="dxa"/>
            <w:tcBorders>
              <w:top w:val="nil"/>
              <w:left w:val="single" w:sz="4" w:space="0" w:color="auto"/>
              <w:bottom w:val="single" w:sz="4" w:space="0" w:color="FFFFFF"/>
              <w:right w:val="single" w:sz="4" w:space="0" w:color="auto"/>
            </w:tcBorders>
            <w:shd w:val="clear" w:color="auto" w:fill="auto"/>
          </w:tcPr>
          <w:p w:rsidR="000515D2" w:rsidRPr="000515D2" w:rsidRDefault="000515D2" w:rsidP="000515D2">
            <w:pPr>
              <w:spacing w:after="0" w:line="240" w:lineRule="auto"/>
              <w:contextualSpacing/>
              <w:jc w:val="both"/>
              <w:rPr>
                <w:rFonts w:ascii="Times New Roman" w:eastAsia="Calibri" w:hAnsi="Times New Roman" w:cs="Times New Roman"/>
                <w:sz w:val="20"/>
                <w:szCs w:val="20"/>
              </w:rPr>
            </w:pPr>
            <w:r w:rsidRPr="000515D2">
              <w:rPr>
                <w:rFonts w:ascii="Times New Roman" w:eastAsia="Calibri" w:hAnsi="Times New Roman" w:cs="Times New Roman"/>
                <w:sz w:val="20"/>
                <w:szCs w:val="20"/>
              </w:rPr>
              <w:t>Vypustenie odseku 3  ustanovenia § 7 predmetného zákona nezakladá negatívne sociálne vplyvy. Vypustenie predmetného ustanovenia nebude mať žiaden priamy dopad na existenciu Informačného centra na boj proti obchodovaniu s ľuďmi a prevenciu kriminality (ďalej len „IC OSĽ“). IC OSĽ bude naďalej plniť úlohy vyplývajúce Ministerstvu vnútra Slovenskej republiky z § 7, ako aj úlohy vyplývajúce z Opatrenia štátneho tajomníka Ministerstva vnútra Slovenskej republiky č. 58/2015 o úlohách IC OSĽ. Primárnou činnosťou IC OSĽ naďalej ostávajú úlohy súvisiace predovšetkým s Národným programom boja proti obchodovaniu s ľuďmi 2019 – 2023, t. j. poskytovanie pomoci obetiam obchodovania s ľuďmi.</w:t>
            </w:r>
          </w:p>
          <w:p w:rsidR="000515D2" w:rsidRPr="000515D2" w:rsidRDefault="000515D2" w:rsidP="000515D2">
            <w:pPr>
              <w:spacing w:after="0" w:line="240" w:lineRule="auto"/>
              <w:contextualSpacing/>
              <w:jc w:val="both"/>
              <w:rPr>
                <w:rFonts w:ascii="Times New Roman" w:eastAsia="Calibri" w:hAnsi="Times New Roman" w:cs="Times New Roman"/>
                <w:sz w:val="20"/>
                <w:szCs w:val="20"/>
              </w:rPr>
            </w:pPr>
          </w:p>
        </w:tc>
      </w:tr>
      <w:tr w:rsidR="000515D2" w:rsidRPr="000515D2" w:rsidTr="00F1463E">
        <w:tc>
          <w:tcPr>
            <w:tcW w:w="9176" w:type="dxa"/>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Kontakt na spracovateľa</w:t>
            </w:r>
          </w:p>
        </w:tc>
      </w:tr>
      <w:tr w:rsidR="000515D2" w:rsidRPr="000515D2" w:rsidTr="00F1463E">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Mgr. Barbora Minárová, odbor prevencie kriminality kancelárie Ministerstva vnútra Slovenskej republiky, </w:t>
            </w:r>
            <w:hyperlink r:id="rId7" w:history="1">
              <w:r w:rsidRPr="000515D2">
                <w:rPr>
                  <w:rFonts w:ascii="Times New Roman" w:eastAsia="Times New Roman" w:hAnsi="Times New Roman" w:cs="Times New Roman"/>
                  <w:color w:val="0563C1" w:themeColor="hyperlink"/>
                  <w:sz w:val="20"/>
                  <w:szCs w:val="20"/>
                  <w:u w:val="single"/>
                </w:rPr>
                <w:t>barbora.minarova@minv.sk</w:t>
              </w:r>
            </w:hyperlink>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Mgr. Viliam Kaliňák, odbor prevencie kriminality kancelárie Ministerstva vnútra Slovenskej republiky, </w:t>
            </w:r>
            <w:hyperlink r:id="rId8" w:history="1">
              <w:r w:rsidRPr="000515D2">
                <w:rPr>
                  <w:rFonts w:ascii="Times New Roman" w:eastAsia="Times New Roman" w:hAnsi="Times New Roman" w:cs="Times New Roman"/>
                  <w:color w:val="0563C1" w:themeColor="hyperlink"/>
                  <w:sz w:val="20"/>
                  <w:szCs w:val="20"/>
                  <w:u w:val="single"/>
                </w:rPr>
                <w:t>viliam.kalinak@minv.sk</w:t>
              </w:r>
            </w:hyperlink>
            <w:r w:rsidRPr="000515D2">
              <w:rPr>
                <w:rFonts w:ascii="Times New Roman" w:eastAsia="Times New Roman" w:hAnsi="Times New Roman" w:cs="Times New Roman"/>
                <w:sz w:val="20"/>
                <w:szCs w:val="20"/>
              </w:rPr>
              <w:t xml:space="preserve"> </w:t>
            </w:r>
          </w:p>
          <w:p w:rsidR="000515D2" w:rsidRPr="000515D2" w:rsidRDefault="000515D2" w:rsidP="000515D2">
            <w:pPr>
              <w:spacing w:after="0" w:line="240" w:lineRule="auto"/>
              <w:jc w:val="both"/>
              <w:rPr>
                <w:rFonts w:ascii="Times New Roman" w:eastAsia="Times New Roman" w:hAnsi="Times New Roman" w:cs="Times New Roman"/>
                <w:sz w:val="20"/>
                <w:szCs w:val="20"/>
              </w:rPr>
            </w:pPr>
          </w:p>
        </w:tc>
      </w:tr>
      <w:tr w:rsidR="000515D2" w:rsidRPr="000515D2" w:rsidTr="00F1463E">
        <w:tc>
          <w:tcPr>
            <w:tcW w:w="9176" w:type="dxa"/>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numPr>
                <w:ilvl w:val="0"/>
                <w:numId w:val="2"/>
              </w:numPr>
              <w:spacing w:after="0" w:line="240" w:lineRule="auto"/>
              <w:ind w:left="426"/>
              <w:contextualSpacing/>
              <w:rPr>
                <w:rFonts w:ascii="Times New Roman" w:eastAsia="Calibri" w:hAnsi="Times New Roman" w:cs="Times New Roman"/>
                <w:b/>
              </w:rPr>
            </w:pPr>
            <w:r w:rsidRPr="000515D2">
              <w:rPr>
                <w:rFonts w:ascii="Times New Roman" w:eastAsia="Calibri" w:hAnsi="Times New Roman" w:cs="Times New Roman"/>
                <w:b/>
              </w:rPr>
              <w:t>Zdroje</w:t>
            </w:r>
          </w:p>
        </w:tc>
      </w:tr>
      <w:tr w:rsidR="000515D2" w:rsidRPr="000515D2" w:rsidTr="00F1463E">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Analýza zdôvodňujúca potrebu, funkčnosť a vyťaženosť informačných kancelárií v súčasnosti, ako aj predpoklad vývoja do budúcnosti, bola vytvorená na základe údajov vyplývajúcich zo súčasnej činnosti informačných kancelárií.</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Štatistické údaje informačných kancelárií zriadených na základe národného projektu s názvom „</w:t>
            </w:r>
            <w:r w:rsidRPr="000515D2">
              <w:rPr>
                <w:rFonts w:ascii="Times New Roman" w:eastAsiaTheme="minorHAnsi" w:hAnsi="Times New Roman" w:cs="Times New Roman"/>
                <w:sz w:val="20"/>
                <w:szCs w:val="20"/>
              </w:rPr>
              <w:t>Zlepšenie prístupu obetí trestných činov k službám a vytvorenie kontaktných bodov pre obete“.</w:t>
            </w:r>
          </w:p>
          <w:p w:rsidR="000515D2" w:rsidRPr="000515D2" w:rsidRDefault="000515D2" w:rsidP="000515D2">
            <w:pPr>
              <w:spacing w:after="0" w:line="240" w:lineRule="auto"/>
              <w:rPr>
                <w:rFonts w:ascii="Times New Roman" w:eastAsia="Times New Roman" w:hAnsi="Times New Roman" w:cs="Times New Roman"/>
                <w:b/>
                <w:sz w:val="20"/>
                <w:szCs w:val="20"/>
              </w:rPr>
            </w:pPr>
          </w:p>
        </w:tc>
      </w:tr>
      <w:tr w:rsidR="000515D2" w:rsidRPr="000515D2" w:rsidTr="00F1463E">
        <w:tc>
          <w:tcPr>
            <w:tcW w:w="9176" w:type="dxa"/>
            <w:tcBorders>
              <w:top w:val="single" w:sz="4" w:space="0" w:color="auto"/>
              <w:left w:val="single" w:sz="4" w:space="0" w:color="auto"/>
              <w:bottom w:val="single" w:sz="4" w:space="0" w:color="FFFFFF"/>
              <w:right w:val="single" w:sz="4" w:space="0" w:color="auto"/>
            </w:tcBorders>
            <w:shd w:val="clear" w:color="auto" w:fill="E2E2E2"/>
          </w:tcPr>
          <w:p w:rsidR="000515D2" w:rsidRPr="000515D2" w:rsidRDefault="000515D2" w:rsidP="000515D2">
            <w:pPr>
              <w:numPr>
                <w:ilvl w:val="0"/>
                <w:numId w:val="2"/>
              </w:numPr>
              <w:spacing w:after="0" w:line="240" w:lineRule="auto"/>
              <w:ind w:left="447" w:hanging="425"/>
              <w:contextualSpacing/>
              <w:rPr>
                <w:rFonts w:ascii="Times New Roman" w:eastAsia="Calibri" w:hAnsi="Times New Roman" w:cs="Times New Roman"/>
                <w:b/>
              </w:rPr>
            </w:pPr>
            <w:r w:rsidRPr="000515D2">
              <w:rPr>
                <w:rFonts w:ascii="Times New Roman" w:eastAsia="Calibri" w:hAnsi="Times New Roman" w:cs="Times New Roman"/>
                <w:b/>
              </w:rPr>
              <w:t>Stanovisko Komisie na posudzovanie vybraných vplyvov z PPK č. 258/2021</w:t>
            </w:r>
          </w:p>
          <w:p w:rsidR="000515D2" w:rsidRPr="000515D2" w:rsidRDefault="000515D2" w:rsidP="000515D2">
            <w:pPr>
              <w:spacing w:after="0" w:line="240" w:lineRule="auto"/>
              <w:rPr>
                <w:rFonts w:ascii="Times New Roman" w:eastAsia="Times New Roman" w:hAnsi="Times New Roman" w:cs="Times New Roman"/>
                <w:b/>
                <w:sz w:val="20"/>
                <w:szCs w:val="20"/>
              </w:rPr>
            </w:pPr>
            <w:r w:rsidRPr="000515D2">
              <w:rPr>
                <w:rFonts w:ascii="Times New Roman" w:eastAsia="Calibri" w:hAnsi="Times New Roman" w:cs="Times New Roman"/>
              </w:rPr>
              <w:t>(v prípade, ak sa uskutočnilo v zmysle bodu 8.1 Jednotnej metodiky)</w:t>
            </w:r>
          </w:p>
        </w:tc>
      </w:tr>
      <w:tr w:rsidR="000515D2" w:rsidRPr="000515D2" w:rsidTr="00F1463E">
        <w:trPr>
          <w:trHeight w:val="1236"/>
        </w:trPr>
        <w:tc>
          <w:tcPr>
            <w:tcW w:w="9176" w:type="dxa"/>
            <w:tcBorders>
              <w:top w:val="single" w:sz="4" w:space="0" w:color="FFFFFF"/>
              <w:left w:val="single" w:sz="4" w:space="0" w:color="auto"/>
              <w:bottom w:val="single" w:sz="4" w:space="0" w:color="auto"/>
              <w:right w:val="single" w:sz="4" w:space="0" w:color="auto"/>
            </w:tcBorders>
            <w:shd w:val="clear" w:color="auto" w:fill="FFFFFF"/>
          </w:tcPr>
          <w:p w:rsidR="000515D2" w:rsidRPr="000515D2" w:rsidRDefault="000515D2" w:rsidP="000515D2">
            <w:pPr>
              <w:spacing w:after="0" w:line="240" w:lineRule="auto"/>
              <w:rPr>
                <w:rFonts w:ascii="Times New Roman" w:eastAsia="Times New Roman" w:hAnsi="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515D2" w:rsidRPr="000515D2" w:rsidTr="00F1463E">
              <w:trPr>
                <w:trHeight w:val="396"/>
              </w:trPr>
              <w:tc>
                <w:tcPr>
                  <w:tcW w:w="2552" w:type="dxa"/>
                </w:tcPr>
                <w:p w:rsidR="000515D2" w:rsidRPr="000515D2" w:rsidRDefault="00053B06" w:rsidP="000515D2">
                  <w:pPr>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874910888"/>
                      <w14:checkbox>
                        <w14:checked w14:val="0"/>
                        <w14:checkedState w14:val="2612" w14:font="MS Gothic"/>
                        <w14:uncheckedState w14:val="2610" w14:font="MS Gothic"/>
                      </w14:checkbox>
                    </w:sdtPr>
                    <w:sdtEndPr/>
                    <w:sdtContent>
                      <w:r w:rsidR="000515D2" w:rsidRPr="000515D2">
                        <w:rPr>
                          <w:rFonts w:ascii="Segoe UI Symbol" w:eastAsia="Times New Roman" w:hAnsi="Segoe UI Symbol" w:cs="Segoe UI Symbol"/>
                          <w:b/>
                          <w:sz w:val="20"/>
                          <w:szCs w:val="20"/>
                        </w:rPr>
                        <w:t>☐</w:t>
                      </w:r>
                    </w:sdtContent>
                  </w:sdt>
                  <w:r w:rsidR="000515D2" w:rsidRPr="000515D2">
                    <w:rPr>
                      <w:rFonts w:ascii="Times New Roman" w:eastAsia="Times New Roman" w:hAnsi="Times New Roman" w:cs="Times New Roman"/>
                      <w:b/>
                      <w:sz w:val="20"/>
                      <w:szCs w:val="20"/>
                    </w:rPr>
                    <w:t xml:space="preserve">  Súhlasné </w:t>
                  </w:r>
                </w:p>
              </w:tc>
              <w:tc>
                <w:tcPr>
                  <w:tcW w:w="3827" w:type="dxa"/>
                </w:tcPr>
                <w:p w:rsidR="000515D2" w:rsidRPr="000515D2" w:rsidRDefault="00053B06" w:rsidP="000515D2">
                  <w:pPr>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1697888127"/>
                      <w14:checkbox>
                        <w14:checked w14:val="0"/>
                        <w14:checkedState w14:val="2612" w14:font="MS Gothic"/>
                        <w14:uncheckedState w14:val="2610" w14:font="MS Gothic"/>
                      </w14:checkbox>
                    </w:sdtPr>
                    <w:sdtEndPr/>
                    <w:sdtContent>
                      <w:r w:rsidR="000515D2" w:rsidRPr="000515D2">
                        <w:rPr>
                          <w:rFonts w:ascii="Segoe UI Symbol" w:eastAsia="Times New Roman" w:hAnsi="Segoe UI Symbol" w:cs="Segoe UI Symbol"/>
                          <w:b/>
                          <w:sz w:val="20"/>
                          <w:szCs w:val="20"/>
                        </w:rPr>
                        <w:t>☐</w:t>
                      </w:r>
                    </w:sdtContent>
                  </w:sdt>
                  <w:r w:rsidR="000515D2" w:rsidRPr="000515D2">
                    <w:rPr>
                      <w:rFonts w:ascii="Times New Roman" w:eastAsia="Times New Roman" w:hAnsi="Times New Roman" w:cs="Times New Roman"/>
                      <w:b/>
                      <w:sz w:val="20"/>
                      <w:szCs w:val="20"/>
                    </w:rPr>
                    <w:t xml:space="preserve">  Súhlasné s návrhom na dopracovanie</w:t>
                  </w:r>
                </w:p>
              </w:tc>
              <w:tc>
                <w:tcPr>
                  <w:tcW w:w="2534" w:type="dxa"/>
                </w:tcPr>
                <w:p w:rsidR="000515D2" w:rsidRPr="000515D2" w:rsidRDefault="00053B06" w:rsidP="000515D2">
                  <w:pPr>
                    <w:spacing w:after="0" w:line="240" w:lineRule="auto"/>
                    <w:ind w:right="459"/>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647822913"/>
                      <w14:checkbox>
                        <w14:checked w14:val="1"/>
                        <w14:checkedState w14:val="2612" w14:font="MS Gothic"/>
                        <w14:uncheckedState w14:val="2610" w14:font="MS Gothic"/>
                      </w14:checkbox>
                    </w:sdtPr>
                    <w:sdtEndPr/>
                    <w:sdtContent>
                      <w:r w:rsidR="000515D2" w:rsidRPr="000515D2">
                        <w:rPr>
                          <w:rFonts w:ascii="Segoe UI Symbol" w:eastAsia="Times New Roman" w:hAnsi="Segoe UI Symbol" w:cs="Segoe UI Symbol"/>
                          <w:b/>
                          <w:sz w:val="20"/>
                          <w:szCs w:val="20"/>
                        </w:rPr>
                        <w:t>☒</w:t>
                      </w:r>
                    </w:sdtContent>
                  </w:sdt>
                  <w:r w:rsidR="000515D2" w:rsidRPr="000515D2">
                    <w:rPr>
                      <w:rFonts w:ascii="Times New Roman" w:eastAsia="Times New Roman" w:hAnsi="Times New Roman" w:cs="Times New Roman"/>
                      <w:b/>
                      <w:sz w:val="20"/>
                      <w:szCs w:val="20"/>
                    </w:rPr>
                    <w:t xml:space="preserve">  Nesúhlasné</w:t>
                  </w:r>
                </w:p>
              </w:tc>
            </w:tr>
          </w:tbl>
          <w:p w:rsidR="000515D2" w:rsidRPr="000515D2" w:rsidRDefault="000515D2" w:rsidP="000515D2">
            <w:pPr>
              <w:spacing w:after="0" w:line="240" w:lineRule="auto"/>
              <w:jc w:val="both"/>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Uveďte pripomienky zo stanoviska Komisie z časti II. spolu s Vaším vyhodnotením:</w:t>
            </w:r>
          </w:p>
          <w:p w:rsidR="000515D2" w:rsidRPr="000515D2" w:rsidRDefault="000515D2" w:rsidP="000515D2">
            <w:pPr>
              <w:spacing w:after="0" w:line="240" w:lineRule="auto"/>
              <w:jc w:val="both"/>
              <w:rPr>
                <w:rFonts w:ascii="Times New Roman" w:eastAsia="Times New Roman" w:hAnsi="Times New Roman" w:cs="Times New Roman"/>
                <w:b/>
                <w:sz w:val="20"/>
                <w:szCs w:val="20"/>
              </w:rPr>
            </w:pPr>
          </w:p>
          <w:p w:rsidR="000515D2" w:rsidRPr="000515D2" w:rsidRDefault="000515D2" w:rsidP="000515D2">
            <w:pPr>
              <w:spacing w:after="0" w:line="240" w:lineRule="auto"/>
              <w:jc w:val="both"/>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K doložke vybraných vplyvov</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Komisia odporúča lepšie popísať bod č. 5. Alternatívne riešenia – nulový variant - analýzu súčasného stavu, v rámci ktorej sa uvedú dôsledky vyplývajúce z dôvodu absencie právnej úpravy, ak by nebol prijatý predmetný zákon. </w:t>
            </w:r>
          </w:p>
          <w:p w:rsidR="000515D2" w:rsidRPr="000515D2" w:rsidRDefault="000515D2" w:rsidP="000515D2">
            <w:pPr>
              <w:spacing w:after="0" w:line="240" w:lineRule="auto"/>
              <w:jc w:val="both"/>
              <w:rPr>
                <w:rFonts w:ascii="Times New Roman" w:eastAsia="Times New Roman" w:hAnsi="Times New Roman" w:cs="Times New Roman"/>
                <w:strike/>
                <w:sz w:val="20"/>
                <w:szCs w:val="20"/>
              </w:rPr>
            </w:pPr>
            <w:r w:rsidRPr="000515D2">
              <w:rPr>
                <w:rFonts w:ascii="Times New Roman" w:eastAsia="Times New Roman" w:hAnsi="Times New Roman" w:cs="Times New Roman"/>
                <w:sz w:val="20"/>
                <w:szCs w:val="20"/>
              </w:rPr>
              <w:t xml:space="preserve">Komisia odporúča doplniť chýbajúce body, a to č. 8. Preskúmanie účelnosti – časovú lehotu a kritéria a bod č. 12. Zdroje – z čoho predkladateľ čerpal. </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Odôvodnenie: V zmysle aktualizovanej Jednotnej metodiky na posudzovanie vybraných vplyvov, v súlade s časťou II. Obsahové požiadavky doložky, účinnej od 1.júna 2021</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heme="minorHAnsi" w:hAnsi="Times New Roman" w:cs="Times New Roman"/>
                <w:sz w:val="20"/>
                <w:szCs w:val="20"/>
                <w:u w:val="single"/>
              </w:rPr>
            </w:pPr>
            <w:r w:rsidRPr="000515D2">
              <w:rPr>
                <w:rFonts w:ascii="Times New Roman" w:eastAsiaTheme="minorHAnsi" w:hAnsi="Times New Roman" w:cs="Times New Roman"/>
                <w:sz w:val="20"/>
                <w:szCs w:val="20"/>
                <w:u w:val="single"/>
              </w:rPr>
              <w:t>Vyhodnotenie uplatnenej pripomienky:</w:t>
            </w:r>
          </w:p>
          <w:p w:rsidR="000515D2" w:rsidRPr="000515D2" w:rsidRDefault="000515D2" w:rsidP="000515D2">
            <w:pPr>
              <w:spacing w:after="0" w:line="240" w:lineRule="auto"/>
              <w:jc w:val="both"/>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Pripomienky boli akceptované. V doložke vybraných vplyvov bol doplnený text v bode č. 5. Alternatívne riešenia, v bode č. 8. Preskúmanie účelnosti a v bode č. 12 Zdroje.</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K vplyvom na rozpočet verejnej správy</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V doložke vybraných vplyvov je označený negatívny, rozpočtovo nezabezpečený vplyv na rozpočet verejnej správy. V analýze vplyvov je v tabuľke č. 1 kvantifikovaný celkový nárast výdavkov na kapitolu Ministerstvo vnútra SR v sume 502 126 eur v roku 2022 a v sume 669 501 eur každoročne v rokoch 2023 až 2025, ktorý vyplýva zo zvýšenia počtu štátnozamestnaneckých miest v stálej štátnej službe od 1.4.2022 (24 miest v platovej triede 6, 1 miesto v platovej triede 8 a 2 miesta v platovej triede 9).</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V rámci prípravy Návrhu rozpočtu verejnej správy na roky 2022 až 2024 kapitola Ministerstvo vnútra SR neuplatnila v prioritách požiadavku na zvýšenie počtu zamestnancov a osobných výdavkov na uvedený účel. V kapitole Všeobecná pokladničná správa nie je na predmetný účel vytvorená žiadna rezerva. </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Všetky negatívne vplyvy na rozpočet verejnej správy vyplývajúce z návrhu zákona žiada Komisia zabezpečiť v rámci schválených limitov výdavkov a počtu zamestnancov dotknutého subjektu verejnej správy na príslušné rozpočtové roky bez dodatočných požiadaviek na rozpočet verejnej správy. V nadväznosti na uvedené je potrebné upraviť doložku vybraných vplyvov a analýzu vplyvov na rozpočet verejnej správy tak, aby z nich nevyplýval rozpočtovo nekrytý vplyv. Predmetné konštatovanie je potrebné uviesť v časti 2.1.1. analýzy vplyvov na rozpočet verejnej správy.</w:t>
            </w:r>
            <w:r w:rsidRPr="000515D2">
              <w:rPr>
                <w:rFonts w:ascii="Times New Roman" w:eastAsia="Times New Roman" w:hAnsi="Times New Roman" w:cs="Times New Roman"/>
                <w:strike/>
                <w:sz w:val="20"/>
                <w:szCs w:val="20"/>
              </w:rPr>
              <w:t xml:space="preserve"> </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heme="minorHAnsi" w:hAnsi="Times New Roman" w:cs="Times New Roman"/>
                <w:sz w:val="20"/>
                <w:szCs w:val="20"/>
                <w:u w:val="single"/>
              </w:rPr>
            </w:pPr>
            <w:r w:rsidRPr="000515D2">
              <w:rPr>
                <w:rFonts w:ascii="Times New Roman" w:eastAsiaTheme="minorHAnsi" w:hAnsi="Times New Roman" w:cs="Times New Roman"/>
                <w:sz w:val="20"/>
                <w:szCs w:val="20"/>
                <w:u w:val="single"/>
              </w:rPr>
              <w:lastRenderedPageBreak/>
              <w:t>Vyhodnotenie uplatnenej pripomienky:</w:t>
            </w:r>
          </w:p>
          <w:p w:rsidR="000515D2" w:rsidRPr="000515D2" w:rsidRDefault="000515D2" w:rsidP="000515D2">
            <w:pPr>
              <w:spacing w:after="0" w:line="240" w:lineRule="auto"/>
              <w:jc w:val="both"/>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 xml:space="preserve">Žiadosť Komisie zabezpečiť všetky negatívne vplyvy na rozpočet verejnej správy v rámci schválených limitov výdavkov a počtu zamestnancov Ministerstva vnútra Slovenskej republiky na príslušné rozpočtové roky bez dodatočných požiadaviek na rozpočet verejnej správy je neakceptovaná. </w:t>
            </w:r>
          </w:p>
          <w:p w:rsidR="000515D2" w:rsidRPr="000515D2" w:rsidRDefault="000515D2" w:rsidP="000515D2">
            <w:pPr>
              <w:spacing w:after="0" w:line="240" w:lineRule="auto"/>
              <w:jc w:val="both"/>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Predkladateľ nedisponuje s voľnými zdrojmi vo svojej kapitole, ktorými by vedel zabezpečiť finančné krytie predmetného návrhu zákona.</w:t>
            </w:r>
          </w:p>
          <w:p w:rsidR="000515D2" w:rsidRPr="000515D2" w:rsidRDefault="000515D2" w:rsidP="000515D2">
            <w:pPr>
              <w:spacing w:after="0" w:line="240" w:lineRule="auto"/>
              <w:jc w:val="both"/>
              <w:rPr>
                <w:rFonts w:ascii="Times New Roman" w:eastAsia="Calibri" w:hAnsi="Times New Roman" w:cs="Times New Roman"/>
                <w:i/>
                <w:color w:val="0563C1"/>
                <w:sz w:val="20"/>
                <w:szCs w:val="20"/>
                <w:u w:val="single"/>
              </w:rPr>
            </w:pPr>
            <w:r w:rsidRPr="000515D2">
              <w:rPr>
                <w:rFonts w:ascii="Times New Roman" w:eastAsia="Calibri" w:hAnsi="Times New Roman" w:cs="Times New Roman"/>
                <w:i/>
                <w:sz w:val="20"/>
                <w:szCs w:val="20"/>
              </w:rPr>
              <w:t>Na základe rozporového konania uskutočneného na úrovni štátnych tajomníkov rezortov Ministerstva vnútra Slovenskej republiky a Ministerstva financií Slovenskej republiky bol vzniknutý rozpor odstránený, a teda Ministerstvo financií Slovenskej republiky zvýši finančné prostriedky po schválení predmetného návrh zákona na roky 2024 a ďalšie. Národný projekt „Zlepšenie prístupu obetí trestných činov k službám a vytvorenie kontaktných bodov pre obete“ s kódom ITMS2014+ č. 314011L605 je realizovaný Ministerstvom vnútra Slovenskej republiky, pričom financovanie zabezpečované z Európskeho sociálneho fondu prostredníctvom  Operačného programu Efektívna verejná správa malo pôvodne skončiť 31.7.2022. Vzhľadom na aktuálnu celospoločenskú situáciu súvisiacu so zmenou bezpečnostnej situácie v Európe v dôsledku vypuknutia vojnového konfliktu na Ukrajine je v aktuálnom období národný projekt v procese predĺženia a zmeny realizácie jeho aktivít s predpokladaným financovaním do 31.12. 2023. V tejto súvislosti bolo dňa 12.8.2022 zverejnené Usmernenie č. 1 k Vyzvaniu na národný projekt „Zlepšenie prístupu obetí trestných činov k službám a vytvorenie kontaktných bodov pre obete“. Doložka vybraných vplyvov bola aktualizovaná.</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K sociálnym vplyvom</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V Doložke vybraných vplyvov v  bode 10. Poznámky považuje Komisia za potrebné uviesť skutočnosti, prečo predkladateľ nepredpokladá žiadne sociálne vplyvy (v rámci ktorých sa hodnotia aj vplyvy na prístup k zdrojom, právam, tovarom a službám v bode 4.2 analýzy sociálnych vplyvov), a to aj  napriek návrhu na rozšírenie  pôsobnosti Ministerstva vnútra Slovenskej republiky, na základe ktorej bude Ministerstvo vnútra Slovenskej republiky vykonávať činnosti prostredníctvom informačných kancelárií pre obete, a to  za  účelom zlepšenia ochrany, podpory a pomoci obetiam kriminality a inej protispoločenskej činnosti.  Predkladateľovi Komisia</w:t>
            </w:r>
            <w:r w:rsidRPr="000515D2">
              <w:rPr>
                <w:rFonts w:ascii="Times New Roman" w:eastAsia="Times New Roman" w:hAnsi="Times New Roman" w:cs="Times New Roman"/>
                <w:b/>
                <w:sz w:val="20"/>
                <w:szCs w:val="20"/>
              </w:rPr>
              <w:t xml:space="preserve"> </w:t>
            </w:r>
            <w:r w:rsidRPr="000515D2">
              <w:rPr>
                <w:rFonts w:ascii="Times New Roman" w:eastAsia="Times New Roman" w:hAnsi="Times New Roman" w:cs="Times New Roman"/>
                <w:sz w:val="20"/>
                <w:szCs w:val="20"/>
              </w:rPr>
              <w:t xml:space="preserve">odporúča v tejto súvislosti uviesť, že predmetný návrh sa predkladá z dôvodu potreby plnenia záväzku vyplývajúceho z národného projektu s názvom „Zlepšenie prístupu obetí trestných činov k službám a vytvorenie kontaktných bodov pre obete“, ktorý je aktuálne realizovaný Ministerstvom vnútra Slovenskej republiky, pričom už v súčasnosti sú  informačné kancelárie pre obete zriadené na základe tohto národného projektu, ktorého doba realizácie však uplynie 31. marca 2022. </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heme="minorHAnsi" w:hAnsi="Times New Roman" w:cs="Times New Roman"/>
                <w:sz w:val="20"/>
                <w:szCs w:val="20"/>
                <w:u w:val="single"/>
              </w:rPr>
            </w:pPr>
            <w:r w:rsidRPr="000515D2">
              <w:rPr>
                <w:rFonts w:ascii="Times New Roman" w:eastAsiaTheme="minorHAnsi" w:hAnsi="Times New Roman" w:cs="Times New Roman"/>
                <w:sz w:val="20"/>
                <w:szCs w:val="20"/>
                <w:u w:val="single"/>
              </w:rPr>
              <w:t>Vyhodnotenie uplatnenej pripomienky:</w:t>
            </w:r>
          </w:p>
          <w:p w:rsidR="000515D2" w:rsidRPr="000515D2" w:rsidRDefault="000515D2" w:rsidP="000515D2">
            <w:pPr>
              <w:spacing w:after="0" w:line="240" w:lineRule="auto"/>
              <w:jc w:val="both"/>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Predkladateľ identifikoval pozitívny vplyv na sociálne vplyvy, pričom uvedené zohľadnil v doložke vybraných vplyvov a vypracoval analýzu sociálnych vplyvov.</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V Doložke vybraných vplyvov v bode 10. Poznámky v považuje Komisia za potrebné uviesť aj skutočnosti uvedené v osobitnej časti dôvodovej správy k novelizačnému bodu č. 6, ktoré zároveň odôvodňujú, prečo návrh na vypustenie odseku z predmetného zákona, ktorý určuje obligatórnu právnu formu Informačného centra na boj proti obchodovaniu s ľuďmi a prevenciu kriminality, nezakladá žiadne sociálne vplyvy. Bod č. 10 Poznámky – doplnený.</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heme="minorHAnsi" w:hAnsi="Times New Roman" w:cs="Times New Roman"/>
                <w:sz w:val="20"/>
                <w:szCs w:val="20"/>
                <w:u w:val="single"/>
              </w:rPr>
            </w:pPr>
            <w:r w:rsidRPr="000515D2">
              <w:rPr>
                <w:rFonts w:ascii="Times New Roman" w:eastAsiaTheme="minorHAnsi" w:hAnsi="Times New Roman" w:cs="Times New Roman"/>
                <w:sz w:val="20"/>
                <w:szCs w:val="20"/>
                <w:u w:val="single"/>
              </w:rPr>
              <w:t>Vyhodnotenie uplatnenej pripomienky:</w:t>
            </w:r>
          </w:p>
          <w:p w:rsidR="000515D2" w:rsidRPr="000515D2" w:rsidRDefault="000515D2" w:rsidP="000515D2">
            <w:pPr>
              <w:spacing w:after="0" w:line="240" w:lineRule="auto"/>
              <w:jc w:val="both"/>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Pripomienka bola akceptovaná. V doložke vybraných vplyvov bol doplnený text v bode č. 10 Poznámky.</w:t>
            </w:r>
          </w:p>
          <w:p w:rsidR="000515D2" w:rsidRPr="000515D2" w:rsidRDefault="000515D2" w:rsidP="000515D2">
            <w:pPr>
              <w:spacing w:after="0" w:line="240" w:lineRule="auto"/>
              <w:jc w:val="both"/>
              <w:rPr>
                <w:rFonts w:ascii="Times New Roman" w:eastAsia="Times New Roman" w:hAnsi="Times New Roman" w:cs="Times New Roman"/>
                <w:color w:val="00B050"/>
                <w:sz w:val="20"/>
                <w:szCs w:val="20"/>
              </w:rPr>
            </w:pPr>
          </w:p>
          <w:p w:rsidR="000515D2" w:rsidRPr="000515D2" w:rsidRDefault="000515D2" w:rsidP="000515D2">
            <w:pPr>
              <w:spacing w:after="0" w:line="240" w:lineRule="auto"/>
              <w:jc w:val="both"/>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 xml:space="preserve">K vplyvom na manželstvo, rodičovstvo a rodinu </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Komisia odporúča predkladateľovi, aby v súlade s Jednotnou metodikou na posudzovanie vybraných vplyvov zmenil v predkladacej správe text, že predkladaný materiál nemá žiadny vplyv na  manželstvo rodičovstvo a rodinu, pretože návrh zákona o prevencii kriminality rieši otázky domáceho násilia a násilia na ženách, čím sa dotýka aj problematiky rodiny, má mať pozitívny vplyv. Zároveň Komisia odporúča predkladateľovi, aby  identifikoval v doložke vybraných vplyvov v bode 9. pozitívne vplyvy na manželstvo rodičovstvo a rodinu a vypracoval príslušnú analýzu vplyvov na manželstvo rodičovstvo a rodinu, ktorá je povinnou súčasťou predkladaného materiálu. </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Zároveň Komisia upozorňuje predkladateľa na bod 9.1 Jednotnej metodiky na posudzovanie vybraných vplyvov, podľa ktorého sa na záverečné posúdenie vybraných vplyvov po medzirezortnom pripomienkovom konaní, predkladajú Stálej pracovnej komisii Legislatívnej rady vlády SR na posudzovanie vybraných vplyvov pri Ministerstve hospodárstva Slovenskej republiky  materiály, pri ktorých po pripomienkovom konaní došlo v rámci doložky k zmene v identifikácii  vplyvov v bode 9 doložky alebo k významnej zmene aspoň jedného z vybraných vplyvov, a tým aj k zmene dotknutej analýzy vplyvu.</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lastRenderedPageBreak/>
              <w:t xml:space="preserve"> Odôvodnenie: Predkladateľ neidentifikoval žiadne vplyvy na  manželstvo, rodičovstvo a rodinu v predkladacej správe ani v doložke vybraných vplyvov. Avšak opatrenia zákona, ktoré pomáhajú obetiam násilia, ktorými sú často deti v rodine, alebo ženy v rodine musia mať  pozitívne vplyvy na rodinu. Na základe uvedeného je nevyhnutné, aby predkladateľ identifikoval a podrobnejšie popísal aspoň tie aktivity, u ktorých očakáva najzásadnejšie pozitívne vplyvy na  rodinu.</w:t>
            </w:r>
          </w:p>
          <w:p w:rsidR="000515D2" w:rsidRPr="000515D2" w:rsidRDefault="000515D2" w:rsidP="000515D2">
            <w:pPr>
              <w:spacing w:after="0" w:line="240" w:lineRule="auto"/>
              <w:jc w:val="both"/>
              <w:rPr>
                <w:rFonts w:ascii="Times New Roman" w:eastAsiaTheme="minorHAnsi" w:hAnsi="Times New Roman" w:cs="Times New Roman"/>
                <w:color w:val="00B050"/>
                <w:sz w:val="20"/>
                <w:szCs w:val="20"/>
                <w:u w:val="single"/>
              </w:rPr>
            </w:pPr>
          </w:p>
          <w:p w:rsidR="000515D2" w:rsidRPr="000515D2" w:rsidRDefault="000515D2" w:rsidP="000515D2">
            <w:pPr>
              <w:spacing w:after="0" w:line="240" w:lineRule="auto"/>
              <w:jc w:val="both"/>
              <w:rPr>
                <w:rFonts w:ascii="Times New Roman" w:eastAsiaTheme="minorHAnsi" w:hAnsi="Times New Roman" w:cs="Times New Roman"/>
                <w:sz w:val="20"/>
                <w:szCs w:val="20"/>
                <w:u w:val="single"/>
              </w:rPr>
            </w:pPr>
            <w:r w:rsidRPr="000515D2">
              <w:rPr>
                <w:rFonts w:ascii="Times New Roman" w:eastAsiaTheme="minorHAnsi" w:hAnsi="Times New Roman" w:cs="Times New Roman"/>
                <w:sz w:val="20"/>
                <w:szCs w:val="20"/>
                <w:u w:val="single"/>
              </w:rPr>
              <w:t>Vyhodnotenie uplatnenej pripomienky:</w:t>
            </w:r>
          </w:p>
          <w:p w:rsidR="000515D2" w:rsidRPr="000515D2" w:rsidRDefault="000515D2" w:rsidP="000515D2">
            <w:pPr>
              <w:spacing w:after="0" w:line="240" w:lineRule="auto"/>
              <w:jc w:val="both"/>
              <w:rPr>
                <w:rFonts w:ascii="Times New Roman" w:eastAsia="Times New Roman" w:hAnsi="Times New Roman" w:cs="Times New Roman"/>
                <w:i/>
                <w:sz w:val="20"/>
                <w:szCs w:val="20"/>
              </w:rPr>
            </w:pPr>
            <w:r w:rsidRPr="000515D2">
              <w:rPr>
                <w:rFonts w:ascii="Times New Roman" w:eastAsia="Times New Roman" w:hAnsi="Times New Roman" w:cs="Times New Roman"/>
                <w:i/>
                <w:sz w:val="20"/>
                <w:szCs w:val="20"/>
              </w:rPr>
              <w:t>Pripomienka nebola akceptovaná. Predkladateľ trvá na tom, že návrh zákona nezakladá žiadne vplyvy na manželstvo, rodičovstvo a rodinu. Zriadením informačných kancelárií nie je možné predpokladať vplyvy na manželstvo, rodičovstvo a rodinu a to z dôvodu, že cieľom informačných kancelárií nie je zachovanie manželského zväzku a tým aj úplnosť rodiny ako celku, čo by mohlo zakladať pozitívne vplyvy na manželstvo rodičovstvo a rodinu. Zároveň cieľom informačných kancelárií nie je ani docieliť rozpad rodiny (napr. rozvedenie manželstva). Cieľom informačných kancelárií je poskytovať služby podľa návrhu zákona všetkým obetiam kriminality a inej protispoločenskej činnosti bez ohľadu na skutočnosť, či ide o obeť domáceho násilia alebo o obeť inej trestnej činnosti, či inej protispoločenskej činnosti.</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III. Záver: Stála pracovná komisia na posudzovanie vybraných vplyvov vyjadruje </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w:t>
            </w:r>
          </w:p>
          <w:p w:rsidR="000515D2" w:rsidRPr="000515D2" w:rsidRDefault="000515D2" w:rsidP="000515D2">
            <w:pPr>
              <w:spacing w:after="0" w:line="240" w:lineRule="auto"/>
              <w:jc w:val="both"/>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nesúhlasné stanovisko</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s materiálom predloženým na predbežné pripomienkové konanie s odporúčaním na jeho dopracovanie podľa pripomienok v bode II.</w:t>
            </w:r>
          </w:p>
          <w:p w:rsidR="000515D2" w:rsidRPr="000515D2" w:rsidRDefault="000515D2" w:rsidP="000515D2">
            <w:pPr>
              <w:spacing w:after="0" w:line="240" w:lineRule="auto"/>
              <w:jc w:val="both"/>
              <w:rPr>
                <w:rFonts w:ascii="Times New Roman" w:eastAsia="Times New Roman" w:hAnsi="Times New Roman" w:cs="Times New Roman"/>
                <w:sz w:val="20"/>
                <w:szCs w:val="20"/>
              </w:rPr>
            </w:pP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IV. Poznámka: Predkladateľ zapracuje pripomienky a odporúčania na úpravu uvedené v bode II a uvedie stanovisko Komisie do doložky vybraných vplyvov spolu s vyhodnotením pripomienok.</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 xml:space="preserve"> </w:t>
            </w:r>
          </w:p>
          <w:p w:rsidR="000515D2" w:rsidRPr="000515D2" w:rsidRDefault="000515D2" w:rsidP="000515D2">
            <w:pPr>
              <w:spacing w:after="0" w:line="240" w:lineRule="auto"/>
              <w:jc w:val="both"/>
              <w:rPr>
                <w:rFonts w:ascii="Times New Roman" w:eastAsia="Times New Roman" w:hAnsi="Times New Roman" w:cs="Times New Roman"/>
                <w:sz w:val="20"/>
                <w:szCs w:val="20"/>
              </w:rPr>
            </w:pPr>
            <w:r w:rsidRPr="000515D2">
              <w:rPr>
                <w:rFonts w:ascii="Times New Roman" w:eastAsia="Times New Roman" w:hAnsi="Times New Roman" w:cs="Times New Roman"/>
                <w:sz w:val="20"/>
                <w:szCs w:val="20"/>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0515D2" w:rsidRPr="000515D2" w:rsidRDefault="000515D2" w:rsidP="000515D2">
            <w:pPr>
              <w:spacing w:after="0" w:line="240" w:lineRule="auto"/>
              <w:rPr>
                <w:rFonts w:ascii="Times New Roman" w:eastAsia="Times New Roman" w:hAnsi="Times New Roman" w:cs="Times New Roman"/>
                <w:b/>
                <w:sz w:val="20"/>
                <w:szCs w:val="20"/>
              </w:rPr>
            </w:pPr>
          </w:p>
          <w:p w:rsidR="000515D2" w:rsidRPr="000515D2" w:rsidRDefault="000515D2" w:rsidP="000515D2">
            <w:pPr>
              <w:spacing w:after="0" w:line="240" w:lineRule="auto"/>
              <w:rPr>
                <w:rFonts w:ascii="Times New Roman" w:eastAsia="Times New Roman" w:hAnsi="Times New Roman" w:cs="Times New Roman"/>
                <w:b/>
                <w:sz w:val="20"/>
                <w:szCs w:val="20"/>
              </w:rPr>
            </w:pPr>
          </w:p>
        </w:tc>
      </w:tr>
      <w:tr w:rsidR="000515D2" w:rsidRPr="000515D2" w:rsidTr="00F1463E">
        <w:tblPrEx>
          <w:tblBorders>
            <w:insideH w:val="single" w:sz="4" w:space="0" w:color="FFFFFF"/>
            <w:insideV w:val="single" w:sz="4" w:space="0" w:color="FFFFFF"/>
          </w:tblBorders>
        </w:tblPrEx>
        <w:tc>
          <w:tcPr>
            <w:tcW w:w="9176" w:type="dxa"/>
            <w:tcBorders>
              <w:top w:val="single" w:sz="4" w:space="0" w:color="auto"/>
            </w:tcBorders>
            <w:shd w:val="clear" w:color="auto" w:fill="E2E2E2"/>
          </w:tcPr>
          <w:p w:rsidR="000515D2" w:rsidRPr="000515D2" w:rsidRDefault="000515D2" w:rsidP="000515D2">
            <w:pPr>
              <w:numPr>
                <w:ilvl w:val="0"/>
                <w:numId w:val="2"/>
              </w:numPr>
              <w:spacing w:after="0" w:line="240" w:lineRule="auto"/>
              <w:ind w:left="450" w:hanging="425"/>
              <w:contextualSpacing/>
              <w:jc w:val="both"/>
              <w:rPr>
                <w:rFonts w:ascii="Times New Roman" w:eastAsia="Calibri" w:hAnsi="Times New Roman" w:cs="Times New Roman"/>
                <w:b/>
              </w:rPr>
            </w:pPr>
            <w:r w:rsidRPr="000515D2">
              <w:rPr>
                <w:rFonts w:ascii="Times New Roman" w:eastAsia="Calibri" w:hAnsi="Times New Roman" w:cs="Times New Roman"/>
                <w:b/>
              </w:rPr>
              <w:lastRenderedPageBreak/>
              <w:t>Stanovisko Komisie na posudzovanie vybraných vplyvov zo záverečného posúdenia č. ..........</w:t>
            </w:r>
            <w:r w:rsidRPr="000515D2">
              <w:rPr>
                <w:rFonts w:ascii="Times New Roman" w:eastAsia="Calibri" w:hAnsi="Times New Roman" w:cs="Times New Roman"/>
              </w:rPr>
              <w:t xml:space="preserve"> (v prípade, ak sa uskutočnilo v zmysle bodu 9.1. Jednotnej metodiky) </w:t>
            </w:r>
          </w:p>
        </w:tc>
      </w:tr>
      <w:tr w:rsidR="000515D2" w:rsidRPr="000515D2" w:rsidTr="00F1463E">
        <w:tblPrEx>
          <w:tblBorders>
            <w:insideH w:val="single" w:sz="4" w:space="0" w:color="FFFFFF"/>
            <w:insideV w:val="single" w:sz="4" w:space="0" w:color="FFFFFF"/>
          </w:tblBorders>
        </w:tblPrEx>
        <w:trPr>
          <w:trHeight w:val="70"/>
        </w:trPr>
        <w:tc>
          <w:tcPr>
            <w:tcW w:w="9176" w:type="dxa"/>
            <w:shd w:val="clear" w:color="auto" w:fill="FFFFFF"/>
          </w:tcPr>
          <w:p w:rsidR="000515D2" w:rsidRPr="000515D2" w:rsidRDefault="000515D2" w:rsidP="000515D2">
            <w:pPr>
              <w:spacing w:after="0" w:line="240" w:lineRule="auto"/>
              <w:rPr>
                <w:rFonts w:ascii="Times New Roman" w:eastAsia="Times New Roman" w:hAnsi="Times New Roman" w:cs="Times New Roman"/>
                <w:b/>
                <w:sz w:val="20"/>
                <w:szCs w:val="20"/>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0515D2" w:rsidRPr="000515D2" w:rsidTr="00F1463E">
              <w:trPr>
                <w:trHeight w:val="396"/>
              </w:trPr>
              <w:tc>
                <w:tcPr>
                  <w:tcW w:w="2552" w:type="dxa"/>
                </w:tcPr>
                <w:p w:rsidR="000515D2" w:rsidRPr="000515D2" w:rsidRDefault="00053B06" w:rsidP="000515D2">
                  <w:pPr>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888232876"/>
                      <w14:checkbox>
                        <w14:checked w14:val="0"/>
                        <w14:checkedState w14:val="2612" w14:font="MS Gothic"/>
                        <w14:uncheckedState w14:val="2610" w14:font="MS Gothic"/>
                      </w14:checkbox>
                    </w:sdtPr>
                    <w:sdtEndPr/>
                    <w:sdtContent>
                      <w:r w:rsidR="000515D2" w:rsidRPr="000515D2">
                        <w:rPr>
                          <w:rFonts w:ascii="Segoe UI Symbol" w:eastAsia="Times New Roman" w:hAnsi="Segoe UI Symbol" w:cs="Segoe UI Symbol"/>
                          <w:b/>
                          <w:sz w:val="20"/>
                          <w:szCs w:val="20"/>
                        </w:rPr>
                        <w:t>☐</w:t>
                      </w:r>
                    </w:sdtContent>
                  </w:sdt>
                  <w:r w:rsidR="000515D2" w:rsidRPr="000515D2">
                    <w:rPr>
                      <w:rFonts w:ascii="Times New Roman" w:eastAsia="Times New Roman" w:hAnsi="Times New Roman" w:cs="Times New Roman"/>
                      <w:b/>
                      <w:sz w:val="20"/>
                      <w:szCs w:val="20"/>
                    </w:rPr>
                    <w:t xml:space="preserve">   Súhlasné </w:t>
                  </w:r>
                </w:p>
              </w:tc>
              <w:tc>
                <w:tcPr>
                  <w:tcW w:w="3827" w:type="dxa"/>
                </w:tcPr>
                <w:p w:rsidR="000515D2" w:rsidRPr="000515D2" w:rsidRDefault="00053B06" w:rsidP="000515D2">
                  <w:pPr>
                    <w:spacing w:after="0" w:line="240" w:lineRule="auto"/>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953831761"/>
                      <w14:checkbox>
                        <w14:checked w14:val="0"/>
                        <w14:checkedState w14:val="2612" w14:font="MS Gothic"/>
                        <w14:uncheckedState w14:val="2610" w14:font="MS Gothic"/>
                      </w14:checkbox>
                    </w:sdtPr>
                    <w:sdtEndPr/>
                    <w:sdtContent>
                      <w:r w:rsidR="000515D2" w:rsidRPr="000515D2">
                        <w:rPr>
                          <w:rFonts w:ascii="Segoe UI Symbol" w:eastAsia="Times New Roman" w:hAnsi="Segoe UI Symbol" w:cs="Segoe UI Symbol"/>
                          <w:b/>
                          <w:sz w:val="20"/>
                          <w:szCs w:val="20"/>
                        </w:rPr>
                        <w:t>☐</w:t>
                      </w:r>
                    </w:sdtContent>
                  </w:sdt>
                  <w:r w:rsidR="000515D2" w:rsidRPr="000515D2">
                    <w:rPr>
                      <w:rFonts w:ascii="Times New Roman" w:eastAsia="Times New Roman" w:hAnsi="Times New Roman" w:cs="Times New Roman"/>
                      <w:b/>
                      <w:sz w:val="20"/>
                      <w:szCs w:val="20"/>
                    </w:rPr>
                    <w:t xml:space="preserve">  Súhlasné s  návrhom na dopracovanie</w:t>
                  </w:r>
                </w:p>
              </w:tc>
              <w:tc>
                <w:tcPr>
                  <w:tcW w:w="2534" w:type="dxa"/>
                </w:tcPr>
                <w:p w:rsidR="000515D2" w:rsidRPr="000515D2" w:rsidRDefault="00053B06" w:rsidP="000515D2">
                  <w:pPr>
                    <w:spacing w:after="0" w:line="240" w:lineRule="auto"/>
                    <w:ind w:right="459"/>
                    <w:rPr>
                      <w:rFonts w:ascii="Times New Roman" w:eastAsia="Times New Roman" w:hAnsi="Times New Roman" w:cs="Times New Roman"/>
                      <w:b/>
                      <w:sz w:val="20"/>
                      <w:szCs w:val="20"/>
                    </w:rPr>
                  </w:pPr>
                  <w:sdt>
                    <w:sdtPr>
                      <w:rPr>
                        <w:rFonts w:ascii="Times New Roman" w:eastAsia="Times New Roman" w:hAnsi="Times New Roman" w:cs="Times New Roman"/>
                        <w:b/>
                        <w:sz w:val="20"/>
                        <w:szCs w:val="20"/>
                      </w:rPr>
                      <w:id w:val="-361740452"/>
                      <w14:checkbox>
                        <w14:checked w14:val="0"/>
                        <w14:checkedState w14:val="2612" w14:font="MS Gothic"/>
                        <w14:uncheckedState w14:val="2610" w14:font="MS Gothic"/>
                      </w14:checkbox>
                    </w:sdtPr>
                    <w:sdtEndPr/>
                    <w:sdtContent>
                      <w:r w:rsidR="000515D2" w:rsidRPr="000515D2">
                        <w:rPr>
                          <w:rFonts w:ascii="Segoe UI Symbol" w:eastAsia="Times New Roman" w:hAnsi="Segoe UI Symbol" w:cs="Segoe UI Symbol"/>
                          <w:b/>
                          <w:sz w:val="20"/>
                          <w:szCs w:val="20"/>
                        </w:rPr>
                        <w:t>☐</w:t>
                      </w:r>
                    </w:sdtContent>
                  </w:sdt>
                  <w:r w:rsidR="000515D2" w:rsidRPr="000515D2">
                    <w:rPr>
                      <w:rFonts w:ascii="Times New Roman" w:eastAsia="Times New Roman" w:hAnsi="Times New Roman" w:cs="Times New Roman"/>
                      <w:b/>
                      <w:sz w:val="20"/>
                      <w:szCs w:val="20"/>
                    </w:rPr>
                    <w:t xml:space="preserve">  Nesúhlasné</w:t>
                  </w:r>
                </w:p>
              </w:tc>
            </w:tr>
          </w:tbl>
          <w:p w:rsidR="000515D2" w:rsidRPr="000515D2" w:rsidRDefault="000515D2" w:rsidP="000515D2">
            <w:pPr>
              <w:spacing w:after="0" w:line="240" w:lineRule="auto"/>
              <w:jc w:val="both"/>
              <w:rPr>
                <w:rFonts w:ascii="Times New Roman" w:eastAsia="Times New Roman" w:hAnsi="Times New Roman" w:cs="Times New Roman"/>
                <w:b/>
                <w:sz w:val="20"/>
                <w:szCs w:val="20"/>
              </w:rPr>
            </w:pPr>
            <w:r w:rsidRPr="000515D2">
              <w:rPr>
                <w:rFonts w:ascii="Times New Roman" w:eastAsia="Times New Roman" w:hAnsi="Times New Roman" w:cs="Times New Roman"/>
                <w:b/>
                <w:sz w:val="20"/>
                <w:szCs w:val="20"/>
              </w:rPr>
              <w:t>Uveďte pripomienky zo stanoviska Komisie z časti II. spolu s Vaším vyhodnotením:</w:t>
            </w:r>
          </w:p>
          <w:p w:rsidR="000515D2" w:rsidRPr="000515D2" w:rsidRDefault="000515D2" w:rsidP="000515D2">
            <w:pPr>
              <w:spacing w:after="0" w:line="240" w:lineRule="auto"/>
              <w:rPr>
                <w:rFonts w:ascii="Times New Roman" w:eastAsia="Times New Roman" w:hAnsi="Times New Roman" w:cs="Times New Roman"/>
                <w:b/>
                <w:sz w:val="20"/>
                <w:szCs w:val="20"/>
              </w:rPr>
            </w:pPr>
          </w:p>
          <w:p w:rsidR="000515D2" w:rsidRPr="000515D2" w:rsidRDefault="000515D2" w:rsidP="000515D2">
            <w:pPr>
              <w:spacing w:after="0" w:line="240" w:lineRule="auto"/>
              <w:rPr>
                <w:rFonts w:ascii="Times New Roman" w:eastAsia="Times New Roman" w:hAnsi="Times New Roman" w:cs="Times New Roman"/>
                <w:b/>
                <w:sz w:val="20"/>
                <w:szCs w:val="20"/>
              </w:rPr>
            </w:pPr>
          </w:p>
        </w:tc>
      </w:tr>
    </w:tbl>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r w:rsidRPr="000515D2">
        <w:rPr>
          <w:rFonts w:eastAsiaTheme="minorHAnsi"/>
        </w:rPr>
        <w:br w:type="page"/>
      </w:r>
    </w:p>
    <w:p w:rsidR="000515D2" w:rsidRPr="000515D2" w:rsidRDefault="000515D2" w:rsidP="000515D2">
      <w:pPr>
        <w:spacing w:after="0" w:line="240" w:lineRule="auto"/>
        <w:jc w:val="center"/>
        <w:rPr>
          <w:rFonts w:ascii="Times New Roman" w:eastAsiaTheme="minorHAnsi" w:hAnsi="Times New Roman" w:cs="Times New Roman"/>
          <w:b/>
          <w:bCs/>
          <w:sz w:val="28"/>
          <w:szCs w:val="28"/>
        </w:rPr>
      </w:pPr>
      <w:r w:rsidRPr="000515D2">
        <w:rPr>
          <w:rFonts w:ascii="Times New Roman" w:eastAsiaTheme="minorHAnsi" w:hAnsi="Times New Roman" w:cs="Times New Roman"/>
          <w:b/>
          <w:bCs/>
          <w:sz w:val="28"/>
          <w:szCs w:val="28"/>
        </w:rPr>
        <w:lastRenderedPageBreak/>
        <w:t>Analýza vplyvov na rozpočet verejnej správy,</w:t>
      </w:r>
    </w:p>
    <w:p w:rsidR="000515D2" w:rsidRPr="000515D2" w:rsidRDefault="000515D2" w:rsidP="000515D2">
      <w:pPr>
        <w:spacing w:after="0" w:line="240" w:lineRule="auto"/>
        <w:jc w:val="center"/>
        <w:rPr>
          <w:rFonts w:ascii="Times New Roman" w:eastAsiaTheme="minorHAnsi" w:hAnsi="Times New Roman" w:cs="Times New Roman"/>
          <w:b/>
          <w:bCs/>
          <w:sz w:val="28"/>
          <w:szCs w:val="28"/>
        </w:rPr>
      </w:pPr>
      <w:r w:rsidRPr="000515D2">
        <w:rPr>
          <w:rFonts w:ascii="Times New Roman" w:eastAsiaTheme="minorHAnsi" w:hAnsi="Times New Roman" w:cs="Times New Roman"/>
          <w:b/>
          <w:bCs/>
          <w:sz w:val="28"/>
          <w:szCs w:val="28"/>
        </w:rPr>
        <w:t>na zamestnanosť vo verejnej správe a financovanie návrhu</w:t>
      </w:r>
    </w:p>
    <w:p w:rsidR="000515D2" w:rsidRPr="000515D2" w:rsidRDefault="000515D2" w:rsidP="000515D2">
      <w:pPr>
        <w:spacing w:before="120"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2.1 Zhrnutie vplyvov na rozpočet verejnej správy v návrhu</w:t>
      </w:r>
    </w:p>
    <w:p w:rsidR="000515D2" w:rsidRPr="000515D2" w:rsidRDefault="000515D2" w:rsidP="000515D2">
      <w:pPr>
        <w:spacing w:before="120" w:after="12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Tabuľka č. 1 </w:t>
      </w:r>
    </w:p>
    <w:tbl>
      <w:tblPr>
        <w:tblW w:w="97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24"/>
        <w:gridCol w:w="1275"/>
        <w:gridCol w:w="1276"/>
        <w:gridCol w:w="1187"/>
        <w:gridCol w:w="1267"/>
      </w:tblGrid>
      <w:tr w:rsidR="000515D2" w:rsidRPr="000515D2" w:rsidTr="00F1463E">
        <w:trPr>
          <w:cantSplit/>
          <w:trHeight w:val="194"/>
          <w:jc w:val="center"/>
        </w:trPr>
        <w:tc>
          <w:tcPr>
            <w:tcW w:w="4724" w:type="dxa"/>
            <w:vMerge w:val="restart"/>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bookmarkStart w:id="0" w:name="OLE_LINK1"/>
            <w:r w:rsidRPr="000515D2">
              <w:rPr>
                <w:rFonts w:ascii="Times New Roman" w:eastAsiaTheme="minorHAnsi" w:hAnsi="Times New Roman" w:cs="Times New Roman"/>
                <w:b/>
                <w:bCs/>
              </w:rPr>
              <w:t>Vplyvy na rozpočet verejnej správy</w:t>
            </w:r>
          </w:p>
        </w:tc>
        <w:tc>
          <w:tcPr>
            <w:tcW w:w="5005" w:type="dxa"/>
            <w:gridSpan w:val="4"/>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Vplyv na rozpočet verejnej správy (v eurách)</w:t>
            </w:r>
          </w:p>
        </w:tc>
      </w:tr>
      <w:tr w:rsidR="000515D2" w:rsidRPr="000515D2" w:rsidTr="00F1463E">
        <w:trPr>
          <w:cantSplit/>
          <w:trHeight w:val="70"/>
          <w:jc w:val="center"/>
        </w:trPr>
        <w:tc>
          <w:tcPr>
            <w:tcW w:w="4724" w:type="dxa"/>
            <w:vMerge/>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275" w:type="dxa"/>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2022</w:t>
            </w:r>
          </w:p>
        </w:tc>
        <w:tc>
          <w:tcPr>
            <w:tcW w:w="1276" w:type="dxa"/>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2023</w:t>
            </w:r>
          </w:p>
        </w:tc>
        <w:tc>
          <w:tcPr>
            <w:tcW w:w="1187" w:type="dxa"/>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2024</w:t>
            </w:r>
          </w:p>
        </w:tc>
        <w:tc>
          <w:tcPr>
            <w:tcW w:w="1267" w:type="dxa"/>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2025</w:t>
            </w:r>
          </w:p>
        </w:tc>
      </w:tr>
      <w:tr w:rsidR="000515D2" w:rsidRPr="000515D2" w:rsidTr="00F1463E">
        <w:trPr>
          <w:trHeight w:val="70"/>
          <w:jc w:val="center"/>
        </w:trPr>
        <w:tc>
          <w:tcPr>
            <w:tcW w:w="4724" w:type="dxa"/>
            <w:shd w:val="clear" w:color="auto" w:fill="C0C0C0"/>
            <w:noWrap/>
            <w:vAlign w:val="center"/>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
                <w:bCs/>
              </w:rPr>
              <w:t>Príjmy verejnej správy celkom</w:t>
            </w:r>
          </w:p>
        </w:tc>
        <w:tc>
          <w:tcPr>
            <w:tcW w:w="1275" w:type="dxa"/>
            <w:shd w:val="clear" w:color="auto" w:fill="C0C0C0"/>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276" w:type="dxa"/>
            <w:shd w:val="clear" w:color="auto" w:fill="C0C0C0"/>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187" w:type="dxa"/>
            <w:shd w:val="clear" w:color="auto" w:fill="C0C0C0"/>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267" w:type="dxa"/>
            <w:shd w:val="clear" w:color="auto" w:fill="C0C0C0"/>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r>
      <w:tr w:rsidR="000515D2" w:rsidRPr="000515D2" w:rsidTr="00F1463E">
        <w:trPr>
          <w:trHeight w:val="132"/>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v tom: za každý subjekt verejnej správy zvlášť</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xml:space="preserve">z toho:  </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p>
        </w:tc>
      </w:tr>
      <w:tr w:rsidR="000515D2" w:rsidRPr="000515D2" w:rsidTr="00F1463E">
        <w:trPr>
          <w:trHeight w:val="125"/>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ŠR</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 xml:space="preserve">0  </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125"/>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Cs/>
                <w:i/>
                <w:iCs/>
              </w:rPr>
              <w:t>Rozpočtové prostriedky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125"/>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Cs/>
                <w:i/>
                <w:iCs/>
              </w:rPr>
            </w:pPr>
            <w:r w:rsidRPr="000515D2">
              <w:rPr>
                <w:rFonts w:ascii="Times New Roman" w:eastAsiaTheme="minorHAnsi" w:hAnsi="Times New Roman" w:cs="Times New Roman"/>
                <w:bCs/>
                <w:i/>
                <w:iCs/>
              </w:rPr>
              <w:t>EÚ zdroje</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r>
      <w:tr w:rsidR="000515D2" w:rsidRPr="000515D2" w:rsidTr="00F1463E">
        <w:trPr>
          <w:trHeight w:val="125"/>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obce</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125"/>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vyššie územné celky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125"/>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ostatné subjekty verejnej správy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125"/>
          <w:jc w:val="center"/>
        </w:trPr>
        <w:tc>
          <w:tcPr>
            <w:tcW w:w="4724" w:type="dxa"/>
            <w:shd w:val="clear" w:color="auto" w:fill="C0C0C0"/>
            <w:noWrap/>
            <w:vAlign w:val="center"/>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Výdavky verejnej správy celkom</w:t>
            </w:r>
          </w:p>
        </w:tc>
        <w:tc>
          <w:tcPr>
            <w:tcW w:w="1275" w:type="dxa"/>
            <w:shd w:val="clear" w:color="auto" w:fill="C0C0C0"/>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0</w:t>
            </w:r>
          </w:p>
        </w:tc>
        <w:tc>
          <w:tcPr>
            <w:tcW w:w="1276" w:type="dxa"/>
            <w:shd w:val="clear" w:color="auto" w:fill="C0C0C0"/>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0</w:t>
            </w:r>
          </w:p>
        </w:tc>
        <w:tc>
          <w:tcPr>
            <w:tcW w:w="1187" w:type="dxa"/>
            <w:shd w:val="clear" w:color="auto" w:fill="C0C0C0"/>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669 501</w:t>
            </w:r>
          </w:p>
        </w:tc>
        <w:tc>
          <w:tcPr>
            <w:tcW w:w="1267" w:type="dxa"/>
            <w:shd w:val="clear" w:color="auto" w:fill="C0C0C0"/>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669 501</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v tom: Ministerstvo vnútra SR</w:t>
            </w:r>
          </w:p>
        </w:tc>
        <w:tc>
          <w:tcPr>
            <w:tcW w:w="1275"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 0</w:t>
            </w:r>
          </w:p>
        </w:tc>
        <w:tc>
          <w:tcPr>
            <w:tcW w:w="1276"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18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b/>
              </w:rPr>
              <w:t xml:space="preserve"> </w:t>
            </w:r>
            <w:r w:rsidRPr="000515D2">
              <w:rPr>
                <w:rFonts w:ascii="Times New Roman" w:eastAsiaTheme="minorHAnsi" w:hAnsi="Times New Roman" w:cs="Times New Roman"/>
              </w:rPr>
              <w:t>669 501</w:t>
            </w:r>
          </w:p>
        </w:tc>
        <w:tc>
          <w:tcPr>
            <w:tcW w:w="126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 669 501</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xml:space="preserve">z toho: </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ŠR</w:t>
            </w:r>
          </w:p>
        </w:tc>
        <w:tc>
          <w:tcPr>
            <w:tcW w:w="1275" w:type="dxa"/>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0</w:t>
            </w:r>
          </w:p>
        </w:tc>
        <w:tc>
          <w:tcPr>
            <w:tcW w:w="1276" w:type="dxa"/>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0</w:t>
            </w:r>
          </w:p>
        </w:tc>
        <w:tc>
          <w:tcPr>
            <w:tcW w:w="1187" w:type="dxa"/>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669 501</w:t>
            </w:r>
          </w:p>
        </w:tc>
        <w:tc>
          <w:tcPr>
            <w:tcW w:w="1267" w:type="dxa"/>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669 501</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Cs/>
                <w:i/>
                <w:iCs/>
              </w:rPr>
              <w:t>Rozpočtové prostriedky</w:t>
            </w:r>
          </w:p>
        </w:tc>
        <w:tc>
          <w:tcPr>
            <w:tcW w:w="1275"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76"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18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 669 501</w:t>
            </w:r>
          </w:p>
        </w:tc>
        <w:tc>
          <w:tcPr>
            <w:tcW w:w="126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 669 501</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Cs/>
                <w:i/>
                <w:iCs/>
              </w:rPr>
            </w:pPr>
            <w:r w:rsidRPr="000515D2">
              <w:rPr>
                <w:rFonts w:ascii="Times New Roman" w:eastAsiaTheme="minorHAnsi" w:hAnsi="Times New Roman" w:cs="Times New Roman"/>
                <w:bCs/>
                <w:i/>
                <w:iCs/>
              </w:rPr>
              <w:t xml:space="preserve">    EÚ zdroje</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Cs/>
                <w:i/>
                <w:iCs/>
              </w:rPr>
            </w:pPr>
            <w:r w:rsidRPr="000515D2">
              <w:rPr>
                <w:rFonts w:ascii="Times New Roman" w:eastAsiaTheme="minorHAnsi" w:hAnsi="Times New Roman" w:cs="Times New Roman"/>
                <w:bCs/>
                <w:i/>
                <w:iCs/>
              </w:rPr>
              <w:t xml:space="preserve">    spolufinancovanie</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r>
      <w:tr w:rsidR="000515D2" w:rsidRPr="000515D2" w:rsidTr="00F1463E">
        <w:trPr>
          <w:trHeight w:val="125"/>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obce</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125"/>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vyššie územné celky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i/>
                <w:iCs/>
              </w:rPr>
              <w:t>- vplyv na ostatné subjekty verejnej správy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70"/>
          <w:jc w:val="center"/>
        </w:trPr>
        <w:tc>
          <w:tcPr>
            <w:tcW w:w="4724" w:type="dxa"/>
            <w:shd w:val="clear" w:color="auto" w:fill="BFBFBF" w:themeFill="background1" w:themeFillShade="BF"/>
            <w:noWrap/>
            <w:vAlign w:val="center"/>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 xml:space="preserve">Vplyv na počet zamestnancov </w:t>
            </w:r>
          </w:p>
        </w:tc>
        <w:tc>
          <w:tcPr>
            <w:tcW w:w="1275" w:type="dxa"/>
            <w:shd w:val="clear" w:color="auto" w:fill="BFBFBF" w:themeFill="background1" w:themeFillShade="BF"/>
            <w:noWrap/>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iCs/>
              </w:rPr>
              <w:t>0</w:t>
            </w:r>
          </w:p>
        </w:tc>
        <w:tc>
          <w:tcPr>
            <w:tcW w:w="1276" w:type="dxa"/>
            <w:shd w:val="clear" w:color="auto" w:fill="BFBFBF" w:themeFill="background1" w:themeFillShade="BF"/>
            <w:noWrap/>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187" w:type="dxa"/>
            <w:shd w:val="clear" w:color="auto" w:fill="BFBFBF" w:themeFill="background1" w:themeFillShade="BF"/>
            <w:noWrap/>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27</w:t>
            </w:r>
          </w:p>
        </w:tc>
        <w:tc>
          <w:tcPr>
            <w:tcW w:w="1267" w:type="dxa"/>
            <w:shd w:val="clear" w:color="auto" w:fill="BFBFBF" w:themeFill="background1" w:themeFillShade="BF"/>
            <w:noWrap/>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27</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ŠR</w:t>
            </w:r>
          </w:p>
        </w:tc>
        <w:tc>
          <w:tcPr>
            <w:tcW w:w="1275" w:type="dxa"/>
            <w:noWrap/>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rPr>
              <w:t>0</w:t>
            </w:r>
          </w:p>
        </w:tc>
        <w:tc>
          <w:tcPr>
            <w:tcW w:w="1276" w:type="dxa"/>
            <w:noWrap/>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rPr>
              <w:t>0</w:t>
            </w:r>
          </w:p>
        </w:tc>
        <w:tc>
          <w:tcPr>
            <w:tcW w:w="1187" w:type="dxa"/>
            <w:noWrap/>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rPr>
              <w:t>27</w:t>
            </w:r>
          </w:p>
        </w:tc>
        <w:tc>
          <w:tcPr>
            <w:tcW w:w="1267" w:type="dxa"/>
            <w:noWrap/>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rPr>
              <w:t xml:space="preserve"> 27</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obce</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vyššie územné celky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ostatné subjekty verejnej správy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328"/>
          <w:jc w:val="center"/>
        </w:trPr>
        <w:tc>
          <w:tcPr>
            <w:tcW w:w="4724" w:type="dxa"/>
            <w:shd w:val="clear" w:color="auto" w:fill="BFBFBF" w:themeFill="background1" w:themeFillShade="BF"/>
            <w:noWrap/>
            <w:vAlign w:val="center"/>
          </w:tcPr>
          <w:p w:rsidR="000515D2" w:rsidRPr="000515D2" w:rsidRDefault="000515D2" w:rsidP="000515D2">
            <w:pPr>
              <w:spacing w:after="160" w:line="259" w:lineRule="auto"/>
              <w:rPr>
                <w:rFonts w:ascii="Times New Roman" w:eastAsiaTheme="minorHAnsi" w:hAnsi="Times New Roman" w:cs="Times New Roman"/>
                <w:b/>
              </w:rPr>
            </w:pPr>
            <w:r w:rsidRPr="000515D2">
              <w:rPr>
                <w:rFonts w:ascii="Times New Roman" w:eastAsiaTheme="minorHAnsi" w:hAnsi="Times New Roman" w:cs="Times New Roman"/>
                <w:b/>
              </w:rPr>
              <w:t>Vplyv na mzdové výdavky</w:t>
            </w:r>
          </w:p>
        </w:tc>
        <w:tc>
          <w:tcPr>
            <w:tcW w:w="1275" w:type="dxa"/>
            <w:shd w:val="clear" w:color="auto" w:fill="BFBFBF" w:themeFill="background1" w:themeFillShade="BF"/>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0</w:t>
            </w:r>
          </w:p>
        </w:tc>
        <w:tc>
          <w:tcPr>
            <w:tcW w:w="1276" w:type="dxa"/>
            <w:shd w:val="clear" w:color="auto" w:fill="BFBFBF" w:themeFill="background1" w:themeFillShade="BF"/>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0</w:t>
            </w:r>
          </w:p>
        </w:tc>
        <w:tc>
          <w:tcPr>
            <w:tcW w:w="1187" w:type="dxa"/>
            <w:shd w:val="clear" w:color="auto" w:fill="BFBFBF" w:themeFill="background1" w:themeFillShade="BF"/>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496 110</w:t>
            </w:r>
          </w:p>
        </w:tc>
        <w:tc>
          <w:tcPr>
            <w:tcW w:w="1267" w:type="dxa"/>
            <w:shd w:val="clear" w:color="auto" w:fill="BFBFBF" w:themeFill="background1" w:themeFillShade="BF"/>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496 110</w:t>
            </w:r>
          </w:p>
          <w:p w:rsidR="000515D2" w:rsidRPr="000515D2" w:rsidRDefault="000515D2" w:rsidP="000515D2">
            <w:pPr>
              <w:spacing w:after="160" w:line="259" w:lineRule="auto"/>
              <w:jc w:val="center"/>
              <w:rPr>
                <w:rFonts w:ascii="Times New Roman" w:eastAsiaTheme="minorHAnsi" w:hAnsi="Times New Roman" w:cs="Times New Roman"/>
              </w:rPr>
            </w:pP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lastRenderedPageBreak/>
              <w:t>- vplyv na ŠR:</w:t>
            </w:r>
          </w:p>
        </w:tc>
        <w:tc>
          <w:tcPr>
            <w:tcW w:w="1275"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76"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18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496 110</w:t>
            </w:r>
          </w:p>
        </w:tc>
        <w:tc>
          <w:tcPr>
            <w:tcW w:w="126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496 110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z toho: Ministerstvo vnútra SR</w:t>
            </w:r>
          </w:p>
        </w:tc>
        <w:tc>
          <w:tcPr>
            <w:tcW w:w="1275"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276"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0</w:t>
            </w:r>
          </w:p>
        </w:tc>
        <w:tc>
          <w:tcPr>
            <w:tcW w:w="118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496 110</w:t>
            </w:r>
          </w:p>
        </w:tc>
        <w:tc>
          <w:tcPr>
            <w:tcW w:w="126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496 110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obce</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i/>
                <w:iCs/>
              </w:rPr>
            </w:pPr>
            <w:r w:rsidRPr="000515D2">
              <w:rPr>
                <w:rFonts w:ascii="Times New Roman" w:eastAsiaTheme="minorHAnsi" w:hAnsi="Times New Roman" w:cs="Times New Roman"/>
                <w:b/>
                <w:bCs/>
                <w:i/>
                <w:iCs/>
              </w:rPr>
              <w:t>- vplyv na vyššie územné celky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i/>
                <w:iCs/>
              </w:rPr>
              <w:t>- vplyv na ostatné subjekty verejnej správy</w:t>
            </w:r>
          </w:p>
        </w:tc>
        <w:tc>
          <w:tcPr>
            <w:tcW w:w="1275"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76"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18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c>
          <w:tcPr>
            <w:tcW w:w="1267" w:type="dxa"/>
            <w:noWrap/>
            <w:vAlign w:val="center"/>
          </w:tcPr>
          <w:p w:rsidR="000515D2" w:rsidRPr="000515D2" w:rsidRDefault="000515D2" w:rsidP="000515D2">
            <w:pPr>
              <w:spacing w:after="160" w:line="259" w:lineRule="auto"/>
              <w:jc w:val="right"/>
              <w:rPr>
                <w:rFonts w:ascii="Times New Roman" w:eastAsiaTheme="minorHAnsi" w:hAnsi="Times New Roman" w:cs="Times New Roman"/>
                <w:b/>
                <w:bCs/>
                <w:iCs/>
              </w:rPr>
            </w:pPr>
            <w:r w:rsidRPr="000515D2">
              <w:rPr>
                <w:rFonts w:ascii="Times New Roman" w:eastAsiaTheme="minorHAnsi" w:hAnsi="Times New Roman" w:cs="Times New Roman"/>
                <w:b/>
                <w:bCs/>
                <w:iCs/>
              </w:rPr>
              <w:t>0</w:t>
            </w:r>
          </w:p>
        </w:tc>
      </w:tr>
      <w:tr w:rsidR="000515D2" w:rsidRPr="000515D2" w:rsidTr="00F1463E">
        <w:trPr>
          <w:trHeight w:val="70"/>
          <w:jc w:val="center"/>
        </w:trPr>
        <w:tc>
          <w:tcPr>
            <w:tcW w:w="4724" w:type="dxa"/>
            <w:shd w:val="clear" w:color="auto" w:fill="C0C0C0"/>
            <w:noWrap/>
            <w:vAlign w:val="center"/>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Financovanie zabezpečené v rozpočte</w:t>
            </w:r>
          </w:p>
        </w:tc>
        <w:tc>
          <w:tcPr>
            <w:tcW w:w="1275" w:type="dxa"/>
            <w:shd w:val="clear" w:color="auto" w:fill="C0C0C0"/>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0</w:t>
            </w:r>
          </w:p>
        </w:tc>
        <w:tc>
          <w:tcPr>
            <w:tcW w:w="1276" w:type="dxa"/>
            <w:shd w:val="clear" w:color="auto" w:fill="C0C0C0"/>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0</w:t>
            </w:r>
          </w:p>
        </w:tc>
        <w:tc>
          <w:tcPr>
            <w:tcW w:w="1187" w:type="dxa"/>
            <w:shd w:val="clear" w:color="auto" w:fill="C0C0C0"/>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0</w:t>
            </w:r>
          </w:p>
        </w:tc>
        <w:tc>
          <w:tcPr>
            <w:tcW w:w="1267" w:type="dxa"/>
            <w:shd w:val="clear" w:color="auto" w:fill="C0C0C0"/>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0</w:t>
            </w:r>
          </w:p>
        </w:tc>
      </w:tr>
      <w:tr w:rsidR="000515D2" w:rsidRPr="000515D2" w:rsidTr="00F1463E">
        <w:trPr>
          <w:trHeight w:val="70"/>
          <w:jc w:val="center"/>
        </w:trPr>
        <w:tc>
          <w:tcPr>
            <w:tcW w:w="4724" w:type="dxa"/>
            <w:noWrap/>
            <w:vAlign w:val="center"/>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v tom: Ministerstvo vnútra SR</w:t>
            </w:r>
          </w:p>
        </w:tc>
        <w:tc>
          <w:tcPr>
            <w:tcW w:w="1275"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 0</w:t>
            </w:r>
          </w:p>
        </w:tc>
        <w:tc>
          <w:tcPr>
            <w:tcW w:w="1276"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 0</w:t>
            </w:r>
          </w:p>
        </w:tc>
        <w:tc>
          <w:tcPr>
            <w:tcW w:w="118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 0</w:t>
            </w:r>
          </w:p>
        </w:tc>
        <w:tc>
          <w:tcPr>
            <w:tcW w:w="1267" w:type="dxa"/>
            <w:noWrap/>
          </w:tcPr>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 0</w:t>
            </w:r>
          </w:p>
        </w:tc>
      </w:tr>
      <w:tr w:rsidR="000515D2" w:rsidRPr="000515D2" w:rsidTr="00F1463E">
        <w:trPr>
          <w:trHeight w:val="70"/>
          <w:jc w:val="center"/>
        </w:trPr>
        <w:tc>
          <w:tcPr>
            <w:tcW w:w="4724" w:type="dxa"/>
            <w:shd w:val="clear" w:color="auto" w:fill="BFBFBF" w:themeFill="background1" w:themeFillShade="BF"/>
            <w:noWrap/>
            <w:vAlign w:val="center"/>
          </w:tcPr>
          <w:p w:rsidR="000515D2" w:rsidRPr="000515D2" w:rsidRDefault="000515D2" w:rsidP="000515D2">
            <w:pPr>
              <w:spacing w:after="160" w:line="259" w:lineRule="auto"/>
              <w:rPr>
                <w:rFonts w:ascii="Times New Roman" w:eastAsiaTheme="minorHAnsi" w:hAnsi="Times New Roman" w:cs="Times New Roman"/>
                <w:b/>
              </w:rPr>
            </w:pPr>
            <w:r w:rsidRPr="000515D2">
              <w:rPr>
                <w:rFonts w:ascii="Times New Roman" w:eastAsiaTheme="minorHAnsi" w:hAnsi="Times New Roman" w:cs="Times New Roman"/>
                <w:b/>
              </w:rPr>
              <w:t>Iné ako rozpočtové zdroje</w:t>
            </w:r>
          </w:p>
        </w:tc>
        <w:tc>
          <w:tcPr>
            <w:tcW w:w="1275" w:type="dxa"/>
            <w:shd w:val="clear" w:color="auto" w:fill="BFBFBF" w:themeFill="background1" w:themeFillShade="BF"/>
            <w:noWrap/>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276" w:type="dxa"/>
            <w:shd w:val="clear" w:color="auto" w:fill="BFBFBF" w:themeFill="background1" w:themeFillShade="BF"/>
            <w:noWrap/>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187" w:type="dxa"/>
            <w:shd w:val="clear" w:color="auto" w:fill="BFBFBF" w:themeFill="background1" w:themeFillShade="BF"/>
            <w:noWrap/>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267" w:type="dxa"/>
            <w:shd w:val="clear" w:color="auto" w:fill="BFBFBF" w:themeFill="background1" w:themeFillShade="BF"/>
            <w:noWrap/>
            <w:vAlign w:val="center"/>
          </w:tcPr>
          <w:p w:rsidR="000515D2" w:rsidRPr="000515D2" w:rsidRDefault="000515D2" w:rsidP="000515D2">
            <w:pPr>
              <w:spacing w:after="160" w:line="259" w:lineRule="auto"/>
              <w:jc w:val="right"/>
              <w:rPr>
                <w:rFonts w:ascii="Times New Roman" w:eastAsiaTheme="minorHAnsi" w:hAnsi="Times New Roman" w:cs="Times New Roman"/>
                <w:b/>
                <w:bCs/>
              </w:rPr>
            </w:pPr>
            <w:r w:rsidRPr="000515D2">
              <w:rPr>
                <w:rFonts w:ascii="Times New Roman" w:eastAsiaTheme="minorHAnsi" w:hAnsi="Times New Roman" w:cs="Times New Roman"/>
                <w:b/>
                <w:bCs/>
              </w:rPr>
              <w:t>0</w:t>
            </w:r>
          </w:p>
        </w:tc>
      </w:tr>
      <w:tr w:rsidR="000515D2" w:rsidRPr="000515D2" w:rsidTr="00F1463E">
        <w:trPr>
          <w:trHeight w:val="70"/>
          <w:jc w:val="center"/>
        </w:trPr>
        <w:tc>
          <w:tcPr>
            <w:tcW w:w="4724" w:type="dxa"/>
            <w:shd w:val="clear" w:color="auto" w:fill="A6A6A6" w:themeFill="background1" w:themeFillShade="A6"/>
            <w:noWrap/>
            <w:vAlign w:val="center"/>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Rozpočtovo nekrytý vplyv</w:t>
            </w:r>
          </w:p>
        </w:tc>
        <w:tc>
          <w:tcPr>
            <w:tcW w:w="1275" w:type="dxa"/>
            <w:shd w:val="clear" w:color="auto" w:fill="A6A6A6" w:themeFill="background1" w:themeFillShade="A6"/>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0</w:t>
            </w:r>
          </w:p>
        </w:tc>
        <w:tc>
          <w:tcPr>
            <w:tcW w:w="1276" w:type="dxa"/>
            <w:shd w:val="clear" w:color="auto" w:fill="A6A6A6" w:themeFill="background1" w:themeFillShade="A6"/>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0</w:t>
            </w:r>
          </w:p>
        </w:tc>
        <w:tc>
          <w:tcPr>
            <w:tcW w:w="1187" w:type="dxa"/>
            <w:shd w:val="clear" w:color="auto" w:fill="A6A6A6" w:themeFill="background1" w:themeFillShade="A6"/>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669 501</w:t>
            </w:r>
          </w:p>
        </w:tc>
        <w:tc>
          <w:tcPr>
            <w:tcW w:w="1267" w:type="dxa"/>
            <w:shd w:val="clear" w:color="auto" w:fill="A6A6A6" w:themeFill="background1" w:themeFillShade="A6"/>
            <w:noWrap/>
          </w:tcPr>
          <w:p w:rsidR="000515D2" w:rsidRPr="000515D2" w:rsidRDefault="000515D2" w:rsidP="000515D2">
            <w:pPr>
              <w:spacing w:after="160" w:line="259" w:lineRule="auto"/>
              <w:jc w:val="right"/>
              <w:rPr>
                <w:rFonts w:ascii="Times New Roman" w:eastAsiaTheme="minorHAnsi" w:hAnsi="Times New Roman" w:cs="Times New Roman"/>
                <w:b/>
              </w:rPr>
            </w:pPr>
            <w:r w:rsidRPr="000515D2">
              <w:rPr>
                <w:rFonts w:ascii="Times New Roman" w:eastAsiaTheme="minorHAnsi" w:hAnsi="Times New Roman" w:cs="Times New Roman"/>
                <w:b/>
              </w:rPr>
              <w:t xml:space="preserve"> 669 501</w:t>
            </w:r>
          </w:p>
        </w:tc>
      </w:tr>
      <w:bookmarkEnd w:id="0"/>
    </w:tbl>
    <w:p w:rsidR="000515D2" w:rsidRPr="000515D2" w:rsidRDefault="000515D2" w:rsidP="000515D2">
      <w:pPr>
        <w:rPr>
          <w:rFonts w:eastAsiaTheme="minorHAnsi"/>
        </w:rPr>
      </w:pPr>
    </w:p>
    <w:p w:rsidR="000515D2" w:rsidRPr="000515D2" w:rsidRDefault="000515D2" w:rsidP="000515D2">
      <w:pPr>
        <w:rPr>
          <w:rFonts w:ascii="Times New Roman" w:eastAsiaTheme="minorHAnsi" w:hAnsi="Times New Roman" w:cs="Times New Roman"/>
          <w:b/>
          <w:bCs/>
          <w:sz w:val="24"/>
        </w:rPr>
      </w:pPr>
      <w:r w:rsidRPr="000515D2">
        <w:rPr>
          <w:rFonts w:ascii="Times New Roman" w:eastAsiaTheme="minorHAnsi" w:hAnsi="Times New Roman" w:cs="Times New Roman"/>
          <w:b/>
          <w:bCs/>
          <w:sz w:val="24"/>
        </w:rPr>
        <w:t>2.1.1. Financovanie návrhu - Návrh na riešenie úbytku príjmov alebo zvýšených výdavkov podľa § 33 ods. 1 zákona č. 523/2004 Z. z. o rozpočtových pravidlách verejnej správy:</w:t>
      </w:r>
    </w:p>
    <w:p w:rsidR="000515D2" w:rsidRPr="000515D2" w:rsidRDefault="000515D2" w:rsidP="000515D2">
      <w:pPr>
        <w:spacing w:before="120" w:after="24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Analýza činností informačných kancelárií – nový § 7a návrhu zákona č. 583/2008 Z. z. o prevencii kriminality a inej protispoločenskej činnosti a o zmene a doplnení niektorých zákonov v znení neskorších predpisov.</w:t>
      </w:r>
    </w:p>
    <w:p w:rsidR="000515D2" w:rsidRPr="000515D2" w:rsidRDefault="000515D2" w:rsidP="000515D2">
      <w:pPr>
        <w:spacing w:before="120" w:after="240" w:line="256" w:lineRule="auto"/>
        <w:jc w:val="both"/>
        <w:rPr>
          <w:rFonts w:ascii="Times New Roman" w:eastAsia="Calibri" w:hAnsi="Times New Roman" w:cs="Times New Roman"/>
          <w:sz w:val="24"/>
          <w:highlight w:val="yellow"/>
        </w:rPr>
      </w:pPr>
      <w:r w:rsidRPr="000515D2">
        <w:rPr>
          <w:rFonts w:ascii="Times New Roman" w:eastAsia="Calibri" w:hAnsi="Times New Roman" w:cs="Times New Roman"/>
          <w:sz w:val="24"/>
        </w:rPr>
        <w:t>Ministerstvo vnútra Slovenskej republiky realizuje národný projekt „Zlepšenie prístupu obetí trestných činov k službám a vytvorenie kontaktných bodov pre obete“ s kódom ITMS2014+ č. 314011L605 (ďalej len „národný projekt“). Národný projekt je financovaný z Európskeho sociálneho fondu prostredníctvom  Operačného programu Efektívna verejná správa, pričom financovanie jeho aktivít malo pôvodne skončiť 31.7.2022. Vzhľadom na aktuálnu celospoločenskú situáciu súvisiacu so zmenou bezpečnostnej situácie v Európe v dôsledku vypuknutia vojnového konfliktu na Ukrajine je v aktuálnom období národný projekt v procese predĺženia a zmeny realizácie jeho aktivít s predpokladaným financovaním do 31.12.2023. V tejto súvislosti bolo dňa 12.8.2022 zverejnené Usmernenie č. 1 k Vyzvaniu na národný projekt „Zlepšenie prístupu obetí trestných činov k službám a vytvorenie kontaktných bodov pre obete“.</w:t>
      </w:r>
    </w:p>
    <w:p w:rsidR="000515D2" w:rsidRPr="000515D2" w:rsidRDefault="000515D2" w:rsidP="000515D2">
      <w:pPr>
        <w:spacing w:before="120" w:after="24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Žiadosť o nenávratný finančný príspevok schválená Európskou komisiou obsahuje popis projektu, ktorého súčasťou je „Situácia po realizácii projektu a udržateľnosť projektu“, ktorá zaväzuje Ministerstvo vnútra Slovenskej republiky k  udržateľnosti výsledkov projektu v nasledovnom rozsahu:</w:t>
      </w:r>
    </w:p>
    <w:p w:rsidR="000515D2" w:rsidRPr="000515D2" w:rsidRDefault="000515D2" w:rsidP="000515D2">
      <w:pPr>
        <w:numPr>
          <w:ilvl w:val="0"/>
          <w:numId w:val="3"/>
        </w:numPr>
        <w:spacing w:before="100" w:beforeAutospacing="1" w:after="0" w:afterAutospacing="1"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zabezpečiť pokračovanie činnosti novovybudovaného špeciálneho pracoviska pre analýzu potrieb a podporu obetí (prostredníctvom novovytvorených pracovných miest v počte 2),</w:t>
      </w:r>
    </w:p>
    <w:p w:rsidR="000515D2" w:rsidRPr="000515D2" w:rsidRDefault="000515D2" w:rsidP="000515D2">
      <w:pPr>
        <w:numPr>
          <w:ilvl w:val="0"/>
          <w:numId w:val="3"/>
        </w:numPr>
        <w:spacing w:before="100" w:beforeAutospacing="1" w:after="0" w:afterAutospacing="1"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pokračovať v poskytovaní služieb prostredníctvom vytvorenej siete kontaktných bodov vzniknutých s podporou projektu (prostredníctvom novovytvorených pracovných miest v počte 8),</w:t>
      </w:r>
    </w:p>
    <w:p w:rsidR="000515D2" w:rsidRPr="000515D2" w:rsidRDefault="000515D2" w:rsidP="000515D2">
      <w:pPr>
        <w:numPr>
          <w:ilvl w:val="0"/>
          <w:numId w:val="3"/>
        </w:numPr>
        <w:spacing w:before="100" w:beforeAutospacing="1" w:after="0" w:afterAutospacing="1"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pri rozširovaní systému prevencie kriminality vychádzať zo schválených štandardov a metodík vytvorených pre špecifické oblasti,</w:t>
      </w:r>
    </w:p>
    <w:p w:rsidR="000515D2" w:rsidRPr="000515D2" w:rsidRDefault="000515D2" w:rsidP="000515D2">
      <w:pPr>
        <w:numPr>
          <w:ilvl w:val="0"/>
          <w:numId w:val="3"/>
        </w:numPr>
        <w:spacing w:before="100" w:beforeAutospacing="1" w:after="0" w:afterAutospacing="1"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lastRenderedPageBreak/>
        <w:t xml:space="preserve">systemizovať kontaktné body a pripraviť </w:t>
      </w:r>
      <w:r w:rsidRPr="000515D2">
        <w:rPr>
          <w:rFonts w:ascii="Times New Roman" w:eastAsia="Times New Roman" w:hAnsi="Times New Roman" w:cs="Times New Roman"/>
          <w:b/>
          <w:sz w:val="24"/>
          <w:szCs w:val="24"/>
          <w:lang w:eastAsia="sk-SK"/>
        </w:rPr>
        <w:t>predpoklady pre ich legislatívne ukotvenie</w:t>
      </w:r>
      <w:r w:rsidRPr="000515D2">
        <w:rPr>
          <w:rFonts w:ascii="Times New Roman" w:eastAsia="Times New Roman" w:hAnsi="Times New Roman" w:cs="Times New Roman"/>
          <w:sz w:val="24"/>
          <w:szCs w:val="24"/>
          <w:lang w:eastAsia="sk-SK"/>
        </w:rPr>
        <w:t xml:space="preserve"> (zjednotenie činností kontaktných bodov, vytvorenie siete kontaktných bodov, zlepšiť rozsah a dostupnosť služieb vykonávaných pre cieľovú skupinu a zabezpečenie systémovosti financovania kontaktných bodov ako štandardného prvku prevencie kriminality),</w:t>
      </w:r>
    </w:p>
    <w:p w:rsidR="000515D2" w:rsidRPr="000515D2" w:rsidRDefault="000515D2" w:rsidP="000515D2">
      <w:pPr>
        <w:numPr>
          <w:ilvl w:val="0"/>
          <w:numId w:val="3"/>
        </w:numPr>
        <w:spacing w:before="100" w:beforeAutospacing="1" w:after="0" w:afterAutospacing="1"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zabezpečiť pokračovanie poskytovania pomoci a podpory obetiam trestných činov prostredníctvom platformy vzniknutej s podporou projektu,</w:t>
      </w:r>
    </w:p>
    <w:p w:rsidR="000515D2" w:rsidRPr="000515D2" w:rsidRDefault="000515D2" w:rsidP="000515D2">
      <w:pPr>
        <w:numPr>
          <w:ilvl w:val="0"/>
          <w:numId w:val="3"/>
        </w:numPr>
        <w:spacing w:before="100" w:beforeAutospacing="1" w:after="0" w:afterAutospacing="1"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zachovať dostupnosť pro-klientsky orientovaných služieb poskytovaných prostredníctvom vytvorenej databázy dostupnej na webovom sídle, ktorá obsahuje informácie, činnosť a údaje z jednotlivých kontaktných bodov,</w:t>
      </w:r>
    </w:p>
    <w:p w:rsidR="000515D2" w:rsidRPr="000515D2" w:rsidRDefault="000515D2" w:rsidP="000515D2">
      <w:pPr>
        <w:numPr>
          <w:ilvl w:val="0"/>
          <w:numId w:val="3"/>
        </w:numPr>
        <w:spacing w:before="100" w:beforeAutospacing="1" w:after="0" w:afterAutospacing="1"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pokračovať v preventívnych aktivitách zameraných na zvýšenie kvality života a pocitu bezpečia cieľových skupín, ktoré budú zabezpečované sieťou koordinátorov a vytvorenou platformou.</w:t>
      </w:r>
    </w:p>
    <w:p w:rsidR="000515D2" w:rsidRPr="000515D2" w:rsidRDefault="000515D2" w:rsidP="000515D2">
      <w:pPr>
        <w:spacing w:after="160"/>
        <w:jc w:val="both"/>
        <w:rPr>
          <w:rFonts w:ascii="Times New Roman" w:eastAsiaTheme="minorHAnsi" w:hAnsi="Times New Roman" w:cs="Times New Roman"/>
          <w:b/>
          <w:i/>
          <w:sz w:val="24"/>
          <w:u w:val="single"/>
        </w:rPr>
      </w:pPr>
      <w:r w:rsidRPr="000515D2">
        <w:rPr>
          <w:rFonts w:ascii="Times New Roman" w:eastAsiaTheme="minorHAnsi" w:hAnsi="Times New Roman" w:cs="Times New Roman"/>
          <w:sz w:val="24"/>
        </w:rPr>
        <w:t xml:space="preserve">V súvislosti so systemizáciou 27 štátnozamestnaneckých miest Ministerstvo financií Slovenskej republiky zvýši finančné prostriedky po schválení predmetného návrhu zákona na roky 2024 a ďalšie. </w:t>
      </w:r>
    </w:p>
    <w:p w:rsidR="000515D2" w:rsidRPr="000515D2" w:rsidRDefault="000515D2" w:rsidP="000515D2">
      <w:pPr>
        <w:spacing w:after="160"/>
        <w:jc w:val="both"/>
        <w:rPr>
          <w:rFonts w:ascii="Times New Roman" w:eastAsiaTheme="minorHAnsi" w:hAnsi="Times New Roman" w:cs="Times New Roman"/>
          <w:b/>
          <w:bCs/>
          <w:sz w:val="24"/>
        </w:rPr>
      </w:pPr>
      <w:r w:rsidRPr="000515D2">
        <w:rPr>
          <w:rFonts w:ascii="Times New Roman" w:eastAsiaTheme="minorHAnsi" w:hAnsi="Times New Roman" w:cs="Times New Roman"/>
          <w:b/>
          <w:bCs/>
          <w:sz w:val="24"/>
        </w:rPr>
        <w:t>2.2. Popis a charakteristika návrhu</w:t>
      </w:r>
    </w:p>
    <w:p w:rsidR="000515D2" w:rsidRPr="000515D2" w:rsidRDefault="000515D2" w:rsidP="000515D2">
      <w:pPr>
        <w:spacing w:after="160"/>
        <w:jc w:val="both"/>
        <w:rPr>
          <w:rFonts w:ascii="Times New Roman" w:eastAsiaTheme="minorHAnsi" w:hAnsi="Times New Roman" w:cs="Times New Roman"/>
          <w:sz w:val="24"/>
        </w:rPr>
      </w:pPr>
      <w:r w:rsidRPr="000515D2">
        <w:rPr>
          <w:rFonts w:ascii="Times New Roman" w:eastAsiaTheme="minorHAnsi" w:hAnsi="Times New Roman" w:cs="Times New Roman"/>
          <w:b/>
          <w:bCs/>
          <w:sz w:val="24"/>
        </w:rPr>
        <w:t>2.2.1. Popis návrhu</w:t>
      </w:r>
    </w:p>
    <w:p w:rsidR="000515D2" w:rsidRPr="000515D2" w:rsidRDefault="000515D2" w:rsidP="000515D2">
      <w:pPr>
        <w:spacing w:after="160"/>
        <w:jc w:val="both"/>
        <w:rPr>
          <w:rFonts w:ascii="Times New Roman" w:eastAsiaTheme="minorHAnsi" w:hAnsi="Times New Roman" w:cs="Times New Roman"/>
          <w:sz w:val="24"/>
        </w:rPr>
      </w:pPr>
      <w:r w:rsidRPr="000515D2">
        <w:rPr>
          <w:rFonts w:ascii="Times New Roman" w:eastAsiaTheme="minorHAnsi" w:hAnsi="Times New Roman" w:cs="Times New Roman"/>
          <w:sz w:val="24"/>
        </w:rPr>
        <w:t>Systemizácia v rámci prebiehajúceho projektu je nastavená na 31 štátnozamestnaneckých miest   v dočasnej štátnej službe. Minimálny záväzok voči Európskej komisii je udržanie 8</w:t>
      </w:r>
      <w:r w:rsidRPr="000515D2">
        <w:rPr>
          <w:rFonts w:eastAsiaTheme="minorHAnsi"/>
          <w:sz w:val="24"/>
        </w:rPr>
        <w:t xml:space="preserve"> </w:t>
      </w:r>
      <w:r w:rsidRPr="000515D2">
        <w:rPr>
          <w:rFonts w:ascii="Times New Roman" w:eastAsiaTheme="minorHAnsi" w:hAnsi="Times New Roman" w:cs="Times New Roman"/>
          <w:sz w:val="24"/>
        </w:rPr>
        <w:t>štátnozamestnaneckých miest na informačných kanceláriách a 2 štátnozamestnaneckých miest na špeciálnom pracovisku pre analýzu potrieb a podporu obetí.</w:t>
      </w:r>
    </w:p>
    <w:p w:rsidR="000515D2" w:rsidRPr="000515D2" w:rsidRDefault="000515D2" w:rsidP="000515D2">
      <w:pPr>
        <w:spacing w:after="160"/>
        <w:jc w:val="both"/>
        <w:rPr>
          <w:rFonts w:ascii="Times New Roman" w:eastAsiaTheme="minorHAnsi" w:hAnsi="Times New Roman" w:cs="Times New Roman"/>
          <w:sz w:val="24"/>
        </w:rPr>
      </w:pPr>
      <w:r w:rsidRPr="000515D2">
        <w:rPr>
          <w:rFonts w:ascii="Times New Roman" w:eastAsiaTheme="minorHAnsi" w:hAnsi="Times New Roman" w:cs="Times New Roman"/>
          <w:sz w:val="24"/>
        </w:rPr>
        <w:t xml:space="preserve">Zo subjektov poskytujúcich porovnateľné služby pre porovnateľné cieľové subjekty (obete trestných činov) má najbližšie k fungovaniu informačných kancelárií (ďalej len „IK“) </w:t>
      </w:r>
      <w:r w:rsidRPr="000515D2">
        <w:rPr>
          <w:rFonts w:ascii="Times New Roman" w:eastAsiaTheme="minorHAnsi" w:hAnsi="Times New Roman" w:cs="Times New Roman"/>
          <w:sz w:val="24"/>
        </w:rPr>
        <w:lastRenderedPageBreak/>
        <w:t>organizácia Bílý Kruh Bezpečí z.s.</w:t>
      </w:r>
      <w:r w:rsidRPr="000515D2">
        <w:rPr>
          <w:rFonts w:ascii="Times New Roman" w:eastAsiaTheme="minorHAnsi" w:hAnsi="Times New Roman" w:cs="Times New Roman"/>
          <w:sz w:val="24"/>
          <w:vertAlign w:val="superscript"/>
        </w:rPr>
        <w:footnoteReference w:id="1"/>
      </w:r>
      <w:r w:rsidRPr="000515D2">
        <w:rPr>
          <w:rFonts w:ascii="Times New Roman" w:eastAsiaTheme="minorHAnsi" w:hAnsi="Times New Roman" w:cs="Times New Roman"/>
          <w:sz w:val="24"/>
        </w:rPr>
        <w:t xml:space="preserve"> (ďalej len „BKB“) pôsobiaca v Českej republike už 29 rokov.</w:t>
      </w:r>
    </w:p>
    <w:p w:rsidR="000515D2" w:rsidRPr="000515D2" w:rsidRDefault="000515D2" w:rsidP="000515D2">
      <w:pPr>
        <w:spacing w:after="160"/>
        <w:jc w:val="both"/>
        <w:rPr>
          <w:rFonts w:ascii="Times New Roman" w:eastAsiaTheme="minorHAnsi" w:hAnsi="Times New Roman" w:cs="Times New Roman"/>
          <w:sz w:val="24"/>
        </w:rPr>
      </w:pPr>
      <w:r w:rsidRPr="000515D2">
        <w:rPr>
          <w:rFonts w:ascii="Times New Roman" w:eastAsiaTheme="minorHAnsi" w:hAnsi="Times New Roman" w:cs="Times New Roman"/>
          <w:sz w:val="24"/>
        </w:rPr>
        <w:t xml:space="preserve">V porovnaní činnosti a štruktúry BKB a IK je uvedené, že s porovnateľným personálnym obsadením by boli IK v roku 2022 schopné pomôcť pomernému počtu obetí trestných činov a zrealizovať väčší počet preventívnych aktivít zameraných na primárnu prevenciu kriminality. </w:t>
      </w:r>
    </w:p>
    <w:tbl>
      <w:tblPr>
        <w:tblStyle w:val="Tabukasmriekou1svetl"/>
        <w:tblpPr w:leftFromText="141" w:rightFromText="141" w:vertAnchor="text" w:tblpXSpec="center" w:tblpY="1"/>
        <w:tblOverlap w:val="never"/>
        <w:tblW w:w="8075" w:type="dxa"/>
        <w:jc w:val="center"/>
        <w:tblLook w:val="04A0" w:firstRow="1" w:lastRow="0" w:firstColumn="1" w:lastColumn="0" w:noHBand="0" w:noVBand="1"/>
      </w:tblPr>
      <w:tblGrid>
        <w:gridCol w:w="3894"/>
        <w:gridCol w:w="2055"/>
        <w:gridCol w:w="2126"/>
      </w:tblGrid>
      <w:tr w:rsidR="000515D2" w:rsidRPr="000515D2" w:rsidTr="00F1463E">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jc w:val="center"/>
              <w:rPr>
                <w:rFonts w:ascii="Times New Roman" w:eastAsiaTheme="minorHAnsi" w:hAnsi="Times New Roman" w:cs="Times New Roman"/>
              </w:rPr>
            </w:pPr>
            <w:r w:rsidRPr="000515D2">
              <w:rPr>
                <w:rFonts w:ascii="Times New Roman" w:eastAsiaTheme="minorHAnsi" w:hAnsi="Times New Roman" w:cs="Times New Roman"/>
              </w:rPr>
              <w:t> </w:t>
            </w:r>
          </w:p>
        </w:tc>
        <w:tc>
          <w:tcPr>
            <w:tcW w:w="2055" w:type="dxa"/>
            <w:noWrap/>
            <w:hideMark/>
          </w:tcPr>
          <w:p w:rsidR="000515D2" w:rsidRPr="000515D2" w:rsidRDefault="000515D2" w:rsidP="000515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p>
          <w:p w:rsidR="000515D2" w:rsidRPr="000515D2" w:rsidRDefault="000515D2" w:rsidP="000515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BKB  (2020)</w:t>
            </w:r>
          </w:p>
          <w:p w:rsidR="000515D2" w:rsidRPr="000515D2" w:rsidRDefault="000515D2" w:rsidP="000515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p>
        </w:tc>
        <w:tc>
          <w:tcPr>
            <w:tcW w:w="2126" w:type="dxa"/>
            <w:noWrap/>
            <w:hideMark/>
          </w:tcPr>
          <w:p w:rsidR="000515D2" w:rsidRPr="000515D2" w:rsidRDefault="000515D2" w:rsidP="000515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p>
          <w:p w:rsidR="000515D2" w:rsidRPr="000515D2" w:rsidRDefault="000515D2" w:rsidP="000515D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IK (2022)</w:t>
            </w:r>
          </w:p>
        </w:tc>
      </w:tr>
      <w:tr w:rsidR="000515D2" w:rsidRPr="000515D2" w:rsidTr="00F1463E">
        <w:trPr>
          <w:trHeight w:val="765"/>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rPr>
                <w:rFonts w:ascii="Times New Roman" w:eastAsiaTheme="minorHAnsi" w:hAnsi="Times New Roman" w:cs="Times New Roman"/>
              </w:rPr>
            </w:pPr>
            <w:r w:rsidRPr="000515D2">
              <w:rPr>
                <w:rFonts w:ascii="Times New Roman" w:eastAsiaTheme="minorHAnsi" w:hAnsi="Times New Roman" w:cs="Times New Roman"/>
              </w:rPr>
              <w:t xml:space="preserve">počet obetí </w:t>
            </w:r>
          </w:p>
        </w:tc>
        <w:tc>
          <w:tcPr>
            <w:tcW w:w="2055" w:type="dxa"/>
            <w:noWrap/>
            <w:hideMark/>
          </w:tcPr>
          <w:p w:rsidR="000515D2" w:rsidRPr="000515D2" w:rsidRDefault="000515D2" w:rsidP="000515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 xml:space="preserve">               33 094 </w:t>
            </w:r>
          </w:p>
        </w:tc>
        <w:tc>
          <w:tcPr>
            <w:tcW w:w="2126" w:type="dxa"/>
            <w:noWrap/>
            <w:hideMark/>
          </w:tcPr>
          <w:p w:rsidR="000515D2" w:rsidRPr="000515D2" w:rsidRDefault="000515D2" w:rsidP="000515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 xml:space="preserve">              8 855 </w:t>
            </w:r>
          </w:p>
        </w:tc>
      </w:tr>
      <w:tr w:rsidR="000515D2" w:rsidRPr="000515D2" w:rsidTr="00F1463E">
        <w:trPr>
          <w:trHeight w:val="765"/>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rPr>
                <w:rFonts w:ascii="Times New Roman" w:eastAsiaTheme="minorHAnsi" w:hAnsi="Times New Roman" w:cs="Times New Roman"/>
              </w:rPr>
            </w:pPr>
            <w:r w:rsidRPr="000515D2">
              <w:rPr>
                <w:rFonts w:ascii="Times New Roman" w:eastAsiaTheme="minorHAnsi" w:hAnsi="Times New Roman" w:cs="Times New Roman"/>
              </w:rPr>
              <w:t xml:space="preserve">počet klientov </w:t>
            </w:r>
          </w:p>
        </w:tc>
        <w:tc>
          <w:tcPr>
            <w:tcW w:w="2055" w:type="dxa"/>
            <w:noWrap/>
            <w:hideMark/>
          </w:tcPr>
          <w:p w:rsidR="000515D2" w:rsidRPr="000515D2" w:rsidRDefault="000515D2" w:rsidP="000515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 xml:space="preserve">                 1 999 </w:t>
            </w:r>
          </w:p>
        </w:tc>
        <w:tc>
          <w:tcPr>
            <w:tcW w:w="2126" w:type="dxa"/>
            <w:noWrap/>
            <w:hideMark/>
          </w:tcPr>
          <w:p w:rsidR="000515D2" w:rsidRPr="000515D2" w:rsidRDefault="000515D2" w:rsidP="000515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 xml:space="preserve">              1 565 </w:t>
            </w:r>
          </w:p>
        </w:tc>
      </w:tr>
      <w:tr w:rsidR="000515D2" w:rsidRPr="000515D2" w:rsidTr="00F1463E">
        <w:trPr>
          <w:trHeight w:val="510"/>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rPr>
                <w:rFonts w:ascii="Times New Roman" w:eastAsiaTheme="minorHAnsi" w:hAnsi="Times New Roman" w:cs="Times New Roman"/>
              </w:rPr>
            </w:pPr>
            <w:r w:rsidRPr="000515D2">
              <w:rPr>
                <w:rFonts w:ascii="Times New Roman" w:eastAsiaTheme="minorHAnsi" w:hAnsi="Times New Roman" w:cs="Times New Roman"/>
              </w:rPr>
              <w:t>počet zamestnancov v prac. pomere</w:t>
            </w:r>
          </w:p>
        </w:tc>
        <w:tc>
          <w:tcPr>
            <w:tcW w:w="2055"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30</w:t>
            </w:r>
          </w:p>
        </w:tc>
        <w:tc>
          <w:tcPr>
            <w:tcW w:w="2126"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24</w:t>
            </w:r>
          </w:p>
        </w:tc>
      </w:tr>
      <w:tr w:rsidR="000515D2" w:rsidRPr="000515D2" w:rsidTr="00F1463E">
        <w:trPr>
          <w:trHeight w:val="255"/>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rPr>
                <w:rFonts w:ascii="Times New Roman" w:eastAsiaTheme="minorHAnsi" w:hAnsi="Times New Roman" w:cs="Times New Roman"/>
              </w:rPr>
            </w:pPr>
            <w:r w:rsidRPr="000515D2">
              <w:rPr>
                <w:rFonts w:ascii="Times New Roman" w:eastAsiaTheme="minorHAnsi" w:hAnsi="Times New Roman" w:cs="Times New Roman"/>
              </w:rPr>
              <w:t xml:space="preserve">počet pracovísk </w:t>
            </w:r>
          </w:p>
        </w:tc>
        <w:tc>
          <w:tcPr>
            <w:tcW w:w="2055"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11</w:t>
            </w:r>
          </w:p>
        </w:tc>
        <w:tc>
          <w:tcPr>
            <w:tcW w:w="2126"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16</w:t>
            </w:r>
          </w:p>
        </w:tc>
      </w:tr>
      <w:tr w:rsidR="000515D2" w:rsidRPr="000515D2" w:rsidTr="00F1463E">
        <w:trPr>
          <w:trHeight w:val="255"/>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rPr>
                <w:rFonts w:ascii="Times New Roman" w:eastAsiaTheme="minorHAnsi" w:hAnsi="Times New Roman" w:cs="Times New Roman"/>
              </w:rPr>
            </w:pPr>
            <w:r w:rsidRPr="000515D2">
              <w:rPr>
                <w:rFonts w:ascii="Times New Roman" w:eastAsiaTheme="minorHAnsi" w:hAnsi="Times New Roman" w:cs="Times New Roman"/>
              </w:rPr>
              <w:t xml:space="preserve">počet preventívnych aktivít </w:t>
            </w:r>
          </w:p>
        </w:tc>
        <w:tc>
          <w:tcPr>
            <w:tcW w:w="2055"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81</w:t>
            </w:r>
          </w:p>
        </w:tc>
        <w:tc>
          <w:tcPr>
            <w:tcW w:w="2126"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rPr>
            </w:pPr>
            <w:r w:rsidRPr="000515D2">
              <w:rPr>
                <w:rFonts w:ascii="Times New Roman" w:eastAsiaTheme="minorHAnsi" w:hAnsi="Times New Roman" w:cs="Times New Roman"/>
              </w:rPr>
              <w:t>800</w:t>
            </w:r>
          </w:p>
        </w:tc>
      </w:tr>
      <w:tr w:rsidR="000515D2" w:rsidRPr="000515D2" w:rsidTr="00F1463E">
        <w:trPr>
          <w:trHeight w:val="255"/>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rPr>
                <w:rFonts w:ascii="Times New Roman" w:eastAsiaTheme="minorHAnsi" w:hAnsi="Times New Roman" w:cs="Times New Roman"/>
                <w:i/>
                <w:iCs/>
              </w:rPr>
            </w:pPr>
            <w:r w:rsidRPr="000515D2">
              <w:rPr>
                <w:rFonts w:ascii="Times New Roman" w:eastAsiaTheme="minorHAnsi" w:hAnsi="Times New Roman" w:cs="Times New Roman"/>
                <w:i/>
                <w:iCs/>
              </w:rPr>
              <w:t xml:space="preserve">počet účastníkov preventívnych aktivít </w:t>
            </w:r>
          </w:p>
        </w:tc>
        <w:tc>
          <w:tcPr>
            <w:tcW w:w="2055"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i/>
                <w:iCs/>
              </w:rPr>
            </w:pPr>
            <w:r w:rsidRPr="000515D2">
              <w:rPr>
                <w:rFonts w:ascii="Times New Roman" w:eastAsiaTheme="minorHAnsi" w:hAnsi="Times New Roman" w:cs="Times New Roman"/>
                <w:i/>
                <w:iCs/>
              </w:rPr>
              <w:t xml:space="preserve">                2 137 </w:t>
            </w:r>
          </w:p>
        </w:tc>
        <w:tc>
          <w:tcPr>
            <w:tcW w:w="2126" w:type="dxa"/>
            <w:noWrap/>
            <w:hideMark/>
          </w:tcPr>
          <w:p w:rsidR="000515D2" w:rsidRPr="000515D2" w:rsidRDefault="000515D2" w:rsidP="000515D2">
            <w:pPr>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i/>
                <w:iCs/>
              </w:rPr>
            </w:pPr>
            <w:r w:rsidRPr="000515D2">
              <w:rPr>
                <w:rFonts w:ascii="Times New Roman" w:eastAsiaTheme="minorHAnsi" w:hAnsi="Times New Roman" w:cs="Times New Roman"/>
                <w:i/>
                <w:iCs/>
              </w:rPr>
              <w:t xml:space="preserve">            24 800 </w:t>
            </w:r>
          </w:p>
        </w:tc>
      </w:tr>
      <w:tr w:rsidR="000515D2" w:rsidRPr="000515D2" w:rsidTr="00F1463E">
        <w:trPr>
          <w:trHeight w:val="255"/>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rPr>
                <w:rFonts w:ascii="Times New Roman" w:eastAsiaTheme="minorHAnsi" w:hAnsi="Times New Roman" w:cs="Times New Roman"/>
                <w:i/>
                <w:iCs/>
              </w:rPr>
            </w:pPr>
            <w:r w:rsidRPr="000515D2">
              <w:rPr>
                <w:rFonts w:ascii="Times New Roman" w:eastAsiaTheme="minorHAnsi" w:hAnsi="Times New Roman" w:cs="Times New Roman"/>
                <w:i/>
                <w:iCs/>
              </w:rPr>
              <w:t xml:space="preserve">priemer na preventívnu aktivitu </w:t>
            </w:r>
          </w:p>
        </w:tc>
        <w:tc>
          <w:tcPr>
            <w:tcW w:w="2055"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i/>
                <w:iCs/>
              </w:rPr>
            </w:pPr>
            <w:r w:rsidRPr="000515D2">
              <w:rPr>
                <w:rFonts w:ascii="Times New Roman" w:eastAsiaTheme="minorHAnsi" w:hAnsi="Times New Roman" w:cs="Times New Roman"/>
                <w:i/>
                <w:iCs/>
              </w:rPr>
              <w:t>26</w:t>
            </w:r>
          </w:p>
        </w:tc>
        <w:tc>
          <w:tcPr>
            <w:tcW w:w="2126"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i/>
                <w:iCs/>
              </w:rPr>
            </w:pPr>
            <w:r w:rsidRPr="000515D2">
              <w:rPr>
                <w:rFonts w:ascii="Times New Roman" w:eastAsiaTheme="minorHAnsi" w:hAnsi="Times New Roman" w:cs="Times New Roman"/>
                <w:i/>
                <w:iCs/>
              </w:rPr>
              <w:t xml:space="preserve">31 </w:t>
            </w:r>
            <w:r w:rsidRPr="000515D2">
              <w:rPr>
                <w:rFonts w:ascii="Times New Roman" w:eastAsiaTheme="minorHAnsi" w:hAnsi="Times New Roman" w:cs="Times New Roman"/>
                <w:i/>
                <w:iCs/>
                <w:vertAlign w:val="superscript"/>
              </w:rPr>
              <w:footnoteReference w:id="2"/>
            </w:r>
          </w:p>
        </w:tc>
      </w:tr>
      <w:tr w:rsidR="000515D2" w:rsidRPr="000515D2" w:rsidTr="00F1463E">
        <w:trPr>
          <w:trHeight w:val="255"/>
          <w:jc w:val="center"/>
        </w:trPr>
        <w:tc>
          <w:tcPr>
            <w:cnfStyle w:val="001000000000" w:firstRow="0" w:lastRow="0" w:firstColumn="1" w:lastColumn="0" w:oddVBand="0" w:evenVBand="0" w:oddHBand="0" w:evenHBand="0" w:firstRowFirstColumn="0" w:firstRowLastColumn="0" w:lastRowFirstColumn="0" w:lastRowLastColumn="0"/>
            <w:tcW w:w="3894" w:type="dxa"/>
            <w:noWrap/>
            <w:hideMark/>
          </w:tcPr>
          <w:p w:rsidR="000515D2" w:rsidRPr="000515D2" w:rsidRDefault="000515D2" w:rsidP="000515D2">
            <w:pPr>
              <w:spacing w:after="0" w:line="240" w:lineRule="auto"/>
              <w:rPr>
                <w:rFonts w:ascii="Times New Roman" w:eastAsiaTheme="minorHAnsi" w:hAnsi="Times New Roman" w:cs="Times New Roman"/>
              </w:rPr>
            </w:pPr>
            <w:r w:rsidRPr="000515D2">
              <w:rPr>
                <w:rFonts w:ascii="Times New Roman" w:eastAsiaTheme="minorHAnsi" w:hAnsi="Times New Roman" w:cs="Times New Roman"/>
              </w:rPr>
              <w:t xml:space="preserve">mzdové náklady </w:t>
            </w:r>
          </w:p>
        </w:tc>
        <w:tc>
          <w:tcPr>
            <w:tcW w:w="2055"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rPr>
            </w:pPr>
            <w:r w:rsidRPr="000515D2">
              <w:rPr>
                <w:rFonts w:ascii="Times New Roman" w:eastAsiaTheme="minorHAnsi" w:hAnsi="Times New Roman" w:cs="Times New Roman"/>
                <w:b/>
                <w:bCs/>
              </w:rPr>
              <w:t>680 904,24 €</w:t>
            </w:r>
          </w:p>
        </w:tc>
        <w:tc>
          <w:tcPr>
            <w:tcW w:w="2126" w:type="dxa"/>
            <w:noWrap/>
            <w:hideMark/>
          </w:tcPr>
          <w:p w:rsidR="000515D2" w:rsidRPr="000515D2" w:rsidRDefault="000515D2" w:rsidP="000515D2">
            <w:pPr>
              <w:spacing w:after="0" w:line="24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heme="minorHAnsi" w:hAnsi="Times New Roman" w:cs="Times New Roman"/>
                <w:b/>
                <w:bCs/>
              </w:rPr>
            </w:pPr>
            <w:r w:rsidRPr="000515D2">
              <w:rPr>
                <w:rFonts w:ascii="Times New Roman" w:eastAsiaTheme="minorHAnsi" w:hAnsi="Times New Roman" w:cs="Times New Roman"/>
                <w:b/>
                <w:bCs/>
              </w:rPr>
              <w:t>669 500,64 €</w:t>
            </w:r>
          </w:p>
        </w:tc>
      </w:tr>
    </w:tbl>
    <w:p w:rsidR="000515D2" w:rsidRPr="000515D2" w:rsidRDefault="000515D2" w:rsidP="000515D2">
      <w:pPr>
        <w:spacing w:after="160"/>
        <w:jc w:val="both"/>
        <w:rPr>
          <w:rFonts w:ascii="Times New Roman" w:eastAsiaTheme="minorHAnsi" w:hAnsi="Times New Roman" w:cs="Times New Roman"/>
          <w:color w:val="A6A6A6" w:themeColor="background1" w:themeShade="A6"/>
        </w:rPr>
      </w:pPr>
      <w:r w:rsidRPr="000515D2">
        <w:rPr>
          <w:rFonts w:ascii="Times New Roman" w:eastAsiaTheme="minorHAnsi" w:hAnsi="Times New Roman" w:cs="Times New Roman"/>
          <w:color w:val="A6A6A6" w:themeColor="background1" w:themeShade="A6"/>
        </w:rPr>
        <w:t xml:space="preserve">Porovnanie činnosti a štruktúry BKB a IK </w:t>
      </w:r>
    </w:p>
    <w:p w:rsidR="000515D2" w:rsidRPr="000515D2" w:rsidRDefault="000515D2" w:rsidP="000515D2">
      <w:pPr>
        <w:spacing w:after="160" w:line="259" w:lineRule="auto"/>
        <w:jc w:val="both"/>
        <w:rPr>
          <w:rFonts w:ascii="Times New Roman" w:eastAsiaTheme="minorHAnsi" w:hAnsi="Times New Roman" w:cs="Times New Roman"/>
          <w:sz w:val="24"/>
          <w:highlight w:val="cyan"/>
        </w:rPr>
      </w:pPr>
    </w:p>
    <w:p w:rsidR="000515D2" w:rsidRPr="000515D2" w:rsidRDefault="000515D2" w:rsidP="000515D2">
      <w:pPr>
        <w:spacing w:after="160" w:line="259" w:lineRule="auto"/>
        <w:jc w:val="both"/>
        <w:rPr>
          <w:rFonts w:eastAsiaTheme="minorHAnsi"/>
          <w:color w:val="000000" w:themeColor="text1"/>
          <w:szCs w:val="20"/>
        </w:rPr>
      </w:pPr>
      <w:r w:rsidRPr="000515D2">
        <w:rPr>
          <w:rFonts w:ascii="Times New Roman" w:eastAsiaTheme="minorHAnsi" w:hAnsi="Times New Roman" w:cs="Times New Roman"/>
          <w:color w:val="000000" w:themeColor="text1"/>
          <w:sz w:val="24"/>
          <w:szCs w:val="24"/>
        </w:rPr>
        <w:t xml:space="preserve">V období december 2018 až december 2021 poskytli informačné kancelárie pomoc spolu </w:t>
      </w:r>
      <w:r w:rsidRPr="000515D2">
        <w:rPr>
          <w:rFonts w:ascii="Times New Roman" w:eastAsiaTheme="minorHAnsi" w:hAnsi="Times New Roman" w:cs="Times New Roman"/>
          <w:b/>
          <w:color w:val="000000" w:themeColor="text1"/>
          <w:sz w:val="24"/>
          <w:szCs w:val="24"/>
        </w:rPr>
        <w:t>1816 klientom</w:t>
      </w:r>
      <w:r w:rsidRPr="000515D2">
        <w:rPr>
          <w:rFonts w:ascii="Times New Roman" w:eastAsiaTheme="minorHAnsi" w:hAnsi="Times New Roman" w:cs="Times New Roman"/>
          <w:color w:val="000000" w:themeColor="text1"/>
          <w:sz w:val="24"/>
          <w:szCs w:val="24"/>
        </w:rPr>
        <w:t xml:space="preserve">. Rapídny nárast klientov bol zaznamenaný v roku </w:t>
      </w:r>
      <w:r w:rsidRPr="000515D2">
        <w:rPr>
          <w:rFonts w:ascii="Times New Roman" w:eastAsiaTheme="minorHAnsi" w:hAnsi="Times New Roman" w:cs="Times New Roman"/>
          <w:b/>
          <w:color w:val="000000" w:themeColor="text1"/>
          <w:sz w:val="24"/>
          <w:szCs w:val="24"/>
        </w:rPr>
        <w:t>2021 (1 056 klientov)</w:t>
      </w:r>
      <w:r w:rsidRPr="000515D2">
        <w:rPr>
          <w:rFonts w:ascii="Times New Roman" w:eastAsiaTheme="minorHAnsi" w:hAnsi="Times New Roman" w:cs="Times New Roman"/>
          <w:color w:val="000000" w:themeColor="text1"/>
          <w:sz w:val="24"/>
          <w:szCs w:val="24"/>
        </w:rPr>
        <w:t xml:space="preserve">, čo tvorí nárast klientov o </w:t>
      </w:r>
      <w:r w:rsidRPr="000515D2">
        <w:rPr>
          <w:rFonts w:ascii="Times New Roman" w:eastAsiaTheme="minorHAnsi" w:hAnsi="Times New Roman" w:cs="Times New Roman"/>
          <w:b/>
          <w:color w:val="000000" w:themeColor="text1"/>
          <w:sz w:val="24"/>
          <w:szCs w:val="24"/>
        </w:rPr>
        <w:t>134,7 %</w:t>
      </w:r>
      <w:r w:rsidRPr="000515D2">
        <w:rPr>
          <w:rFonts w:ascii="Times New Roman" w:eastAsiaTheme="minorHAnsi" w:hAnsi="Times New Roman" w:cs="Times New Roman"/>
          <w:color w:val="000000" w:themeColor="text1"/>
          <w:sz w:val="24"/>
          <w:szCs w:val="24"/>
        </w:rPr>
        <w:t xml:space="preserve"> oproti roku </w:t>
      </w:r>
      <w:r w:rsidRPr="000515D2">
        <w:rPr>
          <w:rFonts w:ascii="Times New Roman" w:eastAsiaTheme="minorHAnsi" w:hAnsi="Times New Roman" w:cs="Times New Roman"/>
          <w:b/>
          <w:color w:val="000000" w:themeColor="text1"/>
          <w:sz w:val="24"/>
          <w:szCs w:val="24"/>
        </w:rPr>
        <w:t>2020</w:t>
      </w:r>
      <w:r w:rsidRPr="000515D2">
        <w:rPr>
          <w:rFonts w:ascii="Times New Roman" w:eastAsiaTheme="minorHAnsi" w:hAnsi="Times New Roman" w:cs="Times New Roman"/>
          <w:color w:val="000000" w:themeColor="text1"/>
          <w:sz w:val="24"/>
          <w:szCs w:val="24"/>
        </w:rPr>
        <w:t>, na porovnanie v roku 2020 bol zaznamenaný nárast klientov o </w:t>
      </w:r>
      <w:r w:rsidRPr="000515D2">
        <w:rPr>
          <w:rFonts w:ascii="Times New Roman" w:eastAsiaTheme="minorHAnsi" w:hAnsi="Times New Roman" w:cs="Times New Roman"/>
          <w:b/>
          <w:color w:val="000000" w:themeColor="text1"/>
          <w:sz w:val="24"/>
          <w:szCs w:val="24"/>
        </w:rPr>
        <w:t>48 %</w:t>
      </w:r>
      <w:r w:rsidRPr="000515D2">
        <w:rPr>
          <w:rFonts w:ascii="Times New Roman" w:eastAsiaTheme="minorHAnsi" w:hAnsi="Times New Roman" w:cs="Times New Roman"/>
          <w:color w:val="000000" w:themeColor="text1"/>
          <w:sz w:val="24"/>
          <w:szCs w:val="24"/>
        </w:rPr>
        <w:t xml:space="preserve"> oproti roku 2019.</w:t>
      </w:r>
    </w:p>
    <w:p w:rsidR="000515D2" w:rsidRPr="000515D2" w:rsidRDefault="000515D2" w:rsidP="000515D2">
      <w:pPr>
        <w:spacing w:after="160" w:line="259" w:lineRule="auto"/>
        <w:jc w:val="both"/>
        <w:rPr>
          <w:rFonts w:ascii="Times New Roman" w:eastAsiaTheme="minorHAnsi" w:hAnsi="Times New Roman" w:cs="Times New Roman"/>
          <w:sz w:val="24"/>
        </w:rPr>
      </w:pPr>
    </w:p>
    <w:p w:rsidR="000515D2" w:rsidRPr="000515D2" w:rsidRDefault="000515D2" w:rsidP="000515D2">
      <w:pPr>
        <w:spacing w:after="160" w:line="259" w:lineRule="auto"/>
        <w:rPr>
          <w:rFonts w:eastAsiaTheme="minorHAnsi"/>
        </w:rPr>
      </w:pPr>
      <w:r w:rsidRPr="000515D2">
        <w:rPr>
          <w:rFonts w:eastAsiaTheme="minorHAnsi"/>
          <w:noProof/>
          <w:lang w:eastAsia="sk-SK"/>
        </w:rPr>
        <w:drawing>
          <wp:inline distT="0" distB="0" distL="0" distR="0" wp14:anchorId="328B24AD" wp14:editId="1F0AC8A2">
            <wp:extent cx="5760720" cy="1735455"/>
            <wp:effectExtent l="0" t="0" r="11430" b="17145"/>
            <wp:docPr id="5"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515D2" w:rsidRPr="000515D2" w:rsidRDefault="000515D2" w:rsidP="000515D2">
      <w:pPr>
        <w:spacing w:after="160"/>
        <w:jc w:val="both"/>
        <w:rPr>
          <w:rFonts w:ascii="Times New Roman" w:eastAsiaTheme="minorHAnsi" w:hAnsi="Times New Roman" w:cs="Times New Roman"/>
          <w:sz w:val="24"/>
        </w:rPr>
      </w:pPr>
      <w:r w:rsidRPr="000515D2">
        <w:rPr>
          <w:rFonts w:ascii="Times New Roman" w:eastAsiaTheme="minorHAnsi" w:hAnsi="Times New Roman" w:cs="Times New Roman"/>
          <w:sz w:val="24"/>
        </w:rPr>
        <w:t xml:space="preserve">Kým priemerný mesačný počet klientov, ktorí vyhľadali IK v rokoch 2019 a 2020 bol 31,4 klientov/mesiac, tak v roku 2021 je to 88 klientov/mesiac, čo predstavuje takmer trojnásobok priemeru v rokoch 2019 a 2020. Rastúci trend počtu klientov vylučuje, aby IK boli schopné pomôcť obetiam trestných činov za predpokladu, že je na IK len 1 pracovník. V mesiaci august </w:t>
      </w:r>
      <w:r w:rsidRPr="000515D2">
        <w:rPr>
          <w:rFonts w:ascii="Times New Roman" w:eastAsiaTheme="minorHAnsi" w:hAnsi="Times New Roman" w:cs="Times New Roman"/>
          <w:sz w:val="24"/>
        </w:rPr>
        <w:lastRenderedPageBreak/>
        <w:t>2021 navštívilo IK celkovo 145 klientov, pričom v priemere pripadlo 18,1 klienta na jednu informačnú kanceláriu, na ktorej pôsobia 3 pracovníci</w:t>
      </w:r>
      <w:r w:rsidRPr="000515D2">
        <w:rPr>
          <w:rFonts w:ascii="Times New Roman" w:eastAsiaTheme="minorHAnsi" w:hAnsi="Times New Roman" w:cs="Times New Roman"/>
          <w:sz w:val="24"/>
          <w:vertAlign w:val="superscript"/>
        </w:rPr>
        <w:footnoteReference w:id="3"/>
      </w:r>
      <w:r w:rsidRPr="000515D2">
        <w:rPr>
          <w:rFonts w:ascii="Times New Roman" w:eastAsiaTheme="minorHAnsi" w:hAnsi="Times New Roman" w:cs="Times New Roman"/>
          <w:sz w:val="24"/>
        </w:rPr>
        <w:t>. V nadväznosti na prepočet záťaže, ktorý pripravila členka expertnej pracovno-poradnej skupiny odborníčka Mgr. Eva Klimová, prezidentka Slovenskej komory psychológov, je jedna IK pri obsadenosti 3 pracovníkov schopná vybaviť najviac 250 klientov ročne, t. j. 20,8 klientov mesačne</w:t>
      </w:r>
      <w:r w:rsidRPr="000515D2">
        <w:rPr>
          <w:rFonts w:ascii="Times New Roman" w:eastAsiaTheme="minorHAnsi" w:hAnsi="Times New Roman" w:cs="Times New Roman"/>
          <w:sz w:val="24"/>
          <w:vertAlign w:val="superscript"/>
        </w:rPr>
        <w:footnoteReference w:id="4"/>
      </w:r>
      <w:r w:rsidRPr="000515D2">
        <w:rPr>
          <w:rFonts w:ascii="Times New Roman" w:eastAsiaTheme="minorHAnsi" w:hAnsi="Times New Roman" w:cs="Times New Roman"/>
          <w:sz w:val="24"/>
        </w:rPr>
        <w:t>. Za tohto predpokladu je odporúčané maximum 7 klientov na jedného pracovníka na mesiac</w:t>
      </w:r>
      <w:r w:rsidRPr="000515D2">
        <w:rPr>
          <w:rFonts w:ascii="Times New Roman" w:eastAsiaTheme="minorHAnsi" w:hAnsi="Times New Roman" w:cs="Times New Roman"/>
          <w:sz w:val="24"/>
          <w:vertAlign w:val="superscript"/>
        </w:rPr>
        <w:footnoteReference w:id="5"/>
      </w:r>
      <w:r w:rsidRPr="000515D2">
        <w:rPr>
          <w:rFonts w:ascii="Times New Roman" w:eastAsiaTheme="minorHAnsi" w:hAnsi="Times New Roman" w:cs="Times New Roman"/>
          <w:sz w:val="24"/>
        </w:rPr>
        <w:t xml:space="preserve">. </w:t>
      </w:r>
    </w:p>
    <w:p w:rsidR="000515D2" w:rsidRPr="000515D2" w:rsidRDefault="000515D2" w:rsidP="000515D2">
      <w:pPr>
        <w:spacing w:after="160"/>
        <w:jc w:val="both"/>
        <w:rPr>
          <w:rFonts w:ascii="Times New Roman" w:eastAsiaTheme="minorHAnsi" w:hAnsi="Times New Roman" w:cs="Times New Roman"/>
          <w:sz w:val="24"/>
        </w:rPr>
      </w:pPr>
      <w:r w:rsidRPr="000515D2">
        <w:rPr>
          <w:rFonts w:ascii="Times New Roman" w:eastAsiaTheme="minorHAnsi" w:hAnsi="Times New Roman" w:cs="Times New Roman"/>
          <w:sz w:val="24"/>
        </w:rPr>
        <w:t xml:space="preserve">Celkový evidovaný počet klientov na IK k 31.12.2021 je 1 816, pričom počet obetí, ktorých prípad nebol hlásený na Polícií SR pred návštevou IK sa dlhodobo pohybuje okolo 40-50%. Takmer polovica klientov, ktorí vyhľadali IK nie je zachytená a evidovaná v štatistikách kriminality v Slovenskej republike vedených Policajným zborom SR. </w:t>
      </w:r>
    </w:p>
    <w:p w:rsidR="000515D2" w:rsidRPr="000515D2" w:rsidRDefault="000515D2" w:rsidP="000515D2">
      <w:pPr>
        <w:spacing w:after="160" w:line="259" w:lineRule="auto"/>
        <w:rPr>
          <w:rFonts w:eastAsiaTheme="minorHAnsi"/>
        </w:rPr>
      </w:pPr>
      <w:r w:rsidRPr="000515D2">
        <w:rPr>
          <w:rFonts w:eastAsiaTheme="minorHAnsi"/>
          <w:noProof/>
          <w:lang w:eastAsia="sk-SK"/>
        </w:rPr>
        <w:drawing>
          <wp:inline distT="0" distB="0" distL="0" distR="0" wp14:anchorId="7BBFA2C6" wp14:editId="01D4816A">
            <wp:extent cx="5760720" cy="2209800"/>
            <wp:effectExtent l="0" t="0" r="11430" b="0"/>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515D2" w:rsidRPr="000515D2" w:rsidRDefault="000515D2" w:rsidP="000515D2">
      <w:pPr>
        <w:spacing w:after="160" w:line="259" w:lineRule="auto"/>
        <w:rPr>
          <w:rFonts w:eastAsiaTheme="minorHAnsi"/>
          <w:highlight w:val="cyan"/>
        </w:rPr>
      </w:pPr>
    </w:p>
    <w:p w:rsidR="000515D2" w:rsidRPr="000515D2" w:rsidRDefault="000515D2" w:rsidP="000515D2">
      <w:pPr>
        <w:spacing w:after="160" w:line="259" w:lineRule="auto"/>
        <w:rPr>
          <w:rFonts w:eastAsiaTheme="minorHAnsi"/>
        </w:rPr>
      </w:pPr>
      <w:r w:rsidRPr="000515D2">
        <w:rPr>
          <w:rFonts w:eastAsiaTheme="minorHAnsi"/>
          <w:noProof/>
          <w:lang w:eastAsia="sk-SK"/>
        </w:rPr>
        <w:drawing>
          <wp:inline distT="0" distB="0" distL="0" distR="0" wp14:anchorId="5075802C" wp14:editId="46C2E876">
            <wp:extent cx="5760720" cy="2416175"/>
            <wp:effectExtent l="0" t="0" r="11430" b="3175"/>
            <wp:docPr id="7"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Nárast záujmu o služby sprostredkúvané na IK  viedlo aj k otvoreniu detašovaných pracovísk v nových 8 lokalitách. Za prvé mesiace fungovania detašovaných pracovísk sme zaznamenali celkom 145 klientov, čo tvorí až 13,7 % z celkového počtu klientov za rok 2021.</w:t>
      </w:r>
    </w:p>
    <w:p w:rsidR="000515D2" w:rsidRPr="000515D2" w:rsidRDefault="000515D2" w:rsidP="000515D2">
      <w:pPr>
        <w:spacing w:after="160" w:line="259" w:lineRule="auto"/>
        <w:jc w:val="both"/>
        <w:rPr>
          <w:rFonts w:ascii="Times New Roman" w:eastAsiaTheme="minorHAnsi" w:hAnsi="Times New Roman" w:cs="Times New Roman"/>
          <w:sz w:val="24"/>
        </w:rPr>
      </w:pPr>
    </w:p>
    <w:p w:rsidR="000515D2" w:rsidRPr="000515D2" w:rsidRDefault="000515D2" w:rsidP="000515D2">
      <w:pPr>
        <w:spacing w:after="160" w:line="259" w:lineRule="auto"/>
        <w:rPr>
          <w:rFonts w:eastAsiaTheme="minorHAnsi"/>
          <w:b/>
          <w:u w:val="single"/>
        </w:rPr>
      </w:pPr>
      <w:r w:rsidRPr="000515D2">
        <w:rPr>
          <w:rFonts w:eastAsiaTheme="minorHAnsi"/>
          <w:noProof/>
          <w:lang w:eastAsia="sk-SK"/>
        </w:rPr>
        <w:drawing>
          <wp:inline distT="0" distB="0" distL="0" distR="0" wp14:anchorId="3E5CC47E" wp14:editId="07EAF682">
            <wp:extent cx="5760720" cy="1913860"/>
            <wp:effectExtent l="0" t="0" r="11430" b="10795"/>
            <wp:docPr id="19"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515D2" w:rsidRPr="000515D2" w:rsidRDefault="000515D2" w:rsidP="000515D2">
      <w:pPr>
        <w:spacing w:after="160" w:line="259" w:lineRule="auto"/>
        <w:jc w:val="both"/>
        <w:rPr>
          <w:rFonts w:ascii="Times New Roman" w:eastAsiaTheme="minorHAnsi" w:hAnsi="Times New Roman" w:cs="Times New Roman"/>
          <w:sz w:val="24"/>
        </w:rPr>
      </w:pP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 xml:space="preserve">Zvýšený záujem o služby IK vedie na základe vyššie uvedených údajov k záveru, že pôvodná kapacita 8 pracovníkov IK vyplývajúca zo záväzkov Ministerstva vnútra  Slovenskej republiky v rámci udržateľnosti projektu, nie je z dlhodobého hľadiska dostatočná a udržateľná. </w:t>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Navrhujeme preto systemizovať:</w:t>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w:t>
      </w:r>
      <w:r w:rsidRPr="000515D2">
        <w:rPr>
          <w:rFonts w:ascii="Times New Roman" w:eastAsiaTheme="minorHAnsi" w:hAnsi="Times New Roman" w:cs="Times New Roman"/>
          <w:sz w:val="24"/>
        </w:rPr>
        <w:tab/>
        <w:t>24 štátnozamestnaneckých miest v stálej štátnej službe na odbore prevencie kriminality KMV v PT 6 a</w:t>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w:t>
      </w:r>
      <w:r w:rsidRPr="000515D2">
        <w:rPr>
          <w:rFonts w:ascii="Times New Roman" w:eastAsiaTheme="minorHAnsi" w:hAnsi="Times New Roman" w:cs="Times New Roman"/>
          <w:sz w:val="24"/>
        </w:rPr>
        <w:tab/>
        <w:t>3 štátnozamestnanecké miesta v stálej štátnej službe na odbore prevencie kriminality KMV (2 v PT 9 a 1 v PT 8),</w:t>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a to najmä z týchto hlavných dôvodov:</w:t>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w:t>
      </w:r>
      <w:r w:rsidRPr="000515D2">
        <w:rPr>
          <w:rFonts w:ascii="Times New Roman" w:eastAsiaTheme="minorHAnsi" w:hAnsi="Times New Roman" w:cs="Times New Roman"/>
          <w:sz w:val="24"/>
        </w:rPr>
        <w:tab/>
        <w:t>v prípade obsadenosti IK len jedným pracovníkom bol v roku 2021 limit klientov na pracovníka za kalendárny rok v zmysle vyššie uvedeného prepočtu záťaže dosiahnutý už v priebehu mesiaca august 2021, pri zachovaní súčasného trendu v počte klientov by to v roku 2022 bolo oveľa skôr;</w:t>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w:t>
      </w:r>
      <w:r w:rsidRPr="000515D2">
        <w:rPr>
          <w:rFonts w:ascii="Times New Roman" w:eastAsiaTheme="minorHAnsi" w:hAnsi="Times New Roman" w:cs="Times New Roman"/>
          <w:sz w:val="24"/>
        </w:rPr>
        <w:tab/>
        <w:t>v prípade jedného pracovníka na IK by táto neposkytovala služby minimálne 44 pracovných dní z dôvodu čerpania dovolenky a služobného plateného voľna na lekárske ošetrenie a sprevádzanie rodinného príslušníka, pričom toto číslo nepočíta s prípadnou práceneschopnosťou;</w:t>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w:t>
      </w:r>
      <w:r w:rsidRPr="000515D2">
        <w:rPr>
          <w:rFonts w:ascii="Times New Roman" w:eastAsiaTheme="minorHAnsi" w:hAnsi="Times New Roman" w:cs="Times New Roman"/>
          <w:sz w:val="24"/>
        </w:rPr>
        <w:tab/>
        <w:t xml:space="preserve"> v prípade obsadenosti IK len jedným pracovníkom by prestali fungovať detašované pracoviská, ktoré už v súčasnosti pri fungovaní v režime jedného dňa v týždni  prinášajú tretinu klientov;</w:t>
      </w:r>
    </w:p>
    <w:p w:rsidR="000515D2" w:rsidRPr="000515D2" w:rsidRDefault="000515D2" w:rsidP="000515D2">
      <w:pPr>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w:t>
      </w:r>
      <w:r w:rsidRPr="000515D2">
        <w:rPr>
          <w:rFonts w:ascii="Times New Roman" w:eastAsiaTheme="minorHAnsi" w:hAnsi="Times New Roman" w:cs="Times New Roman"/>
          <w:sz w:val="24"/>
        </w:rPr>
        <w:tab/>
        <w:t>v prípade obsadenosti IK len jedným pracovníkom nebude možné realizovať jeden zo záväzkov v rámci udržateľnosti národného projektu, a to zabezpečenie preventívnych aktivít zameraných na zvýšenie kvality života a pocitu bezpečia cieľových skupín.</w:t>
      </w:r>
    </w:p>
    <w:p w:rsidR="000515D2" w:rsidRPr="000515D2" w:rsidRDefault="000515D2" w:rsidP="000515D2">
      <w:pPr>
        <w:spacing w:after="160" w:line="259" w:lineRule="auto"/>
        <w:jc w:val="both"/>
        <w:rPr>
          <w:rFonts w:ascii="Times New Roman" w:eastAsiaTheme="minorHAnsi" w:hAnsi="Times New Roman" w:cs="Times New Roman"/>
          <w:sz w:val="24"/>
        </w:rPr>
      </w:pPr>
    </w:p>
    <w:tbl>
      <w:tblPr>
        <w:tblW w:w="8642" w:type="dxa"/>
        <w:tblCellMar>
          <w:left w:w="70" w:type="dxa"/>
          <w:right w:w="70" w:type="dxa"/>
        </w:tblCellMar>
        <w:tblLook w:val="04A0" w:firstRow="1" w:lastRow="0" w:firstColumn="1" w:lastColumn="0" w:noHBand="0" w:noVBand="1"/>
      </w:tblPr>
      <w:tblGrid>
        <w:gridCol w:w="1696"/>
        <w:gridCol w:w="6946"/>
      </w:tblGrid>
      <w:tr w:rsidR="000515D2" w:rsidRPr="000515D2" w:rsidTr="00F1463E">
        <w:trPr>
          <w:trHeight w:val="300"/>
        </w:trPr>
        <w:tc>
          <w:tcPr>
            <w:tcW w:w="16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15D2" w:rsidRPr="000515D2" w:rsidRDefault="000515D2" w:rsidP="000515D2">
            <w:pPr>
              <w:spacing w:after="160" w:line="259" w:lineRule="auto"/>
              <w:jc w:val="center"/>
              <w:rPr>
                <w:rFonts w:ascii="Times New Roman" w:eastAsiaTheme="minorHAnsi" w:hAnsi="Times New Roman" w:cs="Times New Roman"/>
                <w:b/>
                <w:bCs/>
                <w:color w:val="000000"/>
              </w:rPr>
            </w:pPr>
            <w:r w:rsidRPr="000515D2">
              <w:rPr>
                <w:rFonts w:ascii="Times New Roman" w:eastAsiaTheme="minorHAnsi" w:hAnsi="Times New Roman" w:cs="Times New Roman"/>
                <w:b/>
                <w:bCs/>
                <w:color w:val="2E74B5" w:themeColor="accent1" w:themeShade="BF"/>
              </w:rPr>
              <w:t>Platová tarifa</w:t>
            </w:r>
          </w:p>
        </w:tc>
        <w:tc>
          <w:tcPr>
            <w:tcW w:w="6946" w:type="dxa"/>
            <w:tcBorders>
              <w:top w:val="single" w:sz="4" w:space="0" w:color="auto"/>
              <w:left w:val="nil"/>
              <w:bottom w:val="single" w:sz="4" w:space="0" w:color="auto"/>
              <w:right w:val="single" w:sz="4" w:space="0" w:color="auto"/>
            </w:tcBorders>
            <w:shd w:val="clear" w:color="auto" w:fill="auto"/>
            <w:noWrap/>
            <w:vAlign w:val="bottom"/>
            <w:hideMark/>
          </w:tcPr>
          <w:p w:rsidR="000515D2" w:rsidRPr="000515D2" w:rsidRDefault="000515D2" w:rsidP="000515D2">
            <w:pPr>
              <w:spacing w:after="160" w:line="259" w:lineRule="auto"/>
              <w:jc w:val="center"/>
              <w:rPr>
                <w:rFonts w:ascii="Times New Roman" w:eastAsiaTheme="minorHAnsi" w:hAnsi="Times New Roman" w:cs="Times New Roman"/>
                <w:b/>
                <w:bCs/>
                <w:color w:val="000000"/>
              </w:rPr>
            </w:pPr>
            <w:r w:rsidRPr="000515D2">
              <w:rPr>
                <w:rFonts w:ascii="Times New Roman" w:eastAsiaTheme="minorHAnsi" w:hAnsi="Times New Roman" w:cs="Times New Roman"/>
                <w:b/>
                <w:bCs/>
                <w:color w:val="2E74B5" w:themeColor="accent1" w:themeShade="BF"/>
              </w:rPr>
              <w:t>Ročné mzdové náklady pri počte miest</w:t>
            </w:r>
          </w:p>
        </w:tc>
      </w:tr>
      <w:tr w:rsidR="000515D2" w:rsidRPr="000515D2" w:rsidTr="00F1463E">
        <w:trPr>
          <w:trHeight w:val="649"/>
        </w:trPr>
        <w:tc>
          <w:tcPr>
            <w:tcW w:w="1696" w:type="dxa"/>
            <w:vMerge/>
            <w:tcBorders>
              <w:top w:val="single" w:sz="4" w:space="0" w:color="auto"/>
              <w:left w:val="single" w:sz="4" w:space="0" w:color="auto"/>
              <w:bottom w:val="single" w:sz="4" w:space="0" w:color="auto"/>
              <w:right w:val="single" w:sz="4" w:space="0" w:color="auto"/>
            </w:tcBorders>
            <w:vAlign w:val="center"/>
            <w:hideMark/>
          </w:tcPr>
          <w:p w:rsidR="000515D2" w:rsidRPr="000515D2" w:rsidRDefault="000515D2" w:rsidP="000515D2">
            <w:pPr>
              <w:spacing w:after="160" w:line="259" w:lineRule="auto"/>
              <w:rPr>
                <w:rFonts w:ascii="Times New Roman" w:eastAsiaTheme="minorHAnsi" w:hAnsi="Times New Roman" w:cs="Times New Roman"/>
                <w:b/>
                <w:bCs/>
                <w:color w:val="000000"/>
              </w:rPr>
            </w:pPr>
          </w:p>
        </w:tc>
        <w:tc>
          <w:tcPr>
            <w:tcW w:w="6946" w:type="dxa"/>
            <w:tcBorders>
              <w:top w:val="nil"/>
              <w:left w:val="nil"/>
              <w:bottom w:val="single" w:sz="4" w:space="0" w:color="auto"/>
              <w:right w:val="single" w:sz="4" w:space="0" w:color="auto"/>
            </w:tcBorders>
            <w:shd w:val="clear" w:color="auto" w:fill="auto"/>
            <w:vAlign w:val="center"/>
            <w:hideMark/>
          </w:tcPr>
          <w:p w:rsidR="000515D2" w:rsidRPr="000515D2" w:rsidRDefault="000515D2" w:rsidP="000515D2">
            <w:pPr>
              <w:spacing w:after="160" w:line="259" w:lineRule="auto"/>
              <w:jc w:val="center"/>
              <w:rPr>
                <w:rFonts w:ascii="Times New Roman" w:eastAsiaTheme="minorHAnsi" w:hAnsi="Times New Roman" w:cs="Times New Roman"/>
                <w:b/>
                <w:bCs/>
                <w:color w:val="000000"/>
              </w:rPr>
            </w:pPr>
            <w:r w:rsidRPr="000515D2">
              <w:rPr>
                <w:rFonts w:ascii="Times New Roman" w:eastAsiaTheme="minorHAnsi" w:hAnsi="Times New Roman" w:cs="Times New Roman"/>
                <w:b/>
                <w:bCs/>
                <w:color w:val="000000"/>
              </w:rPr>
              <w:t>IK 24 + centrála 3</w:t>
            </w:r>
          </w:p>
        </w:tc>
      </w:tr>
      <w:tr w:rsidR="000515D2" w:rsidRPr="000515D2" w:rsidTr="00F1463E">
        <w:trPr>
          <w:trHeight w:val="1200"/>
        </w:trPr>
        <w:tc>
          <w:tcPr>
            <w:tcW w:w="1696" w:type="dxa"/>
            <w:tcBorders>
              <w:top w:val="nil"/>
              <w:left w:val="single" w:sz="4" w:space="0" w:color="auto"/>
              <w:bottom w:val="single" w:sz="4" w:space="0" w:color="auto"/>
              <w:right w:val="single" w:sz="4" w:space="0" w:color="auto"/>
            </w:tcBorders>
            <w:shd w:val="clear" w:color="auto" w:fill="auto"/>
            <w:vAlign w:val="center"/>
            <w:hideMark/>
          </w:tcPr>
          <w:p w:rsidR="000515D2" w:rsidRPr="000515D2" w:rsidRDefault="000515D2" w:rsidP="000515D2">
            <w:pPr>
              <w:spacing w:after="160" w:line="259" w:lineRule="auto"/>
              <w:rPr>
                <w:rFonts w:ascii="Times New Roman" w:eastAsiaTheme="minorHAnsi" w:hAnsi="Times New Roman" w:cs="Times New Roman"/>
                <w:color w:val="000000"/>
              </w:rPr>
            </w:pPr>
            <w:r w:rsidRPr="000515D2">
              <w:rPr>
                <w:rFonts w:ascii="Times New Roman" w:eastAsiaTheme="minorHAnsi" w:hAnsi="Times New Roman" w:cs="Times New Roman"/>
                <w:color w:val="000000"/>
              </w:rPr>
              <w:lastRenderedPageBreak/>
              <w:t xml:space="preserve">Platová tarifa </w:t>
            </w:r>
          </w:p>
          <w:p w:rsidR="000515D2" w:rsidRPr="000515D2" w:rsidRDefault="000515D2" w:rsidP="000515D2">
            <w:pPr>
              <w:spacing w:after="160" w:line="259" w:lineRule="auto"/>
              <w:rPr>
                <w:rFonts w:ascii="Times New Roman" w:eastAsiaTheme="minorHAnsi" w:hAnsi="Times New Roman" w:cs="Times New Roman"/>
                <w:color w:val="000000"/>
              </w:rPr>
            </w:pPr>
            <w:r w:rsidRPr="000515D2">
              <w:rPr>
                <w:rFonts w:ascii="Times New Roman" w:eastAsiaTheme="minorHAnsi" w:hAnsi="Times New Roman" w:cs="Times New Roman"/>
                <w:color w:val="000000"/>
              </w:rPr>
              <w:t xml:space="preserve">(24 plat. trieda 6, 2 plat. trieda 9, 1 plat. trieda 8) + navrhovaný osobný príplatok </w:t>
            </w:r>
          </w:p>
        </w:tc>
        <w:tc>
          <w:tcPr>
            <w:tcW w:w="6946" w:type="dxa"/>
            <w:tcBorders>
              <w:top w:val="nil"/>
              <w:left w:val="nil"/>
              <w:bottom w:val="single" w:sz="4" w:space="0" w:color="auto"/>
              <w:right w:val="single" w:sz="4" w:space="0" w:color="auto"/>
            </w:tcBorders>
            <w:shd w:val="clear" w:color="auto" w:fill="auto"/>
            <w:vAlign w:val="center"/>
            <w:hideMark/>
          </w:tcPr>
          <w:p w:rsidR="000515D2" w:rsidRPr="000515D2" w:rsidRDefault="000515D2" w:rsidP="000515D2">
            <w:pPr>
              <w:spacing w:after="160" w:line="259" w:lineRule="auto"/>
              <w:jc w:val="center"/>
              <w:rPr>
                <w:rFonts w:ascii="Times New Roman" w:eastAsiaTheme="minorHAnsi" w:hAnsi="Times New Roman" w:cs="Times New Roman"/>
                <w:color w:val="000000"/>
              </w:rPr>
            </w:pPr>
            <w:r w:rsidRPr="000515D2">
              <w:rPr>
                <w:rFonts w:ascii="Times New Roman" w:eastAsiaTheme="minorHAnsi" w:hAnsi="Times New Roman" w:cs="Times New Roman"/>
                <w:color w:val="000000"/>
              </w:rPr>
              <w:t xml:space="preserve">669 501,00 € </w:t>
            </w:r>
          </w:p>
        </w:tc>
      </w:tr>
    </w:tbl>
    <w:p w:rsidR="000515D2" w:rsidRPr="000515D2" w:rsidRDefault="000515D2" w:rsidP="000515D2">
      <w:pPr>
        <w:spacing w:after="160" w:line="259" w:lineRule="auto"/>
        <w:jc w:val="both"/>
        <w:rPr>
          <w:rFonts w:eastAsiaTheme="minorHAnsi"/>
        </w:rPr>
      </w:pPr>
    </w:p>
    <w:p w:rsidR="000515D2" w:rsidRPr="000515D2" w:rsidRDefault="000515D2" w:rsidP="000515D2">
      <w:pPr>
        <w:spacing w:before="200" w:after="120" w:line="259" w:lineRule="auto"/>
        <w:jc w:val="both"/>
        <w:rPr>
          <w:rFonts w:ascii="Times New Roman" w:eastAsiaTheme="minorHAnsi" w:hAnsi="Times New Roman" w:cs="Times New Roman"/>
          <w:b/>
          <w:bCs/>
        </w:rPr>
      </w:pPr>
      <w:r w:rsidRPr="000515D2">
        <w:rPr>
          <w:rFonts w:ascii="Times New Roman" w:eastAsiaTheme="minorHAnsi" w:hAnsi="Times New Roman" w:cs="Times New Roman"/>
          <w:b/>
          <w:bCs/>
        </w:rPr>
        <w:t>2.2.2.</w:t>
      </w:r>
      <w:r w:rsidRPr="000515D2">
        <w:rPr>
          <w:rFonts w:ascii="Times New Roman" w:eastAsiaTheme="minorHAnsi" w:hAnsi="Times New Roman" w:cs="Times New Roman"/>
          <w:b/>
          <w:bCs/>
        </w:rPr>
        <w:tab/>
        <w:t>Charakteristika návrhu:</w:t>
      </w:r>
    </w:p>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
          <w:bdr w:val="single" w:sz="4" w:space="0" w:color="auto"/>
        </w:rPr>
        <w:t xml:space="preserve">     </w:t>
      </w:r>
      <w:r w:rsidRPr="000515D2">
        <w:rPr>
          <w:rFonts w:ascii="Times New Roman" w:eastAsiaTheme="minorHAnsi" w:hAnsi="Times New Roman" w:cs="Times New Roman"/>
          <w:b/>
        </w:rPr>
        <w:t xml:space="preserve">  </w:t>
      </w:r>
      <w:r w:rsidRPr="000515D2">
        <w:rPr>
          <w:rFonts w:ascii="Times New Roman" w:eastAsiaTheme="minorHAnsi" w:hAnsi="Times New Roman" w:cs="Times New Roman"/>
        </w:rPr>
        <w:t>zmena sadzby</w:t>
      </w:r>
    </w:p>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dr w:val="single" w:sz="4" w:space="0" w:color="auto"/>
        </w:rPr>
        <w:t xml:space="preserve">     </w:t>
      </w:r>
      <w:r w:rsidRPr="000515D2">
        <w:rPr>
          <w:rFonts w:ascii="Times New Roman" w:eastAsiaTheme="minorHAnsi" w:hAnsi="Times New Roman" w:cs="Times New Roman"/>
        </w:rPr>
        <w:t xml:space="preserve">  zmena v nároku</w:t>
      </w:r>
    </w:p>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dr w:val="single" w:sz="4" w:space="0" w:color="auto"/>
        </w:rPr>
        <w:t xml:space="preserve">     </w:t>
      </w:r>
      <w:r w:rsidRPr="000515D2">
        <w:rPr>
          <w:rFonts w:ascii="Times New Roman" w:eastAsiaTheme="minorHAnsi" w:hAnsi="Times New Roman" w:cs="Times New Roman"/>
        </w:rPr>
        <w:t xml:space="preserve">  nová služba alebo nariadenie (alebo ich zrušenie)</w:t>
      </w:r>
    </w:p>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dr w:val="single" w:sz="4" w:space="0" w:color="auto"/>
        </w:rPr>
        <w:t xml:space="preserve"> x  </w:t>
      </w:r>
      <w:r w:rsidRPr="000515D2">
        <w:rPr>
          <w:rFonts w:ascii="Times New Roman" w:eastAsiaTheme="minorHAnsi" w:hAnsi="Times New Roman" w:cs="Times New Roman"/>
        </w:rPr>
        <w:t xml:space="preserve">  kombinovaný návrh</w:t>
      </w:r>
    </w:p>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dr w:val="single" w:sz="4" w:space="0" w:color="auto"/>
        </w:rPr>
        <w:t xml:space="preserve">     </w:t>
      </w:r>
      <w:r w:rsidRPr="000515D2">
        <w:rPr>
          <w:rFonts w:ascii="Times New Roman" w:eastAsiaTheme="minorHAnsi" w:hAnsi="Times New Roman" w:cs="Times New Roman"/>
        </w:rPr>
        <w:t xml:space="preserve">  iné</w:t>
      </w:r>
    </w:p>
    <w:p w:rsidR="000515D2" w:rsidRPr="000515D2" w:rsidRDefault="000515D2" w:rsidP="000515D2">
      <w:pPr>
        <w:spacing w:after="160" w:line="259" w:lineRule="auto"/>
        <w:rPr>
          <w:rFonts w:ascii="Times New Roman" w:eastAsiaTheme="minorHAnsi" w:hAnsi="Times New Roman" w:cs="Times New Roman"/>
        </w:rPr>
      </w:pPr>
    </w:p>
    <w:p w:rsidR="000515D2" w:rsidRPr="000515D2" w:rsidRDefault="000515D2" w:rsidP="000515D2">
      <w:pPr>
        <w:spacing w:before="200" w:after="160" w:line="259" w:lineRule="auto"/>
        <w:jc w:val="both"/>
        <w:rPr>
          <w:rFonts w:ascii="Times New Roman" w:eastAsiaTheme="minorHAnsi" w:hAnsi="Times New Roman" w:cs="Times New Roman"/>
          <w:b/>
          <w:bCs/>
          <w:sz w:val="24"/>
        </w:rPr>
      </w:pPr>
      <w:r w:rsidRPr="000515D2">
        <w:rPr>
          <w:rFonts w:ascii="Times New Roman" w:eastAsiaTheme="minorHAnsi" w:hAnsi="Times New Roman" w:cs="Times New Roman"/>
          <w:b/>
          <w:bCs/>
          <w:sz w:val="24"/>
        </w:rPr>
        <w:t>2.2.3.</w:t>
      </w:r>
      <w:r w:rsidRPr="000515D2">
        <w:rPr>
          <w:rFonts w:ascii="Times New Roman" w:eastAsiaTheme="minorHAnsi" w:hAnsi="Times New Roman" w:cs="Times New Roman"/>
          <w:b/>
          <w:bCs/>
          <w:sz w:val="24"/>
        </w:rPr>
        <w:tab/>
        <w:t>Predpoklady vývoja objemu aktivít:</w:t>
      </w:r>
    </w:p>
    <w:p w:rsidR="000515D2" w:rsidRPr="000515D2" w:rsidRDefault="000515D2" w:rsidP="000515D2">
      <w:pPr>
        <w:spacing w:before="120"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Jasne popíšte, v prípade potreby použite nižšie uvedenú tabuľku. Uveďte aj odhady základov daní a/alebo poplatkov, ak sa ich táto zmena týka.</w:t>
      </w:r>
    </w:p>
    <w:p w:rsidR="000515D2" w:rsidRPr="000515D2" w:rsidRDefault="000515D2" w:rsidP="000515D2">
      <w:pPr>
        <w:spacing w:after="160" w:line="259" w:lineRule="auto"/>
        <w:jc w:val="right"/>
        <w:rPr>
          <w:rFonts w:ascii="Times New Roman" w:eastAsiaTheme="minorHAnsi" w:hAnsi="Times New Roman" w:cs="Times New Roman"/>
        </w:rPr>
      </w:pPr>
      <w:r w:rsidRPr="000515D2">
        <w:rPr>
          <w:rFonts w:ascii="Times New Roman" w:eastAsiaTheme="minorHAnsi" w:hAnsi="Times New Roman" w:cs="Times New Roman"/>
        </w:rPr>
        <w:t xml:space="preserve">Tabuľka č. 2 </w:t>
      </w:r>
    </w:p>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0"/>
        <w:gridCol w:w="1134"/>
        <w:gridCol w:w="1134"/>
        <w:gridCol w:w="1134"/>
        <w:gridCol w:w="1134"/>
      </w:tblGrid>
      <w:tr w:rsidR="000515D2" w:rsidRPr="000515D2" w:rsidTr="00F1463E">
        <w:trPr>
          <w:cantSplit/>
          <w:trHeight w:val="70"/>
        </w:trPr>
        <w:tc>
          <w:tcPr>
            <w:tcW w:w="4530" w:type="dxa"/>
            <w:vMerge w:val="restart"/>
            <w:shd w:val="clear" w:color="auto" w:fill="BFBFBF" w:themeFill="background1" w:themeFillShade="BF"/>
            <w:vAlign w:val="center"/>
          </w:tcPr>
          <w:p w:rsidR="000515D2" w:rsidRPr="000515D2" w:rsidRDefault="000515D2" w:rsidP="000515D2">
            <w:pPr>
              <w:autoSpaceDE w:val="0"/>
              <w:autoSpaceDN w:val="0"/>
              <w:adjustRightInd w:val="0"/>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Objem aktivít</w:t>
            </w:r>
          </w:p>
        </w:tc>
        <w:tc>
          <w:tcPr>
            <w:tcW w:w="4536" w:type="dxa"/>
            <w:gridSpan w:val="4"/>
            <w:shd w:val="clear" w:color="auto" w:fill="BFBFBF" w:themeFill="background1" w:themeFillShade="BF"/>
            <w:vAlign w:val="center"/>
          </w:tcPr>
          <w:p w:rsidR="000515D2" w:rsidRPr="000515D2" w:rsidRDefault="000515D2" w:rsidP="000515D2">
            <w:pPr>
              <w:autoSpaceDE w:val="0"/>
              <w:autoSpaceDN w:val="0"/>
              <w:adjustRightInd w:val="0"/>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Odhadované objemy</w:t>
            </w:r>
          </w:p>
        </w:tc>
      </w:tr>
      <w:tr w:rsidR="000515D2" w:rsidRPr="000515D2" w:rsidTr="00F1463E">
        <w:trPr>
          <w:cantSplit/>
          <w:trHeight w:val="70"/>
        </w:trPr>
        <w:tc>
          <w:tcPr>
            <w:tcW w:w="4530" w:type="dxa"/>
            <w:vMerge/>
            <w:shd w:val="clear" w:color="auto" w:fill="BFBFBF" w:themeFill="background1" w:themeFillShade="BF"/>
          </w:tcPr>
          <w:p w:rsidR="000515D2" w:rsidRPr="000515D2" w:rsidRDefault="000515D2" w:rsidP="000515D2">
            <w:pPr>
              <w:autoSpaceDE w:val="0"/>
              <w:autoSpaceDN w:val="0"/>
              <w:adjustRightInd w:val="0"/>
              <w:spacing w:after="160" w:line="259" w:lineRule="auto"/>
              <w:jc w:val="center"/>
              <w:rPr>
                <w:rFonts w:ascii="Times New Roman" w:eastAsiaTheme="minorHAnsi" w:hAnsi="Times New Roman" w:cs="Times New Roman"/>
                <w:b/>
                <w:bCs/>
              </w:rPr>
            </w:pPr>
          </w:p>
        </w:tc>
        <w:tc>
          <w:tcPr>
            <w:tcW w:w="1134" w:type="dxa"/>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2022</w:t>
            </w:r>
          </w:p>
        </w:tc>
        <w:tc>
          <w:tcPr>
            <w:tcW w:w="1134" w:type="dxa"/>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2023</w:t>
            </w:r>
          </w:p>
        </w:tc>
        <w:tc>
          <w:tcPr>
            <w:tcW w:w="1134" w:type="dxa"/>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2024</w:t>
            </w:r>
          </w:p>
        </w:tc>
        <w:tc>
          <w:tcPr>
            <w:tcW w:w="1134" w:type="dxa"/>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2025</w:t>
            </w:r>
          </w:p>
        </w:tc>
      </w:tr>
      <w:tr w:rsidR="000515D2" w:rsidRPr="000515D2" w:rsidTr="00F1463E">
        <w:trPr>
          <w:trHeight w:val="70"/>
        </w:trPr>
        <w:tc>
          <w:tcPr>
            <w:tcW w:w="4530" w:type="dxa"/>
          </w:tcPr>
          <w:p w:rsidR="000515D2" w:rsidRPr="000515D2" w:rsidRDefault="000515D2" w:rsidP="000515D2">
            <w:pPr>
              <w:autoSpaceDE w:val="0"/>
              <w:autoSpaceDN w:val="0"/>
              <w:adjustRightInd w:val="0"/>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Indikátor ABC</w:t>
            </w: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r>
      <w:tr w:rsidR="000515D2" w:rsidRPr="000515D2" w:rsidTr="00F1463E">
        <w:trPr>
          <w:trHeight w:val="70"/>
        </w:trPr>
        <w:tc>
          <w:tcPr>
            <w:tcW w:w="4530" w:type="dxa"/>
          </w:tcPr>
          <w:p w:rsidR="000515D2" w:rsidRPr="000515D2" w:rsidRDefault="000515D2" w:rsidP="000515D2">
            <w:pPr>
              <w:autoSpaceDE w:val="0"/>
              <w:autoSpaceDN w:val="0"/>
              <w:adjustRightInd w:val="0"/>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Indikátor KLM</w:t>
            </w: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r>
      <w:tr w:rsidR="000515D2" w:rsidRPr="000515D2" w:rsidTr="00F1463E">
        <w:trPr>
          <w:trHeight w:val="70"/>
        </w:trPr>
        <w:tc>
          <w:tcPr>
            <w:tcW w:w="4530" w:type="dxa"/>
          </w:tcPr>
          <w:p w:rsidR="000515D2" w:rsidRPr="000515D2" w:rsidRDefault="000515D2" w:rsidP="000515D2">
            <w:pPr>
              <w:autoSpaceDE w:val="0"/>
              <w:autoSpaceDN w:val="0"/>
              <w:adjustRightInd w:val="0"/>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Indikátor XYZ</w:t>
            </w: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c>
          <w:tcPr>
            <w:tcW w:w="1134" w:type="dxa"/>
          </w:tcPr>
          <w:p w:rsidR="000515D2" w:rsidRPr="000515D2" w:rsidRDefault="000515D2" w:rsidP="000515D2">
            <w:pPr>
              <w:autoSpaceDE w:val="0"/>
              <w:autoSpaceDN w:val="0"/>
              <w:adjustRightInd w:val="0"/>
              <w:spacing w:after="160" w:line="259" w:lineRule="auto"/>
              <w:jc w:val="right"/>
              <w:rPr>
                <w:rFonts w:ascii="Times New Roman" w:eastAsiaTheme="minorHAnsi" w:hAnsi="Times New Roman" w:cs="Times New Roman"/>
              </w:rPr>
            </w:pPr>
          </w:p>
        </w:tc>
      </w:tr>
    </w:tbl>
    <w:p w:rsidR="000515D2" w:rsidRPr="000515D2" w:rsidRDefault="000515D2" w:rsidP="000515D2">
      <w:pPr>
        <w:spacing w:before="200" w:after="160" w:line="259" w:lineRule="auto"/>
        <w:jc w:val="both"/>
        <w:rPr>
          <w:rFonts w:ascii="Times New Roman" w:eastAsiaTheme="minorHAnsi" w:hAnsi="Times New Roman" w:cs="Times New Roman"/>
          <w:b/>
          <w:bCs/>
          <w:sz w:val="24"/>
        </w:rPr>
      </w:pPr>
      <w:r w:rsidRPr="000515D2">
        <w:rPr>
          <w:rFonts w:ascii="Times New Roman" w:eastAsiaTheme="minorHAnsi" w:hAnsi="Times New Roman" w:cs="Times New Roman"/>
          <w:b/>
          <w:bCs/>
          <w:sz w:val="24"/>
        </w:rPr>
        <w:t>2.2.4.</w:t>
      </w:r>
      <w:r w:rsidRPr="000515D2">
        <w:rPr>
          <w:rFonts w:ascii="Times New Roman" w:eastAsiaTheme="minorHAnsi" w:hAnsi="Times New Roman" w:cs="Times New Roman"/>
          <w:b/>
          <w:bCs/>
          <w:sz w:val="24"/>
        </w:rPr>
        <w:tab/>
        <w:t>Výpočty vplyvov na verejné financie</w:t>
      </w:r>
    </w:p>
    <w:p w:rsidR="000515D2" w:rsidRPr="000515D2" w:rsidRDefault="000515D2" w:rsidP="000515D2">
      <w:pPr>
        <w:tabs>
          <w:tab w:val="left" w:pos="915"/>
        </w:tabs>
        <w:spacing w:after="160" w:line="259" w:lineRule="auto"/>
        <w:jc w:val="both"/>
        <w:rPr>
          <w:rFonts w:ascii="Times New Roman" w:eastAsiaTheme="minorHAnsi" w:hAnsi="Times New Roman" w:cs="Times New Roman"/>
          <w:sz w:val="24"/>
        </w:rPr>
      </w:pPr>
      <w:r w:rsidRPr="000515D2">
        <w:rPr>
          <w:rFonts w:ascii="Times New Roman" w:eastAsiaTheme="minorHAnsi" w:hAnsi="Times New Roman" w:cs="Times New Roman"/>
          <w:sz w:val="24"/>
        </w:rPr>
        <w:t>Na zabezpečenie vykonávania činností na informačných kanceláriách, ktoré budú na okresných úradoch v sídlach krajov v počte 24 zamestnancov v stálej štátnej službe na tabuľke s platovou triedou 6 a 3 zamestnanci v stálej štátnej službe na MV SR zriadenom špeciálnom pracovisku pre analýzu potrieb a podporu obetí trestných činov a protispoločenskej činnosti, ktoré sa zameriava na identifikáciu, zber, spracovanie, analyzovanie a vyhodnocovanie údajov o obetiach trestných činov na regionálnej úrovni pre potreby informačných kancelárií s platovou triedou (2 PT 9 + 1 PT 8) – rozpísané do tabuľky č. 4 podľa platnej ekonomickej klasifikácie.</w:t>
      </w:r>
    </w:p>
    <w:p w:rsidR="000515D2" w:rsidRPr="000515D2" w:rsidRDefault="000515D2" w:rsidP="000515D2">
      <w:pPr>
        <w:spacing w:after="160" w:line="259" w:lineRule="auto"/>
        <w:rPr>
          <w:rFonts w:eastAsiaTheme="minorHAnsi"/>
          <w:sz w:val="20"/>
          <w:szCs w:val="20"/>
        </w:rPr>
        <w:sectPr w:rsidR="000515D2" w:rsidRPr="000515D2" w:rsidSect="005322F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pPr>
    </w:p>
    <w:tbl>
      <w:tblPr>
        <w:tblpPr w:leftFromText="141" w:rightFromText="141" w:vertAnchor="text" w:horzAnchor="margin" w:tblpXSpec="center" w:tblpY="1179"/>
        <w:tblW w:w="15450" w:type="dxa"/>
        <w:tblCellMar>
          <w:left w:w="70" w:type="dxa"/>
          <w:right w:w="70" w:type="dxa"/>
        </w:tblCellMar>
        <w:tblLook w:val="0000" w:firstRow="0" w:lastRow="0" w:firstColumn="0" w:lastColumn="0" w:noHBand="0" w:noVBand="0"/>
      </w:tblPr>
      <w:tblGrid>
        <w:gridCol w:w="7070"/>
        <w:gridCol w:w="1540"/>
        <w:gridCol w:w="1540"/>
        <w:gridCol w:w="1540"/>
        <w:gridCol w:w="1540"/>
        <w:gridCol w:w="2220"/>
      </w:tblGrid>
      <w:tr w:rsidR="000515D2" w:rsidRPr="000515D2" w:rsidTr="00F1463E">
        <w:trPr>
          <w:cantSplit/>
          <w:trHeight w:val="255"/>
        </w:trPr>
        <w:tc>
          <w:tcPr>
            <w:tcW w:w="7070" w:type="dxa"/>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lastRenderedPageBreak/>
              <w:t>Výdavky (v eurách)</w:t>
            </w:r>
          </w:p>
        </w:tc>
        <w:tc>
          <w:tcPr>
            <w:tcW w:w="616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Vplyv na rozpočet verejnej správy</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poznámka</w:t>
            </w:r>
          </w:p>
        </w:tc>
      </w:tr>
      <w:tr w:rsidR="000515D2" w:rsidRPr="000515D2" w:rsidTr="00F1463E">
        <w:trPr>
          <w:cantSplit/>
          <w:trHeight w:val="255"/>
        </w:trPr>
        <w:tc>
          <w:tcPr>
            <w:tcW w:w="7070" w:type="dxa"/>
            <w:vMerge/>
            <w:tcBorders>
              <w:top w:val="single" w:sz="4" w:space="0" w:color="auto"/>
              <w:left w:val="single" w:sz="4" w:space="0" w:color="auto"/>
              <w:bottom w:val="single" w:sz="4" w:space="0" w:color="000000"/>
              <w:right w:val="single" w:sz="4" w:space="0" w:color="auto"/>
            </w:tcBorders>
            <w:vAlign w:val="center"/>
          </w:tcPr>
          <w:p w:rsidR="000515D2" w:rsidRPr="000515D2" w:rsidRDefault="000515D2" w:rsidP="000515D2">
            <w:pPr>
              <w:spacing w:after="160" w:line="259" w:lineRule="auto"/>
              <w:rPr>
                <w:rFonts w:ascii="Times New Roman" w:eastAsiaTheme="minorHAnsi" w:hAnsi="Times New Roman" w:cs="Times New Roman"/>
                <w:b/>
                <w:bCs/>
              </w:rPr>
            </w:pP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2022</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2023</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2024</w:t>
            </w:r>
          </w:p>
        </w:tc>
        <w:tc>
          <w:tcPr>
            <w:tcW w:w="1540"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2025</w:t>
            </w:r>
          </w:p>
        </w:tc>
        <w:tc>
          <w:tcPr>
            <w:tcW w:w="2220" w:type="dxa"/>
            <w:vMerge/>
            <w:tcBorders>
              <w:top w:val="single" w:sz="4" w:space="0" w:color="auto"/>
              <w:left w:val="single" w:sz="4" w:space="0" w:color="auto"/>
              <w:bottom w:val="single" w:sz="4" w:space="0" w:color="auto"/>
              <w:right w:val="single" w:sz="4" w:space="0" w:color="auto"/>
            </w:tcBorders>
            <w:vAlign w:val="center"/>
          </w:tcPr>
          <w:p w:rsidR="000515D2" w:rsidRPr="000515D2" w:rsidRDefault="000515D2" w:rsidP="000515D2">
            <w:pPr>
              <w:spacing w:after="160" w:line="259" w:lineRule="auto"/>
              <w:rPr>
                <w:rFonts w:ascii="Times New Roman" w:eastAsiaTheme="minorHAnsi" w:hAnsi="Times New Roman" w:cs="Times New Roman"/>
                <w:b/>
                <w:bCs/>
              </w:rPr>
            </w:pP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Bežné výdavky (600) Ministerstvo vnútra SR</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669 501</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669 501</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xml:space="preserve">  Mzdy, platy, služobné príjmy a ostatné osobné vyrovnania (610)</w:t>
            </w:r>
          </w:p>
        </w:tc>
        <w:tc>
          <w:tcPr>
            <w:tcW w:w="1540" w:type="dxa"/>
            <w:tcBorders>
              <w:top w:val="nil"/>
              <w:left w:val="nil"/>
              <w:bottom w:val="single" w:sz="4" w:space="0" w:color="auto"/>
              <w:right w:val="single" w:sz="4" w:space="0" w:color="auto"/>
            </w:tcBorders>
            <w:shd w:val="clear" w:color="auto" w:fill="auto"/>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shd w:val="clear" w:color="auto" w:fill="auto"/>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shd w:val="clear" w:color="auto" w:fill="auto"/>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496 110</w:t>
            </w:r>
          </w:p>
        </w:tc>
        <w:tc>
          <w:tcPr>
            <w:tcW w:w="1540" w:type="dxa"/>
            <w:tcBorders>
              <w:top w:val="nil"/>
              <w:left w:val="nil"/>
              <w:bottom w:val="single" w:sz="4" w:space="0" w:color="auto"/>
              <w:right w:val="single" w:sz="4" w:space="0" w:color="auto"/>
            </w:tcBorders>
            <w:shd w:val="clear" w:color="auto" w:fill="auto"/>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496 110</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vertAlign w:val="superscript"/>
              </w:rPr>
            </w:pPr>
            <w:r w:rsidRPr="000515D2">
              <w:rPr>
                <w:rFonts w:ascii="Times New Roman" w:eastAsiaTheme="minorHAnsi" w:hAnsi="Times New Roman" w:cs="Times New Roman"/>
              </w:rPr>
              <w:t xml:space="preserve">  Poistné a príspevok do poisťovní (620)</w:t>
            </w:r>
          </w:p>
        </w:tc>
        <w:tc>
          <w:tcPr>
            <w:tcW w:w="1540" w:type="dxa"/>
            <w:tcBorders>
              <w:top w:val="nil"/>
              <w:left w:val="nil"/>
              <w:bottom w:val="single" w:sz="4" w:space="0" w:color="auto"/>
              <w:right w:val="single" w:sz="4" w:space="0" w:color="auto"/>
            </w:tcBorders>
            <w:shd w:val="clear" w:color="auto" w:fill="auto"/>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shd w:val="clear" w:color="auto" w:fill="auto"/>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shd w:val="clear" w:color="auto" w:fill="auto"/>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173 391</w:t>
            </w:r>
          </w:p>
        </w:tc>
        <w:tc>
          <w:tcPr>
            <w:tcW w:w="1540" w:type="dxa"/>
            <w:tcBorders>
              <w:top w:val="nil"/>
              <w:left w:val="nil"/>
              <w:bottom w:val="single" w:sz="4" w:space="0" w:color="auto"/>
              <w:right w:val="single" w:sz="4" w:space="0" w:color="auto"/>
            </w:tcBorders>
            <w:shd w:val="clear" w:color="auto" w:fill="auto"/>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173 391</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vertAlign w:val="superscript"/>
              </w:rPr>
            </w:pPr>
            <w:r w:rsidRPr="000515D2">
              <w:rPr>
                <w:rFonts w:ascii="Times New Roman" w:eastAsiaTheme="minorHAnsi" w:hAnsi="Times New Roman" w:cs="Times New Roman"/>
              </w:rPr>
              <w:t xml:space="preserve">  Tovary a služby (630)</w:t>
            </w:r>
            <w:r w:rsidRPr="000515D2">
              <w:rPr>
                <w:rFonts w:ascii="Times New Roman" w:eastAsiaTheme="minorHAnsi" w:hAnsi="Times New Roman" w:cs="Times New Roman"/>
                <w:vertAlign w:val="superscript"/>
              </w:rPr>
              <w:t>2</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xml:space="preserve">  Bežné transfery (640)</w:t>
            </w:r>
            <w:r w:rsidRPr="000515D2">
              <w:rPr>
                <w:rFonts w:ascii="Times New Roman" w:eastAsiaTheme="minorHAnsi" w:hAnsi="Times New Roman" w:cs="Times New Roman"/>
                <w:vertAlign w:val="superscript"/>
              </w:rPr>
              <w:t>2</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vAlign w:val="center"/>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xml:space="preserve">  Splácanie úrokov a ostatné platby súvisiace s  úverom, pôžičkou, návratnou finančnou výpomocou a finančným prenájmom (650)</w:t>
            </w:r>
            <w:r w:rsidRPr="000515D2">
              <w:rPr>
                <w:rFonts w:ascii="Times New Roman" w:eastAsiaTheme="minorHAnsi" w:hAnsi="Times New Roman" w:cs="Times New Roman"/>
                <w:vertAlign w:val="superscript"/>
              </w:rPr>
              <w:t>2</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Kapitálové výdavky (700)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xml:space="preserve">  Obstarávanie kapitálových aktív (710)</w:t>
            </w:r>
            <w:r w:rsidRPr="000515D2">
              <w:rPr>
                <w:rFonts w:ascii="Times New Roman" w:eastAsiaTheme="minorHAnsi" w:hAnsi="Times New Roman" w:cs="Times New Roman"/>
                <w:vertAlign w:val="superscript"/>
              </w:rPr>
              <w:t>2</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xml:space="preserve">  Kapitálové transfery (720)</w:t>
            </w:r>
            <w:r w:rsidRPr="000515D2">
              <w:rPr>
                <w:rFonts w:ascii="Times New Roman" w:eastAsiaTheme="minorHAnsi" w:hAnsi="Times New Roman" w:cs="Times New Roman"/>
                <w:vertAlign w:val="superscript"/>
              </w:rPr>
              <w:t>2</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54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707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Výdavky z transakcií s finančnými aktívami a finančnými pasívami (800)</w:t>
            </w:r>
          </w:p>
        </w:tc>
        <w:tc>
          <w:tcPr>
            <w:tcW w:w="154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0 </w:t>
            </w:r>
          </w:p>
        </w:tc>
        <w:tc>
          <w:tcPr>
            <w:tcW w:w="154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0</w:t>
            </w:r>
          </w:p>
        </w:tc>
        <w:tc>
          <w:tcPr>
            <w:tcW w:w="154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0 </w:t>
            </w:r>
          </w:p>
        </w:tc>
        <w:tc>
          <w:tcPr>
            <w:tcW w:w="154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0</w:t>
            </w:r>
          </w:p>
        </w:tc>
        <w:tc>
          <w:tcPr>
            <w:tcW w:w="22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7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Dopad na výdavky verejnej správy celkom</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0</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669 501</w:t>
            </w:r>
          </w:p>
        </w:tc>
        <w:tc>
          <w:tcPr>
            <w:tcW w:w="1540" w:type="dxa"/>
            <w:tcBorders>
              <w:top w:val="single" w:sz="4" w:space="0" w:color="auto"/>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669 501</w:t>
            </w:r>
          </w:p>
        </w:tc>
        <w:tc>
          <w:tcPr>
            <w:tcW w:w="2220"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bl>
    <w:p w:rsidR="000515D2" w:rsidRPr="000515D2" w:rsidRDefault="000515D2" w:rsidP="000515D2">
      <w:pPr>
        <w:spacing w:after="160" w:line="259" w:lineRule="auto"/>
        <w:rPr>
          <w:rFonts w:ascii="Times New Roman" w:eastAsiaTheme="minorHAnsi" w:hAnsi="Times New Roman" w:cs="Times New Roman"/>
        </w:rPr>
      </w:pPr>
    </w:p>
    <w:p w:rsidR="000515D2" w:rsidRPr="000515D2" w:rsidRDefault="000515D2" w:rsidP="000515D2">
      <w:pPr>
        <w:spacing w:after="160" w:line="259" w:lineRule="auto"/>
        <w:ind w:right="-34"/>
        <w:jc w:val="right"/>
        <w:rPr>
          <w:rFonts w:ascii="Times New Roman" w:eastAsiaTheme="minorHAnsi" w:hAnsi="Times New Roman" w:cs="Times New Roman"/>
          <w:bCs/>
        </w:rPr>
      </w:pPr>
      <w:r w:rsidRPr="000515D2">
        <w:rPr>
          <w:rFonts w:ascii="Times New Roman" w:eastAsiaTheme="minorHAnsi" w:hAnsi="Times New Roman" w:cs="Times New Roman"/>
          <w:bCs/>
        </w:rPr>
        <w:t>Tabuľka č. 4</w:t>
      </w:r>
    </w:p>
    <w:p w:rsidR="000515D2" w:rsidRPr="000515D2" w:rsidRDefault="000515D2" w:rsidP="000515D2">
      <w:pPr>
        <w:spacing w:after="0" w:line="240" w:lineRule="auto"/>
        <w:jc w:val="both"/>
        <w:rPr>
          <w:rFonts w:ascii="Times New Roman" w:eastAsiaTheme="minorHAnsi" w:hAnsi="Times New Roman" w:cs="Times New Roman"/>
          <w:b/>
          <w:bCs/>
          <w:sz w:val="20"/>
          <w:szCs w:val="20"/>
        </w:rPr>
      </w:pPr>
    </w:p>
    <w:p w:rsidR="000515D2" w:rsidRPr="000515D2" w:rsidRDefault="000515D2" w:rsidP="000515D2">
      <w:pPr>
        <w:spacing w:after="0" w:line="240" w:lineRule="auto"/>
        <w:jc w:val="both"/>
        <w:rPr>
          <w:rFonts w:ascii="Times New Roman" w:eastAsiaTheme="minorHAnsi" w:hAnsi="Times New Roman" w:cs="Times New Roman"/>
          <w:bCs/>
          <w:sz w:val="20"/>
          <w:szCs w:val="20"/>
        </w:rPr>
      </w:pPr>
    </w:p>
    <w:p w:rsidR="000515D2" w:rsidRPr="000515D2" w:rsidRDefault="000515D2" w:rsidP="000515D2">
      <w:pPr>
        <w:spacing w:after="0" w:line="240" w:lineRule="auto"/>
        <w:jc w:val="both"/>
        <w:rPr>
          <w:rFonts w:ascii="Times New Roman" w:eastAsiaTheme="minorHAnsi" w:hAnsi="Times New Roman" w:cs="Times New Roman"/>
          <w:bCs/>
          <w:sz w:val="20"/>
          <w:szCs w:val="20"/>
        </w:rPr>
      </w:pPr>
    </w:p>
    <w:p w:rsidR="000515D2" w:rsidRPr="000515D2" w:rsidRDefault="000515D2" w:rsidP="000515D2">
      <w:pPr>
        <w:spacing w:after="0" w:line="240" w:lineRule="auto"/>
        <w:jc w:val="both"/>
        <w:rPr>
          <w:rFonts w:ascii="Times New Roman" w:eastAsiaTheme="minorHAnsi" w:hAnsi="Times New Roman" w:cs="Times New Roman"/>
          <w:bCs/>
          <w:sz w:val="20"/>
          <w:szCs w:val="20"/>
        </w:rPr>
      </w:pPr>
    </w:p>
    <w:p w:rsidR="000515D2" w:rsidRPr="000515D2" w:rsidRDefault="000515D2" w:rsidP="000515D2">
      <w:pPr>
        <w:spacing w:after="0" w:line="240" w:lineRule="auto"/>
        <w:jc w:val="both"/>
        <w:rPr>
          <w:rFonts w:ascii="Times New Roman" w:eastAsiaTheme="minorHAnsi" w:hAnsi="Times New Roman" w:cs="Times New Roman"/>
          <w:bCs/>
          <w:sz w:val="20"/>
          <w:szCs w:val="20"/>
        </w:rPr>
      </w:pPr>
    </w:p>
    <w:p w:rsidR="000515D2" w:rsidRPr="000515D2" w:rsidRDefault="000515D2" w:rsidP="000515D2">
      <w:pPr>
        <w:spacing w:after="0" w:line="240" w:lineRule="auto"/>
        <w:jc w:val="both"/>
        <w:rPr>
          <w:rFonts w:ascii="Times New Roman" w:eastAsiaTheme="minorHAnsi" w:hAnsi="Times New Roman" w:cs="Times New Roman"/>
          <w:bCs/>
          <w:sz w:val="20"/>
          <w:szCs w:val="20"/>
        </w:rPr>
      </w:pPr>
    </w:p>
    <w:p w:rsidR="000515D2" w:rsidRPr="000515D2" w:rsidRDefault="000515D2" w:rsidP="000515D2">
      <w:pPr>
        <w:spacing w:after="0" w:line="240" w:lineRule="auto"/>
        <w:jc w:val="both"/>
        <w:rPr>
          <w:rFonts w:ascii="Times New Roman" w:eastAsiaTheme="minorHAnsi" w:hAnsi="Times New Roman" w:cs="Times New Roman"/>
          <w:bCs/>
          <w:sz w:val="20"/>
          <w:szCs w:val="20"/>
        </w:rPr>
      </w:pPr>
    </w:p>
    <w:p w:rsidR="000515D2" w:rsidRPr="000515D2" w:rsidRDefault="000515D2" w:rsidP="000515D2">
      <w:pPr>
        <w:spacing w:after="0" w:line="240" w:lineRule="auto"/>
        <w:jc w:val="both"/>
        <w:rPr>
          <w:rFonts w:ascii="Times New Roman" w:eastAsiaTheme="minorHAnsi" w:hAnsi="Times New Roman" w:cs="Times New Roman"/>
          <w:bCs/>
          <w:sz w:val="20"/>
          <w:szCs w:val="20"/>
        </w:rPr>
      </w:pPr>
    </w:p>
    <w:p w:rsidR="000515D2" w:rsidRPr="000515D2" w:rsidRDefault="000515D2" w:rsidP="000515D2">
      <w:pPr>
        <w:spacing w:after="160" w:line="259" w:lineRule="auto"/>
        <w:jc w:val="right"/>
        <w:rPr>
          <w:rFonts w:ascii="Times New Roman" w:eastAsiaTheme="minorHAnsi" w:hAnsi="Times New Roman" w:cs="Times New Roman"/>
          <w:bCs/>
        </w:rPr>
      </w:pPr>
      <w:r w:rsidRPr="000515D2">
        <w:rPr>
          <w:rFonts w:ascii="Times New Roman" w:eastAsiaTheme="minorHAnsi" w:hAnsi="Times New Roman" w:cs="Times New Roman"/>
          <w:bCs/>
        </w:rPr>
        <w:lastRenderedPageBreak/>
        <w:t>Tabuľka č. 3</w:t>
      </w:r>
    </w:p>
    <w:p w:rsidR="000515D2" w:rsidRPr="000515D2" w:rsidRDefault="000515D2" w:rsidP="000515D2">
      <w:pPr>
        <w:spacing w:after="160" w:line="259" w:lineRule="auto"/>
        <w:jc w:val="right"/>
        <w:rPr>
          <w:rFonts w:eastAsiaTheme="minorHAnsi"/>
          <w:bCs/>
        </w:rPr>
      </w:pPr>
    </w:p>
    <w:tbl>
      <w:tblPr>
        <w:tblpPr w:leftFromText="141" w:rightFromText="141" w:vertAnchor="page" w:horzAnchor="margin" w:tblpY="1838"/>
        <w:tblW w:w="13950" w:type="dxa"/>
        <w:tblCellMar>
          <w:left w:w="70" w:type="dxa"/>
          <w:right w:w="70" w:type="dxa"/>
        </w:tblCellMar>
        <w:tblLook w:val="0000" w:firstRow="0" w:lastRow="0" w:firstColumn="0" w:lastColumn="0" w:noHBand="0" w:noVBand="0"/>
      </w:tblPr>
      <w:tblGrid>
        <w:gridCol w:w="4950"/>
        <w:gridCol w:w="1500"/>
        <w:gridCol w:w="1500"/>
        <w:gridCol w:w="1500"/>
        <w:gridCol w:w="1500"/>
        <w:gridCol w:w="3000"/>
      </w:tblGrid>
      <w:tr w:rsidR="000515D2" w:rsidRPr="000515D2" w:rsidTr="00F1463E">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Príjmy (v eurách)</w:t>
            </w:r>
          </w:p>
        </w:tc>
        <w:tc>
          <w:tcPr>
            <w:tcW w:w="6000"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poznámka</w:t>
            </w:r>
          </w:p>
        </w:tc>
      </w:tr>
      <w:tr w:rsidR="000515D2" w:rsidRPr="000515D2" w:rsidTr="00F1463E">
        <w:trPr>
          <w:cantSplit/>
          <w:trHeight w:val="255"/>
        </w:trPr>
        <w:tc>
          <w:tcPr>
            <w:tcW w:w="4950" w:type="dxa"/>
            <w:vMerge/>
            <w:tcBorders>
              <w:top w:val="single" w:sz="4" w:space="0" w:color="auto"/>
              <w:left w:val="single" w:sz="4" w:space="0" w:color="auto"/>
              <w:bottom w:val="single" w:sz="4" w:space="0" w:color="auto"/>
              <w:right w:val="single" w:sz="4" w:space="0" w:color="auto"/>
            </w:tcBorders>
            <w:vAlign w:val="center"/>
          </w:tcPr>
          <w:p w:rsidR="000515D2" w:rsidRPr="000515D2" w:rsidRDefault="000515D2" w:rsidP="000515D2">
            <w:pPr>
              <w:spacing w:after="160" w:line="259" w:lineRule="auto"/>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2022</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2023</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2024</w:t>
            </w:r>
          </w:p>
        </w:tc>
        <w:tc>
          <w:tcPr>
            <w:tcW w:w="1500"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2025</w:t>
            </w:r>
          </w:p>
        </w:tc>
        <w:tc>
          <w:tcPr>
            <w:tcW w:w="3000" w:type="dxa"/>
            <w:vMerge/>
            <w:tcBorders>
              <w:top w:val="single" w:sz="4" w:space="0" w:color="auto"/>
              <w:left w:val="single" w:sz="4" w:space="0" w:color="auto"/>
              <w:bottom w:val="single" w:sz="4" w:space="0" w:color="auto"/>
              <w:right w:val="single" w:sz="4" w:space="0" w:color="auto"/>
            </w:tcBorders>
            <w:vAlign w:val="center"/>
          </w:tcPr>
          <w:p w:rsidR="000515D2" w:rsidRPr="000515D2" w:rsidRDefault="000515D2" w:rsidP="000515D2">
            <w:pPr>
              <w:spacing w:after="160" w:line="259" w:lineRule="auto"/>
              <w:rPr>
                <w:rFonts w:ascii="Times New Roman" w:eastAsiaTheme="minorHAnsi" w:hAnsi="Times New Roman" w:cs="Times New Roman"/>
                <w:b/>
                <w:bCs/>
              </w:rPr>
            </w:pPr>
          </w:p>
        </w:tc>
      </w:tr>
      <w:tr w:rsidR="000515D2" w:rsidRPr="000515D2" w:rsidTr="00F1463E">
        <w:trPr>
          <w:trHeight w:val="255"/>
        </w:trPr>
        <w:tc>
          <w:tcPr>
            <w:tcW w:w="495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vertAlign w:val="superscript"/>
              </w:rPr>
            </w:pPr>
            <w:r w:rsidRPr="000515D2">
              <w:rPr>
                <w:rFonts w:ascii="Times New Roman" w:eastAsiaTheme="minorHAnsi" w:hAnsi="Times New Roman" w:cs="Times New Roman"/>
                <w:b/>
                <w:bCs/>
              </w:rPr>
              <w:t>Daňové príjmy (100)</w:t>
            </w:r>
            <w:r w:rsidRPr="000515D2">
              <w:rPr>
                <w:rFonts w:ascii="Times New Roman" w:eastAsiaTheme="minorHAnsi" w:hAnsi="Times New Roman" w:cs="Times New Roman"/>
                <w:b/>
                <w:bCs/>
                <w:vertAlign w:val="superscript"/>
              </w:rPr>
              <w:t>1</w:t>
            </w: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300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495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Nedaňové príjmy (200)</w:t>
            </w:r>
            <w:r w:rsidRPr="000515D2">
              <w:rPr>
                <w:rFonts w:ascii="Times New Roman" w:eastAsiaTheme="minorHAnsi" w:hAnsi="Times New Roman" w:cs="Times New Roman"/>
                <w:b/>
                <w:bCs/>
                <w:vertAlign w:val="superscript"/>
              </w:rPr>
              <w:t>1</w:t>
            </w: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300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495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Granty a transfery (300)</w:t>
            </w:r>
            <w:r w:rsidRPr="000515D2">
              <w:rPr>
                <w:rFonts w:ascii="Times New Roman" w:eastAsiaTheme="minorHAnsi" w:hAnsi="Times New Roman" w:cs="Times New Roman"/>
                <w:b/>
                <w:bCs/>
                <w:vertAlign w:val="superscript"/>
              </w:rPr>
              <w:t>1</w:t>
            </w: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1500"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
                <w:bCs/>
              </w:rPr>
            </w:pPr>
          </w:p>
        </w:tc>
        <w:tc>
          <w:tcPr>
            <w:tcW w:w="300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495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w:t>
            </w:r>
          </w:p>
        </w:tc>
        <w:tc>
          <w:tcPr>
            <w:tcW w:w="150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w:t>
            </w:r>
          </w:p>
        </w:tc>
        <w:tc>
          <w:tcPr>
            <w:tcW w:w="150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w:t>
            </w:r>
          </w:p>
        </w:tc>
        <w:tc>
          <w:tcPr>
            <w:tcW w:w="150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w:t>
            </w:r>
          </w:p>
        </w:tc>
        <w:tc>
          <w:tcPr>
            <w:tcW w:w="300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4950"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w:t>
            </w:r>
          </w:p>
        </w:tc>
        <w:tc>
          <w:tcPr>
            <w:tcW w:w="150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w:t>
            </w:r>
          </w:p>
        </w:tc>
        <w:tc>
          <w:tcPr>
            <w:tcW w:w="150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w:t>
            </w:r>
          </w:p>
        </w:tc>
        <w:tc>
          <w:tcPr>
            <w:tcW w:w="1500" w:type="dxa"/>
            <w:tcBorders>
              <w:top w:val="nil"/>
              <w:left w:val="nil"/>
              <w:bottom w:val="single" w:sz="4" w:space="0" w:color="auto"/>
              <w:right w:val="single" w:sz="4" w:space="0" w:color="auto"/>
            </w:tcBorders>
            <w:shd w:val="clear" w:color="auto" w:fill="FFFF99"/>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 </w:t>
            </w:r>
          </w:p>
        </w:tc>
        <w:tc>
          <w:tcPr>
            <w:tcW w:w="300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4950" w:type="dxa"/>
            <w:tcBorders>
              <w:top w:val="nil"/>
              <w:left w:val="single" w:sz="4" w:space="0" w:color="auto"/>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Dopad na príjmy verejnej správy celkom</w:t>
            </w:r>
          </w:p>
        </w:tc>
        <w:tc>
          <w:tcPr>
            <w:tcW w:w="1500" w:type="dxa"/>
            <w:tcBorders>
              <w:top w:val="nil"/>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1500" w:type="dxa"/>
            <w:tcBorders>
              <w:top w:val="nil"/>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0</w:t>
            </w:r>
          </w:p>
        </w:tc>
        <w:tc>
          <w:tcPr>
            <w:tcW w:w="3000" w:type="dxa"/>
            <w:tcBorders>
              <w:top w:val="nil"/>
              <w:left w:val="nil"/>
              <w:bottom w:val="single" w:sz="4" w:space="0" w:color="auto"/>
              <w:right w:val="single" w:sz="4" w:space="0" w:color="auto"/>
            </w:tcBorders>
            <w:shd w:val="clear" w:color="auto" w:fill="BFBFBF" w:themeFill="background1" w:themeFillShade="BF"/>
            <w:noWrap/>
            <w:vAlign w:val="bottom"/>
          </w:tcPr>
          <w:p w:rsidR="000515D2" w:rsidRPr="000515D2" w:rsidRDefault="000515D2" w:rsidP="000515D2">
            <w:pPr>
              <w:spacing w:after="160" w:line="259" w:lineRule="auto"/>
              <w:rPr>
                <w:rFonts w:ascii="Times New Roman" w:eastAsiaTheme="minorHAnsi" w:hAnsi="Times New Roman" w:cs="Times New Roman"/>
              </w:rPr>
            </w:pPr>
          </w:p>
        </w:tc>
      </w:tr>
    </w:tbl>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jc w:val="right"/>
        <w:rPr>
          <w:rFonts w:ascii="Times New Roman" w:eastAsiaTheme="minorHAnsi" w:hAnsi="Times New Roman" w:cs="Times New Roman"/>
          <w:bCs/>
        </w:rPr>
      </w:pPr>
      <w:r w:rsidRPr="000515D2">
        <w:rPr>
          <w:rFonts w:ascii="Times New Roman" w:eastAsiaTheme="minorHAnsi" w:hAnsi="Times New Roman" w:cs="Times New Roman"/>
          <w:bCs/>
        </w:rPr>
        <w:t>Tabuľka č. 5</w:t>
      </w:r>
    </w:p>
    <w:tbl>
      <w:tblPr>
        <w:tblpPr w:leftFromText="141" w:rightFromText="141" w:vertAnchor="text" w:horzAnchor="margin" w:tblpXSpec="center" w:tblpY="184"/>
        <w:tblW w:w="15289" w:type="dxa"/>
        <w:tblCellMar>
          <w:left w:w="70" w:type="dxa"/>
          <w:right w:w="70" w:type="dxa"/>
        </w:tblCellMar>
        <w:tblLook w:val="0000" w:firstRow="0" w:lastRow="0" w:firstColumn="0" w:lastColumn="0" w:noHBand="0" w:noVBand="0"/>
      </w:tblPr>
      <w:tblGrid>
        <w:gridCol w:w="6043"/>
        <w:gridCol w:w="1698"/>
        <w:gridCol w:w="1788"/>
        <w:gridCol w:w="2418"/>
        <w:gridCol w:w="1722"/>
        <w:gridCol w:w="1620"/>
      </w:tblGrid>
      <w:tr w:rsidR="000515D2" w:rsidRPr="000515D2" w:rsidTr="00F1463E">
        <w:trPr>
          <w:cantSplit/>
          <w:trHeight w:val="255"/>
        </w:trPr>
        <w:tc>
          <w:tcPr>
            <w:tcW w:w="6043"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Zamestnanosť</w:t>
            </w:r>
          </w:p>
        </w:tc>
        <w:tc>
          <w:tcPr>
            <w:tcW w:w="7626" w:type="dxa"/>
            <w:gridSpan w:val="4"/>
            <w:tcBorders>
              <w:top w:val="single" w:sz="4" w:space="0" w:color="auto"/>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Vplyv na rozpočet verejnej správy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poznámka</w:t>
            </w:r>
          </w:p>
        </w:tc>
      </w:tr>
      <w:tr w:rsidR="000515D2" w:rsidRPr="000515D2" w:rsidTr="00F1463E">
        <w:trPr>
          <w:cantSplit/>
          <w:trHeight w:val="255"/>
        </w:trPr>
        <w:tc>
          <w:tcPr>
            <w:tcW w:w="6043"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rPr>
                <w:rFonts w:ascii="Times New Roman" w:eastAsiaTheme="minorHAnsi" w:hAnsi="Times New Roman" w:cs="Times New Roman"/>
                <w:b/>
                <w:bCs/>
              </w:rPr>
            </w:pPr>
          </w:p>
        </w:tc>
        <w:tc>
          <w:tcPr>
            <w:tcW w:w="1698"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2022</w:t>
            </w:r>
          </w:p>
        </w:tc>
        <w:tc>
          <w:tcPr>
            <w:tcW w:w="1788"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2023</w:t>
            </w:r>
          </w:p>
        </w:tc>
        <w:tc>
          <w:tcPr>
            <w:tcW w:w="2418"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2024</w:t>
            </w:r>
          </w:p>
        </w:tc>
        <w:tc>
          <w:tcPr>
            <w:tcW w:w="1722" w:type="dxa"/>
            <w:tcBorders>
              <w:top w:val="nil"/>
              <w:left w:val="nil"/>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jc w:val="center"/>
              <w:rPr>
                <w:rFonts w:ascii="Times New Roman" w:eastAsiaTheme="minorHAnsi" w:hAnsi="Times New Roman" w:cs="Times New Roman"/>
                <w:b/>
                <w:bCs/>
              </w:rPr>
            </w:pPr>
            <w:r w:rsidRPr="000515D2">
              <w:rPr>
                <w:rFonts w:ascii="Times New Roman" w:eastAsiaTheme="minorHAnsi" w:hAnsi="Times New Roman" w:cs="Times New Roman"/>
                <w:b/>
                <w:bCs/>
              </w:rPr>
              <w:t>2025</w:t>
            </w:r>
          </w:p>
        </w:tc>
        <w:tc>
          <w:tcPr>
            <w:tcW w:w="1620" w:type="dxa"/>
            <w:vMerge/>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515D2" w:rsidRPr="000515D2" w:rsidRDefault="000515D2" w:rsidP="000515D2">
            <w:pPr>
              <w:spacing w:after="160" w:line="259" w:lineRule="auto"/>
              <w:rPr>
                <w:rFonts w:ascii="Times New Roman" w:eastAsiaTheme="minorHAnsi" w:hAnsi="Times New Roman" w:cs="Times New Roman"/>
                <w:b/>
                <w:bCs/>
              </w:rPr>
            </w:pP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Počet zamestnancov celkom</w:t>
            </w:r>
          </w:p>
        </w:tc>
        <w:tc>
          <w:tcPr>
            <w:tcW w:w="169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0</w:t>
            </w:r>
          </w:p>
        </w:tc>
        <w:tc>
          <w:tcPr>
            <w:tcW w:w="178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0</w:t>
            </w:r>
          </w:p>
        </w:tc>
        <w:tc>
          <w:tcPr>
            <w:tcW w:w="241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27</w:t>
            </w:r>
          </w:p>
        </w:tc>
        <w:tc>
          <w:tcPr>
            <w:tcW w:w="1722"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27</w:t>
            </w:r>
          </w:p>
        </w:tc>
        <w:tc>
          <w:tcPr>
            <w:tcW w:w="16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 xml:space="preserve">   z toho vplyv na ŠR</w:t>
            </w:r>
          </w:p>
        </w:tc>
        <w:tc>
          <w:tcPr>
            <w:tcW w:w="169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0</w:t>
            </w:r>
          </w:p>
        </w:tc>
        <w:tc>
          <w:tcPr>
            <w:tcW w:w="178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0</w:t>
            </w:r>
          </w:p>
        </w:tc>
        <w:tc>
          <w:tcPr>
            <w:tcW w:w="241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27</w:t>
            </w:r>
          </w:p>
        </w:tc>
        <w:tc>
          <w:tcPr>
            <w:tcW w:w="1722"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27</w:t>
            </w:r>
          </w:p>
        </w:tc>
        <w:tc>
          <w:tcPr>
            <w:tcW w:w="16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Priemerný mzdový výdavok (v eurách)</w:t>
            </w:r>
          </w:p>
        </w:tc>
        <w:tc>
          <w:tcPr>
            <w:tcW w:w="169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0</w:t>
            </w:r>
          </w:p>
        </w:tc>
        <w:tc>
          <w:tcPr>
            <w:tcW w:w="178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0</w:t>
            </w:r>
          </w:p>
        </w:tc>
        <w:tc>
          <w:tcPr>
            <w:tcW w:w="241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1 531</w:t>
            </w:r>
          </w:p>
        </w:tc>
        <w:tc>
          <w:tcPr>
            <w:tcW w:w="1722"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1 531</w:t>
            </w:r>
          </w:p>
        </w:tc>
        <w:tc>
          <w:tcPr>
            <w:tcW w:w="16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
                <w:bCs/>
              </w:rPr>
              <w:t xml:space="preserve">   z toho vplyv na ŠR</w:t>
            </w:r>
          </w:p>
        </w:tc>
        <w:tc>
          <w:tcPr>
            <w:tcW w:w="169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0</w:t>
            </w:r>
          </w:p>
        </w:tc>
        <w:tc>
          <w:tcPr>
            <w:tcW w:w="178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0</w:t>
            </w:r>
          </w:p>
        </w:tc>
        <w:tc>
          <w:tcPr>
            <w:tcW w:w="2418"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1 531</w:t>
            </w:r>
          </w:p>
        </w:tc>
        <w:tc>
          <w:tcPr>
            <w:tcW w:w="1722" w:type="dxa"/>
            <w:tcBorders>
              <w:top w:val="single" w:sz="4" w:space="0" w:color="auto"/>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bCs/>
              </w:rPr>
            </w:pPr>
            <w:r w:rsidRPr="000515D2">
              <w:rPr>
                <w:rFonts w:ascii="Times New Roman" w:eastAsiaTheme="minorHAnsi" w:hAnsi="Times New Roman" w:cs="Times New Roman"/>
                <w:bCs/>
              </w:rPr>
              <w:t>1 531</w:t>
            </w:r>
          </w:p>
        </w:tc>
        <w:tc>
          <w:tcPr>
            <w:tcW w:w="16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Osobné výdavky celkom (v eurách)</w:t>
            </w:r>
          </w:p>
        </w:tc>
        <w:tc>
          <w:tcPr>
            <w:tcW w:w="1698" w:type="dxa"/>
            <w:tcBorders>
              <w:top w:val="nil"/>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0</w:t>
            </w:r>
          </w:p>
        </w:tc>
        <w:tc>
          <w:tcPr>
            <w:tcW w:w="1788" w:type="dxa"/>
            <w:tcBorders>
              <w:top w:val="nil"/>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0</w:t>
            </w:r>
          </w:p>
        </w:tc>
        <w:tc>
          <w:tcPr>
            <w:tcW w:w="2418" w:type="dxa"/>
            <w:tcBorders>
              <w:top w:val="nil"/>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669 501</w:t>
            </w:r>
          </w:p>
        </w:tc>
        <w:tc>
          <w:tcPr>
            <w:tcW w:w="1722" w:type="dxa"/>
            <w:tcBorders>
              <w:top w:val="nil"/>
              <w:left w:val="nil"/>
              <w:bottom w:val="single" w:sz="4" w:space="0" w:color="auto"/>
              <w:right w:val="single" w:sz="4" w:space="0" w:color="auto"/>
            </w:tcBorders>
            <w:shd w:val="clear" w:color="auto" w:fill="BFBFBF" w:themeFill="background1" w:themeFillShade="BF"/>
          </w:tcPr>
          <w:p w:rsidR="000515D2" w:rsidRPr="000515D2" w:rsidRDefault="000515D2" w:rsidP="000515D2">
            <w:pPr>
              <w:spacing w:after="160" w:line="259" w:lineRule="auto"/>
              <w:jc w:val="center"/>
              <w:rPr>
                <w:rFonts w:ascii="Times New Roman" w:eastAsiaTheme="minorHAnsi" w:hAnsi="Times New Roman" w:cs="Times New Roman"/>
                <w:b/>
              </w:rPr>
            </w:pPr>
            <w:r w:rsidRPr="000515D2">
              <w:rPr>
                <w:rFonts w:ascii="Times New Roman" w:eastAsiaTheme="minorHAnsi" w:hAnsi="Times New Roman" w:cs="Times New Roman"/>
                <w:b/>
              </w:rPr>
              <w:t>669 501</w:t>
            </w:r>
          </w:p>
        </w:tc>
        <w:tc>
          <w:tcPr>
            <w:tcW w:w="1620" w:type="dxa"/>
            <w:tcBorders>
              <w:top w:val="nil"/>
              <w:left w:val="nil"/>
              <w:bottom w:val="single" w:sz="4" w:space="0" w:color="auto"/>
              <w:right w:val="single" w:sz="4" w:space="0" w:color="auto"/>
            </w:tcBorders>
            <w:shd w:val="clear" w:color="auto" w:fill="BFBFBF" w:themeFill="background1" w:themeFillShade="BF"/>
            <w:noWrap/>
            <w:vAlign w:val="bottom"/>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 </w:t>
            </w: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Mzdy, platy, služobné príjmy a ostatné osobné vyrovnania (610)</w:t>
            </w:r>
          </w:p>
        </w:tc>
        <w:tc>
          <w:tcPr>
            <w:tcW w:w="169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78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41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496 110</w:t>
            </w:r>
          </w:p>
        </w:tc>
        <w:tc>
          <w:tcPr>
            <w:tcW w:w="1722"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496 110</w:t>
            </w:r>
          </w:p>
        </w:tc>
        <w:tc>
          <w:tcPr>
            <w:tcW w:w="16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 </w:t>
            </w: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
                <w:bCs/>
              </w:rPr>
              <w:t xml:space="preserve">   z toho vplyv na ŠR</w:t>
            </w:r>
          </w:p>
        </w:tc>
        <w:tc>
          <w:tcPr>
            <w:tcW w:w="169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78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41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496 110</w:t>
            </w:r>
          </w:p>
        </w:tc>
        <w:tc>
          <w:tcPr>
            <w:tcW w:w="1722"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496 110</w:t>
            </w:r>
          </w:p>
        </w:tc>
        <w:tc>
          <w:tcPr>
            <w:tcW w:w="16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Poistné a príspevok do poisťovní (620)</w:t>
            </w:r>
          </w:p>
        </w:tc>
        <w:tc>
          <w:tcPr>
            <w:tcW w:w="169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78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41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173 391</w:t>
            </w:r>
          </w:p>
        </w:tc>
        <w:tc>
          <w:tcPr>
            <w:tcW w:w="1722"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173 391</w:t>
            </w:r>
          </w:p>
        </w:tc>
        <w:tc>
          <w:tcPr>
            <w:tcW w:w="16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b/>
                <w:bCs/>
              </w:rPr>
            </w:pPr>
            <w:r w:rsidRPr="000515D2">
              <w:rPr>
                <w:rFonts w:ascii="Times New Roman" w:eastAsiaTheme="minorHAnsi" w:hAnsi="Times New Roman" w:cs="Times New Roman"/>
                <w:b/>
                <w:bCs/>
              </w:rPr>
              <w:t> </w:t>
            </w:r>
          </w:p>
        </w:tc>
      </w:tr>
      <w:tr w:rsidR="000515D2" w:rsidRPr="000515D2" w:rsidTr="00F1463E">
        <w:trPr>
          <w:trHeight w:val="255"/>
        </w:trPr>
        <w:tc>
          <w:tcPr>
            <w:tcW w:w="6043" w:type="dxa"/>
            <w:tcBorders>
              <w:top w:val="nil"/>
              <w:left w:val="single" w:sz="4" w:space="0" w:color="auto"/>
              <w:bottom w:val="single" w:sz="4" w:space="0" w:color="auto"/>
              <w:right w:val="single" w:sz="4" w:space="0" w:color="auto"/>
            </w:tcBorders>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b/>
                <w:bCs/>
              </w:rPr>
              <w:t xml:space="preserve">   z toho vplyv na ŠR</w:t>
            </w:r>
          </w:p>
        </w:tc>
        <w:tc>
          <w:tcPr>
            <w:tcW w:w="169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178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0</w:t>
            </w:r>
          </w:p>
        </w:tc>
        <w:tc>
          <w:tcPr>
            <w:tcW w:w="2418"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173 391</w:t>
            </w:r>
          </w:p>
        </w:tc>
        <w:tc>
          <w:tcPr>
            <w:tcW w:w="1722" w:type="dxa"/>
            <w:tcBorders>
              <w:top w:val="nil"/>
              <w:left w:val="nil"/>
              <w:bottom w:val="single" w:sz="4" w:space="0" w:color="auto"/>
              <w:right w:val="single" w:sz="4" w:space="0" w:color="auto"/>
            </w:tcBorders>
          </w:tcPr>
          <w:p w:rsidR="000515D2" w:rsidRPr="000515D2" w:rsidRDefault="000515D2" w:rsidP="000515D2">
            <w:pPr>
              <w:spacing w:after="160" w:line="259" w:lineRule="auto"/>
              <w:jc w:val="center"/>
              <w:rPr>
                <w:rFonts w:ascii="Times New Roman" w:eastAsiaTheme="minorHAnsi" w:hAnsi="Times New Roman" w:cs="Times New Roman"/>
              </w:rPr>
            </w:pPr>
            <w:r w:rsidRPr="000515D2">
              <w:rPr>
                <w:rFonts w:ascii="Times New Roman" w:eastAsiaTheme="minorHAnsi" w:hAnsi="Times New Roman" w:cs="Times New Roman"/>
              </w:rPr>
              <w:t>173 391</w:t>
            </w:r>
          </w:p>
        </w:tc>
        <w:tc>
          <w:tcPr>
            <w:tcW w:w="1620" w:type="dxa"/>
            <w:tcBorders>
              <w:top w:val="nil"/>
              <w:left w:val="nil"/>
              <w:bottom w:val="single" w:sz="4" w:space="0" w:color="auto"/>
              <w:right w:val="single" w:sz="4" w:space="0" w:color="auto"/>
            </w:tcBorders>
            <w:noWrap/>
            <w:vAlign w:val="bottom"/>
          </w:tcPr>
          <w:p w:rsidR="000515D2" w:rsidRPr="000515D2" w:rsidRDefault="000515D2" w:rsidP="000515D2">
            <w:pPr>
              <w:spacing w:after="160" w:line="259" w:lineRule="auto"/>
              <w:rPr>
                <w:rFonts w:ascii="Times New Roman" w:eastAsiaTheme="minorHAnsi" w:hAnsi="Times New Roman" w:cs="Times New Roman"/>
              </w:rPr>
            </w:pPr>
            <w:r w:rsidRPr="000515D2">
              <w:rPr>
                <w:rFonts w:ascii="Times New Roman" w:eastAsiaTheme="minorHAnsi" w:hAnsi="Times New Roman" w:cs="Times New Roman"/>
              </w:rPr>
              <w:t> </w:t>
            </w:r>
          </w:p>
        </w:tc>
      </w:tr>
      <w:tr w:rsidR="000515D2" w:rsidRPr="000515D2" w:rsidTr="00F1463E">
        <w:trPr>
          <w:trHeight w:val="255"/>
        </w:trPr>
        <w:tc>
          <w:tcPr>
            <w:tcW w:w="6043"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1698"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1788"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2418"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1722"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1620"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r>
      <w:tr w:rsidR="000515D2" w:rsidRPr="000515D2" w:rsidTr="00F1463E">
        <w:trPr>
          <w:trHeight w:val="255"/>
        </w:trPr>
        <w:tc>
          <w:tcPr>
            <w:tcW w:w="6043" w:type="dxa"/>
            <w:tcBorders>
              <w:top w:val="nil"/>
              <w:left w:val="nil"/>
              <w:bottom w:val="nil"/>
              <w:right w:val="nil"/>
            </w:tcBorders>
          </w:tcPr>
          <w:p w:rsidR="000515D2" w:rsidRPr="000515D2" w:rsidRDefault="000515D2" w:rsidP="000515D2">
            <w:pPr>
              <w:spacing w:after="160" w:line="259" w:lineRule="auto"/>
              <w:rPr>
                <w:rFonts w:ascii="Times New Roman" w:eastAsiaTheme="minorHAnsi" w:hAnsi="Times New Roman" w:cs="Times New Roman"/>
                <w:b/>
                <w:bCs/>
                <w:sz w:val="20"/>
                <w:szCs w:val="20"/>
              </w:rPr>
            </w:pPr>
          </w:p>
        </w:tc>
        <w:tc>
          <w:tcPr>
            <w:tcW w:w="1698"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1788"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2418"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1722"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c>
          <w:tcPr>
            <w:tcW w:w="1620" w:type="dxa"/>
            <w:tcBorders>
              <w:top w:val="nil"/>
              <w:left w:val="nil"/>
              <w:bottom w:val="nil"/>
              <w:right w:val="nil"/>
            </w:tcBorders>
            <w:noWrap/>
            <w:vAlign w:val="bottom"/>
          </w:tcPr>
          <w:p w:rsidR="000515D2" w:rsidRPr="000515D2" w:rsidRDefault="000515D2" w:rsidP="000515D2">
            <w:pPr>
              <w:spacing w:after="160" w:line="259" w:lineRule="auto"/>
              <w:rPr>
                <w:rFonts w:ascii="Times New Roman" w:eastAsiaTheme="minorHAnsi" w:hAnsi="Times New Roman" w:cs="Times New Roman"/>
                <w:sz w:val="20"/>
                <w:szCs w:val="20"/>
              </w:rPr>
            </w:pPr>
          </w:p>
        </w:tc>
      </w:tr>
      <w:tr w:rsidR="000515D2" w:rsidRPr="000515D2" w:rsidTr="00F1463E">
        <w:trPr>
          <w:trHeight w:val="255"/>
        </w:trPr>
        <w:tc>
          <w:tcPr>
            <w:tcW w:w="15289" w:type="dxa"/>
            <w:gridSpan w:val="6"/>
            <w:tcBorders>
              <w:top w:val="nil"/>
              <w:left w:val="nil"/>
              <w:bottom w:val="nil"/>
              <w:right w:val="nil"/>
            </w:tcBorders>
            <w:noWrap/>
          </w:tcPr>
          <w:p w:rsidR="000515D2" w:rsidRPr="000515D2" w:rsidRDefault="000515D2" w:rsidP="000515D2">
            <w:pPr>
              <w:spacing w:after="160" w:line="259" w:lineRule="auto"/>
              <w:jc w:val="both"/>
              <w:rPr>
                <w:rFonts w:ascii="Times New Roman" w:eastAsiaTheme="minorHAnsi" w:hAnsi="Times New Roman" w:cs="Times New Roman"/>
                <w:sz w:val="20"/>
                <w:szCs w:val="20"/>
              </w:rPr>
            </w:pPr>
          </w:p>
        </w:tc>
      </w:tr>
    </w:tbl>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pPr>
    </w:p>
    <w:p w:rsidR="000515D2" w:rsidRPr="000515D2" w:rsidRDefault="000515D2" w:rsidP="000515D2">
      <w:pPr>
        <w:spacing w:after="160" w:line="259" w:lineRule="auto"/>
        <w:rPr>
          <w:rFonts w:eastAsiaTheme="minorHAnsi"/>
        </w:rPr>
        <w:sectPr w:rsidR="000515D2" w:rsidRPr="000515D2" w:rsidSect="00B4134B">
          <w:footerReference w:type="default" r:id="rId19"/>
          <w:pgSz w:w="16838" w:h="11906" w:orient="landscape"/>
          <w:pgMar w:top="1417" w:right="1417" w:bottom="1417" w:left="1417" w:header="708" w:footer="708" w:gutter="0"/>
          <w:cols w:space="708"/>
          <w:docGrid w:linePitch="360"/>
        </w:sectPr>
      </w:pPr>
    </w:p>
    <w:tbl>
      <w:tblPr>
        <w:tblW w:w="52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0515D2" w:rsidRPr="000515D2" w:rsidTr="00F1463E">
        <w:trPr>
          <w:trHeight w:val="534"/>
        </w:trPr>
        <w:tc>
          <w:tcPr>
            <w:tcW w:w="5000" w:type="pct"/>
            <w:gridSpan w:val="3"/>
            <w:tcBorders>
              <w:bottom w:val="single" w:sz="4" w:space="0" w:color="auto"/>
            </w:tcBorders>
            <w:shd w:val="clear" w:color="auto" w:fill="808080" w:themeFill="background1" w:themeFillShade="80"/>
          </w:tcPr>
          <w:p w:rsidR="000515D2" w:rsidRPr="000515D2" w:rsidRDefault="000515D2" w:rsidP="000515D2">
            <w:pPr>
              <w:spacing w:after="0" w:line="240" w:lineRule="auto"/>
              <w:jc w:val="center"/>
              <w:rPr>
                <w:rFonts w:ascii="Times New Roman" w:eastAsia="Calibri" w:hAnsi="Times New Roman" w:cs="Times New Roman"/>
                <w:b/>
                <w:lang w:eastAsia="sk-SK"/>
              </w:rPr>
            </w:pPr>
            <w:r w:rsidRPr="000515D2">
              <w:rPr>
                <w:rFonts w:ascii="Times New Roman" w:eastAsia="Calibri" w:hAnsi="Times New Roman" w:cs="Times New Roman"/>
                <w:b/>
                <w:sz w:val="28"/>
                <w:lang w:eastAsia="sk-SK"/>
              </w:rPr>
              <w:lastRenderedPageBreak/>
              <w:t>Analýza sociálnych vplyvov</w:t>
            </w:r>
          </w:p>
          <w:p w:rsidR="000515D2" w:rsidRPr="000515D2" w:rsidRDefault="000515D2" w:rsidP="000515D2">
            <w:pPr>
              <w:spacing w:after="0" w:line="240" w:lineRule="auto"/>
              <w:jc w:val="center"/>
              <w:rPr>
                <w:rFonts w:ascii="Times New Roman" w:eastAsia="Calibri" w:hAnsi="Times New Roman" w:cs="Times New Roman"/>
                <w:b/>
                <w:sz w:val="24"/>
                <w:lang w:eastAsia="sk-SK"/>
              </w:rPr>
            </w:pPr>
            <w:r w:rsidRPr="000515D2">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rsidR="000515D2" w:rsidRPr="000515D2" w:rsidRDefault="000515D2" w:rsidP="000515D2">
            <w:pPr>
              <w:spacing w:after="0" w:line="240" w:lineRule="auto"/>
              <w:jc w:val="both"/>
              <w:rPr>
                <w:rFonts w:ascii="Times New Roman" w:eastAsia="Calibri" w:hAnsi="Times New Roman" w:cs="Times New Roman"/>
                <w:b/>
                <w:lang w:eastAsia="sk-SK"/>
              </w:rPr>
            </w:pPr>
            <w:r w:rsidRPr="000515D2">
              <w:rPr>
                <w:rFonts w:ascii="Times New Roman" w:eastAsia="Calibri" w:hAnsi="Times New Roman" w:cs="Times New Roman"/>
                <w:b/>
                <w:sz w:val="18"/>
                <w:lang w:eastAsia="sk-SK"/>
              </w:rPr>
              <w:t>(</w:t>
            </w:r>
            <w:r w:rsidRPr="000515D2">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0515D2" w:rsidRPr="000515D2" w:rsidTr="00F1463E">
        <w:tc>
          <w:tcPr>
            <w:tcW w:w="5000" w:type="pct"/>
            <w:gridSpan w:val="3"/>
            <w:tcBorders>
              <w:bottom w:val="single" w:sz="4" w:space="0" w:color="auto"/>
            </w:tcBorders>
            <w:shd w:val="clear" w:color="auto" w:fill="A6A6A6" w:themeFill="background1" w:themeFillShade="A6"/>
          </w:tcPr>
          <w:p w:rsidR="000515D2" w:rsidRPr="000515D2" w:rsidRDefault="000515D2" w:rsidP="000515D2">
            <w:pPr>
              <w:spacing w:after="0" w:line="240" w:lineRule="auto"/>
              <w:rPr>
                <w:rFonts w:ascii="Times New Roman" w:eastAsia="Calibri" w:hAnsi="Times New Roman" w:cs="Times New Roman"/>
                <w:b/>
                <w:sz w:val="24"/>
                <w:lang w:eastAsia="sk-SK"/>
              </w:rPr>
            </w:pPr>
            <w:r w:rsidRPr="000515D2">
              <w:rPr>
                <w:rFonts w:ascii="Times New Roman" w:eastAsia="Calibri" w:hAnsi="Times New Roman" w:cs="Times New Roman"/>
                <w:b/>
                <w:lang w:eastAsia="sk-SK"/>
              </w:rPr>
              <w:t xml:space="preserve">4.1 </w:t>
            </w:r>
            <w:r w:rsidRPr="000515D2">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0515D2" w:rsidRPr="000515D2" w:rsidTr="00F1463E">
        <w:tc>
          <w:tcPr>
            <w:tcW w:w="5000" w:type="pct"/>
            <w:gridSpan w:val="3"/>
            <w:tcBorders>
              <w:bottom w:val="single" w:sz="4" w:space="0" w:color="auto"/>
            </w:tcBorders>
            <w:shd w:val="clear" w:color="auto" w:fill="F2F2F2"/>
          </w:tcPr>
          <w:p w:rsidR="000515D2" w:rsidRPr="000515D2" w:rsidRDefault="000515D2" w:rsidP="000515D2">
            <w:pPr>
              <w:spacing w:after="0" w:line="240" w:lineRule="auto"/>
              <w:rPr>
                <w:rFonts w:ascii="Times New Roman" w:eastAsia="Calibri" w:hAnsi="Times New Roman" w:cs="Times New Roman"/>
                <w:i/>
                <w:sz w:val="20"/>
                <w:lang w:eastAsia="sk-SK"/>
              </w:rPr>
            </w:pPr>
            <w:r w:rsidRPr="000515D2">
              <w:rPr>
                <w:rFonts w:ascii="Times New Roman" w:eastAsia="Calibri" w:hAnsi="Times New Roman" w:cs="Times New Roman"/>
                <w:i/>
                <w:sz w:val="20"/>
                <w:lang w:eastAsia="sk-SK"/>
              </w:rPr>
              <w:t xml:space="preserve">Vedie návrh k zvýšeniu alebo zníženiu príjmov alebo výdavkov domácností? </w:t>
            </w:r>
          </w:p>
          <w:p w:rsidR="000515D2" w:rsidRPr="000515D2" w:rsidRDefault="000515D2" w:rsidP="000515D2">
            <w:pPr>
              <w:spacing w:after="0" w:line="240" w:lineRule="auto"/>
              <w:rPr>
                <w:rFonts w:ascii="Times New Roman" w:eastAsia="Calibri" w:hAnsi="Times New Roman" w:cs="Times New Roman"/>
                <w:i/>
                <w:sz w:val="20"/>
                <w:lang w:eastAsia="sk-SK"/>
              </w:rPr>
            </w:pPr>
            <w:r w:rsidRPr="000515D2">
              <w:rPr>
                <w:rFonts w:ascii="Times New Roman" w:eastAsia="Calibri" w:hAnsi="Times New Roman" w:cs="Times New Roman"/>
                <w:i/>
                <w:sz w:val="20"/>
                <w:lang w:eastAsia="sk-SK"/>
              </w:rPr>
              <w:t xml:space="preserve">Ktoré skupiny domácností/obyvateľstva sú takto ovplyvnené a akým spôsobom? </w:t>
            </w:r>
          </w:p>
          <w:p w:rsidR="000515D2" w:rsidRPr="000515D2" w:rsidRDefault="000515D2" w:rsidP="000515D2">
            <w:pPr>
              <w:spacing w:after="0" w:line="240" w:lineRule="auto"/>
              <w:rPr>
                <w:rFonts w:ascii="Times New Roman" w:eastAsia="Calibri" w:hAnsi="Times New Roman" w:cs="Times New Roman"/>
                <w:i/>
                <w:sz w:val="20"/>
                <w:lang w:eastAsia="sk-SK"/>
              </w:rPr>
            </w:pPr>
            <w:r w:rsidRPr="000515D2">
              <w:rPr>
                <w:rFonts w:ascii="Times New Roman" w:eastAsia="Calibri" w:hAnsi="Times New Roman" w:cs="Times New Roman"/>
                <w:i/>
                <w:sz w:val="20"/>
                <w:lang w:eastAsia="sk-SK"/>
              </w:rPr>
              <w:t>Sú medzi potenciálne ovplyvnenými skupinami skupiny v riziku chudoby alebo sociálneho vylúčenia?</w:t>
            </w:r>
          </w:p>
          <w:p w:rsidR="000515D2" w:rsidRPr="000515D2" w:rsidRDefault="000515D2" w:rsidP="000515D2">
            <w:pPr>
              <w:spacing w:after="0" w:line="240" w:lineRule="auto"/>
              <w:rPr>
                <w:rFonts w:ascii="Times New Roman" w:eastAsia="Calibri" w:hAnsi="Times New Roman" w:cs="Times New Roman"/>
                <w:b/>
                <w:sz w:val="18"/>
                <w:lang w:eastAsia="sk-SK"/>
              </w:rPr>
            </w:pPr>
            <w:r w:rsidRPr="000515D2">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0515D2" w:rsidRPr="000515D2" w:rsidTr="00F1463E">
        <w:trPr>
          <w:trHeight w:val="170"/>
        </w:trPr>
        <w:tc>
          <w:tcPr>
            <w:tcW w:w="129" w:type="pct"/>
            <w:tcBorders>
              <w:top w:val="single" w:sz="4" w:space="0" w:color="auto"/>
              <w:bottom w:val="single" w:sz="4" w:space="0" w:color="auto"/>
            </w:tcBorders>
            <w:shd w:val="clear" w:color="auto" w:fill="DDDDDD"/>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0515D2" w:rsidRPr="000515D2" w:rsidRDefault="000515D2" w:rsidP="000515D2">
            <w:pPr>
              <w:spacing w:after="0" w:line="240" w:lineRule="auto"/>
              <w:jc w:val="center"/>
              <w:rPr>
                <w:rFonts w:ascii="Times New Roman" w:eastAsia="Calibri" w:hAnsi="Times New Roman" w:cs="Times New Roman"/>
                <w:b/>
                <w:sz w:val="20"/>
                <w:szCs w:val="20"/>
                <w:lang w:eastAsia="sk-SK"/>
              </w:rPr>
            </w:pPr>
            <w:r w:rsidRPr="000515D2">
              <w:rPr>
                <w:rFonts w:ascii="Times New Roman" w:eastAsia="Calibri" w:hAnsi="Times New Roman" w:cs="Times New Roman"/>
                <w:b/>
                <w:i/>
                <w:sz w:val="20"/>
                <w:szCs w:val="20"/>
                <w:lang w:eastAsia="sk-SK"/>
              </w:rPr>
              <w:t>4.1.1 Pozitívny vplyv</w:t>
            </w:r>
          </w:p>
        </w:tc>
      </w:tr>
      <w:tr w:rsidR="000515D2" w:rsidRPr="000515D2" w:rsidTr="00F1463E">
        <w:trPr>
          <w:trHeight w:val="759"/>
        </w:trPr>
        <w:tc>
          <w:tcPr>
            <w:tcW w:w="129" w:type="pct"/>
            <w:tcBorders>
              <w:top w:val="single" w:sz="4" w:space="0" w:color="auto"/>
              <w:bottom w:val="single" w:sz="4" w:space="0" w:color="auto"/>
            </w:tcBorders>
            <w:shd w:val="clear" w:color="auto" w:fill="auto"/>
            <w:vAlign w:val="center"/>
          </w:tcPr>
          <w:p w:rsidR="000515D2" w:rsidRPr="000515D2" w:rsidRDefault="000515D2" w:rsidP="000515D2">
            <w:pPr>
              <w:spacing w:after="0" w:line="240" w:lineRule="auto"/>
              <w:contextualSpacing/>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rsidR="000515D2" w:rsidRPr="000515D2" w:rsidRDefault="000515D2" w:rsidP="000515D2">
            <w:pPr>
              <w:spacing w:after="0" w:line="240" w:lineRule="auto"/>
              <w:jc w:val="both"/>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 xml:space="preserve">Popíšte </w:t>
            </w:r>
            <w:r w:rsidRPr="000515D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0515D2" w:rsidRPr="000515D2" w:rsidRDefault="000515D2" w:rsidP="000515D2">
            <w:pPr>
              <w:spacing w:after="0" w:line="240" w:lineRule="auto"/>
              <w:contextualSpacing/>
              <w:jc w:val="both"/>
              <w:rPr>
                <w:rFonts w:ascii="Times New Roman" w:eastAsia="Calibri" w:hAnsi="Times New Roman" w:cs="Times New Roman"/>
                <w:sz w:val="20"/>
                <w:szCs w:val="20"/>
                <w:lang w:eastAsia="sk-SK"/>
              </w:rPr>
            </w:pPr>
            <w:r w:rsidRPr="000515D2">
              <w:rPr>
                <w:rFonts w:ascii="Times New Roman" w:eastAsia="Calibri" w:hAnsi="Times New Roman" w:cs="Times New Roman"/>
                <w:sz w:val="20"/>
                <w:szCs w:val="20"/>
                <w:lang w:eastAsia="sk-SK"/>
              </w:rPr>
              <w:t>Bez vplyvu</w:t>
            </w:r>
          </w:p>
        </w:tc>
      </w:tr>
      <w:tr w:rsidR="000515D2" w:rsidRPr="000515D2" w:rsidTr="00F1463E">
        <w:trPr>
          <w:trHeight w:val="397"/>
        </w:trPr>
        <w:tc>
          <w:tcPr>
            <w:tcW w:w="129" w:type="pct"/>
            <w:vMerge w:val="restart"/>
            <w:tcBorders>
              <w:top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 xml:space="preserve">Špecifikujte </w:t>
            </w:r>
            <w:r w:rsidRPr="000515D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1</w:t>
            </w:r>
          </w:p>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397"/>
        </w:trPr>
        <w:tc>
          <w:tcPr>
            <w:tcW w:w="129" w:type="pct"/>
            <w:vMerge/>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2</w:t>
            </w:r>
          </w:p>
        </w:tc>
      </w:tr>
      <w:tr w:rsidR="000515D2" w:rsidRPr="000515D2" w:rsidTr="00F1463E">
        <w:trPr>
          <w:trHeight w:val="454"/>
        </w:trPr>
        <w:tc>
          <w:tcPr>
            <w:tcW w:w="129" w:type="pct"/>
            <w:tcBorders>
              <w:top w:val="dotted" w:sz="4" w:space="0" w:color="auto"/>
            </w:tcBorders>
            <w:shd w:val="clear" w:color="auto" w:fill="F2F2F2"/>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sz w:val="20"/>
                <w:szCs w:val="20"/>
                <w:lang w:eastAsia="sk-SK"/>
              </w:rPr>
            </w:pPr>
            <w:r w:rsidRPr="000515D2">
              <w:rPr>
                <w:rFonts w:ascii="Times New Roman" w:eastAsia="Calibri" w:hAnsi="Times New Roman" w:cs="Times New Roman"/>
                <w:b/>
                <w:i/>
                <w:sz w:val="20"/>
                <w:szCs w:val="20"/>
                <w:lang w:eastAsia="sk-SK"/>
              </w:rPr>
              <w:t>Kvantifikujte</w:t>
            </w:r>
            <w:r w:rsidRPr="000515D2">
              <w:rPr>
                <w:rFonts w:ascii="Times New Roman" w:eastAsia="Calibri" w:hAnsi="Times New Roman" w:cs="Times New Roman"/>
                <w:i/>
                <w:sz w:val="20"/>
                <w:szCs w:val="20"/>
                <w:lang w:eastAsia="sk-SK"/>
              </w:rPr>
              <w:t xml:space="preserve"> rast príjmov alebo pokles výdavkov </w:t>
            </w:r>
            <w:r w:rsidRPr="000515D2">
              <w:rPr>
                <w:rFonts w:ascii="Times New Roman" w:eastAsia="Calibri" w:hAnsi="Times New Roman" w:cs="Times New Roman"/>
                <w:b/>
                <w:i/>
                <w:sz w:val="20"/>
                <w:szCs w:val="20"/>
                <w:lang w:eastAsia="sk-SK"/>
              </w:rPr>
              <w:t>za jednotlivé</w:t>
            </w:r>
            <w:r w:rsidRPr="000515D2">
              <w:rPr>
                <w:rFonts w:ascii="Times New Roman" w:eastAsia="Calibri" w:hAnsi="Times New Roman" w:cs="Times New Roman"/>
                <w:i/>
                <w:sz w:val="20"/>
                <w:szCs w:val="20"/>
                <w:lang w:eastAsia="sk-SK"/>
              </w:rPr>
              <w:t xml:space="preserve"> </w:t>
            </w:r>
            <w:r w:rsidRPr="000515D2">
              <w:rPr>
                <w:rFonts w:ascii="Times New Roman" w:eastAsia="Calibri" w:hAnsi="Times New Roman" w:cs="Times New Roman"/>
                <w:b/>
                <w:i/>
                <w:sz w:val="20"/>
                <w:szCs w:val="20"/>
                <w:lang w:eastAsia="sk-SK"/>
              </w:rPr>
              <w:t>ovplyvnené</w:t>
            </w:r>
            <w:r w:rsidRPr="000515D2">
              <w:rPr>
                <w:rFonts w:ascii="Times New Roman" w:eastAsia="Calibri" w:hAnsi="Times New Roman" w:cs="Times New Roman"/>
                <w:i/>
                <w:sz w:val="20"/>
                <w:szCs w:val="20"/>
                <w:lang w:eastAsia="sk-SK"/>
              </w:rPr>
              <w:t xml:space="preserve"> </w:t>
            </w:r>
            <w:r w:rsidRPr="000515D2">
              <w:rPr>
                <w:rFonts w:ascii="Times New Roman" w:eastAsia="Calibri" w:hAnsi="Times New Roman" w:cs="Times New Roman"/>
                <w:b/>
                <w:i/>
                <w:sz w:val="20"/>
                <w:szCs w:val="20"/>
                <w:lang w:eastAsia="sk-SK"/>
              </w:rPr>
              <w:t>skupiny</w:t>
            </w:r>
            <w:r w:rsidRPr="000515D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515D2" w:rsidRPr="000515D2" w:rsidTr="00F1463E">
        <w:trPr>
          <w:trHeight w:val="680"/>
        </w:trPr>
        <w:tc>
          <w:tcPr>
            <w:tcW w:w="129" w:type="pct"/>
            <w:vMerge w:val="restart"/>
            <w:tcBorders>
              <w:top w:val="dotted"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0515D2" w:rsidRPr="000515D2" w:rsidRDefault="000515D2" w:rsidP="000515D2">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priemerný rast príjmov/ pokles výdavkov v skupine v eurách a/alebo v % / obdobie:</w:t>
            </w:r>
          </w:p>
          <w:p w:rsidR="000515D2" w:rsidRPr="000515D2" w:rsidRDefault="000515D2" w:rsidP="000515D2">
            <w:pPr>
              <w:numPr>
                <w:ilvl w:val="0"/>
                <w:numId w:val="6"/>
              </w:numPr>
              <w:spacing w:after="0" w:line="240" w:lineRule="auto"/>
              <w:contextualSpacing/>
              <w:jc w:val="both"/>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1</w:t>
            </w:r>
          </w:p>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680"/>
        </w:trPr>
        <w:tc>
          <w:tcPr>
            <w:tcW w:w="129" w:type="pct"/>
            <w:vMerge/>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2</w:t>
            </w:r>
          </w:p>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397"/>
        </w:trPr>
        <w:tc>
          <w:tcPr>
            <w:tcW w:w="129" w:type="pct"/>
            <w:tcBorders>
              <w:top w:val="dotted"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170"/>
        </w:trPr>
        <w:tc>
          <w:tcPr>
            <w:tcW w:w="129" w:type="pct"/>
            <w:tcBorders>
              <w:top w:val="nil"/>
              <w:bottom w:val="single" w:sz="4" w:space="0" w:color="auto"/>
            </w:tcBorders>
            <w:shd w:val="clear" w:color="auto" w:fill="F2F2F2"/>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b/>
                <w:i/>
                <w:sz w:val="20"/>
                <w:szCs w:val="20"/>
                <w:lang w:eastAsia="sk-SK"/>
              </w:rPr>
            </w:pPr>
            <w:r w:rsidRPr="000515D2">
              <w:rPr>
                <w:rFonts w:ascii="Times New Roman" w:eastAsia="Calibri" w:hAnsi="Times New Roman" w:cs="Times New Roman"/>
                <w:b/>
                <w:i/>
                <w:sz w:val="20"/>
                <w:szCs w:val="20"/>
                <w:lang w:eastAsia="sk-SK"/>
              </w:rPr>
              <w:t>4.1.1.1</w:t>
            </w:r>
            <w:r w:rsidRPr="000515D2">
              <w:rPr>
                <w:rFonts w:ascii="Times New Roman" w:eastAsia="Calibri" w:hAnsi="Times New Roman" w:cs="Times New Roman"/>
                <w:i/>
                <w:sz w:val="20"/>
                <w:szCs w:val="20"/>
                <w:lang w:eastAsia="sk-SK"/>
              </w:rPr>
              <w:t xml:space="preserve"> </w:t>
            </w:r>
            <w:r w:rsidRPr="000515D2">
              <w:rPr>
                <w:rFonts w:ascii="Times New Roman" w:eastAsia="Calibri" w:hAnsi="Times New Roman" w:cs="Times New Roman"/>
                <w:b/>
                <w:i/>
                <w:sz w:val="20"/>
                <w:szCs w:val="20"/>
                <w:lang w:eastAsia="sk-SK"/>
              </w:rPr>
              <w:t>Z toho pozitívny vplyv na skupiny v riziku chudoby alebo sociálneho vylúčenia</w:t>
            </w:r>
          </w:p>
          <w:p w:rsidR="000515D2" w:rsidRPr="000515D2" w:rsidRDefault="000515D2" w:rsidP="000515D2">
            <w:pPr>
              <w:spacing w:after="0" w:line="240" w:lineRule="auto"/>
              <w:rPr>
                <w:rFonts w:ascii="Times New Roman" w:eastAsia="Calibri" w:hAnsi="Times New Roman" w:cs="Times New Roman"/>
                <w:b/>
                <w:sz w:val="20"/>
                <w:szCs w:val="20"/>
                <w:lang w:eastAsia="sk-SK"/>
              </w:rPr>
            </w:pPr>
            <w:r w:rsidRPr="000515D2">
              <w:rPr>
                <w:rFonts w:ascii="Times New Roman" w:eastAsia="Calibri" w:hAnsi="Times New Roman" w:cs="Times New Roman"/>
                <w:i/>
                <w:sz w:val="18"/>
                <w:szCs w:val="20"/>
                <w:lang w:eastAsia="sk-SK"/>
              </w:rPr>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0515D2" w:rsidRPr="000515D2" w:rsidTr="00F1463E">
        <w:trPr>
          <w:trHeight w:val="759"/>
        </w:trPr>
        <w:tc>
          <w:tcPr>
            <w:tcW w:w="129" w:type="pct"/>
            <w:tcBorders>
              <w:top w:val="single" w:sz="4" w:space="0" w:color="auto"/>
              <w:bottom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0515D2" w:rsidRPr="000515D2" w:rsidRDefault="000515D2" w:rsidP="000515D2">
            <w:pPr>
              <w:spacing w:after="0" w:line="240" w:lineRule="auto"/>
              <w:jc w:val="both"/>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 xml:space="preserve">Popíšte </w:t>
            </w:r>
            <w:r w:rsidRPr="000515D2">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sz w:val="20"/>
                <w:szCs w:val="20"/>
                <w:lang w:eastAsia="sk-SK"/>
              </w:rPr>
            </w:pPr>
            <w:r w:rsidRPr="000515D2">
              <w:rPr>
                <w:rFonts w:ascii="Times New Roman" w:eastAsia="Calibri" w:hAnsi="Times New Roman" w:cs="Times New Roman"/>
                <w:sz w:val="20"/>
                <w:szCs w:val="20"/>
                <w:lang w:eastAsia="sk-SK"/>
              </w:rPr>
              <w:t>Bez vplyvu</w:t>
            </w:r>
          </w:p>
        </w:tc>
      </w:tr>
      <w:tr w:rsidR="000515D2" w:rsidRPr="000515D2" w:rsidTr="00F1463E">
        <w:trPr>
          <w:trHeight w:val="397"/>
        </w:trPr>
        <w:tc>
          <w:tcPr>
            <w:tcW w:w="129" w:type="pct"/>
            <w:vMerge w:val="restart"/>
            <w:tcBorders>
              <w:top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 xml:space="preserve">Špecifikujte </w:t>
            </w:r>
            <w:r w:rsidRPr="000515D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1</w:t>
            </w:r>
          </w:p>
          <w:p w:rsidR="000515D2" w:rsidRPr="000515D2" w:rsidRDefault="000515D2" w:rsidP="000515D2">
            <w:pPr>
              <w:spacing w:after="0" w:line="240" w:lineRule="auto"/>
              <w:rPr>
                <w:rFonts w:ascii="Times New Roman" w:eastAsia="Calibri" w:hAnsi="Times New Roman" w:cs="Times New Roman"/>
                <w:i/>
                <w:sz w:val="18"/>
                <w:szCs w:val="20"/>
                <w:lang w:eastAsia="sk-SK"/>
              </w:rPr>
            </w:pPr>
          </w:p>
        </w:tc>
      </w:tr>
      <w:tr w:rsidR="000515D2" w:rsidRPr="000515D2" w:rsidTr="00F1463E">
        <w:trPr>
          <w:trHeight w:val="397"/>
        </w:trPr>
        <w:tc>
          <w:tcPr>
            <w:tcW w:w="129" w:type="pct"/>
            <w:vMerge/>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2</w:t>
            </w:r>
          </w:p>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397"/>
        </w:trPr>
        <w:tc>
          <w:tcPr>
            <w:tcW w:w="129" w:type="pct"/>
            <w:tcBorders>
              <w:top w:val="dotted" w:sz="4" w:space="0" w:color="auto"/>
            </w:tcBorders>
            <w:shd w:val="clear" w:color="auto" w:fill="F2F2F2"/>
            <w:vAlign w:val="center"/>
          </w:tcPr>
          <w:p w:rsidR="000515D2" w:rsidRPr="000515D2" w:rsidRDefault="000515D2" w:rsidP="000515D2">
            <w:pPr>
              <w:spacing w:after="0" w:line="240" w:lineRule="auto"/>
              <w:jc w:val="center"/>
              <w:rPr>
                <w:rFonts w:ascii="Times New Roman" w:eastAsia="Calibri" w:hAnsi="Times New Roman" w:cs="Times New Roman"/>
                <w:sz w:val="18"/>
                <w:szCs w:val="18"/>
                <w:lang w:eastAsia="sk-SK"/>
              </w:rPr>
            </w:pPr>
            <w:r w:rsidRPr="000515D2">
              <w:rPr>
                <w:rFonts w:ascii="Times New Roman" w:eastAsia="Calibri" w:hAnsi="Times New Roman" w:cs="Times New Roman"/>
                <w:i/>
                <w:sz w:val="18"/>
                <w:szCs w:val="18"/>
                <w:lang w:eastAsia="sk-SK"/>
              </w:rPr>
              <w:t>j</w:t>
            </w:r>
            <w:r w:rsidRPr="000515D2">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 xml:space="preserve">Kvantifikujte </w:t>
            </w:r>
            <w:r w:rsidRPr="000515D2">
              <w:rPr>
                <w:rFonts w:ascii="Times New Roman" w:eastAsia="Calibri" w:hAnsi="Times New Roman" w:cs="Times New Roman"/>
                <w:i/>
                <w:sz w:val="20"/>
                <w:szCs w:val="20"/>
                <w:lang w:eastAsia="sk-SK"/>
              </w:rPr>
              <w:t xml:space="preserve">rast príjmov alebo pokles výdavkov </w:t>
            </w:r>
            <w:r w:rsidRPr="000515D2">
              <w:rPr>
                <w:rFonts w:ascii="Times New Roman" w:eastAsia="Calibri" w:hAnsi="Times New Roman" w:cs="Times New Roman"/>
                <w:b/>
                <w:i/>
                <w:sz w:val="20"/>
                <w:szCs w:val="20"/>
                <w:lang w:eastAsia="sk-SK"/>
              </w:rPr>
              <w:t>za jednotlivé ovplyvnené skupiny</w:t>
            </w:r>
            <w:r w:rsidRPr="000515D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515D2" w:rsidRPr="000515D2" w:rsidTr="00F1463E">
        <w:trPr>
          <w:trHeight w:val="680"/>
        </w:trPr>
        <w:tc>
          <w:tcPr>
            <w:tcW w:w="129" w:type="pct"/>
            <w:vMerge w:val="restart"/>
            <w:tcBorders>
              <w:top w:val="dotted"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0515D2" w:rsidRPr="000515D2" w:rsidRDefault="000515D2" w:rsidP="000515D2">
            <w:pPr>
              <w:numPr>
                <w:ilvl w:val="0"/>
                <w:numId w:val="6"/>
              </w:numPr>
              <w:spacing w:after="0" w:line="240" w:lineRule="auto"/>
              <w:contextualSpacing/>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priemerný rast príjmov/ pokles výdavkov v skupine v eurách a/alebo v % / obdobie:</w:t>
            </w:r>
          </w:p>
          <w:p w:rsidR="000515D2" w:rsidRPr="000515D2" w:rsidRDefault="000515D2" w:rsidP="000515D2">
            <w:pPr>
              <w:numPr>
                <w:ilvl w:val="0"/>
                <w:numId w:val="6"/>
              </w:numPr>
              <w:spacing w:after="0" w:line="240" w:lineRule="auto"/>
              <w:contextualSpacing/>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w:t>
            </w:r>
          </w:p>
        </w:tc>
      </w:tr>
      <w:tr w:rsidR="000515D2" w:rsidRPr="000515D2" w:rsidTr="00F1463E">
        <w:trPr>
          <w:trHeight w:val="680"/>
        </w:trPr>
        <w:tc>
          <w:tcPr>
            <w:tcW w:w="129" w:type="pct"/>
            <w:vMerge/>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2</w:t>
            </w:r>
          </w:p>
        </w:tc>
      </w:tr>
      <w:tr w:rsidR="000515D2" w:rsidRPr="000515D2" w:rsidTr="00F1463E">
        <w:trPr>
          <w:trHeight w:val="350"/>
        </w:trPr>
        <w:tc>
          <w:tcPr>
            <w:tcW w:w="129" w:type="pct"/>
            <w:tcBorders>
              <w:top w:val="dotted" w:sz="4" w:space="0" w:color="auto"/>
              <w:bottom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170"/>
        </w:trPr>
        <w:tc>
          <w:tcPr>
            <w:tcW w:w="129" w:type="pct"/>
            <w:tcBorders>
              <w:top w:val="single" w:sz="4" w:space="0" w:color="auto"/>
              <w:bottom w:val="single" w:sz="4" w:space="0" w:color="auto"/>
            </w:tcBorders>
            <w:shd w:val="clear" w:color="auto" w:fill="DDDDDD"/>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rsidR="000515D2" w:rsidRPr="000515D2" w:rsidRDefault="000515D2" w:rsidP="000515D2">
            <w:pPr>
              <w:spacing w:after="0" w:line="240" w:lineRule="auto"/>
              <w:jc w:val="center"/>
              <w:rPr>
                <w:rFonts w:ascii="Times New Roman" w:eastAsia="Calibri" w:hAnsi="Times New Roman" w:cs="Times New Roman"/>
                <w:b/>
                <w:color w:val="0070C0"/>
                <w:sz w:val="20"/>
                <w:szCs w:val="20"/>
                <w:lang w:eastAsia="sk-SK"/>
              </w:rPr>
            </w:pPr>
            <w:r w:rsidRPr="000515D2">
              <w:rPr>
                <w:rFonts w:ascii="Times New Roman" w:eastAsia="Calibri" w:hAnsi="Times New Roman" w:cs="Times New Roman"/>
                <w:b/>
                <w:i/>
                <w:sz w:val="20"/>
                <w:szCs w:val="20"/>
                <w:lang w:eastAsia="sk-SK"/>
              </w:rPr>
              <w:t>4.1.2 Negatívny vplyv</w:t>
            </w:r>
          </w:p>
        </w:tc>
      </w:tr>
      <w:tr w:rsidR="000515D2" w:rsidRPr="000515D2" w:rsidTr="00F1463E">
        <w:trPr>
          <w:trHeight w:val="759"/>
        </w:trPr>
        <w:tc>
          <w:tcPr>
            <w:tcW w:w="129" w:type="pct"/>
            <w:tcBorders>
              <w:top w:val="single" w:sz="4" w:space="0" w:color="auto"/>
              <w:bottom w:val="single" w:sz="4" w:space="0" w:color="auto"/>
            </w:tcBorders>
            <w:shd w:val="clear" w:color="auto" w:fill="auto"/>
            <w:vAlign w:val="center"/>
          </w:tcPr>
          <w:p w:rsidR="000515D2" w:rsidRPr="000515D2" w:rsidRDefault="000515D2" w:rsidP="000515D2">
            <w:pPr>
              <w:spacing w:after="0" w:line="240" w:lineRule="auto"/>
              <w:contextualSpacing/>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b)</w:t>
            </w:r>
          </w:p>
          <w:p w:rsidR="000515D2" w:rsidRPr="000515D2" w:rsidRDefault="000515D2" w:rsidP="000515D2">
            <w:pPr>
              <w:spacing w:after="0" w:line="240" w:lineRule="auto"/>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rsidR="000515D2" w:rsidRPr="000515D2" w:rsidRDefault="000515D2" w:rsidP="000515D2">
            <w:pPr>
              <w:spacing w:after="0" w:line="240" w:lineRule="auto"/>
              <w:jc w:val="both"/>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 xml:space="preserve">Popíšte </w:t>
            </w:r>
            <w:r w:rsidRPr="000515D2">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0515D2" w:rsidRPr="000515D2" w:rsidRDefault="000515D2" w:rsidP="000515D2">
            <w:pPr>
              <w:spacing w:after="0" w:line="240" w:lineRule="auto"/>
              <w:contextualSpacing/>
              <w:jc w:val="both"/>
              <w:rPr>
                <w:rFonts w:ascii="Times New Roman" w:eastAsia="Calibri" w:hAnsi="Times New Roman" w:cs="Times New Roman"/>
                <w:sz w:val="20"/>
                <w:szCs w:val="20"/>
                <w:lang w:eastAsia="sk-SK"/>
              </w:rPr>
            </w:pPr>
            <w:r w:rsidRPr="000515D2">
              <w:rPr>
                <w:rFonts w:ascii="Times New Roman" w:eastAsia="Calibri" w:hAnsi="Times New Roman" w:cs="Times New Roman"/>
                <w:sz w:val="20"/>
                <w:szCs w:val="20"/>
                <w:lang w:eastAsia="sk-SK"/>
              </w:rPr>
              <w:t>Bez vplyvu</w:t>
            </w:r>
          </w:p>
        </w:tc>
      </w:tr>
      <w:tr w:rsidR="000515D2" w:rsidRPr="000515D2" w:rsidTr="00F1463E">
        <w:trPr>
          <w:trHeight w:val="397"/>
        </w:trPr>
        <w:tc>
          <w:tcPr>
            <w:tcW w:w="129" w:type="pct"/>
            <w:vMerge w:val="restart"/>
            <w:tcBorders>
              <w:top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Špecifikujte</w:t>
            </w:r>
            <w:r w:rsidRPr="000515D2">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 xml:space="preserve">Ovplyvnená skupina č. </w:t>
            </w:r>
          </w:p>
        </w:tc>
      </w:tr>
      <w:tr w:rsidR="000515D2" w:rsidRPr="000515D2" w:rsidTr="00F1463E">
        <w:trPr>
          <w:trHeight w:val="397"/>
        </w:trPr>
        <w:tc>
          <w:tcPr>
            <w:tcW w:w="129" w:type="pct"/>
            <w:vMerge/>
            <w:tcBorders>
              <w:bottom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2</w:t>
            </w:r>
          </w:p>
        </w:tc>
      </w:tr>
      <w:tr w:rsidR="000515D2" w:rsidRPr="000515D2" w:rsidTr="00F1463E">
        <w:trPr>
          <w:trHeight w:val="397"/>
        </w:trPr>
        <w:tc>
          <w:tcPr>
            <w:tcW w:w="129" w:type="pct"/>
            <w:tcBorders>
              <w:top w:val="single" w:sz="4" w:space="0" w:color="auto"/>
            </w:tcBorders>
            <w:shd w:val="clear" w:color="auto" w:fill="F2F2F2"/>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lastRenderedPageBreak/>
              <w:t>d)</w:t>
            </w:r>
          </w:p>
        </w:tc>
        <w:tc>
          <w:tcPr>
            <w:tcW w:w="4871" w:type="pct"/>
            <w:gridSpan w:val="2"/>
            <w:tcBorders>
              <w:top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sz w:val="20"/>
                <w:szCs w:val="20"/>
                <w:lang w:eastAsia="sk-SK"/>
              </w:rPr>
            </w:pPr>
            <w:r w:rsidRPr="000515D2">
              <w:rPr>
                <w:rFonts w:ascii="Times New Roman" w:eastAsia="Calibri" w:hAnsi="Times New Roman" w:cs="Times New Roman"/>
                <w:b/>
                <w:i/>
                <w:sz w:val="20"/>
                <w:szCs w:val="20"/>
                <w:lang w:eastAsia="sk-SK"/>
              </w:rPr>
              <w:t>Kvantifikujte</w:t>
            </w:r>
            <w:r w:rsidRPr="000515D2">
              <w:rPr>
                <w:rFonts w:ascii="Times New Roman" w:eastAsia="Calibri" w:hAnsi="Times New Roman" w:cs="Times New Roman"/>
                <w:i/>
                <w:sz w:val="20"/>
                <w:szCs w:val="20"/>
                <w:lang w:eastAsia="sk-SK"/>
              </w:rPr>
              <w:t xml:space="preserve"> pokles príjmov alebo rast výdavkov </w:t>
            </w:r>
            <w:r w:rsidRPr="000515D2">
              <w:rPr>
                <w:rFonts w:ascii="Times New Roman" w:eastAsia="Calibri" w:hAnsi="Times New Roman" w:cs="Times New Roman"/>
                <w:b/>
                <w:i/>
                <w:sz w:val="20"/>
                <w:szCs w:val="20"/>
                <w:lang w:eastAsia="sk-SK"/>
              </w:rPr>
              <w:t>za jednotlivé</w:t>
            </w:r>
            <w:r w:rsidRPr="000515D2">
              <w:rPr>
                <w:rFonts w:ascii="Times New Roman" w:eastAsia="Calibri" w:hAnsi="Times New Roman" w:cs="Times New Roman"/>
                <w:i/>
                <w:sz w:val="20"/>
                <w:szCs w:val="20"/>
                <w:lang w:eastAsia="sk-SK"/>
              </w:rPr>
              <w:t xml:space="preserve"> </w:t>
            </w:r>
            <w:r w:rsidRPr="000515D2">
              <w:rPr>
                <w:rFonts w:ascii="Times New Roman" w:eastAsia="Calibri" w:hAnsi="Times New Roman" w:cs="Times New Roman"/>
                <w:b/>
                <w:i/>
                <w:sz w:val="20"/>
                <w:szCs w:val="20"/>
                <w:lang w:eastAsia="sk-SK"/>
              </w:rPr>
              <w:t>ovplyvnené</w:t>
            </w:r>
            <w:r w:rsidRPr="000515D2">
              <w:rPr>
                <w:rFonts w:ascii="Times New Roman" w:eastAsia="Calibri" w:hAnsi="Times New Roman" w:cs="Times New Roman"/>
                <w:i/>
                <w:sz w:val="20"/>
                <w:szCs w:val="20"/>
                <w:lang w:eastAsia="sk-SK"/>
              </w:rPr>
              <w:t xml:space="preserve"> </w:t>
            </w:r>
            <w:r w:rsidRPr="000515D2">
              <w:rPr>
                <w:rFonts w:ascii="Times New Roman" w:eastAsia="Calibri" w:hAnsi="Times New Roman" w:cs="Times New Roman"/>
                <w:b/>
                <w:i/>
                <w:sz w:val="20"/>
                <w:szCs w:val="20"/>
                <w:lang w:eastAsia="sk-SK"/>
              </w:rPr>
              <w:t>skupiny</w:t>
            </w:r>
            <w:r w:rsidRPr="000515D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515D2" w:rsidRPr="000515D2" w:rsidTr="00F1463E">
        <w:trPr>
          <w:trHeight w:val="680"/>
        </w:trPr>
        <w:tc>
          <w:tcPr>
            <w:tcW w:w="129" w:type="pct"/>
            <w:vMerge w:val="restart"/>
            <w:tcBorders>
              <w:top w:val="dotted"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rsidR="000515D2" w:rsidRPr="000515D2" w:rsidRDefault="000515D2" w:rsidP="000515D2">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priemerný pokles príjmov/ rast výdavkov v skupine v eurách a/alebo v % / obdobie:</w:t>
            </w:r>
          </w:p>
          <w:p w:rsidR="000515D2" w:rsidRPr="000515D2" w:rsidRDefault="000515D2" w:rsidP="000515D2">
            <w:pPr>
              <w:numPr>
                <w:ilvl w:val="0"/>
                <w:numId w:val="6"/>
              </w:numPr>
              <w:spacing w:after="0" w:line="240" w:lineRule="auto"/>
              <w:contextualSpacing/>
              <w:jc w:val="both"/>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1</w:t>
            </w:r>
          </w:p>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680"/>
        </w:trPr>
        <w:tc>
          <w:tcPr>
            <w:tcW w:w="129" w:type="pct"/>
            <w:vMerge/>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2</w:t>
            </w:r>
          </w:p>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397"/>
        </w:trPr>
        <w:tc>
          <w:tcPr>
            <w:tcW w:w="129" w:type="pct"/>
            <w:tcBorders>
              <w:top w:val="dotted"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227"/>
        </w:trPr>
        <w:tc>
          <w:tcPr>
            <w:tcW w:w="129" w:type="pct"/>
            <w:tcBorders>
              <w:top w:val="nil"/>
              <w:bottom w:val="single" w:sz="4" w:space="0" w:color="auto"/>
            </w:tcBorders>
            <w:shd w:val="clear" w:color="auto" w:fill="F2F2F2"/>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4.1.2.1</w:t>
            </w:r>
            <w:r w:rsidRPr="000515D2">
              <w:rPr>
                <w:rFonts w:ascii="Times New Roman" w:eastAsia="Calibri" w:hAnsi="Times New Roman" w:cs="Times New Roman"/>
                <w:i/>
                <w:sz w:val="20"/>
                <w:szCs w:val="20"/>
                <w:lang w:eastAsia="sk-SK"/>
              </w:rPr>
              <w:t xml:space="preserve"> </w:t>
            </w:r>
            <w:r w:rsidRPr="000515D2">
              <w:rPr>
                <w:rFonts w:ascii="Times New Roman" w:eastAsia="Calibri" w:hAnsi="Times New Roman" w:cs="Times New Roman"/>
                <w:b/>
                <w:i/>
                <w:sz w:val="20"/>
                <w:szCs w:val="20"/>
                <w:lang w:eastAsia="sk-SK"/>
              </w:rPr>
              <w:t>Z toho negatívny vplyv na skupiny v riziku chudoby alebo sociálneho vylúčenia</w:t>
            </w:r>
          </w:p>
          <w:p w:rsidR="000515D2" w:rsidRPr="000515D2" w:rsidRDefault="000515D2" w:rsidP="000515D2">
            <w:pPr>
              <w:spacing w:after="0" w:line="240" w:lineRule="auto"/>
              <w:rPr>
                <w:rFonts w:ascii="Times New Roman" w:eastAsia="Calibri" w:hAnsi="Times New Roman" w:cs="Times New Roman"/>
                <w:b/>
                <w:sz w:val="20"/>
                <w:szCs w:val="20"/>
                <w:lang w:eastAsia="sk-SK"/>
              </w:rPr>
            </w:pPr>
            <w:r w:rsidRPr="000515D2">
              <w:rPr>
                <w:rFonts w:ascii="Times New Roman" w:eastAsia="Calibri" w:hAnsi="Times New Roman" w:cs="Times New Roman"/>
                <w:i/>
                <w:sz w:val="20"/>
                <w:szCs w:val="20"/>
                <w:lang w:eastAsia="sk-SK"/>
              </w:rPr>
              <w:t>(</w:t>
            </w:r>
            <w:r w:rsidRPr="000515D2">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0515D2">
              <w:rPr>
                <w:rFonts w:ascii="Times New Roman" w:eastAsia="Calibri" w:hAnsi="Times New Roman" w:cs="Times New Roman"/>
                <w:i/>
                <w:sz w:val="20"/>
                <w:szCs w:val="20"/>
                <w:lang w:eastAsia="sk-SK"/>
              </w:rPr>
              <w:t>)</w:t>
            </w:r>
          </w:p>
        </w:tc>
      </w:tr>
      <w:tr w:rsidR="000515D2" w:rsidRPr="000515D2" w:rsidTr="00F1463E">
        <w:trPr>
          <w:trHeight w:val="759"/>
        </w:trPr>
        <w:tc>
          <w:tcPr>
            <w:tcW w:w="129" w:type="pct"/>
            <w:tcBorders>
              <w:top w:val="single" w:sz="4" w:space="0" w:color="auto"/>
              <w:bottom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rsidR="000515D2" w:rsidRPr="000515D2" w:rsidRDefault="000515D2" w:rsidP="000515D2">
            <w:pPr>
              <w:spacing w:after="0" w:line="240" w:lineRule="auto"/>
              <w:jc w:val="both"/>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Popíšte</w:t>
            </w:r>
            <w:r w:rsidRPr="000515D2">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color w:val="FF0000"/>
                <w:sz w:val="20"/>
                <w:szCs w:val="20"/>
                <w:lang w:eastAsia="sk-SK"/>
              </w:rPr>
            </w:pPr>
            <w:r w:rsidRPr="000515D2">
              <w:rPr>
                <w:rFonts w:ascii="Times New Roman" w:eastAsia="Calibri" w:hAnsi="Times New Roman" w:cs="Times New Roman"/>
                <w:sz w:val="20"/>
                <w:szCs w:val="20"/>
                <w:lang w:eastAsia="sk-SK"/>
              </w:rPr>
              <w:t>Bez vplyvu</w:t>
            </w:r>
          </w:p>
        </w:tc>
      </w:tr>
      <w:tr w:rsidR="000515D2" w:rsidRPr="000515D2" w:rsidTr="00F1463E">
        <w:trPr>
          <w:trHeight w:val="397"/>
        </w:trPr>
        <w:tc>
          <w:tcPr>
            <w:tcW w:w="129" w:type="pct"/>
            <w:vMerge w:val="restart"/>
            <w:tcBorders>
              <w:top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 xml:space="preserve">Špecifikujte </w:t>
            </w:r>
            <w:r w:rsidRPr="000515D2">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1</w:t>
            </w:r>
          </w:p>
          <w:p w:rsidR="000515D2" w:rsidRPr="000515D2" w:rsidRDefault="000515D2" w:rsidP="000515D2">
            <w:pPr>
              <w:spacing w:after="0" w:line="240" w:lineRule="auto"/>
              <w:rPr>
                <w:rFonts w:ascii="Times New Roman" w:eastAsia="Calibri" w:hAnsi="Times New Roman" w:cs="Times New Roman"/>
                <w:i/>
                <w:sz w:val="18"/>
                <w:szCs w:val="20"/>
                <w:lang w:eastAsia="sk-SK"/>
              </w:rPr>
            </w:pPr>
          </w:p>
        </w:tc>
      </w:tr>
      <w:tr w:rsidR="000515D2" w:rsidRPr="000515D2" w:rsidTr="00F1463E">
        <w:trPr>
          <w:trHeight w:val="397"/>
        </w:trPr>
        <w:tc>
          <w:tcPr>
            <w:tcW w:w="129" w:type="pct"/>
            <w:vMerge/>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2</w:t>
            </w:r>
          </w:p>
        </w:tc>
      </w:tr>
      <w:tr w:rsidR="000515D2" w:rsidRPr="000515D2" w:rsidTr="00F1463E">
        <w:trPr>
          <w:trHeight w:val="454"/>
        </w:trPr>
        <w:tc>
          <w:tcPr>
            <w:tcW w:w="129" w:type="pct"/>
            <w:tcBorders>
              <w:top w:val="dotted" w:sz="4" w:space="0" w:color="auto"/>
            </w:tcBorders>
            <w:shd w:val="clear" w:color="auto" w:fill="F2F2F2"/>
            <w:vAlign w:val="center"/>
          </w:tcPr>
          <w:p w:rsidR="000515D2" w:rsidRPr="000515D2" w:rsidRDefault="000515D2" w:rsidP="000515D2">
            <w:pPr>
              <w:spacing w:after="0" w:line="240" w:lineRule="auto"/>
              <w:jc w:val="center"/>
              <w:rPr>
                <w:rFonts w:ascii="Times New Roman" w:eastAsia="Calibri" w:hAnsi="Times New Roman" w:cs="Times New Roman"/>
                <w:sz w:val="18"/>
                <w:szCs w:val="18"/>
                <w:lang w:eastAsia="sk-SK"/>
              </w:rPr>
            </w:pPr>
            <w:r w:rsidRPr="000515D2">
              <w:rPr>
                <w:rFonts w:ascii="Times New Roman" w:eastAsia="Calibri" w:hAnsi="Times New Roman" w:cs="Times New Roman"/>
                <w:i/>
                <w:sz w:val="18"/>
                <w:szCs w:val="18"/>
                <w:lang w:eastAsia="sk-SK"/>
              </w:rPr>
              <w:t>j</w:t>
            </w:r>
            <w:r w:rsidRPr="000515D2">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b/>
                <w:i/>
                <w:sz w:val="20"/>
                <w:szCs w:val="20"/>
                <w:lang w:eastAsia="sk-SK"/>
              </w:rPr>
              <w:t>Kvantifikujte</w:t>
            </w:r>
            <w:r w:rsidRPr="000515D2">
              <w:rPr>
                <w:rFonts w:ascii="Times New Roman" w:eastAsia="Calibri" w:hAnsi="Times New Roman" w:cs="Times New Roman"/>
                <w:i/>
                <w:sz w:val="20"/>
                <w:szCs w:val="20"/>
                <w:lang w:eastAsia="sk-SK"/>
              </w:rPr>
              <w:t xml:space="preserve"> pokles príjmov alebo rast výdavkov </w:t>
            </w:r>
            <w:r w:rsidRPr="000515D2">
              <w:rPr>
                <w:rFonts w:ascii="Times New Roman" w:eastAsia="Calibri" w:hAnsi="Times New Roman" w:cs="Times New Roman"/>
                <w:b/>
                <w:i/>
                <w:sz w:val="20"/>
                <w:szCs w:val="20"/>
                <w:lang w:eastAsia="sk-SK"/>
              </w:rPr>
              <w:t>za jednotlivé ovplyvnené skupiny</w:t>
            </w:r>
            <w:r w:rsidRPr="000515D2">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0515D2" w:rsidRPr="000515D2" w:rsidTr="00F1463E">
        <w:trPr>
          <w:trHeight w:val="680"/>
        </w:trPr>
        <w:tc>
          <w:tcPr>
            <w:tcW w:w="129" w:type="pct"/>
            <w:vMerge w:val="restart"/>
            <w:tcBorders>
              <w:top w:val="dotted"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rsidR="000515D2" w:rsidRPr="000515D2" w:rsidRDefault="000515D2" w:rsidP="000515D2">
            <w:pPr>
              <w:numPr>
                <w:ilvl w:val="0"/>
                <w:numId w:val="6"/>
              </w:numPr>
              <w:spacing w:after="0" w:line="240" w:lineRule="auto"/>
              <w:contextualSpacing/>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priemerný pokles príjmov/ rast výdavkov v skupine v eurách a/alebo v % / obdobie:</w:t>
            </w:r>
          </w:p>
          <w:p w:rsidR="000515D2" w:rsidRPr="000515D2" w:rsidRDefault="000515D2" w:rsidP="000515D2">
            <w:pPr>
              <w:numPr>
                <w:ilvl w:val="0"/>
                <w:numId w:val="6"/>
              </w:numPr>
              <w:spacing w:after="0" w:line="240" w:lineRule="auto"/>
              <w:contextualSpacing/>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1</w:t>
            </w:r>
          </w:p>
        </w:tc>
      </w:tr>
      <w:tr w:rsidR="000515D2" w:rsidRPr="000515D2" w:rsidTr="00F1463E">
        <w:trPr>
          <w:trHeight w:val="680"/>
        </w:trPr>
        <w:tc>
          <w:tcPr>
            <w:tcW w:w="129" w:type="pct"/>
            <w:vMerge/>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18"/>
                <w:szCs w:val="20"/>
                <w:lang w:eastAsia="sk-SK"/>
              </w:rPr>
            </w:pPr>
            <w:r w:rsidRPr="000515D2">
              <w:rPr>
                <w:rFonts w:ascii="Times New Roman" w:eastAsia="Calibri" w:hAnsi="Times New Roman" w:cs="Times New Roman"/>
                <w:i/>
                <w:sz w:val="18"/>
                <w:szCs w:val="20"/>
                <w:lang w:eastAsia="sk-SK"/>
              </w:rPr>
              <w:t>Ovplyvnená skupina č. 2</w:t>
            </w:r>
          </w:p>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trHeight w:val="454"/>
        </w:trPr>
        <w:tc>
          <w:tcPr>
            <w:tcW w:w="129" w:type="pct"/>
            <w:tcBorders>
              <w:top w:val="dotted" w:sz="4" w:space="0" w:color="auto"/>
              <w:bottom w:val="single" w:sz="4" w:space="0" w:color="auto"/>
            </w:tcBorders>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i/>
                <w:sz w:val="20"/>
                <w:szCs w:val="20"/>
                <w:lang w:eastAsia="sk-SK"/>
              </w:rPr>
            </w:pPr>
            <w:r w:rsidRPr="000515D2">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rsidR="000515D2" w:rsidRPr="000515D2" w:rsidRDefault="000515D2" w:rsidP="000515D2">
            <w:pPr>
              <w:spacing w:after="0" w:line="240" w:lineRule="auto"/>
              <w:rPr>
                <w:rFonts w:ascii="Times New Roman" w:eastAsia="Calibri" w:hAnsi="Times New Roman" w:cs="Times New Roman"/>
                <w:sz w:val="20"/>
                <w:szCs w:val="20"/>
                <w:lang w:eastAsia="sk-SK"/>
              </w:rPr>
            </w:pPr>
          </w:p>
        </w:tc>
      </w:tr>
    </w:tbl>
    <w:p w:rsidR="000515D2" w:rsidRPr="000515D2" w:rsidRDefault="000515D2" w:rsidP="000515D2">
      <w:pPr>
        <w:spacing w:after="160" w:line="259" w:lineRule="auto"/>
        <w:rPr>
          <w:rFonts w:eastAsiaTheme="minorHAnsi"/>
        </w:rPr>
      </w:pPr>
      <w:r w:rsidRPr="000515D2">
        <w:rPr>
          <w:rFonts w:eastAsiaTheme="minorHAnsi"/>
        </w:rPr>
        <w:br w:type="page"/>
      </w:r>
    </w:p>
    <w:p w:rsidR="000515D2" w:rsidRPr="000515D2" w:rsidRDefault="000515D2" w:rsidP="000515D2">
      <w:pPr>
        <w:spacing w:after="160" w:line="259" w:lineRule="auto"/>
        <w:rPr>
          <w:rFonts w:eastAsiaTheme="minorHAnsi"/>
        </w:rPr>
        <w:sectPr w:rsidR="000515D2" w:rsidRPr="000515D2" w:rsidSect="00B4134B">
          <w:footerReference w:type="default" r:id="rId20"/>
          <w:footnotePr>
            <w:numFmt w:val="chicago"/>
          </w:footnotePr>
          <w:pgSz w:w="11906" w:h="16838"/>
          <w:pgMar w:top="1134" w:right="1418" w:bottom="1134" w:left="1418" w:header="510" w:footer="567" w:gutter="0"/>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0515D2" w:rsidRPr="000515D2" w:rsidTr="00F1463E">
        <w:trPr>
          <w:trHeight w:val="339"/>
          <w:jc w:val="center"/>
        </w:trPr>
        <w:tc>
          <w:tcPr>
            <w:tcW w:w="4998" w:type="pct"/>
            <w:gridSpan w:val="4"/>
            <w:tcBorders>
              <w:bottom w:val="single" w:sz="4" w:space="0" w:color="auto"/>
            </w:tcBorders>
            <w:shd w:val="clear" w:color="auto" w:fill="D9D9D9"/>
          </w:tcPr>
          <w:p w:rsidR="000515D2" w:rsidRPr="000515D2" w:rsidRDefault="000515D2" w:rsidP="000515D2">
            <w:pPr>
              <w:spacing w:after="0" w:line="240" w:lineRule="auto"/>
              <w:rPr>
                <w:rFonts w:ascii="Times New Roman" w:eastAsia="Calibri" w:hAnsi="Times New Roman" w:cs="Times New Roman"/>
                <w:b/>
                <w:sz w:val="24"/>
                <w:szCs w:val="24"/>
                <w:lang w:eastAsia="sk-SK"/>
              </w:rPr>
            </w:pPr>
            <w:r w:rsidRPr="000515D2">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0515D2" w:rsidRPr="000515D2" w:rsidTr="00F1463E">
        <w:trPr>
          <w:trHeight w:val="290"/>
          <w:jc w:val="center"/>
        </w:trPr>
        <w:tc>
          <w:tcPr>
            <w:tcW w:w="4998" w:type="pct"/>
            <w:gridSpan w:val="4"/>
            <w:tcBorders>
              <w:bottom w:val="single" w:sz="4" w:space="0" w:color="auto"/>
            </w:tcBorders>
            <w:shd w:val="clear" w:color="auto" w:fill="F2F2F2"/>
            <w:vAlign w:val="center"/>
          </w:tcPr>
          <w:p w:rsidR="000515D2" w:rsidRPr="000515D2" w:rsidRDefault="000515D2" w:rsidP="000515D2">
            <w:pPr>
              <w:spacing w:after="0" w:line="240" w:lineRule="auto"/>
              <w:jc w:val="both"/>
              <w:rPr>
                <w:rFonts w:ascii="Times New Roman" w:eastAsia="Calibri" w:hAnsi="Times New Roman" w:cs="Times New Roman"/>
                <w:i/>
                <w:sz w:val="20"/>
                <w:szCs w:val="24"/>
                <w:lang w:eastAsia="sk-SK"/>
              </w:rPr>
            </w:pPr>
            <w:r w:rsidRPr="000515D2">
              <w:rPr>
                <w:rFonts w:ascii="Times New Roman" w:eastAsia="Calibri" w:hAnsi="Times New Roman" w:cs="Times New Roman"/>
                <w:i/>
                <w:sz w:val="20"/>
                <w:szCs w:val="24"/>
                <w:lang w:eastAsia="sk-SK"/>
              </w:rPr>
              <w:t xml:space="preserve">Má návrh vplyv na prístup k zdrojom, právam, tovarom a službám? </w:t>
            </w:r>
          </w:p>
          <w:p w:rsidR="000515D2" w:rsidRPr="000515D2" w:rsidRDefault="000515D2" w:rsidP="000515D2">
            <w:pPr>
              <w:spacing w:after="0" w:line="240" w:lineRule="auto"/>
              <w:jc w:val="both"/>
              <w:rPr>
                <w:rFonts w:ascii="Calibri" w:eastAsia="Calibri" w:hAnsi="Calibri" w:cs="Times New Roman"/>
                <w:i/>
                <w:sz w:val="24"/>
                <w:szCs w:val="24"/>
                <w:lang w:eastAsia="sk-SK"/>
              </w:rPr>
            </w:pPr>
            <w:r w:rsidRPr="000515D2">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0515D2" w:rsidRPr="000515D2" w:rsidTr="00F1463E">
        <w:tblPrEx>
          <w:tblBorders>
            <w:top w:val="none" w:sz="0" w:space="0" w:color="auto"/>
            <w:bottom w:val="none" w:sz="0" w:space="0" w:color="auto"/>
          </w:tblBorders>
        </w:tblPrEx>
        <w:trPr>
          <w:trHeight w:val="557"/>
          <w:jc w:val="center"/>
        </w:trPr>
        <w:tc>
          <w:tcPr>
            <w:tcW w:w="180" w:type="pct"/>
            <w:shd w:val="clear" w:color="auto" w:fill="auto"/>
            <w:vAlign w:val="center"/>
          </w:tcPr>
          <w:p w:rsidR="000515D2" w:rsidRPr="000515D2" w:rsidRDefault="000515D2" w:rsidP="000515D2">
            <w:pPr>
              <w:spacing w:after="0" w:line="240" w:lineRule="auto"/>
              <w:jc w:val="center"/>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a)</w:t>
            </w:r>
          </w:p>
        </w:tc>
        <w:tc>
          <w:tcPr>
            <w:tcW w:w="1893" w:type="pct"/>
            <w:gridSpan w:val="2"/>
            <w:shd w:val="clear" w:color="auto" w:fill="auto"/>
          </w:tcPr>
          <w:p w:rsidR="000515D2" w:rsidRPr="000515D2" w:rsidRDefault="000515D2" w:rsidP="000515D2">
            <w:pPr>
              <w:spacing w:after="0" w:line="240" w:lineRule="auto"/>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Rozumie sa najmä na prístup k:</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 xml:space="preserve">pomoci pri úhrade výdavkov súvisiacich so zdravotným postihnutím, </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k formálnemu i neformálnemu vzdelávaniu a celo</w:t>
            </w:r>
            <w:r w:rsidRPr="000515D2">
              <w:rPr>
                <w:rFonts w:ascii="Times New Roman" w:eastAsia="Calibri" w:hAnsi="Times New Roman" w:cs="Times New Roman"/>
                <w:i/>
                <w:sz w:val="18"/>
                <w:szCs w:val="18"/>
                <w:lang w:eastAsia="sk-SK"/>
              </w:rPr>
              <w:softHyphen/>
              <w:t xml:space="preserve">životnému vzdelávaniu, </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bývaniu a súvisiacim základným komunálnym službám,</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doprave,</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ďalším službám najmä službám všeobecného záujmu a tovarom,</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spravodlivosti, právnej ochrane, právnym službám,</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informáciám,</w:t>
            </w:r>
          </w:p>
          <w:p w:rsidR="000515D2" w:rsidRPr="000515D2" w:rsidRDefault="000515D2" w:rsidP="000515D2">
            <w:pPr>
              <w:numPr>
                <w:ilvl w:val="0"/>
                <w:numId w:val="4"/>
              </w:numPr>
              <w:spacing w:after="0" w:line="240" w:lineRule="auto"/>
              <w:ind w:left="170" w:hanging="170"/>
              <w:jc w:val="both"/>
              <w:rPr>
                <w:rFonts w:ascii="Calibri" w:eastAsia="Calibri" w:hAnsi="Calibri" w:cs="Times New Roman"/>
                <w:i/>
                <w:sz w:val="20"/>
                <w:szCs w:val="20"/>
                <w:lang w:eastAsia="sk-SK"/>
              </w:rPr>
            </w:pPr>
            <w:r w:rsidRPr="000515D2">
              <w:rPr>
                <w:rFonts w:ascii="Times New Roman" w:eastAsia="Calibri" w:hAnsi="Times New Roman" w:cs="Times New Roman"/>
                <w:i/>
                <w:sz w:val="18"/>
                <w:szCs w:val="18"/>
                <w:lang w:eastAsia="sk-SK"/>
              </w:rPr>
              <w:t>k iným právam (napr. politickým).</w:t>
            </w:r>
          </w:p>
        </w:tc>
        <w:tc>
          <w:tcPr>
            <w:tcW w:w="2926" w:type="pct"/>
            <w:shd w:val="clear" w:color="auto" w:fill="auto"/>
          </w:tcPr>
          <w:p w:rsidR="000515D2" w:rsidRPr="000515D2" w:rsidRDefault="000515D2" w:rsidP="000515D2">
            <w:pPr>
              <w:spacing w:after="0" w:line="240" w:lineRule="auto"/>
              <w:rPr>
                <w:rFonts w:ascii="Times New Roman" w:eastAsia="Calibri" w:hAnsi="Times New Roman" w:cs="Times New Roman"/>
                <w:sz w:val="20"/>
                <w:szCs w:val="20"/>
                <w:lang w:eastAsia="sk-SK"/>
              </w:rPr>
            </w:pPr>
            <w:r w:rsidRPr="000515D2">
              <w:rPr>
                <w:rFonts w:ascii="Times New Roman" w:eastAsia="Calibri" w:hAnsi="Times New Roman" w:cs="Times New Roman"/>
                <w:sz w:val="20"/>
                <w:szCs w:val="20"/>
                <w:lang w:eastAsia="sk-SK"/>
              </w:rPr>
              <w:t>Návrh má priamy pozitívny vplyv na osoby v postavení obetí kriminality a inej protispoločenskej činnosti v oblasti možností uplatnenia ich práv, ktoré sú im priznané osobitnými predpismi. Návrhom sa rozšíria možností uvedenej cieľovej skupiny obyvateľstva uplatniť svoje právo na informácie, uložené osobitným predpisom, ktoré by jej prijatím návrhu boli poskytované štátom nad rámec orgánov činných v trestnom konaní, a to aj prostredníctvom jeho civilnej zložky. Zároveň sa prijatím návrhu predpokladá aj uľahčenie prístupu cieľovej skupiny k službám poskytovaným subjektmi, ktoré sú oprávnené poskytovať odbornú pomoc cieľovej skupine v zmysle osobitných predpisov. Uvedené je umožnené na základe posúdenia individuálnych charakteristík prípadu osoby, v nadväznosti na čo  sú jej poskytované informácie o regionálne a národne dostupných druhoch odbornej pomoci a subjektoch oprávnených dané druhy odbornej pomoci osobe poskytnúť po aplikácii ich vlastných podmienok. Zároveň, z hľadiska charakteru cieľovej skupiny pre ktorú sú služby určené, dochádza k situáciám, kedy je v rámci výkonu činností informačných kancelárií okrem identifikácie skutočností nasvedčujúcich spáchanie trestnej činnosti identifikovaný aj jav porušovania práv dieťaťa na čo je upozornený aj príslušný orgán, ktorý v nadväznosti na túto vedomosť realizuje opatrenia v oblasti sociálnoprávnej ochrany.</w:t>
            </w:r>
          </w:p>
          <w:p w:rsidR="000515D2" w:rsidRPr="000515D2" w:rsidRDefault="000515D2" w:rsidP="000515D2">
            <w:pPr>
              <w:spacing w:after="0" w:line="240" w:lineRule="auto"/>
              <w:rPr>
                <w:rFonts w:ascii="Times New Roman" w:eastAsia="Calibri" w:hAnsi="Times New Roman" w:cs="Times New Roman"/>
                <w:sz w:val="20"/>
                <w:szCs w:val="20"/>
                <w:lang w:eastAsia="sk-SK"/>
              </w:rPr>
            </w:pPr>
            <w:r w:rsidRPr="000515D2">
              <w:rPr>
                <w:rFonts w:ascii="Times New Roman" w:eastAsia="Calibri" w:hAnsi="Times New Roman" w:cs="Times New Roman"/>
                <w:sz w:val="20"/>
                <w:szCs w:val="20"/>
                <w:lang w:eastAsia="sk-SK"/>
              </w:rPr>
              <w:t xml:space="preserve">Poskytovanie vyššie uvedenej pôsobnosti informačných kancelárií bude zároveň pre potreby cieľovej skupiny rovnomerne teritoriálne rozmiestnené v rámci územia Slovenskej republiky, spravidla v každom krajskom meste a priestorovo situované na verejnosti prístupnom a dostupnom mieste na okresnom úrade. </w:t>
            </w:r>
          </w:p>
          <w:p w:rsidR="000515D2" w:rsidRPr="000515D2" w:rsidRDefault="000515D2" w:rsidP="000515D2">
            <w:pPr>
              <w:spacing w:after="0" w:line="240" w:lineRule="auto"/>
              <w:rPr>
                <w:rFonts w:ascii="Times New Roman" w:eastAsia="Calibri" w:hAnsi="Times New Roman" w:cs="Times New Roman"/>
                <w:color w:val="FF0000"/>
                <w:sz w:val="20"/>
                <w:szCs w:val="20"/>
                <w:lang w:eastAsia="sk-SK"/>
              </w:rPr>
            </w:pPr>
          </w:p>
          <w:p w:rsidR="000515D2" w:rsidRPr="000515D2" w:rsidRDefault="000515D2" w:rsidP="000515D2">
            <w:pPr>
              <w:spacing w:after="120" w:line="240" w:lineRule="auto"/>
              <w:jc w:val="both"/>
              <w:rPr>
                <w:rFonts w:ascii="Times New Roman" w:eastAsia="Calibri" w:hAnsi="Times New Roman" w:cs="Times New Roman"/>
                <w:sz w:val="20"/>
                <w:szCs w:val="20"/>
                <w:lang w:eastAsia="sk-SK"/>
              </w:rPr>
            </w:pPr>
            <w:r w:rsidRPr="000515D2">
              <w:rPr>
                <w:rFonts w:ascii="Times New Roman" w:eastAsia="Calibri" w:hAnsi="Times New Roman" w:cs="Times New Roman"/>
                <w:sz w:val="20"/>
                <w:szCs w:val="20"/>
                <w:lang w:eastAsia="sk-SK"/>
              </w:rPr>
              <w:t>Účelom návrhu zákona je zefektívniť prístup obetí kriminality a inej protispoločenskej činnosti k ich právam. Informačné kancelárie uľahčia obetiam kriminality a inej protispoločenskej činnosti prístup k pomoci, a to konkrétne sprostredkovaním odbornej pomoci po individuálnom posúdení potrieb.</w:t>
            </w:r>
          </w:p>
          <w:p w:rsidR="000515D2" w:rsidRPr="000515D2" w:rsidRDefault="000515D2" w:rsidP="000515D2">
            <w:pPr>
              <w:spacing w:after="0" w:line="240" w:lineRule="auto"/>
              <w:jc w:val="both"/>
              <w:rPr>
                <w:rFonts w:ascii="Times New Roman" w:eastAsia="Calibri" w:hAnsi="Times New Roman" w:cs="Times New Roman"/>
                <w:sz w:val="20"/>
                <w:szCs w:val="20"/>
                <w:lang w:eastAsia="sk-SK"/>
              </w:rPr>
            </w:pPr>
            <w:r w:rsidRPr="000515D2">
              <w:rPr>
                <w:rFonts w:ascii="Times New Roman" w:eastAsia="Calibri" w:hAnsi="Times New Roman" w:cs="Times New Roman"/>
                <w:sz w:val="20"/>
                <w:szCs w:val="20"/>
                <w:lang w:eastAsia="sk-SK"/>
              </w:rPr>
              <w:t xml:space="preserve">Zriadením informačných kancelárií, spravidla so sídlom v okresnom úrade sídla kraja, bude zabezpečená občianska dostupnosť, ktorá je kľúčová pre efektívnosť informačných kancelárií. </w:t>
            </w:r>
          </w:p>
          <w:p w:rsidR="000515D2" w:rsidRPr="000515D2" w:rsidRDefault="000515D2" w:rsidP="000515D2">
            <w:pPr>
              <w:spacing w:after="0" w:line="240" w:lineRule="auto"/>
              <w:rPr>
                <w:rFonts w:ascii="Times New Roman" w:eastAsia="Calibri" w:hAnsi="Times New Roman" w:cs="Times New Roman"/>
                <w:color w:val="FF0000"/>
                <w:sz w:val="20"/>
                <w:szCs w:val="20"/>
                <w:lang w:eastAsia="sk-SK"/>
              </w:rPr>
            </w:pPr>
          </w:p>
          <w:p w:rsidR="000515D2" w:rsidRPr="000515D2" w:rsidRDefault="000515D2" w:rsidP="000515D2">
            <w:pPr>
              <w:spacing w:after="0" w:line="240" w:lineRule="auto"/>
              <w:rPr>
                <w:rFonts w:ascii="Times New Roman" w:eastAsia="Calibri" w:hAnsi="Times New Roman" w:cs="Times New Roman"/>
                <w:color w:val="FF0000"/>
                <w:sz w:val="20"/>
                <w:szCs w:val="20"/>
                <w:lang w:eastAsia="sk-SK"/>
              </w:rPr>
            </w:pPr>
          </w:p>
          <w:p w:rsidR="000515D2" w:rsidRPr="000515D2" w:rsidRDefault="000515D2" w:rsidP="000515D2">
            <w:pPr>
              <w:spacing w:after="0" w:line="240" w:lineRule="auto"/>
              <w:rPr>
                <w:rFonts w:ascii="Times New Roman" w:eastAsia="Calibri" w:hAnsi="Times New Roman" w:cs="Times New Roman"/>
                <w:color w:val="FF0000"/>
                <w:sz w:val="20"/>
                <w:szCs w:val="20"/>
                <w:lang w:eastAsia="sk-SK"/>
              </w:rPr>
            </w:pPr>
          </w:p>
          <w:p w:rsidR="000515D2" w:rsidRPr="000515D2" w:rsidRDefault="000515D2" w:rsidP="000515D2">
            <w:pPr>
              <w:spacing w:after="0" w:line="240" w:lineRule="auto"/>
              <w:rPr>
                <w:rFonts w:ascii="Times New Roman" w:eastAsia="Calibri" w:hAnsi="Times New Roman" w:cs="Times New Roman"/>
                <w:sz w:val="20"/>
                <w:szCs w:val="20"/>
                <w:lang w:eastAsia="sk-SK"/>
              </w:rPr>
            </w:pPr>
          </w:p>
        </w:tc>
      </w:tr>
      <w:tr w:rsidR="000515D2" w:rsidRPr="000515D2" w:rsidTr="00F1463E">
        <w:trPr>
          <w:jc w:val="center"/>
        </w:trPr>
        <w:tc>
          <w:tcPr>
            <w:tcW w:w="180" w:type="pct"/>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18"/>
                <w:lang w:eastAsia="sk-SK"/>
              </w:rPr>
            </w:pPr>
            <w:r w:rsidRPr="000515D2">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rsidR="000515D2" w:rsidRPr="000515D2" w:rsidRDefault="000515D2" w:rsidP="000515D2">
            <w:pPr>
              <w:spacing w:after="0" w:line="240" w:lineRule="auto"/>
              <w:jc w:val="both"/>
              <w:rPr>
                <w:rFonts w:ascii="Times New Roman" w:eastAsia="Calibri" w:hAnsi="Times New Roman" w:cs="Times New Roman"/>
                <w:i/>
                <w:sz w:val="20"/>
                <w:szCs w:val="20"/>
                <w:lang w:eastAsia="sk-SK"/>
              </w:rPr>
            </w:pPr>
            <w:r w:rsidRPr="000515D2">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rsidR="000515D2" w:rsidRPr="000515D2" w:rsidRDefault="000515D2" w:rsidP="000515D2">
            <w:pPr>
              <w:spacing w:after="0" w:line="240" w:lineRule="auto"/>
              <w:jc w:val="both"/>
              <w:rPr>
                <w:rFonts w:ascii="Calibri" w:eastAsia="Calibri" w:hAnsi="Calibri" w:cs="Times New Roman"/>
                <w:i/>
                <w:lang w:eastAsia="sk-SK"/>
              </w:rPr>
            </w:pPr>
            <w:r w:rsidRPr="000515D2">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0515D2" w:rsidRPr="000515D2" w:rsidTr="00F1463E">
        <w:tblPrEx>
          <w:tblBorders>
            <w:top w:val="none" w:sz="0" w:space="0" w:color="auto"/>
          </w:tblBorders>
        </w:tblPrEx>
        <w:trPr>
          <w:trHeight w:val="677"/>
          <w:jc w:val="center"/>
        </w:trPr>
        <w:tc>
          <w:tcPr>
            <w:tcW w:w="179" w:type="pct"/>
            <w:shd w:val="clear" w:color="auto" w:fill="auto"/>
            <w:vAlign w:val="center"/>
          </w:tcPr>
          <w:p w:rsidR="000515D2" w:rsidRPr="000515D2" w:rsidRDefault="000515D2" w:rsidP="000515D2">
            <w:pPr>
              <w:spacing w:after="0" w:line="240" w:lineRule="auto"/>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c)</w:t>
            </w:r>
          </w:p>
        </w:tc>
        <w:tc>
          <w:tcPr>
            <w:tcW w:w="1849" w:type="pct"/>
            <w:shd w:val="clear" w:color="auto" w:fill="auto"/>
          </w:tcPr>
          <w:p w:rsidR="000515D2" w:rsidRPr="000515D2" w:rsidRDefault="000515D2" w:rsidP="000515D2">
            <w:pPr>
              <w:spacing w:after="0" w:line="240" w:lineRule="auto"/>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Zraniteľné skupiny alebo skupiny v riziku chudoby alebo sociálneho vylúčenia sú napr.:</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lastRenderedPageBreak/>
              <w:t>nezamestnaní, najmä dlhodobo nezamestnaní, mladí nezamestnaní a nezamestnaní nad 50 rokov,</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deti (0 – 17),</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mladí ľudia (18 – 25 rokov),</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starší ľudia, napr. ľudia vo veku nad 65 rokov alebo dôchodcovia,</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ľudia so zdravotným postihnutím,</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 xml:space="preserve">marginalizované rómske komunity </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domácnosti s 3 a viac deťmi,</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jednorodičovské domácnosti s deťmi (neúplné rodiny, ktoré tvoria najmä osamelé matky s deťmi),</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príslušníci tretích krajín, azylanti, žiadatelia o azyl,</w:t>
            </w:r>
          </w:p>
          <w:p w:rsidR="000515D2" w:rsidRPr="000515D2" w:rsidRDefault="000515D2" w:rsidP="000515D2">
            <w:pPr>
              <w:numPr>
                <w:ilvl w:val="0"/>
                <w:numId w:val="4"/>
              </w:numPr>
              <w:spacing w:after="0" w:line="240" w:lineRule="auto"/>
              <w:ind w:left="170" w:hanging="170"/>
              <w:jc w:val="both"/>
              <w:rPr>
                <w:rFonts w:ascii="Times New Roman" w:eastAsia="Calibri" w:hAnsi="Times New Roman" w:cs="Times New Roman"/>
                <w:sz w:val="20"/>
                <w:lang w:eastAsia="sk-SK"/>
              </w:rPr>
            </w:pPr>
            <w:r w:rsidRPr="000515D2">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rsidR="000515D2" w:rsidRPr="000515D2" w:rsidRDefault="000515D2" w:rsidP="000515D2">
            <w:pPr>
              <w:spacing w:after="0" w:line="240" w:lineRule="auto"/>
              <w:rPr>
                <w:rFonts w:ascii="Times New Roman" w:eastAsia="Calibri" w:hAnsi="Times New Roman" w:cs="Times New Roman"/>
                <w:color w:val="FF0000"/>
                <w:sz w:val="20"/>
                <w:lang w:eastAsia="sk-SK"/>
              </w:rPr>
            </w:pPr>
            <w:r w:rsidRPr="000515D2">
              <w:rPr>
                <w:rFonts w:ascii="Times New Roman" w:eastAsia="Calibri" w:hAnsi="Times New Roman" w:cs="Times New Roman"/>
                <w:sz w:val="20"/>
                <w:lang w:eastAsia="sk-SK"/>
              </w:rPr>
              <w:lastRenderedPageBreak/>
              <w:t>Bez vplyvu</w:t>
            </w:r>
          </w:p>
        </w:tc>
      </w:tr>
    </w:tbl>
    <w:p w:rsidR="000515D2" w:rsidRPr="000515D2" w:rsidRDefault="000515D2" w:rsidP="000515D2">
      <w:pPr>
        <w:spacing w:after="160" w:line="259" w:lineRule="auto"/>
        <w:rPr>
          <w:rFonts w:eastAsiaTheme="minorHAnsi"/>
        </w:rPr>
        <w:sectPr w:rsidR="000515D2" w:rsidRPr="000515D2" w:rsidSect="003209EE">
          <w:headerReference w:type="default" r:id="rId21"/>
          <w:footerReference w:type="default" r:id="rId22"/>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7"/>
        <w:gridCol w:w="5514"/>
      </w:tblGrid>
      <w:tr w:rsidR="000515D2" w:rsidRPr="000515D2" w:rsidTr="00F1463E">
        <w:trPr>
          <w:jc w:val="center"/>
        </w:trPr>
        <w:tc>
          <w:tcPr>
            <w:tcW w:w="5000" w:type="pct"/>
            <w:gridSpan w:val="3"/>
            <w:shd w:val="clear" w:color="auto" w:fill="D9D9D9"/>
          </w:tcPr>
          <w:p w:rsidR="000515D2" w:rsidRPr="000515D2" w:rsidRDefault="000515D2" w:rsidP="000515D2">
            <w:pPr>
              <w:spacing w:after="0" w:line="240" w:lineRule="auto"/>
              <w:rPr>
                <w:rFonts w:ascii="Times New Roman" w:eastAsia="Calibri" w:hAnsi="Times New Roman" w:cs="Times New Roman"/>
                <w:b/>
                <w:sz w:val="24"/>
                <w:szCs w:val="24"/>
              </w:rPr>
            </w:pPr>
            <w:r w:rsidRPr="000515D2">
              <w:rPr>
                <w:rFonts w:ascii="Times New Roman" w:eastAsia="Calibri" w:hAnsi="Times New Roman" w:cs="Times New Roman"/>
                <w:b/>
                <w:sz w:val="24"/>
                <w:szCs w:val="24"/>
              </w:rPr>
              <w:lastRenderedPageBreak/>
              <w:t>4.3 Identifikujte a popíšte vplyv na rovnosť príležitostí.</w:t>
            </w:r>
          </w:p>
          <w:p w:rsidR="000515D2" w:rsidRPr="000515D2" w:rsidRDefault="000515D2" w:rsidP="000515D2">
            <w:pPr>
              <w:spacing w:after="0" w:line="240" w:lineRule="auto"/>
              <w:jc w:val="both"/>
              <w:rPr>
                <w:rFonts w:ascii="Calibri" w:eastAsia="Calibri" w:hAnsi="Calibri" w:cs="Times New Roman"/>
                <w:sz w:val="24"/>
                <w:szCs w:val="24"/>
              </w:rPr>
            </w:pPr>
            <w:r w:rsidRPr="000515D2">
              <w:rPr>
                <w:rFonts w:ascii="Times New Roman" w:eastAsia="Calibri" w:hAnsi="Times New Roman" w:cs="Times New Roman"/>
                <w:b/>
                <w:sz w:val="24"/>
                <w:szCs w:val="24"/>
              </w:rPr>
              <w:t>Identifikujte, popíšte a kvantifikujte vplyv na rovnosť žien a mužov.</w:t>
            </w:r>
          </w:p>
        </w:tc>
      </w:tr>
      <w:tr w:rsidR="000515D2" w:rsidRPr="000515D2" w:rsidTr="00F1463E">
        <w:trPr>
          <w:jc w:val="center"/>
        </w:trPr>
        <w:tc>
          <w:tcPr>
            <w:tcW w:w="143" w:type="pct"/>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24"/>
                <w:szCs w:val="24"/>
              </w:rPr>
            </w:pPr>
            <w:r w:rsidRPr="000515D2">
              <w:rPr>
                <w:rFonts w:ascii="Times New Roman" w:eastAsia="Calibri" w:hAnsi="Times New Roman" w:cs="Times New Roman"/>
                <w:i/>
                <w:sz w:val="18"/>
                <w:szCs w:val="24"/>
              </w:rPr>
              <w:t>a)</w:t>
            </w:r>
          </w:p>
        </w:tc>
        <w:tc>
          <w:tcPr>
            <w:tcW w:w="4857" w:type="pct"/>
            <w:gridSpan w:val="2"/>
            <w:tcBorders>
              <w:bottom w:val="single" w:sz="4" w:space="0" w:color="auto"/>
            </w:tcBorders>
            <w:shd w:val="clear" w:color="auto" w:fill="F2F2F2"/>
          </w:tcPr>
          <w:p w:rsidR="000515D2" w:rsidRPr="000515D2" w:rsidRDefault="000515D2" w:rsidP="000515D2">
            <w:pPr>
              <w:spacing w:after="0" w:line="240" w:lineRule="auto"/>
              <w:jc w:val="both"/>
              <w:rPr>
                <w:rFonts w:ascii="Times New Roman" w:eastAsia="Calibri" w:hAnsi="Times New Roman" w:cs="Times New Roman"/>
                <w:i/>
                <w:sz w:val="24"/>
                <w:szCs w:val="24"/>
              </w:rPr>
            </w:pPr>
            <w:r w:rsidRPr="000515D2">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0515D2" w:rsidRPr="000515D2" w:rsidTr="00F1463E">
        <w:trPr>
          <w:trHeight w:val="2104"/>
          <w:jc w:val="center"/>
        </w:trPr>
        <w:tc>
          <w:tcPr>
            <w:tcW w:w="143" w:type="pct"/>
            <w:tcBorders>
              <w:top w:val="nil"/>
              <w:bottom w:val="nil"/>
            </w:tcBorders>
            <w:shd w:val="clear" w:color="auto" w:fill="auto"/>
          </w:tcPr>
          <w:p w:rsidR="000515D2" w:rsidRPr="000515D2" w:rsidRDefault="000515D2" w:rsidP="000515D2">
            <w:pPr>
              <w:spacing w:after="0" w:line="240" w:lineRule="auto"/>
              <w:rPr>
                <w:rFonts w:ascii="Times New Roman" w:eastAsia="Calibri" w:hAnsi="Times New Roman" w:cs="Times New Roman"/>
                <w:sz w:val="20"/>
              </w:rPr>
            </w:pPr>
          </w:p>
          <w:p w:rsidR="000515D2" w:rsidRPr="000515D2" w:rsidRDefault="000515D2" w:rsidP="000515D2">
            <w:pPr>
              <w:spacing w:after="0" w:line="240" w:lineRule="auto"/>
              <w:rPr>
                <w:rFonts w:ascii="Times New Roman" w:eastAsia="Calibri" w:hAnsi="Times New Roman" w:cs="Times New Roman"/>
                <w:i/>
                <w:sz w:val="20"/>
              </w:rPr>
            </w:pPr>
          </w:p>
          <w:p w:rsidR="000515D2" w:rsidRPr="000515D2" w:rsidRDefault="000515D2" w:rsidP="000515D2">
            <w:pPr>
              <w:spacing w:after="0" w:line="240" w:lineRule="auto"/>
              <w:rPr>
                <w:rFonts w:ascii="Times New Roman" w:eastAsia="Calibri" w:hAnsi="Times New Roman" w:cs="Times New Roman"/>
                <w:i/>
                <w:sz w:val="20"/>
              </w:rPr>
            </w:pPr>
          </w:p>
          <w:p w:rsidR="000515D2" w:rsidRPr="000515D2" w:rsidRDefault="000515D2" w:rsidP="000515D2">
            <w:pPr>
              <w:spacing w:after="0" w:line="240" w:lineRule="auto"/>
              <w:rPr>
                <w:rFonts w:ascii="Times New Roman" w:eastAsia="Calibri" w:hAnsi="Times New Roman" w:cs="Times New Roman"/>
                <w:i/>
                <w:sz w:val="18"/>
              </w:rPr>
            </w:pPr>
            <w:r w:rsidRPr="000515D2">
              <w:rPr>
                <w:rFonts w:ascii="Times New Roman" w:eastAsia="Calibri" w:hAnsi="Times New Roman" w:cs="Times New Roman"/>
                <w:i/>
                <w:sz w:val="18"/>
              </w:rPr>
              <w:t>b)</w:t>
            </w:r>
          </w:p>
          <w:p w:rsidR="000515D2" w:rsidRPr="000515D2" w:rsidRDefault="000515D2" w:rsidP="000515D2">
            <w:pPr>
              <w:spacing w:after="0" w:line="240" w:lineRule="auto"/>
              <w:rPr>
                <w:rFonts w:ascii="Times New Roman" w:eastAsia="Calibri" w:hAnsi="Times New Roman" w:cs="Times New Roman"/>
                <w:i/>
                <w:sz w:val="20"/>
              </w:rPr>
            </w:pPr>
          </w:p>
          <w:p w:rsidR="000515D2" w:rsidRPr="000515D2" w:rsidRDefault="000515D2" w:rsidP="000515D2">
            <w:pPr>
              <w:spacing w:after="0" w:line="240" w:lineRule="auto"/>
              <w:rPr>
                <w:rFonts w:ascii="Times New Roman" w:eastAsia="Calibri" w:hAnsi="Times New Roman" w:cs="Times New Roman"/>
                <w:i/>
                <w:sz w:val="20"/>
              </w:rPr>
            </w:pPr>
          </w:p>
          <w:p w:rsidR="000515D2" w:rsidRPr="000515D2" w:rsidRDefault="000515D2" w:rsidP="000515D2">
            <w:pPr>
              <w:spacing w:after="0" w:line="240" w:lineRule="auto"/>
              <w:rPr>
                <w:rFonts w:ascii="Times New Roman" w:eastAsia="Calibri" w:hAnsi="Times New Roman" w:cs="Times New Roman"/>
                <w:i/>
                <w:sz w:val="20"/>
              </w:rPr>
            </w:pPr>
          </w:p>
        </w:tc>
        <w:tc>
          <w:tcPr>
            <w:tcW w:w="4857" w:type="pct"/>
            <w:gridSpan w:val="2"/>
            <w:tcBorders>
              <w:top w:val="nil"/>
              <w:bottom w:val="nil"/>
            </w:tcBorders>
            <w:shd w:val="clear" w:color="auto" w:fill="auto"/>
          </w:tcPr>
          <w:p w:rsidR="000515D2" w:rsidRPr="000515D2" w:rsidRDefault="000515D2" w:rsidP="000515D2">
            <w:pPr>
              <w:spacing w:after="120" w:line="240" w:lineRule="auto"/>
              <w:jc w:val="both"/>
              <w:rPr>
                <w:rFonts w:ascii="Times New Roman" w:eastAsia="Times New Roman" w:hAnsi="Times New Roman" w:cs="Times New Roman"/>
                <w:sz w:val="20"/>
                <w:szCs w:val="20"/>
                <w:lang w:eastAsia="sk-SK"/>
              </w:rPr>
            </w:pPr>
            <w:r w:rsidRPr="000515D2">
              <w:rPr>
                <w:rFonts w:ascii="Times New Roman" w:eastAsia="Times New Roman" w:hAnsi="Times New Roman" w:cs="Times New Roman"/>
                <w:sz w:val="20"/>
                <w:szCs w:val="20"/>
                <w:lang w:eastAsia="sk-SK"/>
              </w:rPr>
              <w:t>Návrh zákona, ktorým sa mení a dopĺňa zákon č. 583/2008 Z. z. o prevencii kriminality a inej protispoločenskej činnosti a o zmene a doplnení niektorých zákonov v znení neskorších predpisov garantuje práva a zároveň aj ich uplatňovanie bez akejkoľvek diskriminácie založenej na pohlaví, rase, etnicity, náboženstva alebo viery, zdravotného postihnutia, veku, sexuálnej orientácie, rodinnom stave, farbe pleti alebo iného statusu.  Informačné kancelárie poskytujú svoje služby v súlade s touto zásadou.</w:t>
            </w:r>
          </w:p>
          <w:p w:rsidR="000515D2" w:rsidRPr="000515D2" w:rsidRDefault="000515D2" w:rsidP="000515D2">
            <w:pPr>
              <w:spacing w:after="0" w:line="240" w:lineRule="auto"/>
              <w:jc w:val="both"/>
              <w:rPr>
                <w:rFonts w:ascii="Times New Roman" w:eastAsia="Calibri" w:hAnsi="Times New Roman" w:cs="Times New Roman"/>
                <w:color w:val="70AD47" w:themeColor="accent6"/>
                <w:sz w:val="20"/>
              </w:rPr>
            </w:pPr>
            <w:r w:rsidRPr="000515D2">
              <w:rPr>
                <w:rFonts w:ascii="Times New Roman" w:eastAsia="Times New Roman" w:hAnsi="Times New Roman" w:cs="Times New Roman"/>
                <w:sz w:val="20"/>
                <w:szCs w:val="20"/>
                <w:lang w:eastAsia="sk-SK"/>
              </w:rPr>
              <w:t>Návrh zákona, ktorým sa mení a dopĺňa zákon č. 583/2008 Z. z. o prevencii kriminality a inej protispoločenskej činnosti a o zmene a doplnení niektorých zákonov v znení neskorších predpisov dodržiava povinnosť rovnakého zaobchádzania so skupinami alebo jednotlivcami na základe pohlavia, veku, sexuálnej orientácie, rasy, etnicity, náboženstva, viery, či zdravotného postihnutia.</w:t>
            </w:r>
          </w:p>
        </w:tc>
      </w:tr>
      <w:tr w:rsidR="000515D2" w:rsidRPr="000515D2" w:rsidTr="00F1463E">
        <w:trPr>
          <w:trHeight w:val="345"/>
          <w:jc w:val="center"/>
        </w:trPr>
        <w:tc>
          <w:tcPr>
            <w:tcW w:w="143" w:type="pct"/>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c)</w:t>
            </w:r>
          </w:p>
        </w:tc>
        <w:tc>
          <w:tcPr>
            <w:tcW w:w="4857" w:type="pct"/>
            <w:gridSpan w:val="2"/>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20"/>
                <w:szCs w:val="20"/>
              </w:rPr>
            </w:pPr>
            <w:r w:rsidRPr="000515D2">
              <w:rPr>
                <w:rFonts w:ascii="Times New Roman" w:eastAsia="Calibri" w:hAnsi="Times New Roman" w:cs="Times New Roman"/>
                <w:i/>
                <w:sz w:val="20"/>
                <w:szCs w:val="20"/>
              </w:rPr>
              <w:t xml:space="preserve">4.3.2 Môže návrh viesť k zväčšovaniu nerovností medzi ženami a mužmi? </w:t>
            </w:r>
            <w:r w:rsidRPr="000515D2">
              <w:rPr>
                <w:rFonts w:ascii="Times New Roman" w:eastAsia="Calibri" w:hAnsi="Times New Roman" w:cs="Times New Roman"/>
                <w:i/>
                <w:sz w:val="20"/>
                <w:szCs w:val="24"/>
              </w:rPr>
              <w:t xml:space="preserve">Podporuje návrh rovnosť príležitostí? </w:t>
            </w:r>
            <w:r w:rsidRPr="000515D2">
              <w:rPr>
                <w:rFonts w:ascii="Times New Roman" w:eastAsia="Calibri" w:hAnsi="Times New Roman" w:cs="Times New Roman"/>
                <w:i/>
                <w:sz w:val="20"/>
                <w:szCs w:val="20"/>
              </w:rPr>
              <w:t>Má návrh odlišný vplyv na ženy a mužov? Popíšte vplyvy.</w:t>
            </w:r>
          </w:p>
        </w:tc>
      </w:tr>
      <w:tr w:rsidR="000515D2" w:rsidRPr="000515D2" w:rsidTr="00F1463E">
        <w:tblPrEx>
          <w:tblBorders>
            <w:top w:val="none" w:sz="0" w:space="0" w:color="auto"/>
            <w:bottom w:val="none" w:sz="0" w:space="0" w:color="auto"/>
          </w:tblBorders>
        </w:tblPrEx>
        <w:trPr>
          <w:trHeight w:val="372"/>
          <w:jc w:val="center"/>
        </w:trPr>
        <w:tc>
          <w:tcPr>
            <w:tcW w:w="143" w:type="pct"/>
            <w:shd w:val="clear" w:color="auto" w:fill="auto"/>
            <w:vAlign w:val="center"/>
          </w:tcPr>
          <w:p w:rsidR="000515D2" w:rsidRPr="000515D2" w:rsidRDefault="000515D2" w:rsidP="000515D2">
            <w:pPr>
              <w:spacing w:after="0" w:line="240" w:lineRule="auto"/>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d)</w:t>
            </w:r>
          </w:p>
        </w:tc>
        <w:tc>
          <w:tcPr>
            <w:tcW w:w="1875" w:type="pct"/>
            <w:shd w:val="clear" w:color="auto" w:fill="auto"/>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Popíšte riziká návrhu, ktoré môžu viesť k zväčšovaniu nerovností:</w:t>
            </w:r>
          </w:p>
        </w:tc>
        <w:tc>
          <w:tcPr>
            <w:tcW w:w="2982" w:type="pct"/>
            <w:shd w:val="clear" w:color="auto" w:fill="auto"/>
          </w:tcPr>
          <w:p w:rsidR="000515D2" w:rsidRPr="000515D2" w:rsidRDefault="000515D2" w:rsidP="000515D2">
            <w:pPr>
              <w:spacing w:after="0" w:line="240" w:lineRule="auto"/>
              <w:jc w:val="both"/>
              <w:rPr>
                <w:rFonts w:ascii="Times New Roman" w:eastAsia="Calibri" w:hAnsi="Times New Roman" w:cs="Times New Roman"/>
                <w:sz w:val="20"/>
              </w:rPr>
            </w:pPr>
            <w:r w:rsidRPr="000515D2">
              <w:rPr>
                <w:rFonts w:ascii="Times New Roman" w:eastAsia="Calibri" w:hAnsi="Times New Roman" w:cs="Times New Roman"/>
                <w:sz w:val="20"/>
              </w:rPr>
              <w:t>Bez vplyvu.</w:t>
            </w:r>
          </w:p>
        </w:tc>
      </w:tr>
      <w:tr w:rsidR="000515D2" w:rsidRPr="000515D2" w:rsidTr="00F1463E">
        <w:tblPrEx>
          <w:tblBorders>
            <w:top w:val="none" w:sz="0" w:space="0" w:color="auto"/>
            <w:bottom w:val="none" w:sz="0" w:space="0" w:color="auto"/>
          </w:tblBorders>
        </w:tblPrEx>
        <w:trPr>
          <w:trHeight w:val="371"/>
          <w:jc w:val="center"/>
        </w:trPr>
        <w:tc>
          <w:tcPr>
            <w:tcW w:w="143" w:type="pct"/>
            <w:shd w:val="clear" w:color="auto" w:fill="auto"/>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e)</w:t>
            </w:r>
          </w:p>
        </w:tc>
        <w:tc>
          <w:tcPr>
            <w:tcW w:w="1875" w:type="pct"/>
            <w:shd w:val="clear" w:color="auto" w:fill="auto"/>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2" w:type="pct"/>
            <w:shd w:val="clear" w:color="auto" w:fill="auto"/>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r w:rsidR="000515D2" w:rsidRPr="000515D2" w:rsidTr="00F1463E">
        <w:tblPrEx>
          <w:tblBorders>
            <w:top w:val="none" w:sz="0" w:space="0" w:color="auto"/>
            <w:bottom w:val="none" w:sz="0" w:space="0" w:color="auto"/>
          </w:tblBorders>
        </w:tblPrEx>
        <w:trPr>
          <w:trHeight w:val="371"/>
          <w:jc w:val="center"/>
        </w:trPr>
        <w:tc>
          <w:tcPr>
            <w:tcW w:w="143" w:type="pct"/>
            <w:tcBorders>
              <w:bottom w:val="single" w:sz="4" w:space="0" w:color="auto"/>
            </w:tcBorders>
            <w:shd w:val="clear" w:color="auto" w:fill="auto"/>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f)</w:t>
            </w:r>
          </w:p>
        </w:tc>
        <w:tc>
          <w:tcPr>
            <w:tcW w:w="1875" w:type="pct"/>
            <w:tcBorders>
              <w:bottom w:val="single" w:sz="4" w:space="0" w:color="auto"/>
            </w:tcBorders>
            <w:shd w:val="clear" w:color="auto" w:fill="auto"/>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2" w:type="pct"/>
            <w:tcBorders>
              <w:bottom w:val="single" w:sz="4" w:space="0" w:color="auto"/>
            </w:tcBorders>
            <w:shd w:val="clear" w:color="auto" w:fill="auto"/>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r w:rsidR="000515D2" w:rsidRPr="000515D2" w:rsidTr="00F1463E">
        <w:tblPrEx>
          <w:tblBorders>
            <w:top w:val="none" w:sz="0" w:space="0" w:color="auto"/>
            <w:bottom w:val="none" w:sz="0" w:space="0" w:color="auto"/>
          </w:tblBorders>
        </w:tblPrEx>
        <w:trPr>
          <w:trHeight w:val="1235"/>
          <w:jc w:val="center"/>
        </w:trPr>
        <w:tc>
          <w:tcPr>
            <w:tcW w:w="143" w:type="pct"/>
            <w:tcBorders>
              <w:top w:val="single" w:sz="4" w:space="0" w:color="auto"/>
              <w:bottom w:val="single" w:sz="4" w:space="0" w:color="auto"/>
            </w:tcBorders>
            <w:shd w:val="clear" w:color="auto" w:fill="auto"/>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g)</w:t>
            </w:r>
          </w:p>
        </w:tc>
        <w:tc>
          <w:tcPr>
            <w:tcW w:w="1875" w:type="pct"/>
            <w:tcBorders>
              <w:top w:val="single" w:sz="4" w:space="0" w:color="auto"/>
              <w:bottom w:val="single" w:sz="4" w:space="0" w:color="auto"/>
            </w:tcBorders>
            <w:shd w:val="clear" w:color="auto" w:fill="auto"/>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rsidR="000515D2" w:rsidRPr="000515D2" w:rsidRDefault="000515D2" w:rsidP="000515D2">
            <w:pPr>
              <w:spacing w:after="0" w:line="240" w:lineRule="auto"/>
              <w:jc w:val="both"/>
              <w:rPr>
                <w:rFonts w:ascii="Times New Roman" w:eastAsia="Times New Roman" w:hAnsi="Times New Roman" w:cs="Times New Roman"/>
                <w:sz w:val="27"/>
                <w:szCs w:val="27"/>
              </w:rPr>
            </w:pPr>
            <w:r w:rsidRPr="000515D2">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0515D2">
              <w:rPr>
                <w:rFonts w:ascii="Times New Roman" w:eastAsia="Times New Roman" w:hAnsi="Times New Roman" w:cs="Times New Roman"/>
                <w:i/>
                <w:iCs/>
                <w:sz w:val="18"/>
                <w:szCs w:val="18"/>
              </w:rPr>
              <w:t>Medzi oblasti podpory rovnosti žien a mužov okrem iného patria:</w:t>
            </w:r>
          </w:p>
          <w:p w:rsidR="000515D2" w:rsidRPr="000515D2" w:rsidRDefault="000515D2" w:rsidP="000515D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podpora slobodného výberu povolania a ekonomickej činnosti</w:t>
            </w:r>
          </w:p>
          <w:p w:rsidR="000515D2" w:rsidRPr="000515D2" w:rsidRDefault="000515D2" w:rsidP="000515D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 xml:space="preserve">podpora vyrovnávania ekonomickej nezávislosti, </w:t>
            </w:r>
          </w:p>
          <w:p w:rsidR="000515D2" w:rsidRPr="000515D2" w:rsidRDefault="000515D2" w:rsidP="000515D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 xml:space="preserve">zosúladenie pracovného, súkromného a rodinného života, </w:t>
            </w:r>
          </w:p>
          <w:p w:rsidR="000515D2" w:rsidRPr="000515D2" w:rsidRDefault="000515D2" w:rsidP="000515D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 xml:space="preserve">podpora rovnosti príležitostí pri participácii na rozhodovaní, </w:t>
            </w:r>
          </w:p>
          <w:p w:rsidR="000515D2" w:rsidRPr="000515D2" w:rsidRDefault="000515D2" w:rsidP="000515D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 xml:space="preserve">boj proti domácemu násiliu,  násiliu na ženách  a obchodovaniu s ľuďmi, </w:t>
            </w:r>
          </w:p>
          <w:p w:rsidR="000515D2" w:rsidRPr="000515D2" w:rsidRDefault="000515D2" w:rsidP="000515D2">
            <w:pPr>
              <w:numPr>
                <w:ilvl w:val="0"/>
                <w:numId w:val="5"/>
              </w:numPr>
              <w:spacing w:after="0" w:line="240" w:lineRule="auto"/>
              <w:ind w:left="170" w:hanging="170"/>
              <w:jc w:val="both"/>
              <w:rPr>
                <w:rFonts w:ascii="Times New Roman" w:eastAsia="Calibri" w:hAnsi="Times New Roman" w:cs="Times New Roman"/>
                <w:i/>
                <w:sz w:val="18"/>
                <w:szCs w:val="18"/>
                <w:lang w:eastAsia="sk-SK"/>
              </w:rPr>
            </w:pPr>
            <w:r w:rsidRPr="000515D2">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rsidR="000515D2" w:rsidRPr="000515D2" w:rsidRDefault="000515D2" w:rsidP="000515D2">
            <w:pPr>
              <w:numPr>
                <w:ilvl w:val="0"/>
                <w:numId w:val="5"/>
              </w:numPr>
              <w:spacing w:after="0" w:line="240" w:lineRule="auto"/>
              <w:ind w:left="170" w:hanging="170"/>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2" w:type="pct"/>
            <w:tcBorders>
              <w:top w:val="single" w:sz="4" w:space="0" w:color="auto"/>
              <w:bottom w:val="single" w:sz="4" w:space="0" w:color="auto"/>
            </w:tcBorders>
            <w:shd w:val="clear" w:color="auto" w:fill="auto"/>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bl>
    <w:p w:rsidR="000515D2" w:rsidRPr="000515D2" w:rsidRDefault="000515D2" w:rsidP="000515D2">
      <w:pPr>
        <w:spacing w:after="0" w:line="240" w:lineRule="auto"/>
        <w:rPr>
          <w:rFonts w:ascii="Times New Roman" w:eastAsia="Calibri" w:hAnsi="Times New Roman" w:cs="Times New Roman"/>
          <w:b/>
          <w:sz w:val="24"/>
          <w:lang w:eastAsia="sk-SK"/>
        </w:rPr>
        <w:sectPr w:rsidR="000515D2" w:rsidRPr="000515D2" w:rsidSect="003209EE">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9"/>
        <w:gridCol w:w="5674"/>
      </w:tblGrid>
      <w:tr w:rsidR="000515D2" w:rsidRPr="000515D2" w:rsidTr="00F1463E">
        <w:trPr>
          <w:jc w:val="center"/>
        </w:trPr>
        <w:tc>
          <w:tcPr>
            <w:tcW w:w="5000" w:type="pct"/>
            <w:gridSpan w:val="3"/>
            <w:shd w:val="clear" w:color="auto" w:fill="D9D9D9"/>
          </w:tcPr>
          <w:p w:rsidR="000515D2" w:rsidRPr="000515D2" w:rsidRDefault="000515D2" w:rsidP="000515D2">
            <w:pPr>
              <w:spacing w:after="0" w:line="240" w:lineRule="auto"/>
              <w:rPr>
                <w:rFonts w:ascii="Times New Roman" w:eastAsia="Calibri" w:hAnsi="Times New Roman" w:cs="Times New Roman"/>
                <w:b/>
                <w:sz w:val="24"/>
                <w:lang w:eastAsia="sk-SK"/>
              </w:rPr>
            </w:pPr>
            <w:r w:rsidRPr="000515D2">
              <w:rPr>
                <w:rFonts w:ascii="Times New Roman" w:eastAsia="Calibri" w:hAnsi="Times New Roman" w:cs="Times New Roman"/>
                <w:b/>
                <w:sz w:val="24"/>
                <w:lang w:eastAsia="sk-SK"/>
              </w:rPr>
              <w:lastRenderedPageBreak/>
              <w:t>4.4 Identifikujte, popíšte a kvantifikujte vplyvy na zamestnanosť a na trh práce.</w:t>
            </w:r>
          </w:p>
          <w:p w:rsidR="000515D2" w:rsidRPr="000515D2" w:rsidRDefault="000515D2" w:rsidP="000515D2">
            <w:pPr>
              <w:spacing w:after="0" w:line="240" w:lineRule="auto"/>
              <w:jc w:val="both"/>
              <w:rPr>
                <w:rFonts w:ascii="Times New Roman" w:eastAsia="Calibri" w:hAnsi="Times New Roman" w:cs="Times New Roman"/>
                <w:i/>
                <w:lang w:eastAsia="sk-SK"/>
              </w:rPr>
            </w:pPr>
            <w:r w:rsidRPr="000515D2">
              <w:rPr>
                <w:rFonts w:ascii="Times New Roman" w:eastAsia="Calibri" w:hAnsi="Times New Roman" w:cs="Times New Roman"/>
                <w:i/>
                <w:lang w:eastAsia="sk-SK"/>
              </w:rPr>
              <w:t xml:space="preserve">V prípade kladnej odpovede pripojte </w:t>
            </w:r>
            <w:r w:rsidRPr="000515D2">
              <w:rPr>
                <w:rFonts w:ascii="Times New Roman" w:eastAsia="Calibri" w:hAnsi="Times New Roman" w:cs="Times New Roman"/>
                <w:b/>
                <w:i/>
                <w:lang w:eastAsia="sk-SK"/>
              </w:rPr>
              <w:t>odôvodnenie</w:t>
            </w:r>
            <w:r w:rsidRPr="000515D2">
              <w:rPr>
                <w:rFonts w:ascii="Times New Roman" w:eastAsia="Calibri" w:hAnsi="Times New Roman" w:cs="Times New Roman"/>
                <w:i/>
                <w:lang w:eastAsia="sk-SK"/>
              </w:rPr>
              <w:t xml:space="preserve"> v súlade s Metodickým postupom pre analýzu sociálnych vplyvov.</w:t>
            </w:r>
          </w:p>
        </w:tc>
      </w:tr>
      <w:tr w:rsidR="000515D2" w:rsidRPr="000515D2" w:rsidTr="00F1463E">
        <w:trPr>
          <w:trHeight w:val="287"/>
          <w:jc w:val="center"/>
        </w:trPr>
        <w:tc>
          <w:tcPr>
            <w:tcW w:w="129" w:type="pct"/>
            <w:tcBorders>
              <w:top w:val="nil"/>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20"/>
                <w:szCs w:val="20"/>
              </w:rPr>
            </w:pPr>
            <w:r w:rsidRPr="000515D2">
              <w:rPr>
                <w:rFonts w:ascii="Times New Roman" w:eastAsia="Calibri" w:hAnsi="Times New Roman" w:cs="Times New Roman"/>
                <w:i/>
                <w:sz w:val="20"/>
                <w:szCs w:val="20"/>
              </w:rPr>
              <w:t>Uľahčuje návrh vznik nových pracovných miest? Ak áno, ako? Ak je to možné, doplňte kvantifikáciu.</w:t>
            </w:r>
          </w:p>
        </w:tc>
      </w:tr>
      <w:tr w:rsidR="000515D2" w:rsidRPr="000515D2" w:rsidTr="00F1463E">
        <w:trPr>
          <w:trHeight w:val="567"/>
          <w:jc w:val="center"/>
        </w:trPr>
        <w:tc>
          <w:tcPr>
            <w:tcW w:w="129" w:type="pct"/>
            <w:tcBorders>
              <w:top w:val="nil"/>
              <w:bottom w:val="single" w:sz="4" w:space="0" w:color="auto"/>
            </w:tcBorders>
            <w:shd w:val="clear" w:color="auto" w:fill="FFFFFF"/>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3" w:type="pct"/>
            <w:tcBorders>
              <w:top w:val="nil"/>
              <w:bottom w:val="single" w:sz="4" w:space="0" w:color="auto"/>
            </w:tcBorders>
            <w:shd w:val="clear" w:color="auto" w:fill="FFFFFF"/>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r w:rsidR="000515D2" w:rsidRPr="000515D2" w:rsidTr="00F1463E">
        <w:trPr>
          <w:trHeight w:val="270"/>
          <w:jc w:val="center"/>
        </w:trPr>
        <w:tc>
          <w:tcPr>
            <w:tcW w:w="129" w:type="pct"/>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20"/>
                <w:szCs w:val="20"/>
              </w:rPr>
            </w:pPr>
            <w:r w:rsidRPr="000515D2">
              <w:rPr>
                <w:rFonts w:ascii="Times New Roman" w:eastAsia="Calibri" w:hAnsi="Times New Roman" w:cs="Times New Roman"/>
                <w:i/>
                <w:sz w:val="20"/>
                <w:szCs w:val="20"/>
              </w:rPr>
              <w:t>Vedie návrh k zániku pracovných miest?</w:t>
            </w:r>
            <w:r w:rsidRPr="000515D2">
              <w:rPr>
                <w:rFonts w:ascii="Times New Roman" w:eastAsia="Calibri" w:hAnsi="Times New Roman" w:cs="Times New Roman"/>
                <w:sz w:val="20"/>
                <w:szCs w:val="20"/>
              </w:rPr>
              <w:t xml:space="preserve"> </w:t>
            </w:r>
            <w:r w:rsidRPr="000515D2">
              <w:rPr>
                <w:rFonts w:ascii="Times New Roman" w:eastAsia="Calibri" w:hAnsi="Times New Roman" w:cs="Times New Roman"/>
                <w:i/>
                <w:sz w:val="20"/>
                <w:szCs w:val="20"/>
              </w:rPr>
              <w:t>Ak áno, ako a akých? Ak je to možné, doplňte kvantifikáciu</w:t>
            </w:r>
          </w:p>
        </w:tc>
      </w:tr>
      <w:tr w:rsidR="000515D2" w:rsidRPr="000515D2" w:rsidTr="00F1463E">
        <w:trPr>
          <w:trHeight w:val="454"/>
          <w:jc w:val="center"/>
        </w:trPr>
        <w:tc>
          <w:tcPr>
            <w:tcW w:w="129" w:type="pct"/>
            <w:tcBorders>
              <w:bottom w:val="single" w:sz="4" w:space="0" w:color="auto"/>
            </w:tcBorders>
            <w:shd w:val="clear" w:color="auto" w:fill="FFFFFF"/>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3" w:type="pct"/>
            <w:tcBorders>
              <w:bottom w:val="single" w:sz="4" w:space="0" w:color="auto"/>
            </w:tcBorders>
            <w:shd w:val="clear" w:color="auto" w:fill="FFFFFF"/>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r w:rsidR="000515D2" w:rsidRPr="000515D2" w:rsidTr="00F1463E">
        <w:trPr>
          <w:trHeight w:val="248"/>
          <w:jc w:val="center"/>
        </w:trPr>
        <w:tc>
          <w:tcPr>
            <w:tcW w:w="129" w:type="pct"/>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sz w:val="20"/>
                <w:szCs w:val="20"/>
              </w:rPr>
            </w:pPr>
            <w:r w:rsidRPr="000515D2">
              <w:rPr>
                <w:rFonts w:ascii="Times New Roman" w:eastAsia="Calibri" w:hAnsi="Times New Roman" w:cs="Times New Roman"/>
                <w:i/>
                <w:sz w:val="20"/>
                <w:szCs w:val="20"/>
              </w:rPr>
              <w:t>Ovplyvňuje návrh dopyt po práci? Ak áno, ako?</w:t>
            </w:r>
          </w:p>
        </w:tc>
      </w:tr>
      <w:tr w:rsidR="000515D2" w:rsidRPr="000515D2" w:rsidTr="00F1463E">
        <w:trPr>
          <w:trHeight w:val="209"/>
          <w:jc w:val="center"/>
        </w:trPr>
        <w:tc>
          <w:tcPr>
            <w:tcW w:w="129" w:type="pct"/>
            <w:tcBorders>
              <w:bottom w:val="single" w:sz="4" w:space="0" w:color="auto"/>
            </w:tcBorders>
            <w:shd w:val="clear" w:color="auto" w:fill="FFFFFF"/>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3" w:type="pct"/>
            <w:tcBorders>
              <w:bottom w:val="single" w:sz="4" w:space="0" w:color="auto"/>
            </w:tcBorders>
            <w:shd w:val="clear" w:color="auto" w:fill="FFFFFF"/>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r w:rsidR="000515D2" w:rsidRPr="000515D2" w:rsidTr="00F1463E">
        <w:trPr>
          <w:trHeight w:val="208"/>
          <w:jc w:val="center"/>
        </w:trPr>
        <w:tc>
          <w:tcPr>
            <w:tcW w:w="129" w:type="pct"/>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sz w:val="20"/>
                <w:szCs w:val="20"/>
              </w:rPr>
            </w:pPr>
            <w:r w:rsidRPr="000515D2">
              <w:rPr>
                <w:rFonts w:ascii="Times New Roman" w:eastAsia="Calibri" w:hAnsi="Times New Roman" w:cs="Times New Roman"/>
                <w:i/>
                <w:sz w:val="20"/>
                <w:szCs w:val="20"/>
              </w:rPr>
              <w:t>Má návrh dosah na fungovanie trhu práce?</w:t>
            </w:r>
            <w:r w:rsidRPr="000515D2">
              <w:rPr>
                <w:rFonts w:ascii="Times New Roman" w:eastAsia="Calibri" w:hAnsi="Times New Roman" w:cs="Times New Roman"/>
                <w:sz w:val="20"/>
                <w:szCs w:val="20"/>
              </w:rPr>
              <w:t xml:space="preserve"> </w:t>
            </w:r>
            <w:r w:rsidRPr="000515D2">
              <w:rPr>
                <w:rFonts w:ascii="Times New Roman" w:eastAsia="Calibri" w:hAnsi="Times New Roman" w:cs="Times New Roman"/>
                <w:i/>
                <w:sz w:val="20"/>
                <w:szCs w:val="20"/>
              </w:rPr>
              <w:t>Ak áno, aký?</w:t>
            </w:r>
          </w:p>
        </w:tc>
      </w:tr>
      <w:tr w:rsidR="000515D2" w:rsidRPr="000515D2" w:rsidTr="00F1463E">
        <w:trPr>
          <w:trHeight w:val="794"/>
          <w:jc w:val="center"/>
        </w:trPr>
        <w:tc>
          <w:tcPr>
            <w:tcW w:w="129" w:type="pct"/>
            <w:tcBorders>
              <w:bottom w:val="single" w:sz="4" w:space="0" w:color="auto"/>
            </w:tcBorders>
            <w:shd w:val="clear" w:color="auto" w:fill="FFFFFF"/>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0515D2">
              <w:rPr>
                <w:rFonts w:ascii="Times New Roman" w:eastAsia="Calibri" w:hAnsi="Times New Roman" w:cs="Times New Roman"/>
                <w:sz w:val="18"/>
                <w:szCs w:val="18"/>
              </w:rPr>
              <w:t xml:space="preserve"> </w:t>
            </w:r>
            <w:r w:rsidRPr="000515D2">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3" w:type="pct"/>
            <w:tcBorders>
              <w:bottom w:val="single" w:sz="4" w:space="0" w:color="auto"/>
            </w:tcBorders>
            <w:shd w:val="clear" w:color="auto" w:fill="FFFFFF"/>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r w:rsidR="000515D2" w:rsidRPr="000515D2" w:rsidTr="00F1463E">
        <w:trPr>
          <w:trHeight w:val="324"/>
          <w:jc w:val="center"/>
        </w:trPr>
        <w:tc>
          <w:tcPr>
            <w:tcW w:w="129" w:type="pct"/>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sz w:val="20"/>
                <w:szCs w:val="20"/>
              </w:rPr>
            </w:pPr>
            <w:r w:rsidRPr="000515D2">
              <w:rPr>
                <w:rFonts w:ascii="Times New Roman" w:eastAsia="Calibri" w:hAnsi="Times New Roman" w:cs="Times New Roman"/>
                <w:i/>
                <w:sz w:val="20"/>
                <w:szCs w:val="20"/>
              </w:rPr>
              <w:t>Má návrh špecifické negatívne dôsledky pre isté skupiny profesií, skupín zamestnancov či živnostníkov?</w:t>
            </w:r>
            <w:r w:rsidRPr="000515D2">
              <w:rPr>
                <w:rFonts w:ascii="Times New Roman" w:eastAsia="Calibri" w:hAnsi="Times New Roman" w:cs="Times New Roman"/>
                <w:sz w:val="20"/>
                <w:szCs w:val="20"/>
              </w:rPr>
              <w:t xml:space="preserve"> </w:t>
            </w:r>
            <w:r w:rsidRPr="000515D2">
              <w:rPr>
                <w:rFonts w:ascii="Times New Roman" w:eastAsia="Calibri" w:hAnsi="Times New Roman" w:cs="Times New Roman"/>
                <w:i/>
                <w:sz w:val="20"/>
                <w:szCs w:val="20"/>
              </w:rPr>
              <w:t>Ak áno, aké a pre ktoré skupiny?</w:t>
            </w:r>
          </w:p>
        </w:tc>
      </w:tr>
      <w:tr w:rsidR="000515D2" w:rsidRPr="000515D2" w:rsidTr="00F1463E">
        <w:trPr>
          <w:trHeight w:val="216"/>
          <w:jc w:val="center"/>
        </w:trPr>
        <w:tc>
          <w:tcPr>
            <w:tcW w:w="129" w:type="pct"/>
            <w:tcBorders>
              <w:bottom w:val="single" w:sz="4" w:space="0" w:color="auto"/>
            </w:tcBorders>
            <w:shd w:val="clear" w:color="auto" w:fill="FFFFFF"/>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Návrh môže ohrozovať napr. pracovníkov istých profesií favorizovaním špecifických aktivít či technológií.</w:t>
            </w:r>
          </w:p>
        </w:tc>
        <w:tc>
          <w:tcPr>
            <w:tcW w:w="3033" w:type="pct"/>
            <w:tcBorders>
              <w:bottom w:val="single" w:sz="4" w:space="0" w:color="auto"/>
            </w:tcBorders>
            <w:shd w:val="clear" w:color="auto" w:fill="FFFFFF"/>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r w:rsidR="000515D2" w:rsidRPr="000515D2" w:rsidTr="00F1463E">
        <w:trPr>
          <w:trHeight w:val="219"/>
          <w:jc w:val="center"/>
        </w:trPr>
        <w:tc>
          <w:tcPr>
            <w:tcW w:w="129" w:type="pct"/>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rsidR="000515D2" w:rsidRPr="000515D2" w:rsidRDefault="000515D2" w:rsidP="000515D2">
            <w:pPr>
              <w:spacing w:after="0" w:line="240" w:lineRule="auto"/>
              <w:rPr>
                <w:rFonts w:ascii="Times New Roman" w:eastAsia="Calibri" w:hAnsi="Times New Roman" w:cs="Times New Roman"/>
                <w:sz w:val="20"/>
                <w:szCs w:val="20"/>
              </w:rPr>
            </w:pPr>
            <w:r w:rsidRPr="000515D2">
              <w:rPr>
                <w:rFonts w:ascii="Times New Roman" w:eastAsia="Calibri" w:hAnsi="Times New Roman" w:cs="Times New Roman"/>
                <w:i/>
                <w:sz w:val="20"/>
                <w:szCs w:val="20"/>
              </w:rPr>
              <w:t>Ovplyvňuje návrh špecifické vekové skupiny zamestnancov? Ak áno, aké? Akým spôsobom?</w:t>
            </w:r>
          </w:p>
        </w:tc>
      </w:tr>
      <w:tr w:rsidR="000515D2" w:rsidRPr="000515D2" w:rsidTr="00F1463E">
        <w:trPr>
          <w:trHeight w:val="497"/>
          <w:jc w:val="center"/>
        </w:trPr>
        <w:tc>
          <w:tcPr>
            <w:tcW w:w="129" w:type="pct"/>
            <w:tcBorders>
              <w:bottom w:val="single" w:sz="4" w:space="0" w:color="auto"/>
            </w:tcBorders>
            <w:shd w:val="clear" w:color="auto" w:fill="FFFFFF"/>
            <w:vAlign w:val="center"/>
          </w:tcPr>
          <w:p w:rsidR="000515D2" w:rsidRPr="000515D2" w:rsidRDefault="000515D2" w:rsidP="000515D2">
            <w:pPr>
              <w:spacing w:after="0" w:line="240" w:lineRule="auto"/>
              <w:rPr>
                <w:rFonts w:ascii="Times New Roman" w:eastAsia="Calibri" w:hAnsi="Times New Roman" w:cs="Times New Roman"/>
                <w:i/>
                <w:sz w:val="18"/>
                <w:szCs w:val="18"/>
              </w:rPr>
            </w:pPr>
            <w:r w:rsidRPr="000515D2">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rsidR="000515D2" w:rsidRPr="000515D2" w:rsidRDefault="000515D2" w:rsidP="000515D2">
            <w:pPr>
              <w:spacing w:after="0" w:line="240" w:lineRule="auto"/>
              <w:jc w:val="both"/>
              <w:rPr>
                <w:rFonts w:ascii="Times New Roman" w:eastAsia="Calibri" w:hAnsi="Times New Roman" w:cs="Times New Roman"/>
                <w:i/>
                <w:sz w:val="18"/>
                <w:szCs w:val="18"/>
              </w:rPr>
            </w:pPr>
            <w:r w:rsidRPr="000515D2">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3" w:type="pct"/>
            <w:tcBorders>
              <w:bottom w:val="single" w:sz="4" w:space="0" w:color="auto"/>
            </w:tcBorders>
            <w:shd w:val="clear" w:color="auto" w:fill="FFFFFF"/>
          </w:tcPr>
          <w:p w:rsidR="000515D2" w:rsidRPr="000515D2" w:rsidRDefault="000515D2" w:rsidP="000515D2">
            <w:pPr>
              <w:spacing w:after="160" w:line="259" w:lineRule="auto"/>
              <w:rPr>
                <w:rFonts w:ascii="Times New Roman" w:eastAsia="Calibri" w:hAnsi="Times New Roman" w:cs="Times New Roman"/>
                <w:sz w:val="20"/>
              </w:rPr>
            </w:pPr>
            <w:r w:rsidRPr="000515D2">
              <w:rPr>
                <w:rFonts w:ascii="Times New Roman" w:eastAsia="Calibri" w:hAnsi="Times New Roman" w:cs="Times New Roman"/>
                <w:sz w:val="20"/>
              </w:rPr>
              <w:t>Bez vplyvu</w:t>
            </w:r>
          </w:p>
          <w:p w:rsidR="000515D2" w:rsidRPr="000515D2" w:rsidRDefault="000515D2" w:rsidP="000515D2">
            <w:pPr>
              <w:spacing w:after="0" w:line="240" w:lineRule="auto"/>
              <w:rPr>
                <w:rFonts w:ascii="Times New Roman" w:eastAsia="Calibri" w:hAnsi="Times New Roman" w:cs="Times New Roman"/>
                <w:i/>
                <w:sz w:val="20"/>
              </w:rPr>
            </w:pPr>
          </w:p>
        </w:tc>
      </w:tr>
    </w:tbl>
    <w:p w:rsidR="000515D2" w:rsidRPr="000515D2" w:rsidRDefault="000515D2" w:rsidP="000515D2">
      <w:pPr>
        <w:spacing w:after="160" w:line="259" w:lineRule="auto"/>
        <w:rPr>
          <w:rFonts w:eastAsiaTheme="minorHAnsi"/>
        </w:rPr>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0515D2" w:rsidRPr="000515D2" w:rsidRDefault="000515D2" w:rsidP="000515D2">
      <w:pPr>
        <w:jc w:val="center"/>
        <w:rPr>
          <w:rFonts w:ascii="Times New Roman" w:eastAsia="Times New Roman" w:hAnsi="Times New Roman" w:cs="Times New Roman"/>
          <w:b/>
          <w:bCs/>
          <w:sz w:val="24"/>
          <w:szCs w:val="24"/>
          <w:lang w:eastAsia="sk-SK"/>
        </w:rPr>
      </w:pPr>
      <w:r w:rsidRPr="000515D2">
        <w:rPr>
          <w:rFonts w:ascii="Times New Roman" w:eastAsia="Times New Roman" w:hAnsi="Times New Roman" w:cs="Times New Roman"/>
          <w:b/>
          <w:bCs/>
          <w:sz w:val="24"/>
          <w:szCs w:val="24"/>
          <w:lang w:eastAsia="sk-SK"/>
        </w:rPr>
        <w:lastRenderedPageBreak/>
        <w:t>DOLOŽKA ZLUČITEĽNOSTI</w:t>
      </w:r>
    </w:p>
    <w:p w:rsidR="000515D2" w:rsidRPr="000515D2" w:rsidRDefault="000515D2" w:rsidP="000515D2">
      <w:pPr>
        <w:spacing w:after="360" w:line="240" w:lineRule="auto"/>
        <w:jc w:val="center"/>
        <w:rPr>
          <w:rFonts w:ascii="Times New Roman" w:eastAsia="Times New Roman" w:hAnsi="Times New Roman" w:cs="Times New Roman"/>
          <w:b/>
          <w:bCs/>
          <w:sz w:val="24"/>
          <w:szCs w:val="24"/>
          <w:lang w:eastAsia="sk-SK"/>
        </w:rPr>
      </w:pPr>
      <w:r w:rsidRPr="000515D2">
        <w:rPr>
          <w:rFonts w:ascii="Times New Roman" w:eastAsia="Times New Roman" w:hAnsi="Times New Roman" w:cs="Times New Roman"/>
          <w:b/>
          <w:bCs/>
          <w:sz w:val="24"/>
          <w:szCs w:val="24"/>
          <w:lang w:eastAsia="sk-SK"/>
        </w:rPr>
        <w:t>návrhu zákona s právom Európskej únie</w:t>
      </w:r>
    </w:p>
    <w:p w:rsidR="000515D2" w:rsidRPr="000515D2" w:rsidRDefault="000515D2" w:rsidP="000515D2">
      <w:pPr>
        <w:spacing w:after="240"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1.</w:t>
      </w:r>
      <w:r w:rsidRPr="000515D2">
        <w:rPr>
          <w:rFonts w:ascii="Times New Roman" w:eastAsia="Times New Roman" w:hAnsi="Times New Roman" w:cs="Times New Roman"/>
          <w:b/>
          <w:bCs/>
          <w:sz w:val="24"/>
          <w:szCs w:val="24"/>
          <w:lang w:eastAsia="sk-SK"/>
        </w:rPr>
        <w:t xml:space="preserve"> Navrhovateľ zákona</w:t>
      </w:r>
      <w:r w:rsidRPr="000515D2">
        <w:rPr>
          <w:rFonts w:ascii="Times New Roman" w:eastAsia="Times New Roman" w:hAnsi="Times New Roman" w:cs="Times New Roman"/>
          <w:sz w:val="24"/>
          <w:szCs w:val="24"/>
          <w:lang w:eastAsia="sk-SK"/>
        </w:rPr>
        <w:t>: Ministerstvo vnútra Slovenskej republiky</w:t>
      </w:r>
    </w:p>
    <w:p w:rsidR="000515D2" w:rsidRPr="000515D2" w:rsidRDefault="000515D2" w:rsidP="000515D2">
      <w:pPr>
        <w:spacing w:after="240"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2.</w:t>
      </w:r>
      <w:r w:rsidRPr="000515D2">
        <w:rPr>
          <w:rFonts w:ascii="Times New Roman" w:eastAsia="Times New Roman" w:hAnsi="Times New Roman" w:cs="Times New Roman"/>
          <w:b/>
          <w:bCs/>
          <w:sz w:val="24"/>
          <w:szCs w:val="24"/>
          <w:lang w:eastAsia="sk-SK"/>
        </w:rPr>
        <w:t xml:space="preserve"> Názov návrhu zákona</w:t>
      </w:r>
      <w:r w:rsidRPr="000515D2">
        <w:rPr>
          <w:rFonts w:ascii="Times New Roman" w:eastAsia="Times New Roman" w:hAnsi="Times New Roman" w:cs="Times New Roman"/>
          <w:sz w:val="24"/>
          <w:szCs w:val="24"/>
          <w:lang w:eastAsia="sk-SK"/>
        </w:rPr>
        <w:t>: Návrh z</w:t>
      </w:r>
      <w:r w:rsidRPr="000515D2">
        <w:rPr>
          <w:rFonts w:ascii="Times New Roman" w:eastAsia="Times New Roman" w:hAnsi="Times New Roman" w:cs="Times New Roman"/>
          <w:bCs/>
          <w:sz w:val="24"/>
          <w:szCs w:val="24"/>
          <w:lang w:eastAsia="sk-SK"/>
        </w:rPr>
        <w:t>ákona, ktorým sa mení a dopĺňa zákon č. 583/2008 Z. z. o prevencii kriminality a inej protispoločenskej činnosti a o zmene a doplnení niektorých zákonov v znení neskorších predpisov</w:t>
      </w:r>
    </w:p>
    <w:p w:rsidR="000515D2" w:rsidRPr="000515D2" w:rsidRDefault="000515D2" w:rsidP="000515D2">
      <w:pPr>
        <w:spacing w:after="240" w:line="240" w:lineRule="auto"/>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3. </w:t>
      </w:r>
      <w:r w:rsidRPr="000515D2">
        <w:rPr>
          <w:rFonts w:ascii="Times New Roman" w:eastAsia="Times New Roman" w:hAnsi="Times New Roman" w:cs="Times New Roman"/>
          <w:b/>
          <w:bCs/>
          <w:sz w:val="24"/>
          <w:szCs w:val="24"/>
          <w:lang w:eastAsia="sk-SK"/>
        </w:rPr>
        <w:t>Predmet návrhu zákona</w:t>
      </w:r>
      <w:r w:rsidRPr="000515D2">
        <w:rPr>
          <w:rFonts w:ascii="Times New Roman" w:eastAsia="Times New Roman" w:hAnsi="Times New Roman" w:cs="Times New Roman"/>
          <w:bCs/>
          <w:sz w:val="24"/>
          <w:szCs w:val="24"/>
          <w:lang w:eastAsia="sk-SK"/>
        </w:rPr>
        <w:t xml:space="preserve"> </w:t>
      </w:r>
      <w:r w:rsidRPr="000515D2">
        <w:rPr>
          <w:rFonts w:ascii="Times New Roman" w:eastAsia="Times New Roman" w:hAnsi="Times New Roman" w:cs="Times New Roman"/>
          <w:sz w:val="24"/>
          <w:szCs w:val="24"/>
          <w:lang w:eastAsia="sk-SK"/>
        </w:rPr>
        <w:t>je upravený v práve Európskej únie:</w:t>
      </w:r>
    </w:p>
    <w:p w:rsidR="000515D2" w:rsidRPr="000515D2" w:rsidRDefault="000515D2" w:rsidP="000515D2">
      <w:pPr>
        <w:numPr>
          <w:ilvl w:val="0"/>
          <w:numId w:val="8"/>
        </w:numPr>
        <w:tabs>
          <w:tab w:val="left" w:pos="709"/>
          <w:tab w:val="left" w:pos="1068"/>
        </w:tabs>
        <w:spacing w:after="240" w:line="240" w:lineRule="auto"/>
        <w:ind w:left="714" w:hanging="357"/>
        <w:jc w:val="both"/>
        <w:rPr>
          <w:rFonts w:ascii="Times New Roman" w:eastAsiaTheme="minorHAnsi" w:hAnsi="Times New Roman" w:cs="Times New Roman"/>
          <w:sz w:val="24"/>
          <w:szCs w:val="24"/>
        </w:rPr>
      </w:pPr>
      <w:r w:rsidRPr="000515D2">
        <w:rPr>
          <w:rFonts w:ascii="Times New Roman" w:eastAsiaTheme="minorHAnsi" w:hAnsi="Times New Roman" w:cs="Times New Roman"/>
          <w:sz w:val="24"/>
          <w:szCs w:val="24"/>
        </w:rPr>
        <w:t>v primárnom práve</w:t>
      </w:r>
    </w:p>
    <w:p w:rsidR="000515D2" w:rsidRPr="000515D2" w:rsidRDefault="000515D2" w:rsidP="000515D2">
      <w:pPr>
        <w:numPr>
          <w:ilvl w:val="0"/>
          <w:numId w:val="10"/>
        </w:numPr>
        <w:tabs>
          <w:tab w:val="left" w:pos="709"/>
          <w:tab w:val="left" w:pos="1068"/>
        </w:tabs>
        <w:spacing w:after="240" w:line="240" w:lineRule="auto"/>
        <w:jc w:val="both"/>
        <w:rPr>
          <w:rFonts w:ascii="Times New Roman" w:eastAsiaTheme="minorHAnsi" w:hAnsi="Times New Roman" w:cs="Times New Roman"/>
          <w:sz w:val="24"/>
          <w:szCs w:val="24"/>
        </w:rPr>
      </w:pPr>
      <w:r w:rsidRPr="000515D2">
        <w:rPr>
          <w:rFonts w:ascii="Times New Roman" w:eastAsiaTheme="minorHAnsi" w:hAnsi="Times New Roman" w:cs="Times New Roman"/>
          <w:sz w:val="24"/>
          <w:szCs w:val="24"/>
        </w:rPr>
        <w:t>čl. 3 Zmluvy o Európskej únii,</w:t>
      </w:r>
    </w:p>
    <w:p w:rsidR="000515D2" w:rsidRPr="000515D2" w:rsidRDefault="000515D2" w:rsidP="000515D2">
      <w:pPr>
        <w:numPr>
          <w:ilvl w:val="0"/>
          <w:numId w:val="10"/>
        </w:numPr>
        <w:tabs>
          <w:tab w:val="left" w:pos="709"/>
          <w:tab w:val="left" w:pos="1068"/>
        </w:tabs>
        <w:spacing w:after="240" w:line="240" w:lineRule="auto"/>
        <w:jc w:val="both"/>
        <w:rPr>
          <w:rFonts w:ascii="Times New Roman" w:eastAsiaTheme="minorHAnsi" w:hAnsi="Times New Roman" w:cs="Times New Roman"/>
          <w:sz w:val="24"/>
          <w:szCs w:val="24"/>
        </w:rPr>
      </w:pPr>
      <w:r w:rsidRPr="000515D2">
        <w:rPr>
          <w:rFonts w:ascii="Times New Roman" w:eastAsiaTheme="minorHAnsi" w:hAnsi="Times New Roman" w:cs="Times New Roman"/>
          <w:sz w:val="24"/>
          <w:szCs w:val="24"/>
        </w:rPr>
        <w:t>čl. 82, čl. 83 a čl. 87 Zmluvy o fungovaní Európskej únie,</w:t>
      </w:r>
    </w:p>
    <w:p w:rsidR="000515D2" w:rsidRPr="000515D2" w:rsidRDefault="000515D2" w:rsidP="000515D2">
      <w:pPr>
        <w:numPr>
          <w:ilvl w:val="0"/>
          <w:numId w:val="8"/>
        </w:numPr>
        <w:tabs>
          <w:tab w:val="left" w:pos="709"/>
          <w:tab w:val="left" w:pos="1068"/>
        </w:tabs>
        <w:spacing w:after="240" w:line="240" w:lineRule="auto"/>
        <w:ind w:left="714" w:hanging="357"/>
        <w:rPr>
          <w:rFonts w:ascii="Times New Roman" w:eastAsiaTheme="minorHAnsi" w:hAnsi="Times New Roman" w:cs="Times New Roman"/>
          <w:sz w:val="24"/>
          <w:szCs w:val="24"/>
        </w:rPr>
      </w:pPr>
      <w:r w:rsidRPr="000515D2">
        <w:rPr>
          <w:rFonts w:ascii="Times New Roman" w:eastAsiaTheme="minorHAnsi" w:hAnsi="Times New Roman" w:cs="Times New Roman"/>
          <w:sz w:val="24"/>
          <w:szCs w:val="24"/>
        </w:rPr>
        <w:t>v sekundárnom práve</w:t>
      </w:r>
    </w:p>
    <w:p w:rsidR="000515D2" w:rsidRPr="000515D2" w:rsidRDefault="000515D2" w:rsidP="000515D2">
      <w:pPr>
        <w:numPr>
          <w:ilvl w:val="0"/>
          <w:numId w:val="9"/>
        </w:numPr>
        <w:spacing w:after="240" w:line="240" w:lineRule="auto"/>
        <w:ind w:right="-142"/>
        <w:jc w:val="both"/>
        <w:rPr>
          <w:rFonts w:ascii="Times New Roman" w:eastAsiaTheme="minorHAnsi" w:hAnsi="Times New Roman" w:cs="Times New Roman"/>
          <w:sz w:val="24"/>
          <w:szCs w:val="24"/>
          <w:shd w:val="clear" w:color="auto" w:fill="FFFFFF"/>
        </w:rPr>
      </w:pPr>
      <w:r w:rsidRPr="000515D2">
        <w:rPr>
          <w:rFonts w:ascii="Times New Roman" w:eastAsiaTheme="minorHAnsi" w:hAnsi="Times New Roman" w:cs="Times New Roman"/>
          <w:sz w:val="24"/>
          <w:szCs w:val="24"/>
          <w:shd w:val="clear" w:color="auto" w:fill="FFFFFF"/>
        </w:rPr>
        <w:t>smernica Európskeho parlamentu a Rady 2011/36/EÚ z 5. apríla 2011 o prevencii obchodovania s ľuďmi a boji proti nemu a o ochrane obetí obchodovania, ktorou sa nahrádza rámcove rozhodnutie Rady 2002/629/SVV (</w:t>
      </w:r>
      <w:r w:rsidRPr="000515D2">
        <w:rPr>
          <w:rFonts w:ascii="Times New Roman" w:eastAsiaTheme="minorHAnsi" w:hAnsi="Times New Roman" w:cs="Times New Roman"/>
          <w:iCs/>
          <w:sz w:val="24"/>
          <w:szCs w:val="24"/>
          <w:shd w:val="clear" w:color="auto" w:fill="FFFFFF"/>
        </w:rPr>
        <w:t>Ú. v. EÚ L 101, 15. 4. 2011</w:t>
      </w:r>
      <w:r w:rsidRPr="000515D2">
        <w:rPr>
          <w:rFonts w:ascii="Times New Roman" w:eastAsiaTheme="minorHAnsi" w:hAnsi="Times New Roman" w:cs="Times New Roman"/>
          <w:sz w:val="24"/>
          <w:szCs w:val="24"/>
          <w:shd w:val="clear" w:color="auto" w:fill="FFFFFF"/>
        </w:rPr>
        <w:t xml:space="preserve">), gestor: Ministerstvo spravodlivosti Slovenskej republiky, spolugestori: Ministerstvo vnútra </w:t>
      </w:r>
      <w:r w:rsidRPr="000515D2">
        <w:rPr>
          <w:rFonts w:ascii="Times New Roman" w:eastAsia="Times New Roman" w:hAnsi="Times New Roman" w:cs="Times New Roman"/>
          <w:sz w:val="24"/>
          <w:szCs w:val="24"/>
          <w:lang w:eastAsia="sk-SK"/>
        </w:rPr>
        <w:t>Slovenskej republiky</w:t>
      </w:r>
      <w:r w:rsidRPr="000515D2">
        <w:rPr>
          <w:rFonts w:ascii="Times New Roman" w:eastAsiaTheme="minorHAnsi" w:hAnsi="Times New Roman" w:cs="Times New Roman"/>
          <w:sz w:val="24"/>
          <w:szCs w:val="24"/>
          <w:shd w:val="clear" w:color="auto" w:fill="FFFFFF"/>
        </w:rPr>
        <w:t xml:space="preserve">, Ministerstvo práce, sociálnych vecí a rodiny </w:t>
      </w:r>
      <w:r w:rsidRPr="000515D2">
        <w:rPr>
          <w:rFonts w:ascii="Times New Roman" w:eastAsia="Times New Roman" w:hAnsi="Times New Roman" w:cs="Times New Roman"/>
          <w:sz w:val="24"/>
          <w:szCs w:val="24"/>
          <w:lang w:eastAsia="sk-SK"/>
        </w:rPr>
        <w:t>Slovenskej republiky, Ministerstvo školstva, vedy, výskumu a športu Slovenskej republiky a Generálna prokuratúra Slovenskej republiky,</w:t>
      </w:r>
    </w:p>
    <w:p w:rsidR="000515D2" w:rsidRPr="000515D2" w:rsidRDefault="000515D2" w:rsidP="000515D2">
      <w:pPr>
        <w:numPr>
          <w:ilvl w:val="0"/>
          <w:numId w:val="9"/>
        </w:numPr>
        <w:spacing w:after="120" w:line="240" w:lineRule="auto"/>
        <w:ind w:right="-142"/>
        <w:jc w:val="both"/>
        <w:rPr>
          <w:rFonts w:ascii="Times New Roman" w:eastAsia="Times New Roman" w:hAnsi="Times New Roman" w:cs="Times New Roman"/>
          <w:b/>
          <w:sz w:val="24"/>
          <w:szCs w:val="24"/>
          <w:lang w:eastAsia="sk-SK"/>
        </w:rPr>
      </w:pPr>
      <w:r w:rsidRPr="000515D2">
        <w:rPr>
          <w:rFonts w:ascii="Times New Roman" w:eastAsiaTheme="minorHAnsi" w:hAnsi="Times New Roman" w:cs="Times New Roman"/>
          <w:sz w:val="24"/>
          <w:szCs w:val="24"/>
          <w:shd w:val="clear" w:color="auto" w:fill="FFFFFF"/>
        </w:rPr>
        <w:t xml:space="preserve">smernica Európskeho parlamentu a Rady 2012/29/EÚ z 25. októbra 2012, ktorou sa stanovujú minimálne normy v oblasti práv, podpory a ochrany obetí trestných činov a ktorou sa nahrádza rámcové rozhodnutie Rady 2001/220/SVV (Ú. v. EÚ L 315, 14. 11. 2012), gestor: Ministerstvo spravodlivosti Slovenskej republiky, spolugestori: Ministerstvo vnútra </w:t>
      </w:r>
      <w:r w:rsidRPr="000515D2">
        <w:rPr>
          <w:rFonts w:ascii="Times New Roman" w:eastAsia="Times New Roman" w:hAnsi="Times New Roman" w:cs="Times New Roman"/>
          <w:sz w:val="24"/>
          <w:szCs w:val="24"/>
          <w:lang w:eastAsia="sk-SK"/>
        </w:rPr>
        <w:t>Slovenskej republiky</w:t>
      </w:r>
      <w:r w:rsidRPr="000515D2">
        <w:rPr>
          <w:rFonts w:ascii="Times New Roman" w:eastAsiaTheme="minorHAnsi" w:hAnsi="Times New Roman" w:cs="Times New Roman"/>
          <w:sz w:val="24"/>
          <w:szCs w:val="24"/>
          <w:shd w:val="clear" w:color="auto" w:fill="FFFFFF"/>
        </w:rPr>
        <w:t xml:space="preserve">, </w:t>
      </w:r>
      <w:r w:rsidRPr="000515D2">
        <w:rPr>
          <w:rFonts w:ascii="Times New Roman" w:eastAsia="Times New Roman" w:hAnsi="Times New Roman" w:cs="Times New Roman"/>
          <w:sz w:val="24"/>
          <w:szCs w:val="24"/>
          <w:lang w:eastAsia="sk-SK"/>
        </w:rPr>
        <w:t>Generálna prokuratúra Slovenskej republiky,</w:t>
      </w:r>
    </w:p>
    <w:p w:rsidR="000515D2" w:rsidRPr="000515D2" w:rsidRDefault="000515D2" w:rsidP="000515D2">
      <w:pPr>
        <w:numPr>
          <w:ilvl w:val="0"/>
          <w:numId w:val="8"/>
        </w:numPr>
        <w:tabs>
          <w:tab w:val="left" w:pos="993"/>
          <w:tab w:val="left" w:pos="1068"/>
        </w:tabs>
        <w:spacing w:after="240" w:line="240" w:lineRule="auto"/>
        <w:ind w:left="993" w:hanging="636"/>
        <w:jc w:val="both"/>
        <w:rPr>
          <w:rFonts w:ascii="Times New Roman" w:eastAsiaTheme="minorHAnsi" w:hAnsi="Times New Roman" w:cs="Times New Roman"/>
          <w:sz w:val="24"/>
          <w:szCs w:val="24"/>
        </w:rPr>
      </w:pPr>
      <w:r w:rsidRPr="000515D2">
        <w:rPr>
          <w:rFonts w:ascii="Times New Roman" w:eastAsiaTheme="minorHAnsi" w:hAnsi="Times New Roman" w:cs="Times New Roman"/>
          <w:sz w:val="24"/>
          <w:szCs w:val="24"/>
        </w:rPr>
        <w:t xml:space="preserve">v judikatúre Súdneho dvora Európskej únie – v rozsudku Súdneho dvora Európskej únie vo veci C-603/19, ktorý okrem  iného rozhodol, že článok 2 ods. 1 smernice Európskeho parlamentu a Rady 2012/29/EÚ z 25. októbra 2012, ktorou sa stanovujú minimálne normy v oblasti práv, podpory a ochrany obetí trestných činov a ktorou sa nahrádza rámcové rozhodnutie Rady 2001/220/SVV, sa má vykladať v tom zmysle, že táto smernica sa neuplatňuje na právnické osoby ani na štát, aj keď im vnútroštátne právo priznáva postavenie poškodeného v rámci trestného konania.  </w:t>
      </w:r>
    </w:p>
    <w:p w:rsidR="000515D2" w:rsidRPr="000515D2" w:rsidRDefault="000515D2" w:rsidP="000515D2">
      <w:pPr>
        <w:spacing w:after="120" w:line="240" w:lineRule="auto"/>
        <w:ind w:left="357" w:hanging="357"/>
        <w:rPr>
          <w:rFonts w:ascii="Times New Roman" w:eastAsia="Times New Roman" w:hAnsi="Times New Roman" w:cs="Times New Roman"/>
          <w:b/>
          <w:sz w:val="24"/>
          <w:szCs w:val="24"/>
          <w:lang w:eastAsia="sk-SK"/>
        </w:rPr>
      </w:pPr>
      <w:r w:rsidRPr="000515D2">
        <w:rPr>
          <w:rFonts w:ascii="Times New Roman" w:eastAsia="Times New Roman" w:hAnsi="Times New Roman" w:cs="Times New Roman"/>
          <w:sz w:val="24"/>
          <w:szCs w:val="24"/>
          <w:lang w:eastAsia="sk-SK"/>
        </w:rPr>
        <w:t>4.</w:t>
      </w:r>
      <w:r w:rsidRPr="000515D2">
        <w:rPr>
          <w:rFonts w:ascii="Times New Roman" w:eastAsia="Times New Roman" w:hAnsi="Times New Roman" w:cs="Times New Roman"/>
          <w:b/>
          <w:sz w:val="24"/>
          <w:szCs w:val="24"/>
          <w:lang w:eastAsia="sk-SK"/>
        </w:rPr>
        <w:t xml:space="preserve"> Záväzky Slovenskej republiky vo vzťahu k Európskej únii: </w:t>
      </w:r>
    </w:p>
    <w:p w:rsidR="000515D2" w:rsidRPr="000515D2" w:rsidRDefault="000515D2" w:rsidP="000515D2">
      <w:pPr>
        <w:numPr>
          <w:ilvl w:val="0"/>
          <w:numId w:val="7"/>
        </w:numPr>
        <w:autoSpaceDE w:val="0"/>
        <w:autoSpaceDN w:val="0"/>
        <w:adjustRightInd w:val="0"/>
        <w:spacing w:after="120" w:line="240" w:lineRule="auto"/>
        <w:ind w:left="924" w:hanging="357"/>
        <w:jc w:val="both"/>
        <w:rPr>
          <w:rFonts w:ascii="Times New Roman" w:eastAsiaTheme="minorHAnsi" w:hAnsi="Times New Roman" w:cs="Times New Roman"/>
          <w:sz w:val="24"/>
          <w:szCs w:val="24"/>
          <w:shd w:val="clear" w:color="auto" w:fill="FFFFFF"/>
        </w:rPr>
      </w:pPr>
      <w:r w:rsidRPr="000515D2">
        <w:rPr>
          <w:rFonts w:ascii="Times New Roman" w:eastAsia="Times New Roman" w:hAnsi="Times New Roman" w:cs="Times New Roman"/>
          <w:sz w:val="24"/>
          <w:szCs w:val="24"/>
          <w:lang w:eastAsia="cs-CZ"/>
        </w:rPr>
        <w:t xml:space="preserve">lehota na prebranie príslušného právneho aktu Európskej únie, príp. aj osobitnú lehotu účinnosti jeho ustanovení – </w:t>
      </w:r>
      <w:r w:rsidRPr="000515D2">
        <w:rPr>
          <w:rFonts w:ascii="Times New Roman" w:eastAsia="Times New Roman" w:hAnsi="Times New Roman" w:cs="Times New Roman"/>
          <w:sz w:val="24"/>
          <w:szCs w:val="24"/>
          <w:lang w:eastAsia="sk-SK"/>
        </w:rPr>
        <w:t xml:space="preserve">smernicu Európskeho parlamentu a </w:t>
      </w:r>
      <w:r w:rsidRPr="000515D2">
        <w:rPr>
          <w:rFonts w:ascii="Times New Roman" w:eastAsiaTheme="minorHAnsi" w:hAnsi="Times New Roman" w:cs="Times New Roman"/>
          <w:sz w:val="24"/>
          <w:szCs w:val="24"/>
          <w:shd w:val="clear" w:color="auto" w:fill="FFFFFF"/>
        </w:rPr>
        <w:t xml:space="preserve">Rady 2011/36/EÚ bola Slovenská republika povinná transponovať do 6. apríla 2013, </w:t>
      </w:r>
      <w:r w:rsidRPr="000515D2">
        <w:rPr>
          <w:rFonts w:ascii="Times New Roman" w:eastAsia="Times New Roman" w:hAnsi="Times New Roman" w:cs="Times New Roman"/>
          <w:sz w:val="24"/>
          <w:szCs w:val="24"/>
          <w:lang w:eastAsia="sk-SK"/>
        </w:rPr>
        <w:t xml:space="preserve">smernicu Európskeho parlamentu a </w:t>
      </w:r>
      <w:r w:rsidRPr="000515D2">
        <w:rPr>
          <w:rFonts w:ascii="Times New Roman" w:eastAsiaTheme="minorHAnsi" w:hAnsi="Times New Roman" w:cs="Times New Roman"/>
          <w:sz w:val="24"/>
          <w:szCs w:val="24"/>
          <w:shd w:val="clear" w:color="auto" w:fill="FFFFFF"/>
        </w:rPr>
        <w:t>Rady 2012/29/EÚ do 16. novembra 2015,</w:t>
      </w:r>
    </w:p>
    <w:p w:rsidR="000515D2" w:rsidRPr="000515D2" w:rsidRDefault="000515D2" w:rsidP="000515D2">
      <w:pPr>
        <w:numPr>
          <w:ilvl w:val="0"/>
          <w:numId w:val="7"/>
        </w:numPr>
        <w:autoSpaceDE w:val="0"/>
        <w:autoSpaceDN w:val="0"/>
        <w:adjustRightInd w:val="0"/>
        <w:spacing w:after="120" w:line="240" w:lineRule="auto"/>
        <w:ind w:left="924" w:hanging="357"/>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 xml:space="preserve">informácia o začatí konania v rámci „EÚ Pilot“ alebo o začatí postupu Európskej komisie, alebo o konaní Súdneho dvora Európskej únie proti Slovenskej republike podľa čl. 258 a 260 Zmluvy o fungovaní Európskej únie v jej platnom znení, spolu </w:t>
      </w:r>
      <w:r w:rsidRPr="000515D2">
        <w:rPr>
          <w:rFonts w:ascii="Times New Roman" w:eastAsia="Times New Roman" w:hAnsi="Times New Roman" w:cs="Times New Roman"/>
          <w:sz w:val="24"/>
          <w:szCs w:val="24"/>
          <w:lang w:eastAsia="sk-SK"/>
        </w:rPr>
        <w:lastRenderedPageBreak/>
        <w:t xml:space="preserve">s uvedením konkrétnych vytýkaných nedostatkov a požiadaviek na zabezpečenie nápravy so zreteľom na nariadenie Európskeho parlamentu a Rady (ES) č. 1049/2001 z 30. mája 2001 o prístupe verejnosti k dokumentom Európskeho parlamentu, Rady a Komisie – bezpredmetné, </w:t>
      </w:r>
    </w:p>
    <w:p w:rsidR="000515D2" w:rsidRPr="000515D2" w:rsidRDefault="000515D2" w:rsidP="000515D2">
      <w:pPr>
        <w:numPr>
          <w:ilvl w:val="0"/>
          <w:numId w:val="7"/>
        </w:numPr>
        <w:autoSpaceDE w:val="0"/>
        <w:autoSpaceDN w:val="0"/>
        <w:adjustRightInd w:val="0"/>
        <w:spacing w:after="240" w:line="240" w:lineRule="auto"/>
        <w:ind w:left="924" w:hanging="357"/>
        <w:jc w:val="both"/>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 xml:space="preserve">informácia o právnych predpisoch, v ktorých sú uvádzané právne akty Európskej únie už prebrané, spolu s uvedením rozsahu ich prebrania, príp. potreby prijatia ďalších úprav – smernica </w:t>
      </w:r>
      <w:r w:rsidRPr="000515D2">
        <w:rPr>
          <w:rFonts w:ascii="Times New Roman" w:eastAsiaTheme="minorHAnsi" w:hAnsi="Times New Roman" w:cs="Times New Roman"/>
          <w:sz w:val="24"/>
          <w:szCs w:val="24"/>
          <w:shd w:val="clear" w:color="auto" w:fill="FFFFFF"/>
        </w:rPr>
        <w:t xml:space="preserve">Európskeho parlamentu a Rady 2011/36/EÚ bola úplne prebratá napr. do </w:t>
      </w:r>
      <w:r w:rsidRPr="000515D2">
        <w:rPr>
          <w:rFonts w:ascii="Times New Roman" w:eastAsia="Times New Roman" w:hAnsi="Times New Roman" w:cs="Times New Roman"/>
          <w:sz w:val="24"/>
          <w:szCs w:val="24"/>
          <w:lang w:eastAsia="sk-SK"/>
        </w:rPr>
        <w:t xml:space="preserve">zákona </w:t>
      </w:r>
      <w:hyperlink r:id="rId23" w:history="1">
        <w:r w:rsidRPr="000515D2">
          <w:rPr>
            <w:rFonts w:ascii="Times New Roman" w:eastAsia="Times New Roman" w:hAnsi="Times New Roman" w:cs="Times New Roman"/>
            <w:sz w:val="24"/>
            <w:szCs w:val="24"/>
            <w:lang w:eastAsia="sk-SK"/>
          </w:rPr>
          <w:t>č. 301/2005 Z. z. Trestný poriadok</w:t>
        </w:r>
      </w:hyperlink>
      <w:r w:rsidRPr="000515D2">
        <w:rPr>
          <w:rFonts w:ascii="Times New Roman" w:eastAsia="Times New Roman" w:hAnsi="Times New Roman" w:cs="Times New Roman"/>
          <w:sz w:val="24"/>
          <w:szCs w:val="24"/>
          <w:lang w:eastAsia="sk-SK"/>
        </w:rPr>
        <w:t xml:space="preserve"> v znení neskorších predpisov, </w:t>
      </w:r>
      <w:r w:rsidRPr="000515D2">
        <w:rPr>
          <w:rFonts w:ascii="Times New Roman" w:eastAsiaTheme="minorHAnsi" w:hAnsi="Times New Roman" w:cs="Times New Roman"/>
          <w:sz w:val="24"/>
          <w:szCs w:val="24"/>
          <w:shd w:val="clear" w:color="auto" w:fill="FFFFFF"/>
        </w:rPr>
        <w:t xml:space="preserve"> </w:t>
      </w:r>
      <w:r w:rsidRPr="000515D2">
        <w:rPr>
          <w:rFonts w:ascii="Times New Roman" w:eastAsia="Times New Roman" w:hAnsi="Times New Roman" w:cs="Times New Roman"/>
          <w:sz w:val="24"/>
          <w:szCs w:val="24"/>
          <w:lang w:eastAsia="sk-SK"/>
        </w:rPr>
        <w:t xml:space="preserve">zákona </w:t>
      </w:r>
      <w:hyperlink r:id="rId24" w:history="1">
        <w:r w:rsidRPr="000515D2">
          <w:rPr>
            <w:rFonts w:ascii="Times New Roman" w:eastAsia="Times New Roman" w:hAnsi="Times New Roman" w:cs="Times New Roman"/>
            <w:sz w:val="24"/>
            <w:szCs w:val="24"/>
            <w:lang w:eastAsia="sk-SK"/>
          </w:rPr>
          <w:t>č. 300/2005 Z. z. Trestný zákon v znení neskorších predpisov,</w:t>
        </w:r>
      </w:hyperlink>
      <w:r w:rsidRPr="000515D2">
        <w:rPr>
          <w:rFonts w:ascii="Times New Roman" w:eastAsia="Times New Roman" w:hAnsi="Times New Roman" w:cs="Times New Roman"/>
          <w:sz w:val="24"/>
          <w:szCs w:val="24"/>
          <w:lang w:eastAsia="sk-SK"/>
        </w:rPr>
        <w:t xml:space="preserve"> zákona </w:t>
      </w:r>
      <w:hyperlink r:id="rId25" w:history="1">
        <w:r w:rsidRPr="000515D2">
          <w:rPr>
            <w:rFonts w:ascii="Times New Roman" w:eastAsia="Times New Roman" w:hAnsi="Times New Roman" w:cs="Times New Roman"/>
            <w:sz w:val="24"/>
            <w:szCs w:val="24"/>
            <w:lang w:eastAsia="sk-SK"/>
          </w:rPr>
          <w:t>č. 215/2006 Z. z. o odškodňovaní osôb poškodených násilnými trestnými činmi</w:t>
        </w:r>
      </w:hyperlink>
      <w:r w:rsidRPr="000515D2">
        <w:rPr>
          <w:rFonts w:ascii="Times New Roman" w:eastAsia="Times New Roman" w:hAnsi="Times New Roman" w:cs="Times New Roman"/>
          <w:sz w:val="24"/>
          <w:szCs w:val="24"/>
          <w:lang w:eastAsia="sk-SK"/>
        </w:rPr>
        <w:t xml:space="preserve"> v znení neskorších predpisov,</w:t>
      </w:r>
      <w:r w:rsidRPr="000515D2">
        <w:rPr>
          <w:rFonts w:ascii="Times New Roman" w:eastAsiaTheme="minorHAnsi" w:hAnsi="Times New Roman" w:cs="Times New Roman"/>
          <w:sz w:val="24"/>
          <w:szCs w:val="24"/>
          <w:shd w:val="clear" w:color="auto" w:fill="FFFFFF"/>
        </w:rPr>
        <w:t xml:space="preserve"> zákona č. 583/2008 Z. z. o prevencii kriminality a inej protispoločenskej činnosti a o zmene a doplnení niektorých </w:t>
      </w:r>
      <w:r w:rsidRPr="000515D2">
        <w:rPr>
          <w:rFonts w:ascii="Times New Roman" w:eastAsia="Times New Roman" w:hAnsi="Times New Roman" w:cs="Times New Roman"/>
          <w:sz w:val="24"/>
          <w:szCs w:val="24"/>
          <w:lang w:eastAsia="sk-SK"/>
        </w:rPr>
        <w:t xml:space="preserve">zákonov v znení neskorších predpisov, zákona č. 274/2017 Z. z. o obetiach trestných činov a o zmene a doplnení niektorých zákonov v znení neskorších predpisov, atď.;                                 smernica Európskeho parlamentu a Rady 2012/29/EÚ bola úplne prebratá napr. do zákona </w:t>
      </w:r>
      <w:hyperlink r:id="rId26" w:history="1">
        <w:r w:rsidRPr="000515D2">
          <w:rPr>
            <w:rFonts w:ascii="Times New Roman" w:eastAsia="Times New Roman" w:hAnsi="Times New Roman" w:cs="Times New Roman"/>
            <w:sz w:val="24"/>
            <w:szCs w:val="24"/>
            <w:lang w:eastAsia="sk-SK"/>
          </w:rPr>
          <w:t>č. 301/2005 Z. z. Trestný poriadok</w:t>
        </w:r>
      </w:hyperlink>
      <w:r w:rsidRPr="000515D2">
        <w:rPr>
          <w:rFonts w:ascii="Times New Roman" w:eastAsia="Times New Roman" w:hAnsi="Times New Roman" w:cs="Times New Roman"/>
          <w:sz w:val="24"/>
          <w:szCs w:val="24"/>
          <w:lang w:eastAsia="sk-SK"/>
        </w:rPr>
        <w:t xml:space="preserve"> v znení neskorších predpisov,  zákona </w:t>
      </w:r>
      <w:hyperlink r:id="rId27" w:history="1">
        <w:r w:rsidRPr="000515D2">
          <w:rPr>
            <w:rFonts w:ascii="Times New Roman" w:eastAsia="Times New Roman" w:hAnsi="Times New Roman" w:cs="Times New Roman"/>
            <w:sz w:val="24"/>
            <w:szCs w:val="24"/>
            <w:lang w:eastAsia="sk-SK"/>
          </w:rPr>
          <w:t>č. 300/2005 Z. z. Trestný zákon v znení neskorších predpisov,</w:t>
        </w:r>
      </w:hyperlink>
      <w:r w:rsidRPr="000515D2">
        <w:rPr>
          <w:rFonts w:ascii="Times New Roman" w:eastAsia="Times New Roman" w:hAnsi="Times New Roman" w:cs="Times New Roman"/>
          <w:color w:val="FF0000"/>
          <w:sz w:val="24"/>
          <w:szCs w:val="24"/>
          <w:lang w:eastAsia="sk-SK"/>
        </w:rPr>
        <w:t xml:space="preserve"> </w:t>
      </w:r>
      <w:r w:rsidRPr="000515D2">
        <w:rPr>
          <w:rFonts w:ascii="Times New Roman" w:eastAsia="Times New Roman" w:hAnsi="Times New Roman" w:cs="Times New Roman"/>
          <w:sz w:val="24"/>
          <w:szCs w:val="24"/>
          <w:lang w:eastAsia="sk-SK"/>
        </w:rPr>
        <w:t xml:space="preserve">zákona č. 274/2017 Z. z. o obetiach trestných činov a o zmene a doplnení niektorých zákonov v znení neskorších predpisov, zákona </w:t>
      </w:r>
      <w:hyperlink r:id="rId28" w:history="1">
        <w:r w:rsidRPr="000515D2">
          <w:rPr>
            <w:rFonts w:ascii="Times New Roman" w:eastAsia="Times New Roman" w:hAnsi="Times New Roman" w:cs="Times New Roman"/>
            <w:sz w:val="24"/>
            <w:szCs w:val="24"/>
            <w:lang w:eastAsia="sk-SK"/>
          </w:rPr>
          <w:t>č. 215/2006 Z. z. o odškodňovaní osôb poškodených násilnými trestnými činmi</w:t>
        </w:r>
      </w:hyperlink>
      <w:r w:rsidRPr="000515D2">
        <w:rPr>
          <w:rFonts w:ascii="Times New Roman" w:eastAsia="Times New Roman" w:hAnsi="Times New Roman" w:cs="Times New Roman"/>
          <w:sz w:val="24"/>
          <w:szCs w:val="24"/>
          <w:lang w:eastAsia="sk-SK"/>
        </w:rPr>
        <w:t xml:space="preserve"> v znení neskorších predpisov, zákona </w:t>
      </w:r>
      <w:hyperlink r:id="rId29" w:history="1">
        <w:r w:rsidRPr="000515D2">
          <w:rPr>
            <w:rFonts w:ascii="Times New Roman" w:eastAsia="Times New Roman" w:hAnsi="Times New Roman" w:cs="Times New Roman"/>
            <w:sz w:val="24"/>
            <w:szCs w:val="24"/>
            <w:lang w:eastAsia="sk-SK"/>
          </w:rPr>
          <w:t>Národnej rady Slovenskej republiky č. 171/1993 o Policajnom zbore</w:t>
        </w:r>
      </w:hyperlink>
      <w:r w:rsidRPr="000515D2">
        <w:rPr>
          <w:rFonts w:ascii="Times New Roman" w:eastAsia="Times New Roman" w:hAnsi="Times New Roman" w:cs="Times New Roman"/>
          <w:sz w:val="24"/>
          <w:szCs w:val="24"/>
          <w:lang w:eastAsia="sk-SK"/>
        </w:rPr>
        <w:t xml:space="preserve"> v znení neskorších predpisov, atď.</w:t>
      </w:r>
    </w:p>
    <w:p w:rsidR="000515D2" w:rsidRPr="000515D2" w:rsidRDefault="000515D2" w:rsidP="000515D2">
      <w:pPr>
        <w:spacing w:after="240" w:line="240" w:lineRule="auto"/>
        <w:rPr>
          <w:rFonts w:ascii="Times New Roman" w:eastAsia="Times New Roman" w:hAnsi="Times New Roman" w:cs="Times New Roman"/>
          <w:sz w:val="24"/>
          <w:szCs w:val="24"/>
          <w:lang w:eastAsia="sk-SK"/>
        </w:rPr>
      </w:pPr>
      <w:r w:rsidRPr="000515D2">
        <w:rPr>
          <w:rFonts w:ascii="Times New Roman" w:eastAsia="Times New Roman" w:hAnsi="Times New Roman" w:cs="Times New Roman"/>
          <w:sz w:val="24"/>
          <w:szCs w:val="24"/>
          <w:lang w:eastAsia="sk-SK"/>
        </w:rPr>
        <w:t xml:space="preserve">5. </w:t>
      </w:r>
      <w:r w:rsidRPr="000515D2">
        <w:rPr>
          <w:rFonts w:ascii="Times New Roman" w:eastAsia="Times New Roman" w:hAnsi="Times New Roman" w:cs="Times New Roman"/>
          <w:b/>
          <w:sz w:val="24"/>
          <w:szCs w:val="24"/>
          <w:lang w:eastAsia="sk-SK"/>
        </w:rPr>
        <w:t xml:space="preserve">Návrh zákona je zlučiteľný s právom Európskej únie: </w:t>
      </w:r>
      <w:r w:rsidRPr="000515D2">
        <w:rPr>
          <w:rFonts w:ascii="Times New Roman" w:eastAsia="Times New Roman" w:hAnsi="Times New Roman" w:cs="Times New Roman"/>
          <w:sz w:val="24"/>
          <w:szCs w:val="24"/>
          <w:lang w:eastAsia="sk-SK"/>
        </w:rPr>
        <w:t>úplne</w:t>
      </w: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0515D2" w:rsidRDefault="000515D2" w:rsidP="000515D2">
      <w:pPr>
        <w:pStyle w:val="Normlnywebov"/>
        <w:spacing w:before="0" w:beforeAutospacing="0" w:after="200" w:afterAutospacing="0"/>
        <w:jc w:val="both"/>
      </w:pPr>
    </w:p>
    <w:p w:rsidR="0075602A" w:rsidRDefault="0075602A" w:rsidP="00787BEB">
      <w:pPr>
        <w:pStyle w:val="Normlnywebov"/>
        <w:spacing w:before="0" w:beforeAutospacing="0" w:after="200" w:afterAutospacing="0"/>
        <w:ind w:firstLine="720"/>
        <w:jc w:val="both"/>
      </w:pPr>
    </w:p>
    <w:p w:rsidR="000515D2" w:rsidRDefault="000515D2" w:rsidP="00787BEB">
      <w:pPr>
        <w:pStyle w:val="Normlnywebov"/>
        <w:spacing w:before="0" w:beforeAutospacing="0" w:after="200" w:afterAutospacing="0"/>
        <w:ind w:firstLine="720"/>
        <w:jc w:val="both"/>
      </w:pPr>
    </w:p>
    <w:p w:rsidR="0075602A" w:rsidRPr="0075602A" w:rsidRDefault="0075602A" w:rsidP="0075602A">
      <w:pPr>
        <w:spacing w:after="240" w:line="240" w:lineRule="auto"/>
        <w:jc w:val="both"/>
        <w:rPr>
          <w:rFonts w:ascii="Times New Roman" w:eastAsia="Times New Roman" w:hAnsi="Times New Roman" w:cs="Times New Roman"/>
          <w:b/>
          <w:sz w:val="24"/>
          <w:szCs w:val="24"/>
          <w:lang w:eastAsia="sk-SK"/>
        </w:rPr>
      </w:pPr>
      <w:r w:rsidRPr="0075602A">
        <w:rPr>
          <w:rFonts w:ascii="Times New Roman" w:eastAsia="Times New Roman" w:hAnsi="Times New Roman" w:cs="Times New Roman"/>
          <w:b/>
          <w:sz w:val="24"/>
          <w:szCs w:val="24"/>
          <w:lang w:eastAsia="sk-SK"/>
        </w:rPr>
        <w:lastRenderedPageBreak/>
        <w:t>B. Osobitná časť</w:t>
      </w:r>
    </w:p>
    <w:p w:rsidR="0075602A" w:rsidRPr="0075602A" w:rsidRDefault="0075602A" w:rsidP="0075602A">
      <w:pPr>
        <w:spacing w:after="240" w:line="240" w:lineRule="auto"/>
        <w:jc w:val="both"/>
        <w:rPr>
          <w:rFonts w:ascii="Times New Roman" w:eastAsia="Times New Roman" w:hAnsi="Times New Roman" w:cs="Times New Roman"/>
          <w:b/>
          <w:sz w:val="24"/>
          <w:szCs w:val="24"/>
          <w:lang w:eastAsia="sk-SK"/>
        </w:rPr>
      </w:pPr>
      <w:r w:rsidRPr="0075602A">
        <w:rPr>
          <w:rFonts w:ascii="Times New Roman" w:eastAsia="Times New Roman" w:hAnsi="Times New Roman" w:cs="Times New Roman"/>
          <w:b/>
          <w:sz w:val="24"/>
          <w:szCs w:val="24"/>
          <w:lang w:eastAsia="sk-SK"/>
        </w:rPr>
        <w:t>K čl. I</w:t>
      </w:r>
    </w:p>
    <w:p w:rsidR="0075602A" w:rsidRPr="0075602A" w:rsidRDefault="0075602A" w:rsidP="0075602A">
      <w:pPr>
        <w:spacing w:after="240" w:line="240" w:lineRule="auto"/>
        <w:jc w:val="both"/>
        <w:rPr>
          <w:rFonts w:ascii="Times New Roman" w:eastAsia="Times New Roman" w:hAnsi="Times New Roman" w:cs="Times New Roman"/>
          <w:b/>
          <w:sz w:val="24"/>
          <w:szCs w:val="24"/>
          <w:lang w:eastAsia="sk-SK"/>
        </w:rPr>
      </w:pPr>
      <w:r w:rsidRPr="0075602A">
        <w:rPr>
          <w:rFonts w:ascii="Times New Roman" w:eastAsia="Times New Roman" w:hAnsi="Times New Roman" w:cs="Times New Roman"/>
          <w:b/>
          <w:sz w:val="24"/>
          <w:szCs w:val="24"/>
          <w:lang w:eastAsia="sk-SK"/>
        </w:rPr>
        <w:t>K bodu 1</w:t>
      </w:r>
    </w:p>
    <w:p w:rsidR="0075602A" w:rsidRPr="0075602A" w:rsidRDefault="0075602A" w:rsidP="0075602A">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Z dôvodu každoročného nárastu žiadostí o poskytnutie dotácií v oblasti prevencie kriminality, ako aj časovej a administratívnej náročnosti procesu schvaľovania a poskytovania dotácií v oblasti prevencie kriminality Radou vlády Slovenskej republiky pre prevenciu kriminality zo štátneho rozpočtu, sa vypúšťa konkrétny termín, do ktorého rada zverejňuje, schvaľuje a poskytuje predmetné dotácie. Rada bude naďalej zverejňovať, schvaľovať a poskytovať dotácie v oblasti prevencie kriminality.</w:t>
      </w:r>
    </w:p>
    <w:p w:rsidR="0075602A" w:rsidRPr="0075602A" w:rsidRDefault="0075602A" w:rsidP="0075602A">
      <w:pPr>
        <w:spacing w:after="240" w:line="240" w:lineRule="auto"/>
        <w:jc w:val="both"/>
        <w:rPr>
          <w:rFonts w:ascii="Times New Roman" w:eastAsia="Times New Roman" w:hAnsi="Times New Roman" w:cs="Times New Roman"/>
          <w:b/>
          <w:bCs/>
          <w:sz w:val="24"/>
          <w:szCs w:val="24"/>
          <w:lang w:eastAsia="sk-SK"/>
        </w:rPr>
      </w:pPr>
      <w:r w:rsidRPr="0075602A">
        <w:rPr>
          <w:rFonts w:ascii="Times New Roman" w:eastAsia="Times New Roman" w:hAnsi="Times New Roman" w:cs="Times New Roman"/>
          <w:b/>
          <w:bCs/>
          <w:sz w:val="24"/>
          <w:szCs w:val="24"/>
          <w:lang w:eastAsia="sk-SK"/>
        </w:rPr>
        <w:t>K bodu 2</w:t>
      </w:r>
    </w:p>
    <w:p w:rsidR="0075602A" w:rsidRPr="0075602A" w:rsidRDefault="0075602A" w:rsidP="0075602A">
      <w:pPr>
        <w:spacing w:after="240" w:line="240" w:lineRule="auto"/>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ab/>
        <w:t>Navrhovaným doplnením ustanovenia § 7 ods. 1 písm. a) o fyzické osoby sa rozširuje rozsah subjektov, od ktorých ministerstvo vnútra získava údaje o kriminalite a inej protispoločenskej činnosti, vrátane osobných údajov, za účelom ich spracúvania. Ide o údaje, zahrňujúc osobné údaje, získavané napríklad od fyzických osôb, s ktorými ministerstvo vnútra prichádza do kontaktu v rámci výkonu svojej pôs</w:t>
      </w:r>
      <w:r w:rsidR="005516FD">
        <w:rPr>
          <w:rFonts w:ascii="Times New Roman" w:eastAsia="Times New Roman" w:hAnsi="Times New Roman" w:cs="Times New Roman"/>
          <w:sz w:val="24"/>
          <w:szCs w:val="24"/>
          <w:lang w:eastAsia="sk-SK"/>
        </w:rPr>
        <w:t>obnosti podľa § 7 ods. 1 písm. f</w:t>
      </w:r>
      <w:r w:rsidRPr="0075602A">
        <w:rPr>
          <w:rFonts w:ascii="Times New Roman" w:eastAsia="Times New Roman" w:hAnsi="Times New Roman" w:cs="Times New Roman"/>
          <w:sz w:val="24"/>
          <w:szCs w:val="24"/>
          <w:lang w:eastAsia="sk-SK"/>
        </w:rPr>
        <w:t>) prostredníctvom informačných kancelárií pre obete, ktorých postavenie a činnosti sú podrobnejši</w:t>
      </w:r>
      <w:r w:rsidR="00C2793C">
        <w:rPr>
          <w:rFonts w:ascii="Times New Roman" w:eastAsia="Times New Roman" w:hAnsi="Times New Roman" w:cs="Times New Roman"/>
          <w:sz w:val="24"/>
          <w:szCs w:val="24"/>
          <w:lang w:eastAsia="sk-SK"/>
        </w:rPr>
        <w:t xml:space="preserve">e upravené v novelizačnom bode </w:t>
      </w:r>
      <w:r w:rsidR="005516FD">
        <w:rPr>
          <w:rFonts w:ascii="Times New Roman" w:eastAsia="Times New Roman" w:hAnsi="Times New Roman" w:cs="Times New Roman"/>
          <w:sz w:val="24"/>
          <w:szCs w:val="24"/>
          <w:lang w:eastAsia="sk-SK"/>
        </w:rPr>
        <w:t>9</w:t>
      </w:r>
      <w:r w:rsidRPr="0075602A">
        <w:rPr>
          <w:rFonts w:ascii="Times New Roman" w:eastAsia="Times New Roman" w:hAnsi="Times New Roman" w:cs="Times New Roman"/>
          <w:sz w:val="24"/>
          <w:szCs w:val="24"/>
          <w:lang w:eastAsia="sk-SK"/>
        </w:rPr>
        <w:t xml:space="preserve"> (§ 7a).</w:t>
      </w:r>
    </w:p>
    <w:p w:rsidR="0075602A" w:rsidRPr="000E556F" w:rsidRDefault="0075602A" w:rsidP="0075602A">
      <w:pPr>
        <w:spacing w:after="240" w:line="240" w:lineRule="auto"/>
        <w:jc w:val="both"/>
        <w:rPr>
          <w:rFonts w:ascii="Times New Roman" w:eastAsia="Times New Roman" w:hAnsi="Times New Roman" w:cs="Times New Roman"/>
          <w:b/>
          <w:bCs/>
          <w:sz w:val="24"/>
          <w:szCs w:val="24"/>
          <w:lang w:eastAsia="sk-SK"/>
        </w:rPr>
      </w:pPr>
      <w:r w:rsidRPr="000E556F">
        <w:rPr>
          <w:rFonts w:ascii="Times New Roman" w:eastAsia="Times New Roman" w:hAnsi="Times New Roman" w:cs="Times New Roman"/>
          <w:b/>
          <w:bCs/>
          <w:sz w:val="24"/>
          <w:szCs w:val="24"/>
          <w:lang w:eastAsia="sk-SK"/>
        </w:rPr>
        <w:t>K bodu 3</w:t>
      </w:r>
    </w:p>
    <w:p w:rsidR="0075602A" w:rsidRPr="000E556F" w:rsidRDefault="0075602A" w:rsidP="0075602A">
      <w:pPr>
        <w:spacing w:after="240" w:line="240" w:lineRule="auto"/>
        <w:jc w:val="both"/>
        <w:rPr>
          <w:rFonts w:ascii="Times New Roman" w:eastAsia="Times New Roman" w:hAnsi="Times New Roman" w:cs="Times New Roman"/>
          <w:bCs/>
          <w:sz w:val="24"/>
          <w:szCs w:val="24"/>
          <w:lang w:eastAsia="sk-SK"/>
        </w:rPr>
      </w:pPr>
      <w:r w:rsidRPr="000E556F">
        <w:rPr>
          <w:rFonts w:ascii="Times New Roman" w:eastAsia="Times New Roman" w:hAnsi="Times New Roman" w:cs="Times New Roman"/>
          <w:bCs/>
          <w:sz w:val="24"/>
          <w:szCs w:val="24"/>
          <w:lang w:eastAsia="sk-SK"/>
        </w:rPr>
        <w:t>Ide o zjednotenie terminológie aplikovanej v rámci celého zákona, nakoľko sa pojem „kriminalita“ definovaný v § 3 písm. b) využíva v celom znení zákona.</w:t>
      </w:r>
    </w:p>
    <w:p w:rsidR="0075602A" w:rsidRPr="0075602A" w:rsidRDefault="0075602A" w:rsidP="0075602A">
      <w:pPr>
        <w:spacing w:after="240" w:line="240" w:lineRule="auto"/>
        <w:jc w:val="both"/>
        <w:rPr>
          <w:rFonts w:ascii="Times New Roman" w:eastAsia="Times New Roman" w:hAnsi="Times New Roman" w:cs="Times New Roman"/>
          <w:bCs/>
          <w:sz w:val="24"/>
          <w:szCs w:val="24"/>
          <w:lang w:eastAsia="sk-SK"/>
        </w:rPr>
      </w:pPr>
      <w:r w:rsidRPr="0075602A">
        <w:rPr>
          <w:rFonts w:ascii="Times New Roman" w:eastAsia="Times New Roman" w:hAnsi="Times New Roman" w:cs="Times New Roman"/>
          <w:b/>
          <w:bCs/>
          <w:sz w:val="24"/>
          <w:szCs w:val="24"/>
          <w:lang w:eastAsia="sk-SK"/>
        </w:rPr>
        <w:t>K bodu 4</w:t>
      </w:r>
    </w:p>
    <w:p w:rsidR="0075602A" w:rsidRPr="0075602A" w:rsidRDefault="0075602A" w:rsidP="0075602A">
      <w:pPr>
        <w:spacing w:after="240" w:line="240" w:lineRule="auto"/>
        <w:ind w:firstLine="709"/>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Ide o upresnenie textu a zosúladenie s aplikačnou praxou. Vychádzajúc z aplikačnej praxe sa navrhuje zúženie okruhu údajov, ktoré ministerstvo vnútra poskytuje subjektom vymedzeným v ustanovení § 7 ods. 1 písm. d) v rámci výkonu svojej pôsobnosti podľa tohto zákona. Ministerstvo vnútra poskytuje uvedeným subjektom predovšetkým štatistické údaje, ktoré nie sú osobnými údajmi.</w:t>
      </w:r>
    </w:p>
    <w:p w:rsidR="00DD5E14" w:rsidRPr="00DD5E14" w:rsidRDefault="00DD5E14" w:rsidP="0075602A">
      <w:pPr>
        <w:spacing w:after="0" w:line="240" w:lineRule="auto"/>
        <w:jc w:val="both"/>
        <w:rPr>
          <w:rFonts w:ascii="Times New Roman" w:eastAsia="Times New Roman" w:hAnsi="Times New Roman" w:cs="Times New Roman"/>
          <w:b/>
          <w:sz w:val="24"/>
          <w:szCs w:val="24"/>
          <w:lang w:eastAsia="sk-SK"/>
        </w:rPr>
      </w:pPr>
      <w:r w:rsidRPr="00DD5E14">
        <w:rPr>
          <w:rFonts w:ascii="Times New Roman" w:eastAsia="Times New Roman" w:hAnsi="Times New Roman" w:cs="Times New Roman"/>
          <w:b/>
          <w:sz w:val="24"/>
          <w:szCs w:val="24"/>
          <w:lang w:eastAsia="sk-SK"/>
        </w:rPr>
        <w:t>K bodu 5</w:t>
      </w:r>
      <w:r w:rsidR="0075602A" w:rsidRPr="00DD5E14">
        <w:rPr>
          <w:rFonts w:ascii="Times New Roman" w:eastAsia="Times New Roman" w:hAnsi="Times New Roman" w:cs="Times New Roman"/>
          <w:b/>
          <w:sz w:val="24"/>
          <w:szCs w:val="24"/>
          <w:lang w:eastAsia="sk-SK"/>
        </w:rPr>
        <w:tab/>
      </w:r>
    </w:p>
    <w:p w:rsidR="00DD5E14" w:rsidRDefault="00DD5E14" w:rsidP="0075602A">
      <w:pPr>
        <w:spacing w:after="0" w:line="240" w:lineRule="auto"/>
        <w:jc w:val="both"/>
        <w:rPr>
          <w:rFonts w:ascii="Times New Roman" w:eastAsia="Times New Roman" w:hAnsi="Times New Roman" w:cs="Times New Roman"/>
          <w:sz w:val="24"/>
          <w:szCs w:val="24"/>
          <w:lang w:eastAsia="sk-SK"/>
        </w:rPr>
      </w:pPr>
    </w:p>
    <w:p w:rsidR="005516FD" w:rsidRPr="0075602A" w:rsidRDefault="00DD5E14" w:rsidP="005516FD">
      <w:pPr>
        <w:spacing w:after="0" w:line="240" w:lineRule="auto"/>
        <w:ind w:firstLine="708"/>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V ustanovení § 7 ods. 1 písm.  e</w:t>
      </w:r>
      <w:r w:rsidR="0075602A" w:rsidRPr="0075602A">
        <w:rPr>
          <w:rFonts w:ascii="Times New Roman" w:eastAsia="Times New Roman" w:hAnsi="Times New Roman" w:cs="Times New Roman"/>
          <w:sz w:val="24"/>
          <w:szCs w:val="24"/>
          <w:lang w:eastAsia="sk-SK"/>
        </w:rPr>
        <w:t xml:space="preserve">) </w:t>
      </w:r>
      <w:r w:rsidR="008B6148">
        <w:rPr>
          <w:rFonts w:ascii="Times New Roman" w:eastAsia="Times New Roman" w:hAnsi="Times New Roman" w:cs="Times New Roman"/>
          <w:sz w:val="24"/>
          <w:szCs w:val="24"/>
          <w:lang w:eastAsia="sk-SK"/>
        </w:rPr>
        <w:t xml:space="preserve">sa </w:t>
      </w:r>
      <w:r w:rsidR="0075602A" w:rsidRPr="0075602A">
        <w:rPr>
          <w:rFonts w:ascii="Times New Roman" w:eastAsia="Times New Roman" w:hAnsi="Times New Roman" w:cs="Times New Roman"/>
          <w:sz w:val="24"/>
          <w:szCs w:val="24"/>
          <w:lang w:eastAsia="sk-SK"/>
        </w:rPr>
        <w:t>navrhuje ďalšia legislatívna zmena, ktorej cieľom je to, že ministerstvo vnútra pri výkone svojej pôs</w:t>
      </w:r>
      <w:r>
        <w:rPr>
          <w:rFonts w:ascii="Times New Roman" w:eastAsia="Times New Roman" w:hAnsi="Times New Roman" w:cs="Times New Roman"/>
          <w:sz w:val="24"/>
          <w:szCs w:val="24"/>
          <w:lang w:eastAsia="sk-SK"/>
        </w:rPr>
        <w:t>obnosti podľa § 7 ods. 1 písm. f</w:t>
      </w:r>
      <w:r w:rsidR="0075602A" w:rsidRPr="0075602A">
        <w:rPr>
          <w:rFonts w:ascii="Times New Roman" w:eastAsia="Times New Roman" w:hAnsi="Times New Roman" w:cs="Times New Roman"/>
          <w:sz w:val="24"/>
          <w:szCs w:val="24"/>
          <w:lang w:eastAsia="sk-SK"/>
        </w:rPr>
        <w:t xml:space="preserve">) (novelizačné </w:t>
      </w:r>
      <w:r>
        <w:rPr>
          <w:rFonts w:ascii="Times New Roman" w:eastAsia="Times New Roman" w:hAnsi="Times New Roman" w:cs="Times New Roman"/>
          <w:sz w:val="24"/>
          <w:szCs w:val="24"/>
          <w:lang w:eastAsia="sk-SK"/>
        </w:rPr>
        <w:t>body 6 a 9</w:t>
      </w:r>
      <w:r w:rsidR="0075602A" w:rsidRPr="000E556F">
        <w:rPr>
          <w:rFonts w:ascii="Times New Roman" w:eastAsia="Times New Roman" w:hAnsi="Times New Roman" w:cs="Times New Roman"/>
          <w:sz w:val="24"/>
          <w:szCs w:val="24"/>
          <w:lang w:eastAsia="sk-SK"/>
        </w:rPr>
        <w:t>)</w:t>
      </w:r>
      <w:r w:rsidR="0075602A" w:rsidRPr="0075602A">
        <w:rPr>
          <w:rFonts w:ascii="Times New Roman" w:eastAsia="Times New Roman" w:hAnsi="Times New Roman" w:cs="Times New Roman"/>
          <w:sz w:val="24"/>
          <w:szCs w:val="24"/>
          <w:lang w:eastAsia="sk-SK"/>
        </w:rPr>
        <w:t xml:space="preserve"> poskytuje osobné údaje podľa odseku 2 orgánom verejnej moci, avšak len ak je to nevyhnutné na plnenie úloh orgánov verejnej moci podľa osobitných predpisov. Môže ísť napríklad o prípad, keď sa zamestnanec informačnej kancelárie pre obete dozvie o skutočnosti, že v prípade klienta informačnej kancelárie pre obete dochádza k porušovaniu práv dieťaťa, v takom prípade má zamestnanec zákonnú povinnosť upozorniť orgán sociálnoprávnej ochrany detí a sociálnej kurately na túto skutočnosť, a následne je orgán sociálnoprávnej ochrany detí a sociálnej kurately povinný uplatniť opatrenia</w:t>
      </w:r>
      <w:r w:rsidR="005516FD">
        <w:rPr>
          <w:rFonts w:ascii="Times New Roman" w:eastAsia="Times New Roman" w:hAnsi="Times New Roman" w:cs="Times New Roman"/>
          <w:sz w:val="24"/>
          <w:szCs w:val="24"/>
          <w:lang w:eastAsia="sk-SK"/>
        </w:rPr>
        <w:t xml:space="preserve"> </w:t>
      </w:r>
      <w:r w:rsidR="0075602A" w:rsidRPr="0075602A">
        <w:rPr>
          <w:rFonts w:ascii="Times New Roman" w:eastAsia="Times New Roman" w:hAnsi="Times New Roman" w:cs="Times New Roman"/>
          <w:sz w:val="24"/>
          <w:szCs w:val="24"/>
          <w:lang w:eastAsia="sk-SK"/>
        </w:rPr>
        <w:t>podľa zákona č. 305/2005 Z. z. o sociálnoprávnej ochrane detí a sociálnej kuratele a o zmene a doplnení niektorých zákonov v znení neskorších predpisov.</w:t>
      </w:r>
    </w:p>
    <w:p w:rsidR="0075602A" w:rsidRPr="0075602A" w:rsidRDefault="0075602A" w:rsidP="0075602A">
      <w:pPr>
        <w:spacing w:after="0" w:line="240" w:lineRule="auto"/>
        <w:jc w:val="both"/>
        <w:rPr>
          <w:rFonts w:ascii="Times New Roman" w:eastAsia="Times New Roman" w:hAnsi="Times New Roman" w:cs="Times New Roman"/>
          <w:sz w:val="24"/>
          <w:szCs w:val="24"/>
          <w:lang w:eastAsia="sk-SK"/>
        </w:rPr>
      </w:pPr>
    </w:p>
    <w:p w:rsidR="0075602A" w:rsidRPr="0075602A" w:rsidRDefault="00DD5E14" w:rsidP="0075602A">
      <w:pPr>
        <w:spacing w:after="24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6</w:t>
      </w:r>
    </w:p>
    <w:p w:rsidR="0075602A" w:rsidRPr="0075602A" w:rsidRDefault="0075602A" w:rsidP="0075602A">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lastRenderedPageBreak/>
        <w:t>Navrhovaným ustanovením sa rozširuje pôsobnosť ministerstva vnútra na účel zlepšenia ochrany, podpory a pomoci obetiam kriminality a inej protispoločenskej činnosti. Ministerstvo vnútra bude vykonávať túto pôsobnosť prostredníctvom informačných kancelárií pre obete, ktorých postavenie a činnosti sú bližšie upravené v novelizačnom </w:t>
      </w:r>
      <w:r w:rsidR="00DD5E14">
        <w:rPr>
          <w:rFonts w:ascii="Times New Roman" w:eastAsia="Times New Roman" w:hAnsi="Times New Roman" w:cs="Times New Roman"/>
          <w:sz w:val="24"/>
          <w:szCs w:val="24"/>
          <w:lang w:eastAsia="sk-SK"/>
        </w:rPr>
        <w:t>bode 9</w:t>
      </w:r>
      <w:r w:rsidRPr="0075602A">
        <w:rPr>
          <w:rFonts w:ascii="Times New Roman" w:eastAsia="Times New Roman" w:hAnsi="Times New Roman" w:cs="Times New Roman"/>
          <w:sz w:val="24"/>
          <w:szCs w:val="24"/>
          <w:lang w:eastAsia="sk-SK"/>
        </w:rPr>
        <w:t xml:space="preserve"> (§ 7a).</w:t>
      </w:r>
    </w:p>
    <w:p w:rsidR="0075602A" w:rsidRPr="0075602A" w:rsidRDefault="00DD5E14" w:rsidP="0075602A">
      <w:pPr>
        <w:spacing w:after="24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7</w:t>
      </w:r>
    </w:p>
    <w:p w:rsidR="0075602A" w:rsidRPr="0075602A" w:rsidRDefault="0075602A" w:rsidP="0075602A">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Navrhovaným znením § 7 ods. 2 sa deklaruje skutočnosť, že ministerstvo vnútra spracúva a poskytuje osobné údaje o páchateľoch a obetiach kriminality a inej protispoločenskej činnosti v rozsahu uvedenom v zákone na účel prevencie kriminality a inej protispoločenskej činnosti v súlade s osobitnými predpismi, ktoré sú vymedzené príkladmo v po</w:t>
      </w:r>
      <w:r w:rsidR="005516FD">
        <w:rPr>
          <w:rFonts w:ascii="Times New Roman" w:eastAsia="Times New Roman" w:hAnsi="Times New Roman" w:cs="Times New Roman"/>
          <w:sz w:val="24"/>
          <w:szCs w:val="24"/>
          <w:lang w:eastAsia="sk-SK"/>
        </w:rPr>
        <w:t>známke pod čiarou k odkazu č. 1a</w:t>
      </w:r>
      <w:r w:rsidRPr="0075602A">
        <w:rPr>
          <w:rFonts w:ascii="Times New Roman" w:eastAsia="Times New Roman" w:hAnsi="Times New Roman" w:cs="Times New Roman"/>
          <w:sz w:val="24"/>
          <w:szCs w:val="24"/>
          <w:lang w:eastAsia="sk-SK"/>
        </w:rPr>
        <w:t>).</w:t>
      </w:r>
    </w:p>
    <w:p w:rsidR="0075602A" w:rsidRPr="0075602A" w:rsidRDefault="00DD5E14" w:rsidP="0075602A">
      <w:pPr>
        <w:spacing w:after="24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8</w:t>
      </w:r>
    </w:p>
    <w:p w:rsidR="0075602A" w:rsidRPr="0075602A" w:rsidRDefault="0075602A" w:rsidP="0075602A">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Ustanovenie § 7 ods. 3 určuje obligatórnu právnu formu Informačného centra na boj proti obchodovaniu s ľuďmi a prevenciu kriminality. Vypustenie predmetného odseku predstavuje pre ministerstvo vnútra širší priestor v rámci rozhodovania, akým spôsobom a prostredníctvom akej organizačnej zložky bude zabezpečovať úlohy vyplývajúce zo zákona. Informačné centrum bolo zriadené ministerstvom vnútra v súlade s jeho organizačnými zásadami, t. j. výslovným ustanovením v organizačnom poriadku ministerstva vnútra, ktorý predstavuje základný vnútorný organizačný predpis vychádzajúci z pôsobnosti, ktorá je ministerstvu daná zákonom č. 575/2001 Z. z. o organizácií činnosti vlády a ústrednej štátnej správy v znení neskorších predpisov a inými osobitnými predpismi. Ministerstvo vnútra bude aj naďalej uskutočňovať zákonom ustanovený výkon pôsobnosti bez zmeny jeho rozsahu. Zároveň, vypustenie predmetného ustanovenia nebude mať žiaden priamy dopad na existenciu Informačného centra na boj proti obchodovaniu s ľuďmi a prevenciu kriminality.</w:t>
      </w:r>
    </w:p>
    <w:p w:rsidR="0075602A" w:rsidRPr="0075602A" w:rsidRDefault="00DD5E14" w:rsidP="0075602A">
      <w:pPr>
        <w:spacing w:after="24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K bodu 9</w:t>
      </w:r>
    </w:p>
    <w:p w:rsidR="0075602A" w:rsidRPr="0075602A" w:rsidRDefault="0075602A" w:rsidP="0075602A">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Informačné kancelárie pre obete  sú zriadené od roku 2018 na základe národného projektu s názvom „Zlepšenie prístupu obetí trestných činov k službám a vytvorenie kontaktných bodov pre obete</w:t>
      </w:r>
      <w:r w:rsidR="00DE18C1">
        <w:rPr>
          <w:rFonts w:ascii="Times New Roman" w:eastAsia="Times New Roman" w:hAnsi="Times New Roman" w:cs="Times New Roman"/>
          <w:sz w:val="24"/>
          <w:szCs w:val="24"/>
          <w:lang w:eastAsia="sk-SK"/>
        </w:rPr>
        <w:t>“.</w:t>
      </w:r>
      <w:r w:rsidR="00DE18C1" w:rsidRPr="00DE18C1">
        <w:rPr>
          <w:rFonts w:ascii="Times New Roman" w:eastAsia="Times New Roman" w:hAnsi="Times New Roman" w:cs="Times New Roman"/>
          <w:sz w:val="28"/>
          <w:szCs w:val="24"/>
          <w:lang w:eastAsia="sk-SK"/>
        </w:rPr>
        <w:t xml:space="preserve"> </w:t>
      </w:r>
      <w:r w:rsidR="00DE18C1" w:rsidRPr="00DE18C1">
        <w:rPr>
          <w:rFonts w:ascii="Times New Roman" w:hAnsi="Times New Roman" w:cs="Times New Roman"/>
          <w:sz w:val="24"/>
          <w:szCs w:val="24"/>
        </w:rPr>
        <w:t xml:space="preserve">V súčasnosti je národný projekt v procese predĺženia, pričom sa predpokladá, že financovanie aktivít bude zabezpečené z Európskeho sociálneho fondu do 31. decembra 2023. </w:t>
      </w:r>
      <w:r w:rsidRPr="00DE18C1">
        <w:rPr>
          <w:rFonts w:ascii="Times New Roman" w:eastAsia="Times New Roman" w:hAnsi="Times New Roman" w:cs="Times New Roman"/>
          <w:sz w:val="28"/>
          <w:szCs w:val="24"/>
          <w:lang w:eastAsia="sk-SK"/>
        </w:rPr>
        <w:t xml:space="preserve"> </w:t>
      </w:r>
    </w:p>
    <w:p w:rsidR="0075602A" w:rsidRPr="0036381E" w:rsidRDefault="0075602A" w:rsidP="0036381E">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 xml:space="preserve">Obete trestných činov využívajú informačné kancelárie pre obete vo veľkej miere. </w:t>
      </w:r>
      <w:r w:rsidRPr="0075602A">
        <w:rPr>
          <w:rFonts w:ascii="Times New Roman" w:eastAsia="Times New Roman" w:hAnsi="Times New Roman" w:cs="Times New Roman"/>
          <w:sz w:val="24"/>
          <w:szCs w:val="20"/>
          <w:lang w:eastAsia="sk-SK"/>
        </w:rPr>
        <w:t xml:space="preserve">V období december 2018 až december 2021 poskytli informačné kancelárie pomoc </w:t>
      </w:r>
      <w:r w:rsidRPr="0075602A">
        <w:rPr>
          <w:rFonts w:ascii="Times New Roman" w:eastAsia="Times New Roman" w:hAnsi="Times New Roman" w:cs="Times New Roman"/>
          <w:color w:val="000000"/>
          <w:sz w:val="24"/>
          <w:szCs w:val="20"/>
          <w:lang w:eastAsia="sk-SK"/>
        </w:rPr>
        <w:t xml:space="preserve">spolu </w:t>
      </w:r>
      <w:r w:rsidRPr="0075602A">
        <w:rPr>
          <w:rFonts w:ascii="Times New Roman" w:eastAsia="Times New Roman" w:hAnsi="Times New Roman" w:cs="Times New Roman"/>
          <w:b/>
          <w:color w:val="000000"/>
          <w:sz w:val="24"/>
          <w:szCs w:val="20"/>
          <w:lang w:eastAsia="sk-SK"/>
        </w:rPr>
        <w:t>1816 klientom</w:t>
      </w:r>
      <w:r w:rsidRPr="0075602A">
        <w:rPr>
          <w:rFonts w:ascii="Times New Roman" w:eastAsia="Times New Roman" w:hAnsi="Times New Roman" w:cs="Times New Roman"/>
          <w:color w:val="000000"/>
          <w:sz w:val="24"/>
          <w:szCs w:val="20"/>
          <w:lang w:eastAsia="sk-SK"/>
        </w:rPr>
        <w:t xml:space="preserve">. Rapídny nárast klientov bol zaznamenaný v roku </w:t>
      </w:r>
      <w:r w:rsidRPr="0075602A">
        <w:rPr>
          <w:rFonts w:ascii="Times New Roman" w:eastAsia="Times New Roman" w:hAnsi="Times New Roman" w:cs="Times New Roman"/>
          <w:b/>
          <w:color w:val="000000"/>
          <w:sz w:val="24"/>
          <w:szCs w:val="20"/>
          <w:lang w:eastAsia="sk-SK"/>
        </w:rPr>
        <w:t>2021 (1 056 klientov)</w:t>
      </w:r>
      <w:r w:rsidRPr="0075602A">
        <w:rPr>
          <w:rFonts w:ascii="Times New Roman" w:eastAsia="Times New Roman" w:hAnsi="Times New Roman" w:cs="Times New Roman"/>
          <w:color w:val="000000"/>
          <w:sz w:val="24"/>
          <w:szCs w:val="20"/>
          <w:lang w:eastAsia="sk-SK"/>
        </w:rPr>
        <w:t xml:space="preserve">, čo tvorí nárast klientov o </w:t>
      </w:r>
      <w:r w:rsidRPr="0075602A">
        <w:rPr>
          <w:rFonts w:ascii="Times New Roman" w:eastAsia="Times New Roman" w:hAnsi="Times New Roman" w:cs="Times New Roman"/>
          <w:b/>
          <w:color w:val="000000"/>
          <w:sz w:val="24"/>
          <w:szCs w:val="20"/>
          <w:lang w:eastAsia="sk-SK"/>
        </w:rPr>
        <w:t>134,7 %</w:t>
      </w:r>
      <w:r w:rsidRPr="0075602A">
        <w:rPr>
          <w:rFonts w:ascii="Times New Roman" w:eastAsia="Times New Roman" w:hAnsi="Times New Roman" w:cs="Times New Roman"/>
          <w:color w:val="000000"/>
          <w:sz w:val="24"/>
          <w:szCs w:val="20"/>
          <w:lang w:eastAsia="sk-SK"/>
        </w:rPr>
        <w:t xml:space="preserve"> oproti roku </w:t>
      </w:r>
      <w:r w:rsidRPr="0075602A">
        <w:rPr>
          <w:rFonts w:ascii="Times New Roman" w:eastAsia="Times New Roman" w:hAnsi="Times New Roman" w:cs="Times New Roman"/>
          <w:b/>
          <w:color w:val="000000"/>
          <w:sz w:val="24"/>
          <w:szCs w:val="20"/>
          <w:lang w:eastAsia="sk-SK"/>
        </w:rPr>
        <w:t>2020</w:t>
      </w:r>
      <w:r w:rsidRPr="0075602A">
        <w:rPr>
          <w:rFonts w:ascii="Times New Roman" w:eastAsia="Times New Roman" w:hAnsi="Times New Roman" w:cs="Times New Roman"/>
          <w:color w:val="000000"/>
          <w:sz w:val="24"/>
          <w:szCs w:val="20"/>
          <w:lang w:eastAsia="sk-SK"/>
        </w:rPr>
        <w:t>, na porovnanie v roku 2020 bol zaznamenaný nárast klientov o </w:t>
      </w:r>
      <w:r w:rsidRPr="0075602A">
        <w:rPr>
          <w:rFonts w:ascii="Times New Roman" w:eastAsia="Times New Roman" w:hAnsi="Times New Roman" w:cs="Times New Roman"/>
          <w:b/>
          <w:color w:val="000000"/>
          <w:sz w:val="24"/>
          <w:szCs w:val="20"/>
          <w:lang w:eastAsia="sk-SK"/>
        </w:rPr>
        <w:t>48 %</w:t>
      </w:r>
      <w:r w:rsidRPr="0075602A">
        <w:rPr>
          <w:rFonts w:ascii="Times New Roman" w:eastAsia="Times New Roman" w:hAnsi="Times New Roman" w:cs="Times New Roman"/>
          <w:color w:val="000000"/>
          <w:sz w:val="24"/>
          <w:szCs w:val="20"/>
          <w:lang w:eastAsia="sk-SK"/>
        </w:rPr>
        <w:t xml:space="preserve"> oproti roku 2019.</w:t>
      </w:r>
    </w:p>
    <w:p w:rsidR="0075602A" w:rsidRPr="0075602A" w:rsidRDefault="0075602A" w:rsidP="0075602A">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Zriadením informačných kancelárií pre obete dochádza aj k naplneniu čl. 8 ods. 4 smernice Európskeho parlamentu a Rady 2012/29/EÚ z 25. októbra 2012, ktorou sa stanovujú minimálne normy v oblasti práv, podpory a ochrany obetí trestných činov a ktorou sa nahrádza rámcové rozhodnutie Rady 2001/220/SVV (Ú. v. EÚ L 315/</w:t>
      </w:r>
      <w:r w:rsidRPr="000E556F">
        <w:rPr>
          <w:rFonts w:ascii="Times New Roman" w:eastAsia="Times New Roman" w:hAnsi="Times New Roman" w:cs="Times New Roman"/>
          <w:sz w:val="24"/>
          <w:szCs w:val="24"/>
          <w:lang w:eastAsia="sk-SK"/>
        </w:rPr>
        <w:t>57, 14.11. 2012).</w:t>
      </w:r>
    </w:p>
    <w:p w:rsidR="0075602A" w:rsidRPr="0075602A" w:rsidRDefault="0075602A" w:rsidP="0075602A">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 xml:space="preserve">Informačné kancelárie pre obete budú súčasťou organizačnej štruktúry ministerstva vnútra. Je potrebné ich efektívne teritoriálne usporiadať pokrývajúc celé územie Slovenskej republiky tak, aby nimi poskytované služby boli skutočne dostupné a hospodárne. Sídlo informačných kancelárií pre obete sa navrhuje spravidla v okresnom úrade v sídle kraja. </w:t>
      </w:r>
      <w:r w:rsidRPr="0075602A">
        <w:rPr>
          <w:rFonts w:ascii="Times New Roman" w:eastAsia="Times New Roman" w:hAnsi="Times New Roman" w:cs="Times New Roman"/>
          <w:sz w:val="24"/>
          <w:szCs w:val="24"/>
          <w:lang w:eastAsia="sk-SK"/>
        </w:rPr>
        <w:lastRenderedPageBreak/>
        <w:t>Štruktúra rozmiestnenia informačných kancelárií pre obete sa tak môže prispôsobovať aktuálnym potrebám spoločnosti, ktoré sa v budúcnosti môžu meniť.</w:t>
      </w:r>
    </w:p>
    <w:p w:rsidR="0075602A" w:rsidRPr="0075602A" w:rsidRDefault="0075602A" w:rsidP="0075602A">
      <w:pPr>
        <w:spacing w:after="240" w:line="240" w:lineRule="auto"/>
        <w:ind w:firstLine="708"/>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 xml:space="preserve">Zároveň sa ustanovuje rozsah služieb poskytovaných informačnými kanceláriami pre obete tak, aby došlo k prepojeniu a k vytvoreniu homogénneho celku so subjektami poskytujúcimi pomoc obetiam a akreditovanými subjektami, ktoré poskytujú pomoc obetiam podľa zákona č. 274/2017 Z. z. o obetiach trestných činov a o zmene a doplnení niektorých zákonov v znení neskorších predpisov. </w:t>
      </w:r>
    </w:p>
    <w:p w:rsidR="0075602A" w:rsidRPr="0075602A" w:rsidRDefault="0075602A" w:rsidP="0075602A">
      <w:pPr>
        <w:spacing w:after="240" w:line="240" w:lineRule="auto"/>
        <w:jc w:val="both"/>
        <w:rPr>
          <w:rFonts w:ascii="Times New Roman" w:eastAsia="Times New Roman" w:hAnsi="Times New Roman" w:cs="Times New Roman"/>
          <w:color w:val="FF0000"/>
          <w:sz w:val="24"/>
          <w:szCs w:val="24"/>
          <w:lang w:eastAsia="sk-SK"/>
        </w:rPr>
      </w:pPr>
      <w:r w:rsidRPr="0075602A">
        <w:rPr>
          <w:rFonts w:ascii="Times New Roman" w:eastAsia="Times New Roman" w:hAnsi="Times New Roman" w:cs="Times New Roman"/>
          <w:b/>
          <w:sz w:val="24"/>
          <w:szCs w:val="24"/>
          <w:lang w:eastAsia="sk-SK"/>
        </w:rPr>
        <w:tab/>
      </w:r>
      <w:r w:rsidRPr="0075602A">
        <w:rPr>
          <w:rFonts w:ascii="Times New Roman" w:eastAsia="Times New Roman" w:hAnsi="Times New Roman" w:cs="Times New Roman"/>
          <w:color w:val="000000"/>
          <w:sz w:val="24"/>
          <w:szCs w:val="24"/>
          <w:lang w:eastAsia="sk-SK"/>
        </w:rPr>
        <w:t xml:space="preserve">Služby poskytované informačnými kanceláriami pre obete majú predovšetkým informačný charakter a predstavujú určité usmernenia pre obete trestných činov a inej protispoločenskej činnosti. Činnosť informačných kancelárií pre obete spočíva predovšetkým v poskytnutí informácii po individuálnom zvážení potrieb konkrétneho klienta, ako aj vhodného usmernenia, tak aby sa klient následne samostatne a dobrovoľne rozhodol a realizoval ďalšie kroky, ktoré prispejú k riešeniu jeho situácie. Informačné kancelárie pre obete nepredstavujú súčasť orgánov ochrany práva, tak ako napríklad orgány činné v trestnom konaní a súdy, a taktiež nesubstituujú subjekty poskytujúce právne služby. </w:t>
      </w:r>
    </w:p>
    <w:p w:rsidR="0075602A" w:rsidRPr="0075602A" w:rsidRDefault="0075602A" w:rsidP="0075602A">
      <w:pPr>
        <w:spacing w:after="240" w:line="240" w:lineRule="auto"/>
        <w:jc w:val="both"/>
        <w:rPr>
          <w:rFonts w:ascii="Times New Roman" w:eastAsia="Times New Roman" w:hAnsi="Times New Roman" w:cs="Times New Roman"/>
          <w:b/>
          <w:sz w:val="24"/>
          <w:szCs w:val="24"/>
          <w:lang w:eastAsia="sk-SK"/>
        </w:rPr>
      </w:pPr>
      <w:r w:rsidRPr="0075602A">
        <w:rPr>
          <w:rFonts w:ascii="Times New Roman" w:eastAsia="Times New Roman" w:hAnsi="Times New Roman" w:cs="Times New Roman"/>
          <w:b/>
          <w:sz w:val="24"/>
          <w:szCs w:val="24"/>
          <w:lang w:eastAsia="sk-SK"/>
        </w:rPr>
        <w:t>K čl. II</w:t>
      </w:r>
    </w:p>
    <w:p w:rsidR="0075602A" w:rsidRPr="000515D2" w:rsidRDefault="0075602A" w:rsidP="000515D2">
      <w:pPr>
        <w:spacing w:after="120" w:line="240" w:lineRule="auto"/>
        <w:ind w:firstLine="709"/>
        <w:jc w:val="both"/>
        <w:rPr>
          <w:rFonts w:ascii="Times New Roman" w:eastAsia="Times New Roman" w:hAnsi="Times New Roman" w:cs="Times New Roman"/>
          <w:sz w:val="24"/>
          <w:szCs w:val="24"/>
          <w:lang w:eastAsia="sk-SK"/>
        </w:rPr>
      </w:pPr>
      <w:r w:rsidRPr="0075602A">
        <w:rPr>
          <w:rFonts w:ascii="Times New Roman" w:eastAsia="Times New Roman" w:hAnsi="Times New Roman" w:cs="Times New Roman"/>
          <w:sz w:val="24"/>
          <w:szCs w:val="24"/>
          <w:lang w:eastAsia="sk-SK"/>
        </w:rPr>
        <w:t xml:space="preserve">Vzhľadom na potrebnú dĺžku legislatívneho procesu a dostatočnú legisvakanciu sa navrhuje účinnosť zákona </w:t>
      </w:r>
      <w:r w:rsidRPr="000E556F">
        <w:rPr>
          <w:rFonts w:ascii="Times New Roman" w:eastAsia="Times New Roman" w:hAnsi="Times New Roman" w:cs="Times New Roman"/>
          <w:sz w:val="24"/>
          <w:szCs w:val="24"/>
          <w:lang w:eastAsia="sk-SK"/>
        </w:rPr>
        <w:t>od 1. februára 2023.</w:t>
      </w:r>
    </w:p>
    <w:p w:rsidR="000515D2" w:rsidRPr="00666896" w:rsidRDefault="000515D2" w:rsidP="000515D2">
      <w:pPr>
        <w:jc w:val="both"/>
        <w:rPr>
          <w:rFonts w:ascii="Times New Roman" w:hAnsi="Times New Roman" w:cs="Times New Roman"/>
          <w:sz w:val="24"/>
        </w:rPr>
      </w:pPr>
      <w:r w:rsidRPr="00207F9E">
        <w:rPr>
          <w:rFonts w:ascii="Times New Roman" w:hAnsi="Times New Roman" w:cs="Times New Roman"/>
          <w:sz w:val="24"/>
        </w:rPr>
        <w:t>Schválené vládou Sl</w:t>
      </w:r>
      <w:r w:rsidR="000B685B">
        <w:rPr>
          <w:rFonts w:ascii="Times New Roman" w:hAnsi="Times New Roman" w:cs="Times New Roman"/>
          <w:sz w:val="24"/>
        </w:rPr>
        <w:t>ovenskej republiky 28. septembra</w:t>
      </w:r>
      <w:r w:rsidRPr="00207F9E">
        <w:rPr>
          <w:rFonts w:ascii="Times New Roman" w:hAnsi="Times New Roman" w:cs="Times New Roman"/>
          <w:sz w:val="24"/>
        </w:rPr>
        <w:t xml:space="preserve"> 2022.</w:t>
      </w:r>
    </w:p>
    <w:p w:rsidR="000515D2" w:rsidRPr="00666896" w:rsidRDefault="000515D2" w:rsidP="000515D2">
      <w:pPr>
        <w:jc w:val="both"/>
        <w:rPr>
          <w:rFonts w:ascii="Times New Roman" w:hAnsi="Times New Roman" w:cs="Times New Roman"/>
          <w:sz w:val="24"/>
        </w:rPr>
      </w:pPr>
    </w:p>
    <w:p w:rsidR="000515D2" w:rsidRPr="00666896" w:rsidRDefault="000515D2" w:rsidP="000515D2">
      <w:pPr>
        <w:jc w:val="center"/>
        <w:rPr>
          <w:rFonts w:ascii="Times New Roman" w:hAnsi="Times New Roman" w:cs="Times New Roman"/>
          <w:b/>
          <w:bCs/>
          <w:sz w:val="24"/>
        </w:rPr>
      </w:pPr>
      <w:r w:rsidRPr="00666896">
        <w:rPr>
          <w:rFonts w:ascii="Times New Roman" w:hAnsi="Times New Roman" w:cs="Times New Roman"/>
          <w:b/>
          <w:bCs/>
          <w:sz w:val="24"/>
        </w:rPr>
        <w:t>Eduard  H e g e r</w:t>
      </w:r>
      <w:r w:rsidR="00E13AB7">
        <w:rPr>
          <w:rFonts w:ascii="Times New Roman" w:hAnsi="Times New Roman" w:cs="Times New Roman"/>
          <w:b/>
          <w:bCs/>
          <w:sz w:val="24"/>
        </w:rPr>
        <w:t>, v. r.</w:t>
      </w:r>
      <w:bookmarkStart w:id="1" w:name="_GoBack"/>
      <w:bookmarkEnd w:id="1"/>
    </w:p>
    <w:p w:rsidR="000515D2" w:rsidRPr="00666896" w:rsidRDefault="000515D2" w:rsidP="000515D2">
      <w:pPr>
        <w:jc w:val="center"/>
        <w:rPr>
          <w:rFonts w:ascii="Times New Roman" w:hAnsi="Times New Roman" w:cs="Times New Roman"/>
          <w:sz w:val="24"/>
        </w:rPr>
      </w:pPr>
      <w:r w:rsidRPr="00666896">
        <w:rPr>
          <w:rFonts w:ascii="Times New Roman" w:hAnsi="Times New Roman" w:cs="Times New Roman"/>
          <w:sz w:val="24"/>
        </w:rPr>
        <w:t>predseda vlády Slovenskej republiky</w:t>
      </w:r>
    </w:p>
    <w:p w:rsidR="000515D2" w:rsidRPr="00666896" w:rsidRDefault="000515D2" w:rsidP="000515D2">
      <w:pPr>
        <w:jc w:val="center"/>
        <w:rPr>
          <w:rFonts w:ascii="Times New Roman" w:hAnsi="Times New Roman" w:cs="Times New Roman"/>
          <w:sz w:val="24"/>
        </w:rPr>
      </w:pPr>
    </w:p>
    <w:p w:rsidR="000515D2" w:rsidRPr="00666896" w:rsidRDefault="000515D2" w:rsidP="000515D2">
      <w:pPr>
        <w:jc w:val="center"/>
        <w:rPr>
          <w:rFonts w:ascii="Times New Roman" w:hAnsi="Times New Roman" w:cs="Times New Roman"/>
          <w:b/>
          <w:bCs/>
          <w:sz w:val="24"/>
        </w:rPr>
      </w:pPr>
      <w:r w:rsidRPr="00666896">
        <w:rPr>
          <w:rFonts w:ascii="Times New Roman" w:hAnsi="Times New Roman" w:cs="Times New Roman"/>
          <w:b/>
          <w:bCs/>
          <w:sz w:val="24"/>
        </w:rPr>
        <w:t>Roman  M i k u l e c</w:t>
      </w:r>
      <w:r w:rsidR="00E66995">
        <w:rPr>
          <w:rFonts w:ascii="Times New Roman" w:hAnsi="Times New Roman" w:cs="Times New Roman"/>
          <w:b/>
          <w:bCs/>
          <w:sz w:val="24"/>
        </w:rPr>
        <w:t>, v. r.</w:t>
      </w:r>
    </w:p>
    <w:p w:rsidR="000515D2" w:rsidRPr="00E83450" w:rsidRDefault="000515D2" w:rsidP="000515D2">
      <w:pPr>
        <w:rPr>
          <w:rFonts w:ascii="Times New Roman" w:hAnsi="Times New Roman" w:cs="Times New Roman"/>
          <w:sz w:val="24"/>
        </w:rPr>
      </w:pPr>
      <w:r w:rsidRPr="00666896">
        <w:rPr>
          <w:rFonts w:ascii="Times New Roman" w:hAnsi="Times New Roman" w:cs="Times New Roman"/>
          <w:sz w:val="24"/>
        </w:rPr>
        <w:t>                                              minister vnútra Slovenskej republiky</w:t>
      </w:r>
      <w:r>
        <w:rPr>
          <w:rFonts w:ascii="Times New Roman" w:hAnsi="Times New Roman" w:cs="Times New Roman"/>
          <w:sz w:val="24"/>
        </w:rPr>
        <w:t xml:space="preserve"> </w:t>
      </w:r>
    </w:p>
    <w:p w:rsidR="000515D2" w:rsidRPr="00841AE2" w:rsidRDefault="000515D2" w:rsidP="00787BEB">
      <w:pPr>
        <w:pStyle w:val="Normlnywebov"/>
        <w:spacing w:before="0" w:beforeAutospacing="0" w:after="200" w:afterAutospacing="0"/>
        <w:ind w:firstLine="720"/>
        <w:jc w:val="both"/>
      </w:pPr>
    </w:p>
    <w:sectPr w:rsidR="000515D2" w:rsidRPr="00841AE2">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06" w:rsidRDefault="00053B06" w:rsidP="00753E30">
      <w:pPr>
        <w:spacing w:after="0" w:line="240" w:lineRule="auto"/>
      </w:pPr>
      <w:r>
        <w:separator/>
      </w:r>
    </w:p>
  </w:endnote>
  <w:endnote w:type="continuationSeparator" w:id="0">
    <w:p w:rsidR="00053B06" w:rsidRDefault="00053B06" w:rsidP="00753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D2" w:rsidRDefault="000515D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10</w:t>
    </w:r>
    <w:r>
      <w:rPr>
        <w:rStyle w:val="slostrany"/>
      </w:rPr>
      <w:fldChar w:fldCharType="end"/>
    </w:r>
  </w:p>
  <w:p w:rsidR="000515D2" w:rsidRDefault="000515D2">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D2" w:rsidRPr="00B4134B" w:rsidRDefault="000515D2" w:rsidP="00B4134B">
    <w:pPr>
      <w:pStyle w:val="Pta"/>
      <w:jc w:val="center"/>
      <w:rPr>
        <w:rFonts w:ascii="Times New Roman" w:hAnsi="Times New Roman" w:cs="Times New Roman"/>
      </w:rPr>
    </w:pPr>
    <w:r w:rsidRPr="00B4134B">
      <w:rPr>
        <w:rFonts w:ascii="Times New Roman" w:hAnsi="Times New Roman" w:cs="Times New Roman"/>
      </w:rPr>
      <w:fldChar w:fldCharType="begin"/>
    </w:r>
    <w:r w:rsidRPr="00B4134B">
      <w:rPr>
        <w:rFonts w:ascii="Times New Roman" w:hAnsi="Times New Roman" w:cs="Times New Roman"/>
      </w:rPr>
      <w:instrText>PAGE   \* MERGEFORMAT</w:instrText>
    </w:r>
    <w:r w:rsidRPr="00B4134B">
      <w:rPr>
        <w:rFonts w:ascii="Times New Roman" w:hAnsi="Times New Roman" w:cs="Times New Roman"/>
      </w:rPr>
      <w:fldChar w:fldCharType="separate"/>
    </w:r>
    <w:r w:rsidR="00E13AB7">
      <w:rPr>
        <w:rFonts w:ascii="Times New Roman" w:hAnsi="Times New Roman" w:cs="Times New Roman"/>
        <w:noProof/>
      </w:rPr>
      <w:t>14</w:t>
    </w:r>
    <w:r w:rsidRPr="00B4134B">
      <w:rPr>
        <w:rFonts w:ascii="Times New Roman" w:hAnsi="Times New Roman" w:cs="Times New Roman"/>
      </w:rPr>
      <w:fldChar w:fldCharType="end"/>
    </w:r>
  </w:p>
  <w:p w:rsidR="000515D2" w:rsidRDefault="000515D2">
    <w:pPr>
      <w:pStyle w:val="Pta"/>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D2" w:rsidRDefault="000515D2">
    <w:pPr>
      <w:pStyle w:val="Pta"/>
      <w:jc w:val="right"/>
    </w:pPr>
    <w:r>
      <w:fldChar w:fldCharType="begin"/>
    </w:r>
    <w:r>
      <w:instrText>PAGE   \* MERGEFORMAT</w:instrText>
    </w:r>
    <w:r>
      <w:fldChar w:fldCharType="separate"/>
    </w:r>
    <w:r>
      <w:rPr>
        <w:noProof/>
      </w:rPr>
      <w:t>0</w:t>
    </w:r>
    <w:r>
      <w:fldChar w:fldCharType="end"/>
    </w:r>
  </w:p>
  <w:p w:rsidR="000515D2" w:rsidRDefault="000515D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2163116"/>
      <w:docPartObj>
        <w:docPartGallery w:val="Page Numbers (Bottom of Page)"/>
        <w:docPartUnique/>
      </w:docPartObj>
    </w:sdtPr>
    <w:sdtEndPr/>
    <w:sdtContent>
      <w:p w:rsidR="000515D2" w:rsidRDefault="000515D2">
        <w:pPr>
          <w:pStyle w:val="Pta"/>
          <w:jc w:val="center"/>
        </w:pPr>
        <w:r w:rsidRPr="00B4134B">
          <w:rPr>
            <w:rFonts w:ascii="Times New Roman" w:hAnsi="Times New Roman" w:cs="Times New Roman"/>
            <w:sz w:val="20"/>
            <w:szCs w:val="20"/>
          </w:rPr>
          <w:fldChar w:fldCharType="begin"/>
        </w:r>
        <w:r w:rsidRPr="00B4134B">
          <w:rPr>
            <w:rFonts w:ascii="Times New Roman" w:hAnsi="Times New Roman" w:cs="Times New Roman"/>
            <w:sz w:val="20"/>
            <w:szCs w:val="20"/>
          </w:rPr>
          <w:instrText>PAGE   \* MERGEFORMAT</w:instrText>
        </w:r>
        <w:r w:rsidRPr="00B4134B">
          <w:rPr>
            <w:rFonts w:ascii="Times New Roman" w:hAnsi="Times New Roman" w:cs="Times New Roman"/>
            <w:sz w:val="20"/>
            <w:szCs w:val="20"/>
          </w:rPr>
          <w:fldChar w:fldCharType="separate"/>
        </w:r>
        <w:r w:rsidR="00E13AB7">
          <w:rPr>
            <w:rFonts w:ascii="Times New Roman" w:hAnsi="Times New Roman" w:cs="Times New Roman"/>
            <w:noProof/>
            <w:sz w:val="20"/>
            <w:szCs w:val="20"/>
          </w:rPr>
          <w:t>17</w:t>
        </w:r>
        <w:r w:rsidRPr="00B4134B">
          <w:rPr>
            <w:rFonts w:ascii="Times New Roman" w:hAnsi="Times New Roman" w:cs="Times New Roman"/>
            <w:sz w:val="20"/>
            <w:szCs w:val="20"/>
          </w:rPr>
          <w:fldChar w:fldCharType="end"/>
        </w:r>
      </w:p>
    </w:sdtContent>
  </w:sdt>
  <w:p w:rsidR="000515D2" w:rsidRDefault="000515D2">
    <w:pPr>
      <w:pStyle w:val="Pt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sz w:val="20"/>
      </w:rPr>
    </w:sdtEndPr>
    <w:sdtContent>
      <w:p w:rsidR="000515D2" w:rsidRPr="00B4134B" w:rsidRDefault="000515D2" w:rsidP="00B4134B">
        <w:pPr>
          <w:pStyle w:val="Pta"/>
          <w:jc w:val="center"/>
          <w:rPr>
            <w:rFonts w:ascii="Times New Roman" w:hAnsi="Times New Roman" w:cs="Times New Roman"/>
            <w:sz w:val="20"/>
          </w:rPr>
        </w:pPr>
        <w:r w:rsidRPr="00B4134B">
          <w:rPr>
            <w:rFonts w:ascii="Times New Roman" w:hAnsi="Times New Roman" w:cs="Times New Roman"/>
            <w:sz w:val="20"/>
          </w:rPr>
          <w:fldChar w:fldCharType="begin"/>
        </w:r>
        <w:r w:rsidRPr="00B4134B">
          <w:rPr>
            <w:rFonts w:ascii="Times New Roman" w:hAnsi="Times New Roman" w:cs="Times New Roman"/>
            <w:sz w:val="20"/>
          </w:rPr>
          <w:instrText>PAGE   \* MERGEFORMAT</w:instrText>
        </w:r>
        <w:r w:rsidRPr="00B4134B">
          <w:rPr>
            <w:rFonts w:ascii="Times New Roman" w:hAnsi="Times New Roman" w:cs="Times New Roman"/>
            <w:sz w:val="20"/>
          </w:rPr>
          <w:fldChar w:fldCharType="separate"/>
        </w:r>
        <w:r w:rsidR="00E13AB7">
          <w:rPr>
            <w:rFonts w:ascii="Times New Roman" w:hAnsi="Times New Roman" w:cs="Times New Roman"/>
            <w:noProof/>
            <w:sz w:val="20"/>
          </w:rPr>
          <w:t>19</w:t>
        </w:r>
        <w:r w:rsidRPr="00B4134B">
          <w:rPr>
            <w:rFonts w:ascii="Times New Roman" w:hAnsi="Times New Roman" w:cs="Times New Roman"/>
            <w:sz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3406532"/>
      <w:docPartObj>
        <w:docPartGallery w:val="Page Numbers (Bottom of Page)"/>
        <w:docPartUnique/>
      </w:docPartObj>
    </w:sdtPr>
    <w:sdtEndPr>
      <w:rPr>
        <w:rFonts w:ascii="Times New Roman" w:hAnsi="Times New Roman" w:cs="Times New Roman"/>
        <w:sz w:val="20"/>
      </w:rPr>
    </w:sdtEndPr>
    <w:sdtContent>
      <w:p w:rsidR="000515D2" w:rsidRPr="00B4134B" w:rsidRDefault="000515D2">
        <w:pPr>
          <w:pStyle w:val="Pta"/>
          <w:jc w:val="center"/>
          <w:rPr>
            <w:rFonts w:ascii="Times New Roman" w:hAnsi="Times New Roman" w:cs="Times New Roman"/>
            <w:sz w:val="20"/>
          </w:rPr>
        </w:pPr>
        <w:r w:rsidRPr="00B4134B">
          <w:rPr>
            <w:rFonts w:ascii="Times New Roman" w:hAnsi="Times New Roman" w:cs="Times New Roman"/>
            <w:sz w:val="20"/>
          </w:rPr>
          <w:fldChar w:fldCharType="begin"/>
        </w:r>
        <w:r w:rsidRPr="00B4134B">
          <w:rPr>
            <w:rFonts w:ascii="Times New Roman" w:hAnsi="Times New Roman" w:cs="Times New Roman"/>
            <w:sz w:val="20"/>
          </w:rPr>
          <w:instrText>PAGE   \* MERGEFORMAT</w:instrText>
        </w:r>
        <w:r w:rsidRPr="00B4134B">
          <w:rPr>
            <w:rFonts w:ascii="Times New Roman" w:hAnsi="Times New Roman" w:cs="Times New Roman"/>
            <w:sz w:val="20"/>
          </w:rPr>
          <w:fldChar w:fldCharType="separate"/>
        </w:r>
        <w:r w:rsidR="00E13AB7">
          <w:rPr>
            <w:rFonts w:ascii="Times New Roman" w:hAnsi="Times New Roman" w:cs="Times New Roman"/>
            <w:noProof/>
            <w:sz w:val="20"/>
          </w:rPr>
          <w:t>22</w:t>
        </w:r>
        <w:r w:rsidRPr="00B4134B">
          <w:rPr>
            <w:rFonts w:ascii="Times New Roman" w:hAnsi="Times New Roman" w:cs="Times New Roman"/>
            <w:sz w:val="20"/>
          </w:rPr>
          <w:fldChar w:fldCharType="end"/>
        </w:r>
      </w:p>
    </w:sdtContent>
  </w:sdt>
  <w:p w:rsidR="000515D2" w:rsidRPr="001D6749" w:rsidRDefault="000515D2" w:rsidP="00CD2817">
    <w:pPr>
      <w:pStyle w:val="Pta"/>
      <w:rPr>
        <w:rFonts w:ascii="Times New Roman" w:hAnsi="Times New Roman" w:cs="Times New Roman"/>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1550804"/>
      <w:docPartObj>
        <w:docPartGallery w:val="Page Numbers (Bottom of Page)"/>
        <w:docPartUnique/>
      </w:docPartObj>
    </w:sdtPr>
    <w:sdtEndPr>
      <w:rPr>
        <w:rFonts w:ascii="Times New Roman" w:hAnsi="Times New Roman" w:cs="Times New Roman"/>
        <w:sz w:val="20"/>
      </w:rPr>
    </w:sdtEndPr>
    <w:sdtContent>
      <w:p w:rsidR="00753E30" w:rsidRPr="00753E30" w:rsidRDefault="00753E30">
        <w:pPr>
          <w:pStyle w:val="Pta"/>
          <w:jc w:val="center"/>
          <w:rPr>
            <w:rFonts w:ascii="Times New Roman" w:hAnsi="Times New Roman" w:cs="Times New Roman"/>
            <w:sz w:val="20"/>
          </w:rPr>
        </w:pPr>
        <w:r w:rsidRPr="00753E30">
          <w:rPr>
            <w:rFonts w:ascii="Times New Roman" w:hAnsi="Times New Roman" w:cs="Times New Roman"/>
            <w:sz w:val="20"/>
          </w:rPr>
          <w:fldChar w:fldCharType="begin"/>
        </w:r>
        <w:r w:rsidRPr="00753E30">
          <w:rPr>
            <w:rFonts w:ascii="Times New Roman" w:hAnsi="Times New Roman" w:cs="Times New Roman"/>
            <w:sz w:val="20"/>
          </w:rPr>
          <w:instrText>PAGE   \* MERGEFORMAT</w:instrText>
        </w:r>
        <w:r w:rsidRPr="00753E30">
          <w:rPr>
            <w:rFonts w:ascii="Times New Roman" w:hAnsi="Times New Roman" w:cs="Times New Roman"/>
            <w:sz w:val="20"/>
          </w:rPr>
          <w:fldChar w:fldCharType="separate"/>
        </w:r>
        <w:r w:rsidR="00E13AB7">
          <w:rPr>
            <w:rFonts w:ascii="Times New Roman" w:hAnsi="Times New Roman" w:cs="Times New Roman"/>
            <w:noProof/>
            <w:sz w:val="20"/>
          </w:rPr>
          <w:t>27</w:t>
        </w:r>
        <w:r w:rsidRPr="00753E30">
          <w:rPr>
            <w:rFonts w:ascii="Times New Roman" w:hAnsi="Times New Roman" w:cs="Times New Roman"/>
            <w:sz w:val="20"/>
          </w:rPr>
          <w:fldChar w:fldCharType="end"/>
        </w:r>
      </w:p>
    </w:sdtContent>
  </w:sdt>
  <w:p w:rsidR="00753E30" w:rsidRDefault="00753E3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06" w:rsidRDefault="00053B06" w:rsidP="00753E30">
      <w:pPr>
        <w:spacing w:after="0" w:line="240" w:lineRule="auto"/>
      </w:pPr>
      <w:r>
        <w:separator/>
      </w:r>
    </w:p>
  </w:footnote>
  <w:footnote w:type="continuationSeparator" w:id="0">
    <w:p w:rsidR="00053B06" w:rsidRDefault="00053B06" w:rsidP="00753E30">
      <w:pPr>
        <w:spacing w:after="0" w:line="240" w:lineRule="auto"/>
      </w:pPr>
      <w:r>
        <w:continuationSeparator/>
      </w:r>
    </w:p>
  </w:footnote>
  <w:footnote w:id="1">
    <w:p w:rsidR="000515D2" w:rsidRPr="002B158C" w:rsidRDefault="000515D2" w:rsidP="000515D2">
      <w:pPr>
        <w:pStyle w:val="Textpoznmkypodiarou"/>
        <w:rPr>
          <w:rFonts w:ascii="Times New Roman" w:hAnsi="Times New Roman" w:cs="Times New Roman"/>
        </w:rPr>
      </w:pPr>
      <w:r w:rsidRPr="002B158C">
        <w:rPr>
          <w:rStyle w:val="Odkaznapoznmkupodiarou"/>
          <w:rFonts w:ascii="Times New Roman" w:hAnsi="Times New Roman" w:cs="Times New Roman"/>
        </w:rPr>
        <w:footnoteRef/>
      </w:r>
      <w:r w:rsidRPr="002B158C">
        <w:rPr>
          <w:rFonts w:ascii="Times New Roman" w:hAnsi="Times New Roman" w:cs="Times New Roman"/>
        </w:rPr>
        <w:t xml:space="preserve">Viac informácií na  </w:t>
      </w:r>
      <w:hyperlink r:id="rId1" w:history="1">
        <w:r w:rsidRPr="002B158C">
          <w:rPr>
            <w:rStyle w:val="Hypertextovprepojenie"/>
            <w:rFonts w:ascii="Times New Roman" w:hAnsi="Times New Roman" w:cs="Times New Roman"/>
          </w:rPr>
          <w:t>https://www.bkb.cz/o-nas/poslani-a-cinnost/</w:t>
        </w:r>
      </w:hyperlink>
    </w:p>
  </w:footnote>
  <w:footnote w:id="2">
    <w:p w:rsidR="000515D2" w:rsidRPr="002B158C" w:rsidRDefault="000515D2" w:rsidP="000515D2">
      <w:pPr>
        <w:pStyle w:val="Textpoznmkypodiarou"/>
        <w:rPr>
          <w:rFonts w:ascii="Times New Roman" w:hAnsi="Times New Roman" w:cs="Times New Roman"/>
        </w:rPr>
      </w:pPr>
      <w:r w:rsidRPr="002B158C">
        <w:rPr>
          <w:rStyle w:val="Odkaznapoznmkupodiarou"/>
          <w:rFonts w:ascii="Times New Roman" w:hAnsi="Times New Roman" w:cs="Times New Roman"/>
        </w:rPr>
        <w:footnoteRef/>
      </w:r>
      <w:r w:rsidRPr="002B158C">
        <w:rPr>
          <w:rFonts w:ascii="Times New Roman" w:hAnsi="Times New Roman" w:cs="Times New Roman"/>
        </w:rPr>
        <w:t xml:space="preserve"> Priemer účastníkov na preventívnej aktivite vychádza z výpočtu dát za rok 2020 (128 uskutočnených aktivít s 4 023 účastníkmi) </w:t>
      </w:r>
    </w:p>
  </w:footnote>
  <w:footnote w:id="3">
    <w:p w:rsidR="000515D2" w:rsidRPr="0093227C" w:rsidRDefault="000515D2" w:rsidP="000515D2">
      <w:pPr>
        <w:pStyle w:val="Textpoznmkypodiarou"/>
        <w:rPr>
          <w:rFonts w:ascii="Times New Roman" w:hAnsi="Times New Roman" w:cs="Times New Roman"/>
        </w:rPr>
      </w:pPr>
      <w:r w:rsidRPr="0093227C">
        <w:rPr>
          <w:rStyle w:val="Odkaznapoznmkupodiarou"/>
          <w:rFonts w:ascii="Times New Roman" w:hAnsi="Times New Roman" w:cs="Times New Roman"/>
        </w:rPr>
        <w:footnoteRef/>
      </w:r>
      <w:r w:rsidRPr="0093227C">
        <w:rPr>
          <w:rFonts w:ascii="Times New Roman" w:hAnsi="Times New Roman" w:cs="Times New Roman"/>
        </w:rPr>
        <w:t xml:space="preserve"> V priemere vybavil jeden pracovník IK v mesiaci </w:t>
      </w:r>
      <w:r>
        <w:rPr>
          <w:rFonts w:ascii="Times New Roman" w:hAnsi="Times New Roman" w:cs="Times New Roman"/>
        </w:rPr>
        <w:t>august</w:t>
      </w:r>
      <w:r w:rsidRPr="0093227C">
        <w:rPr>
          <w:rFonts w:ascii="Times New Roman" w:hAnsi="Times New Roman" w:cs="Times New Roman"/>
        </w:rPr>
        <w:t xml:space="preserve"> 2021 celkovo </w:t>
      </w:r>
      <w:r>
        <w:rPr>
          <w:rFonts w:ascii="Times New Roman" w:hAnsi="Times New Roman" w:cs="Times New Roman"/>
        </w:rPr>
        <w:t>6 klientov</w:t>
      </w:r>
    </w:p>
  </w:footnote>
  <w:footnote w:id="4">
    <w:p w:rsidR="000515D2" w:rsidRPr="0093227C" w:rsidRDefault="000515D2" w:rsidP="000515D2">
      <w:pPr>
        <w:pStyle w:val="Textpoznmkypodiarou"/>
        <w:rPr>
          <w:rFonts w:ascii="Times New Roman" w:hAnsi="Times New Roman" w:cs="Times New Roman"/>
        </w:rPr>
      </w:pPr>
      <w:r w:rsidRPr="0093227C">
        <w:rPr>
          <w:rStyle w:val="Odkaznapoznmkupodiarou"/>
          <w:rFonts w:ascii="Times New Roman" w:hAnsi="Times New Roman" w:cs="Times New Roman"/>
        </w:rPr>
        <w:footnoteRef/>
      </w:r>
      <w:r w:rsidRPr="0093227C">
        <w:rPr>
          <w:rFonts w:ascii="Times New Roman" w:hAnsi="Times New Roman" w:cs="Times New Roman"/>
        </w:rPr>
        <w:t xml:space="preserve"> Vo výpočte je zohľadnený aj čas nevyhnutne potrebný na administratívny chod kancelárie a čas, kedy zamestnanec nie je prítomný na pracovisku zo zákonných dôvodov (dovolenka, PN, prekážky v práci a i.)</w:t>
      </w:r>
    </w:p>
  </w:footnote>
  <w:footnote w:id="5">
    <w:p w:rsidR="000515D2" w:rsidRPr="0093227C" w:rsidRDefault="000515D2" w:rsidP="000515D2">
      <w:pPr>
        <w:pStyle w:val="Textpoznmkypodiarou"/>
        <w:rPr>
          <w:rFonts w:ascii="Times New Roman" w:hAnsi="Times New Roman" w:cs="Times New Roman"/>
        </w:rPr>
      </w:pPr>
      <w:r w:rsidRPr="0093227C">
        <w:rPr>
          <w:rStyle w:val="Odkaznapoznmkupodiarou"/>
          <w:rFonts w:ascii="Times New Roman" w:hAnsi="Times New Roman" w:cs="Times New Roman"/>
        </w:rPr>
        <w:footnoteRef/>
      </w:r>
      <w:r w:rsidRPr="0093227C">
        <w:rPr>
          <w:rFonts w:ascii="Times New Roman" w:hAnsi="Times New Roman" w:cs="Times New Roman"/>
        </w:rPr>
        <w:t xml:space="preserve"> Výpočet: 250 klientov/ročne = 250:12 = 20,8:3 = 6,9 klienta mesačne na jedného pracovníka.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D2" w:rsidRDefault="000515D2" w:rsidP="005322FF">
    <w:pPr>
      <w:pStyle w:val="Hlavika"/>
      <w:jc w:val="right"/>
    </w:pPr>
    <w:r>
      <w:t>Príloha č. 2</w:t>
    </w:r>
  </w:p>
  <w:p w:rsidR="000515D2" w:rsidRPr="00EB59C8" w:rsidRDefault="000515D2" w:rsidP="005322FF">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D2" w:rsidRPr="0024067A" w:rsidRDefault="000515D2">
    <w:pPr>
      <w:pStyle w:val="Hlavika"/>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D2" w:rsidRPr="000A15AE" w:rsidRDefault="000515D2" w:rsidP="005322FF">
    <w:pPr>
      <w:pStyle w:val="Hlavika"/>
      <w:jc w:val="right"/>
    </w:pPr>
    <w:r>
      <w:t>Príloha č. 2</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5D2" w:rsidRPr="00433C47" w:rsidRDefault="000515D2"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36231729"/>
    <w:multiLevelType w:val="hybridMultilevel"/>
    <w:tmpl w:val="15108010"/>
    <w:lvl w:ilvl="0" w:tplc="7FC04596">
      <w:start w:val="1"/>
      <w:numFmt w:val="upperLetter"/>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C776C4A"/>
    <w:multiLevelType w:val="hybridMultilevel"/>
    <w:tmpl w:val="522CE26C"/>
    <w:lvl w:ilvl="0" w:tplc="041B0017">
      <w:start w:val="1"/>
      <w:numFmt w:val="lowerLetter"/>
      <w:lvlText w:val="%1)"/>
      <w:lvlJc w:val="left"/>
      <w:pPr>
        <w:ind w:left="644" w:hanging="360"/>
      </w:p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 w15:restartNumberingAfterBreak="0">
    <w:nsid w:val="442C0B4D"/>
    <w:multiLevelType w:val="hybridMultilevel"/>
    <w:tmpl w:val="51F826C8"/>
    <w:lvl w:ilvl="0" w:tplc="2C344C9C">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4"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5C9D4916"/>
    <w:multiLevelType w:val="hybridMultilevel"/>
    <w:tmpl w:val="7FA6860A"/>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6" w15:restartNumberingAfterBreak="0">
    <w:nsid w:val="6C6101B7"/>
    <w:multiLevelType w:val="hybridMultilevel"/>
    <w:tmpl w:val="9392C036"/>
    <w:lvl w:ilvl="0" w:tplc="FB628390">
      <w:start w:val="3"/>
      <w:numFmt w:val="bullet"/>
      <w:lvlText w:val="-"/>
      <w:lvlJc w:val="left"/>
      <w:pPr>
        <w:ind w:left="1074" w:hanging="360"/>
      </w:pPr>
      <w:rPr>
        <w:rFonts w:ascii="Times New Roman" w:eastAsiaTheme="minorHAnsi" w:hAnsi="Times New Roman" w:cs="Times New Roman" w:hint="default"/>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7"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15:restartNumberingAfterBreak="0">
    <w:nsid w:val="74164FC9"/>
    <w:multiLevelType w:val="hybridMultilevel"/>
    <w:tmpl w:val="980EB890"/>
    <w:lvl w:ilvl="0" w:tplc="E91C6BCA">
      <w:start w:val="1"/>
      <w:numFmt w:val="lowerLetter"/>
      <w:lvlText w:val="%1)"/>
      <w:lvlJc w:val="left"/>
      <w:pPr>
        <w:ind w:left="928" w:hanging="360"/>
      </w:pPr>
      <w:rPr>
        <w:rFonts w:cs="Times New Roman"/>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9"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1"/>
  </w:num>
  <w:num w:numId="2">
    <w:abstractNumId w:val="9"/>
  </w:num>
  <w:num w:numId="3">
    <w:abstractNumId w:val="5"/>
  </w:num>
  <w:num w:numId="4">
    <w:abstractNumId w:val="4"/>
  </w:num>
  <w:num w:numId="5">
    <w:abstractNumId w:val="0"/>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7C"/>
    <w:rsid w:val="000515D2"/>
    <w:rsid w:val="00053B06"/>
    <w:rsid w:val="00077B1D"/>
    <w:rsid w:val="00080003"/>
    <w:rsid w:val="000B685B"/>
    <w:rsid w:val="000E556F"/>
    <w:rsid w:val="00145DE5"/>
    <w:rsid w:val="00207F9E"/>
    <w:rsid w:val="0022257C"/>
    <w:rsid w:val="002B79AC"/>
    <w:rsid w:val="002E378B"/>
    <w:rsid w:val="00302B6D"/>
    <w:rsid w:val="00333CE2"/>
    <w:rsid w:val="00362D7D"/>
    <w:rsid w:val="0036381E"/>
    <w:rsid w:val="003710DF"/>
    <w:rsid w:val="00512CD2"/>
    <w:rsid w:val="005516FD"/>
    <w:rsid w:val="005F72B6"/>
    <w:rsid w:val="00753E30"/>
    <w:rsid w:val="0075602A"/>
    <w:rsid w:val="00775AD6"/>
    <w:rsid w:val="00787BEB"/>
    <w:rsid w:val="007C58DB"/>
    <w:rsid w:val="00841AE2"/>
    <w:rsid w:val="008534C6"/>
    <w:rsid w:val="00896B00"/>
    <w:rsid w:val="008A1586"/>
    <w:rsid w:val="008B6148"/>
    <w:rsid w:val="00A978EB"/>
    <w:rsid w:val="00BA58EC"/>
    <w:rsid w:val="00BC0626"/>
    <w:rsid w:val="00C2793C"/>
    <w:rsid w:val="00CE1EE8"/>
    <w:rsid w:val="00D04FA7"/>
    <w:rsid w:val="00D30F2C"/>
    <w:rsid w:val="00D45CBF"/>
    <w:rsid w:val="00DA440B"/>
    <w:rsid w:val="00DD5E14"/>
    <w:rsid w:val="00DE18C1"/>
    <w:rsid w:val="00E13AB7"/>
    <w:rsid w:val="00E3300D"/>
    <w:rsid w:val="00E66995"/>
    <w:rsid w:val="00ED1233"/>
    <w:rsid w:val="00F06C40"/>
    <w:rsid w:val="00FA72C0"/>
    <w:rsid w:val="00FF303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C0F0"/>
  <w15:chartTrackingRefBased/>
  <w15:docId w15:val="{DFC2163B-DBDF-493F-9E49-417F1398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77B1D"/>
    <w:pPr>
      <w:spacing w:after="200" w:line="276" w:lineRule="auto"/>
    </w:pPr>
    <w:rPr>
      <w:rFonts w:asciiTheme="minorHAnsi" w:eastAsiaTheme="minorEastAsia" w:hAnsiTheme="minorHAnsi" w:cstheme="minorBidi"/>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077B1D"/>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Textbubliny">
    <w:name w:val="Balloon Text"/>
    <w:basedOn w:val="Normlny"/>
    <w:link w:val="TextbublinyChar"/>
    <w:uiPriority w:val="99"/>
    <w:semiHidden/>
    <w:unhideWhenUsed/>
    <w:rsid w:val="00FF3031"/>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031"/>
    <w:rPr>
      <w:rFonts w:ascii="Segoe UI" w:eastAsiaTheme="minorEastAsia" w:hAnsi="Segoe UI" w:cs="Segoe UI"/>
      <w:sz w:val="18"/>
      <w:szCs w:val="18"/>
    </w:rPr>
  </w:style>
  <w:style w:type="paragraph" w:styleId="Odsekzoznamu">
    <w:name w:val="List Paragraph"/>
    <w:basedOn w:val="Normlny"/>
    <w:uiPriority w:val="34"/>
    <w:qFormat/>
    <w:rsid w:val="002B79AC"/>
    <w:pPr>
      <w:ind w:left="720"/>
      <w:contextualSpacing/>
    </w:pPr>
  </w:style>
  <w:style w:type="paragraph" w:styleId="Hlavika">
    <w:name w:val="header"/>
    <w:basedOn w:val="Normlny"/>
    <w:link w:val="HlavikaChar"/>
    <w:uiPriority w:val="99"/>
    <w:unhideWhenUsed/>
    <w:rsid w:val="00753E3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53E30"/>
    <w:rPr>
      <w:rFonts w:asciiTheme="minorHAnsi" w:eastAsiaTheme="minorEastAsia" w:hAnsiTheme="minorHAnsi" w:cstheme="minorBidi"/>
      <w:sz w:val="22"/>
    </w:rPr>
  </w:style>
  <w:style w:type="paragraph" w:styleId="Pta">
    <w:name w:val="footer"/>
    <w:basedOn w:val="Normlny"/>
    <w:link w:val="PtaChar"/>
    <w:uiPriority w:val="99"/>
    <w:unhideWhenUsed/>
    <w:rsid w:val="00753E30"/>
    <w:pPr>
      <w:tabs>
        <w:tab w:val="center" w:pos="4536"/>
        <w:tab w:val="right" w:pos="9072"/>
      </w:tabs>
      <w:spacing w:after="0" w:line="240" w:lineRule="auto"/>
    </w:pPr>
  </w:style>
  <w:style w:type="character" w:customStyle="1" w:styleId="PtaChar">
    <w:name w:val="Päta Char"/>
    <w:basedOn w:val="Predvolenpsmoodseku"/>
    <w:link w:val="Pta"/>
    <w:uiPriority w:val="99"/>
    <w:rsid w:val="00753E30"/>
    <w:rPr>
      <w:rFonts w:asciiTheme="minorHAnsi" w:eastAsiaTheme="minorEastAsia" w:hAnsiTheme="minorHAnsi" w:cstheme="minorBidi"/>
      <w:sz w:val="22"/>
    </w:rPr>
  </w:style>
  <w:style w:type="numbering" w:customStyle="1" w:styleId="Bezzoznamu1">
    <w:name w:val="Bez zoznamu1"/>
    <w:next w:val="Bezzoznamu"/>
    <w:uiPriority w:val="99"/>
    <w:semiHidden/>
    <w:unhideWhenUsed/>
    <w:rsid w:val="000515D2"/>
  </w:style>
  <w:style w:type="table" w:customStyle="1" w:styleId="Mriekatabuky1">
    <w:name w:val="Mriežka tabuľky1"/>
    <w:basedOn w:val="Normlnatabuka"/>
    <w:next w:val="Mriekatabuky"/>
    <w:uiPriority w:val="59"/>
    <w:rsid w:val="000515D2"/>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prepojenie">
    <w:name w:val="Hyperlink"/>
    <w:basedOn w:val="Predvolenpsmoodseku"/>
    <w:uiPriority w:val="99"/>
    <w:unhideWhenUsed/>
    <w:rsid w:val="000515D2"/>
    <w:rPr>
      <w:color w:val="0563C1" w:themeColor="hyperlink"/>
      <w:u w:val="single"/>
    </w:rPr>
  </w:style>
  <w:style w:type="character" w:customStyle="1" w:styleId="awspan">
    <w:name w:val="awspan"/>
    <w:basedOn w:val="Predvolenpsmoodseku"/>
    <w:rsid w:val="000515D2"/>
  </w:style>
  <w:style w:type="table" w:styleId="Mriekatabuky">
    <w:name w:val="Table Grid"/>
    <w:basedOn w:val="Normlnatabuka"/>
    <w:uiPriority w:val="39"/>
    <w:rsid w:val="000515D2"/>
    <w:pPr>
      <w:spacing w:after="0" w:line="240" w:lineRule="auto"/>
    </w:pPr>
    <w:rPr>
      <w:rFonts w:asciiTheme="minorHAnsi" w:hAnsiTheme="minorHAnsi" w:cstheme="minorBid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uiPriority w:val="99"/>
    <w:rsid w:val="000515D2"/>
    <w:rPr>
      <w:rFonts w:cs="Times New Roman"/>
    </w:rPr>
  </w:style>
  <w:style w:type="paragraph" w:styleId="Textpoznmkypodiarou">
    <w:name w:val="footnote text"/>
    <w:basedOn w:val="Normlny"/>
    <w:link w:val="TextpoznmkypodiarouChar"/>
    <w:uiPriority w:val="99"/>
    <w:semiHidden/>
    <w:unhideWhenUsed/>
    <w:rsid w:val="000515D2"/>
    <w:pPr>
      <w:spacing w:after="0" w:line="240" w:lineRule="auto"/>
    </w:pPr>
    <w:rPr>
      <w:rFonts w:eastAsiaTheme="minorHAnsi"/>
      <w:sz w:val="20"/>
      <w:szCs w:val="20"/>
    </w:rPr>
  </w:style>
  <w:style w:type="character" w:customStyle="1" w:styleId="TextpoznmkypodiarouChar">
    <w:name w:val="Text poznámky pod čiarou Char"/>
    <w:basedOn w:val="Predvolenpsmoodseku"/>
    <w:link w:val="Textpoznmkypodiarou"/>
    <w:uiPriority w:val="99"/>
    <w:semiHidden/>
    <w:rsid w:val="000515D2"/>
    <w:rPr>
      <w:rFonts w:asciiTheme="minorHAnsi" w:hAnsiTheme="minorHAnsi" w:cstheme="minorBidi"/>
      <w:sz w:val="20"/>
      <w:szCs w:val="20"/>
    </w:rPr>
  </w:style>
  <w:style w:type="character" w:styleId="Odkaznapoznmkupodiarou">
    <w:name w:val="footnote reference"/>
    <w:basedOn w:val="Predvolenpsmoodseku"/>
    <w:uiPriority w:val="99"/>
    <w:semiHidden/>
    <w:unhideWhenUsed/>
    <w:rsid w:val="000515D2"/>
    <w:rPr>
      <w:vertAlign w:val="superscript"/>
    </w:rPr>
  </w:style>
  <w:style w:type="table" w:styleId="Tabukasmriekou1svetl">
    <w:name w:val="Grid Table 1 Light"/>
    <w:basedOn w:val="Normlnatabuka"/>
    <w:uiPriority w:val="46"/>
    <w:rsid w:val="000515D2"/>
    <w:pPr>
      <w:spacing w:after="0" w:line="240" w:lineRule="auto"/>
    </w:pPr>
    <w:rPr>
      <w:rFonts w:asciiTheme="minorHAnsi" w:hAnsiTheme="minorHAnsi" w:cstheme="minorBidi"/>
      <w:sz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592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iam.kalinak@minv.sk"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lex.europa.eu/legal-content/SK/TXT/?uri=NIM:140876&amp;qid=1547539572457"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barbora.minarova@minv.sk" TargetMode="External"/><Relationship Id="rId12" Type="http://schemas.openxmlformats.org/officeDocument/2006/relationships/chart" Target="charts/chart4.xml"/><Relationship Id="rId17" Type="http://schemas.openxmlformats.org/officeDocument/2006/relationships/header" Target="header3.xml"/><Relationship Id="rId25" Type="http://schemas.openxmlformats.org/officeDocument/2006/relationships/hyperlink" Target="https://eur-lex.europa.eu/legal-content/SK/TXT/?uri=NIM:130897&amp;qid=1547540498564"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yperlink" Target="https://eur-lex.europa.eu/legal-content/SK/TXT/?uri=NIM:27718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hyperlink" Target="https://eur-lex.europa.eu/legal-content/SK/TXT/?uri=NIM:140876&amp;qid=1547539572457"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eur-lex.europa.eu/legal-content/SK/TXT/?uri=NIM:140876&amp;qid=1547539572457" TargetMode="External"/><Relationship Id="rId28" Type="http://schemas.openxmlformats.org/officeDocument/2006/relationships/hyperlink" Target="https://eur-lex.europa.eu/legal-content/SK/TXT/?uri=NIM:130897&amp;qid=1547540498564" TargetMode="External"/><Relationship Id="rId10" Type="http://schemas.openxmlformats.org/officeDocument/2006/relationships/chart" Target="charts/chart2.xml"/><Relationship Id="rId19" Type="http://schemas.openxmlformats.org/officeDocument/2006/relationships/footer" Target="footer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yperlink" Target="https://eur-lex.europa.eu/legal-content/SK/TXT/?uri=NIM:140876&amp;qid=1547539572457" TargetMode="External"/><Relationship Id="rId30"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s://www.bkb.cz/o-nas/poslani-a-cinnos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jurinyi2735231\Desktop\V&#253;sledky%20projektu\Preh&#318;ad%20klientov%20+%20deta&#353;ovan&#233;.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Deveckova2735416\Desktop\Preh&#318;ad%20klientov2%20+%20deta&#353;ovan&#233;.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Users\jurinyi2735231\Desktop\V&#253;sledky%20projektu\Preh&#318;ad%20klientov%20+%20deta&#353;ovan&#233;.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Users\jurinyi2735231\Desktop\V&#253;sledky%20projektu\Preh&#318;ad%20klientov%20+%20deta&#353;ovan&#23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[Prehľad klientov + detašované.xlsx]Hárok3!Kontingenčná tabuľka5</c:name>
    <c:fmtId val="-1"/>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k-SK" b="1"/>
              <a:t>Vývoj počtu klientov</a:t>
            </a:r>
            <a:endParaRPr lang="en-US"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k-SK"/>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Hárok3!$D$12</c:f>
              <c:strCache>
                <c:ptCount val="1"/>
                <c:pt idx="0">
                  <c:v>Celková hodnota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Hárok3!$C$13:$C$17</c:f>
              <c:strCache>
                <c:ptCount val="4"/>
                <c:pt idx="0">
                  <c:v>2021</c:v>
                </c:pt>
                <c:pt idx="1">
                  <c:v>2020</c:v>
                </c:pt>
                <c:pt idx="2">
                  <c:v>2019</c:v>
                </c:pt>
                <c:pt idx="3">
                  <c:v>2018</c:v>
                </c:pt>
              </c:strCache>
            </c:strRef>
          </c:cat>
          <c:val>
            <c:numRef>
              <c:f>Hárok3!$D$13:$D$17</c:f>
              <c:numCache>
                <c:formatCode>General</c:formatCode>
                <c:ptCount val="4"/>
                <c:pt idx="0">
                  <c:v>1056</c:v>
                </c:pt>
                <c:pt idx="1">
                  <c:v>450</c:v>
                </c:pt>
                <c:pt idx="2">
                  <c:v>304</c:v>
                </c:pt>
                <c:pt idx="3">
                  <c:v>6</c:v>
                </c:pt>
              </c:numCache>
            </c:numRef>
          </c:val>
          <c:extLst>
            <c:ext xmlns:c16="http://schemas.microsoft.com/office/drawing/2014/chart" uri="{C3380CC4-5D6E-409C-BE32-E72D297353CC}">
              <c16:uniqueId val="{00000000-2A38-4DC9-ABBF-BA06A201F406}"/>
            </c:ext>
          </c:extLst>
        </c:ser>
        <c:dLbls>
          <c:dLblPos val="outEnd"/>
          <c:showLegendKey val="0"/>
          <c:showVal val="1"/>
          <c:showCatName val="0"/>
          <c:showSerName val="0"/>
          <c:showPercent val="0"/>
          <c:showBubbleSize val="0"/>
        </c:dLbls>
        <c:gapWidth val="219"/>
        <c:overlap val="-27"/>
        <c:axId val="255494192"/>
        <c:axId val="256401232"/>
      </c:barChart>
      <c:catAx>
        <c:axId val="255494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sk-SK"/>
          </a:p>
        </c:txPr>
        <c:crossAx val="256401232"/>
        <c:crosses val="autoZero"/>
        <c:auto val="1"/>
        <c:lblAlgn val="ctr"/>
        <c:lblOffset val="100"/>
        <c:noMultiLvlLbl val="0"/>
      </c:catAx>
      <c:valAx>
        <c:axId val="256401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55494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pivotSource>
    <c:name>[Prehľad klientov2 + detašované.xlsx]PZ!Kontingenčná tabuľka2</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sz="1400" b="0" i="0" baseline="0">
                <a:effectLst/>
              </a:rPr>
              <a:t>Podiel latencie medzi klientami IK </a:t>
            </a:r>
            <a:r>
              <a:rPr lang="sk-SK" sz="1000" b="0" i="0" baseline="0">
                <a:effectLst/>
              </a:rPr>
              <a:t>(Bol prípad hlásený na PZ?) </a:t>
            </a:r>
            <a:endParaRPr lang="sk-SK" sz="800" b="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sk-SK"/>
            </a:p>
          </c:txPr>
          <c:showLegendKey val="1"/>
          <c:showVal val="1"/>
          <c:showCatName val="1"/>
          <c:showSerName val="1"/>
          <c:showPercent val="1"/>
          <c:showBubbleSize val="1"/>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percentStacked"/>
        <c:varyColors val="0"/>
        <c:ser>
          <c:idx val="0"/>
          <c:order val="0"/>
          <c:tx>
            <c:strRef>
              <c:f>PZ!$B$3:$B$4</c:f>
              <c:strCache>
                <c:ptCount val="1"/>
                <c:pt idx="0">
                  <c:v>Áno</c:v>
                </c:pt>
              </c:strCache>
            </c:strRef>
          </c:tx>
          <c:spPr>
            <a:solidFill>
              <a:schemeClr val="accent1">
                <a:shade val="65000"/>
              </a:schemeClr>
            </a:solidFill>
            <a:ln>
              <a:noFill/>
            </a:ln>
            <a:effectLst/>
          </c:spPr>
          <c:invertIfNegative val="0"/>
          <c:dLbls>
            <c:dLbl>
              <c:idx val="3"/>
              <c:tx>
                <c:rich>
                  <a:bodyPr/>
                  <a:lstStyle/>
                  <a:p>
                    <a:r>
                      <a:rPr lang="en-US"/>
                      <a:t>506</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42-42F1-95F2-F07DB9460E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PZ!$A$5:$A$9</c:f>
              <c:strCache>
                <c:ptCount val="4"/>
                <c:pt idx="0">
                  <c:v>2018</c:v>
                </c:pt>
                <c:pt idx="1">
                  <c:v>2019</c:v>
                </c:pt>
                <c:pt idx="2">
                  <c:v>2020</c:v>
                </c:pt>
                <c:pt idx="3">
                  <c:v>2021</c:v>
                </c:pt>
              </c:strCache>
            </c:strRef>
          </c:cat>
          <c:val>
            <c:numRef>
              <c:f>PZ!$B$5:$B$9</c:f>
              <c:numCache>
                <c:formatCode>General</c:formatCode>
                <c:ptCount val="4"/>
                <c:pt idx="0">
                  <c:v>5</c:v>
                </c:pt>
                <c:pt idx="1">
                  <c:v>158</c:v>
                </c:pt>
                <c:pt idx="2">
                  <c:v>228</c:v>
                </c:pt>
                <c:pt idx="3">
                  <c:v>330</c:v>
                </c:pt>
              </c:numCache>
            </c:numRef>
          </c:val>
          <c:extLst>
            <c:ext xmlns:c16="http://schemas.microsoft.com/office/drawing/2014/chart" uri="{C3380CC4-5D6E-409C-BE32-E72D297353CC}">
              <c16:uniqueId val="{00000001-9D42-42F1-95F2-F07DB9460E74}"/>
            </c:ext>
          </c:extLst>
        </c:ser>
        <c:ser>
          <c:idx val="1"/>
          <c:order val="1"/>
          <c:tx>
            <c:strRef>
              <c:f>PZ!$C$3:$C$4</c:f>
              <c:strCache>
                <c:ptCount val="1"/>
                <c:pt idx="0">
                  <c:v>Nie</c:v>
                </c:pt>
              </c:strCache>
            </c:strRef>
          </c:tx>
          <c:spPr>
            <a:solidFill>
              <a:schemeClr val="accent1"/>
            </a:solidFill>
            <a:ln>
              <a:noFill/>
            </a:ln>
            <a:effectLst/>
          </c:spPr>
          <c:invertIfNegative val="0"/>
          <c:dLbls>
            <c:dLbl>
              <c:idx val="3"/>
              <c:tx>
                <c:rich>
                  <a:bodyPr/>
                  <a:lstStyle/>
                  <a:p>
                    <a:r>
                      <a:rPr lang="en-US"/>
                      <a:t>447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42-42F1-95F2-F07DB9460E74}"/>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PZ!$A$5:$A$9</c:f>
              <c:strCache>
                <c:ptCount val="4"/>
                <c:pt idx="0">
                  <c:v>2018</c:v>
                </c:pt>
                <c:pt idx="1">
                  <c:v>2019</c:v>
                </c:pt>
                <c:pt idx="2">
                  <c:v>2020</c:v>
                </c:pt>
                <c:pt idx="3">
                  <c:v>2021</c:v>
                </c:pt>
              </c:strCache>
            </c:strRef>
          </c:cat>
          <c:val>
            <c:numRef>
              <c:f>PZ!$C$5:$C$9</c:f>
              <c:numCache>
                <c:formatCode>General</c:formatCode>
                <c:ptCount val="4"/>
                <c:pt idx="0">
                  <c:v>1</c:v>
                </c:pt>
                <c:pt idx="1">
                  <c:v>131</c:v>
                </c:pt>
                <c:pt idx="2">
                  <c:v>183</c:v>
                </c:pt>
                <c:pt idx="3">
                  <c:v>269</c:v>
                </c:pt>
              </c:numCache>
            </c:numRef>
          </c:val>
          <c:extLst>
            <c:ext xmlns:c16="http://schemas.microsoft.com/office/drawing/2014/chart" uri="{C3380CC4-5D6E-409C-BE32-E72D297353CC}">
              <c16:uniqueId val="{00000003-9D42-42F1-95F2-F07DB9460E74}"/>
            </c:ext>
          </c:extLst>
        </c:ser>
        <c:ser>
          <c:idx val="2"/>
          <c:order val="2"/>
          <c:tx>
            <c:strRef>
              <c:f>PZ!$D$3:$D$4</c:f>
              <c:strCache>
                <c:ptCount val="1"/>
                <c:pt idx="0">
                  <c:v>(neuvedené)</c:v>
                </c:pt>
              </c:strCache>
            </c:strRef>
          </c:tx>
          <c:spPr>
            <a:solidFill>
              <a:schemeClr val="accent1">
                <a:tint val="65000"/>
              </a:schemeClr>
            </a:solidFill>
            <a:ln>
              <a:noFill/>
            </a:ln>
            <a:effectLst/>
          </c:spPr>
          <c:invertIfNegative val="0"/>
          <c:dLbls>
            <c:dLbl>
              <c:idx val="3"/>
              <c:tx>
                <c:rich>
                  <a:bodyPr/>
                  <a:lstStyle/>
                  <a:p>
                    <a:r>
                      <a:rPr lang="en-US"/>
                      <a:t>99</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42-42F1-95F2-F07DB9460E7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PZ!$A$5:$A$9</c:f>
              <c:strCache>
                <c:ptCount val="4"/>
                <c:pt idx="0">
                  <c:v>2018</c:v>
                </c:pt>
                <c:pt idx="1">
                  <c:v>2019</c:v>
                </c:pt>
                <c:pt idx="2">
                  <c:v>2020</c:v>
                </c:pt>
                <c:pt idx="3">
                  <c:v>2021</c:v>
                </c:pt>
              </c:strCache>
            </c:strRef>
          </c:cat>
          <c:val>
            <c:numRef>
              <c:f>PZ!$D$5:$D$9</c:f>
              <c:numCache>
                <c:formatCode>General</c:formatCode>
                <c:ptCount val="4"/>
                <c:pt idx="1">
                  <c:v>15</c:v>
                </c:pt>
                <c:pt idx="2">
                  <c:v>39</c:v>
                </c:pt>
                <c:pt idx="3">
                  <c:v>68</c:v>
                </c:pt>
              </c:numCache>
            </c:numRef>
          </c:val>
          <c:extLst>
            <c:ext xmlns:c16="http://schemas.microsoft.com/office/drawing/2014/chart" uri="{C3380CC4-5D6E-409C-BE32-E72D297353CC}">
              <c16:uniqueId val="{00000005-9D42-42F1-95F2-F07DB9460E74}"/>
            </c:ext>
          </c:extLst>
        </c:ser>
        <c:dLbls>
          <c:dLblPos val="ctr"/>
          <c:showLegendKey val="0"/>
          <c:showVal val="1"/>
          <c:showCatName val="0"/>
          <c:showSerName val="0"/>
          <c:showPercent val="0"/>
          <c:showBubbleSize val="0"/>
        </c:dLbls>
        <c:gapWidth val="219"/>
        <c:overlap val="100"/>
        <c:axId val="256404592"/>
        <c:axId val="256405152"/>
      </c:barChart>
      <c:catAx>
        <c:axId val="25640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k-SK"/>
          </a:p>
        </c:txPr>
        <c:crossAx val="256405152"/>
        <c:crosses val="autoZero"/>
        <c:auto val="1"/>
        <c:lblAlgn val="ctr"/>
        <c:lblOffset val="100"/>
        <c:noMultiLvlLbl val="0"/>
      </c:catAx>
      <c:valAx>
        <c:axId val="2564051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564045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extLst>
    <c:ext xmlns:c14="http://schemas.microsoft.com/office/drawing/2007/8/2/chart" uri="{781A3756-C4B2-4CAC-9D66-4F8BD8637D16}">
      <c14:pivotOptions>
        <c14:dropZoneFilter val="1"/>
        <c14:dropZoneCategories val="1"/>
        <c14:dropZoneData val="1"/>
        <c14:dropZoneSeries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[Prehľad klientov + detašované.xlsx]Hárok3!Kontingenčná tabuľka1</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sk-SK"/>
              <a:t>Vývoj počtu klientov</a:t>
            </a:r>
            <a:endParaRPr lang="en-US"/>
          </a:p>
        </c:rich>
      </c:tx>
      <c:layout>
        <c:manualLayout>
          <c:xMode val="edge"/>
          <c:yMode val="edge"/>
          <c:x val="2.4256516546542779E-2"/>
          <c:y val="3.476321044626320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k-SK"/>
        </a:p>
      </c:txPr>
    </c:title>
    <c:autoTitleDeleted val="0"/>
    <c:pivotFmts>
      <c:pivotFmt>
        <c:idx val="0"/>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28575" cap="rnd">
            <a:solidFill>
              <a:schemeClr val="accent1"/>
            </a:solidFill>
            <a:round/>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extLst>
            <c:ext xmlns:c15="http://schemas.microsoft.com/office/drawing/2012/chart" uri="{CE6537A1-D6FC-4f65-9D91-7224C49458BB}"/>
          </c:extLst>
        </c:dLbl>
      </c:pivotFmt>
    </c:pivotFmts>
    <c:plotArea>
      <c:layout/>
      <c:lineChart>
        <c:grouping val="standard"/>
        <c:varyColors val="0"/>
        <c:ser>
          <c:idx val="0"/>
          <c:order val="0"/>
          <c:tx>
            <c:strRef>
              <c:f>Hárok3!$X$12</c:f>
              <c:strCache>
                <c:ptCount val="1"/>
                <c:pt idx="0">
                  <c:v>Celková hodnota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Hárok3!$W$13:$W$65</c:f>
              <c:multiLvlStrCache>
                <c:ptCount val="37"/>
                <c:lvl>
                  <c:pt idx="1">
                    <c:v>Január</c:v>
                  </c:pt>
                  <c:pt idx="2">
                    <c:v>Február</c:v>
                  </c:pt>
                  <c:pt idx="3">
                    <c:v>Marec</c:v>
                  </c:pt>
                  <c:pt idx="4">
                    <c:v>Apríl</c:v>
                  </c:pt>
                  <c:pt idx="5">
                    <c:v>Máj</c:v>
                  </c:pt>
                  <c:pt idx="6">
                    <c:v>Jún</c:v>
                  </c:pt>
                  <c:pt idx="7">
                    <c:v>Júl</c:v>
                  </c:pt>
                  <c:pt idx="8">
                    <c:v>August</c:v>
                  </c:pt>
                  <c:pt idx="9">
                    <c:v>September</c:v>
                  </c:pt>
                  <c:pt idx="10">
                    <c:v>Október</c:v>
                  </c:pt>
                  <c:pt idx="11">
                    <c:v>November</c:v>
                  </c:pt>
                  <c:pt idx="12">
                    <c:v>December</c:v>
                  </c:pt>
                  <c:pt idx="13">
                    <c:v>Január</c:v>
                  </c:pt>
                  <c:pt idx="14">
                    <c:v>Február</c:v>
                  </c:pt>
                  <c:pt idx="15">
                    <c:v>Marec</c:v>
                  </c:pt>
                  <c:pt idx="16">
                    <c:v>Apríl</c:v>
                  </c:pt>
                  <c:pt idx="17">
                    <c:v>Máj</c:v>
                  </c:pt>
                  <c:pt idx="18">
                    <c:v>Jún</c:v>
                  </c:pt>
                  <c:pt idx="19">
                    <c:v>Júl</c:v>
                  </c:pt>
                  <c:pt idx="20">
                    <c:v>August</c:v>
                  </c:pt>
                  <c:pt idx="21">
                    <c:v>September</c:v>
                  </c:pt>
                  <c:pt idx="22">
                    <c:v>Október</c:v>
                  </c:pt>
                  <c:pt idx="23">
                    <c:v>November</c:v>
                  </c:pt>
                  <c:pt idx="24">
                    <c:v>December</c:v>
                  </c:pt>
                  <c:pt idx="25">
                    <c:v>Január</c:v>
                  </c:pt>
                  <c:pt idx="26">
                    <c:v>Február</c:v>
                  </c:pt>
                  <c:pt idx="27">
                    <c:v>Marec</c:v>
                  </c:pt>
                  <c:pt idx="28">
                    <c:v>Apríl</c:v>
                  </c:pt>
                  <c:pt idx="29">
                    <c:v>Máj</c:v>
                  </c:pt>
                  <c:pt idx="30">
                    <c:v>Jún</c:v>
                  </c:pt>
                  <c:pt idx="31">
                    <c:v>Júl</c:v>
                  </c:pt>
                  <c:pt idx="32">
                    <c:v>August</c:v>
                  </c:pt>
                  <c:pt idx="33">
                    <c:v>September</c:v>
                  </c:pt>
                  <c:pt idx="34">
                    <c:v>Október</c:v>
                  </c:pt>
                  <c:pt idx="35">
                    <c:v>November</c:v>
                  </c:pt>
                  <c:pt idx="36">
                    <c:v>December</c:v>
                  </c:pt>
                </c:lvl>
                <c:lvl>
                  <c:pt idx="1">
                    <c:v>štv1</c:v>
                  </c:pt>
                  <c:pt idx="4">
                    <c:v>štv2</c:v>
                  </c:pt>
                  <c:pt idx="7">
                    <c:v>štv3</c:v>
                  </c:pt>
                  <c:pt idx="10">
                    <c:v>štv4</c:v>
                  </c:pt>
                  <c:pt idx="13">
                    <c:v>štv1</c:v>
                  </c:pt>
                  <c:pt idx="16">
                    <c:v>štv2</c:v>
                  </c:pt>
                  <c:pt idx="19">
                    <c:v>štv3</c:v>
                  </c:pt>
                  <c:pt idx="22">
                    <c:v>štv4</c:v>
                  </c:pt>
                  <c:pt idx="25">
                    <c:v>štv1</c:v>
                  </c:pt>
                  <c:pt idx="28">
                    <c:v>štv2</c:v>
                  </c:pt>
                  <c:pt idx="31">
                    <c:v>štv3</c:v>
                  </c:pt>
                  <c:pt idx="34">
                    <c:v>štv4</c:v>
                  </c:pt>
                </c:lvl>
                <c:lvl>
                  <c:pt idx="0">
                    <c:v>2018</c:v>
                  </c:pt>
                  <c:pt idx="1">
                    <c:v>2019</c:v>
                  </c:pt>
                  <c:pt idx="13">
                    <c:v>2020</c:v>
                  </c:pt>
                  <c:pt idx="25">
                    <c:v>2021</c:v>
                  </c:pt>
                </c:lvl>
              </c:multiLvlStrCache>
            </c:multiLvlStrRef>
          </c:cat>
          <c:val>
            <c:numRef>
              <c:f>Hárok3!$X$13:$X$65</c:f>
              <c:numCache>
                <c:formatCode>General</c:formatCode>
                <c:ptCount val="37"/>
                <c:pt idx="0">
                  <c:v>6</c:v>
                </c:pt>
                <c:pt idx="1">
                  <c:v>2</c:v>
                </c:pt>
                <c:pt idx="2">
                  <c:v>3</c:v>
                </c:pt>
                <c:pt idx="3">
                  <c:v>12</c:v>
                </c:pt>
                <c:pt idx="4">
                  <c:v>15</c:v>
                </c:pt>
                <c:pt idx="5">
                  <c:v>29</c:v>
                </c:pt>
                <c:pt idx="6">
                  <c:v>27</c:v>
                </c:pt>
                <c:pt idx="7">
                  <c:v>26</c:v>
                </c:pt>
                <c:pt idx="8">
                  <c:v>41</c:v>
                </c:pt>
                <c:pt idx="9">
                  <c:v>34</c:v>
                </c:pt>
                <c:pt idx="10">
                  <c:v>46</c:v>
                </c:pt>
                <c:pt idx="11">
                  <c:v>24</c:v>
                </c:pt>
                <c:pt idx="12">
                  <c:v>45</c:v>
                </c:pt>
                <c:pt idx="13">
                  <c:v>44</c:v>
                </c:pt>
                <c:pt idx="14">
                  <c:v>41</c:v>
                </c:pt>
                <c:pt idx="15">
                  <c:v>23</c:v>
                </c:pt>
                <c:pt idx="16">
                  <c:v>13</c:v>
                </c:pt>
                <c:pt idx="17">
                  <c:v>21</c:v>
                </c:pt>
                <c:pt idx="18">
                  <c:v>49</c:v>
                </c:pt>
                <c:pt idx="19">
                  <c:v>33</c:v>
                </c:pt>
                <c:pt idx="20">
                  <c:v>29</c:v>
                </c:pt>
                <c:pt idx="21">
                  <c:v>48</c:v>
                </c:pt>
                <c:pt idx="22">
                  <c:v>63</c:v>
                </c:pt>
                <c:pt idx="23">
                  <c:v>47</c:v>
                </c:pt>
                <c:pt idx="24">
                  <c:v>39</c:v>
                </c:pt>
                <c:pt idx="25">
                  <c:v>30</c:v>
                </c:pt>
                <c:pt idx="26">
                  <c:v>53</c:v>
                </c:pt>
                <c:pt idx="27">
                  <c:v>61</c:v>
                </c:pt>
                <c:pt idx="28">
                  <c:v>65</c:v>
                </c:pt>
                <c:pt idx="29">
                  <c:v>102</c:v>
                </c:pt>
                <c:pt idx="30">
                  <c:v>131</c:v>
                </c:pt>
                <c:pt idx="31">
                  <c:v>110</c:v>
                </c:pt>
                <c:pt idx="32">
                  <c:v>145</c:v>
                </c:pt>
                <c:pt idx="33">
                  <c:v>89</c:v>
                </c:pt>
                <c:pt idx="34">
                  <c:v>96</c:v>
                </c:pt>
                <c:pt idx="35">
                  <c:v>93</c:v>
                </c:pt>
                <c:pt idx="36">
                  <c:v>81</c:v>
                </c:pt>
              </c:numCache>
            </c:numRef>
          </c:val>
          <c:smooth val="0"/>
          <c:extLst>
            <c:ext xmlns:c16="http://schemas.microsoft.com/office/drawing/2014/chart" uri="{C3380CC4-5D6E-409C-BE32-E72D297353CC}">
              <c16:uniqueId val="{00000000-E6A8-406A-8EEF-2B92060C4E92}"/>
            </c:ext>
          </c:extLst>
        </c:ser>
        <c:dLbls>
          <c:dLblPos val="t"/>
          <c:showLegendKey val="0"/>
          <c:showVal val="1"/>
          <c:showCatName val="0"/>
          <c:showSerName val="0"/>
          <c:showPercent val="0"/>
          <c:showBubbleSize val="0"/>
        </c:dLbls>
        <c:marker val="1"/>
        <c:smooth val="0"/>
        <c:axId val="256407392"/>
        <c:axId val="256407952"/>
      </c:lineChart>
      <c:catAx>
        <c:axId val="256407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56407952"/>
        <c:crosses val="autoZero"/>
        <c:auto val="1"/>
        <c:lblAlgn val="ctr"/>
        <c:lblOffset val="100"/>
        <c:noMultiLvlLbl val="0"/>
      </c:catAx>
      <c:valAx>
        <c:axId val="25640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k-SK"/>
          </a:p>
        </c:txPr>
        <c:crossAx val="2564073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k-SK"/>
    </a:p>
  </c:txPr>
  <c:externalData r:id="rId4">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k-SK"/>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[Prehľad klientov + detašované.xlsx]Hárok3!Kontingenčná tabuľka28</c:name>
    <c:fmtId val="-1"/>
  </c:pivotSource>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sk-SK"/>
              <a:t>Počet klientov v jednotlivých mesiacoch roka 2021 - Detašované pracoviská</a:t>
            </a:r>
            <a:endParaRPr lang="en-US"/>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sk-SK"/>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Hárok3!$D$384:$D$385</c:f>
              <c:strCache>
                <c:ptCount val="1"/>
                <c:pt idx="0">
                  <c:v>1.1.-15.12.2021</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1" i="0" u="none" strike="noStrike" kern="1200" baseline="0">
                    <a:solidFill>
                      <a:schemeClr val="tx1">
                        <a:lumMod val="75000"/>
                        <a:lumOff val="25000"/>
                      </a:schemeClr>
                    </a:solidFill>
                    <a:latin typeface="+mn-lt"/>
                    <a:ea typeface="+mn-ea"/>
                    <a:cs typeface="+mn-cs"/>
                  </a:defRPr>
                </a:pPr>
                <a:endParaRPr lang="sk-SK"/>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Hárok3!$C$386:$C$398</c:f>
              <c:strCache>
                <c:ptCount val="12"/>
                <c:pt idx="0">
                  <c:v>Január</c:v>
                </c:pt>
                <c:pt idx="1">
                  <c:v>Február</c:v>
                </c:pt>
                <c:pt idx="2">
                  <c:v>Marec</c:v>
                </c:pt>
                <c:pt idx="3">
                  <c:v>Apríl</c:v>
                </c:pt>
                <c:pt idx="4">
                  <c:v>Máj</c:v>
                </c:pt>
                <c:pt idx="5">
                  <c:v>Jún</c:v>
                </c:pt>
                <c:pt idx="6">
                  <c:v>Júl</c:v>
                </c:pt>
                <c:pt idx="7">
                  <c:v>August</c:v>
                </c:pt>
                <c:pt idx="8">
                  <c:v>September</c:v>
                </c:pt>
                <c:pt idx="9">
                  <c:v>Október</c:v>
                </c:pt>
                <c:pt idx="10">
                  <c:v>November</c:v>
                </c:pt>
                <c:pt idx="11">
                  <c:v>December</c:v>
                </c:pt>
              </c:strCache>
            </c:strRef>
          </c:cat>
          <c:val>
            <c:numRef>
              <c:f>Hárok3!$D$386:$D$398</c:f>
              <c:numCache>
                <c:formatCode>General</c:formatCode>
                <c:ptCount val="12"/>
                <c:pt idx="4">
                  <c:v>10</c:v>
                </c:pt>
                <c:pt idx="5">
                  <c:v>33</c:v>
                </c:pt>
                <c:pt idx="6">
                  <c:v>26</c:v>
                </c:pt>
                <c:pt idx="7">
                  <c:v>44</c:v>
                </c:pt>
                <c:pt idx="8">
                  <c:v>23</c:v>
                </c:pt>
                <c:pt idx="9">
                  <c:v>18</c:v>
                </c:pt>
                <c:pt idx="10">
                  <c:v>15</c:v>
                </c:pt>
                <c:pt idx="11">
                  <c:v>16</c:v>
                </c:pt>
              </c:numCache>
            </c:numRef>
          </c:val>
          <c:extLst>
            <c:ext xmlns:c16="http://schemas.microsoft.com/office/drawing/2014/chart" uri="{C3380CC4-5D6E-409C-BE32-E72D297353CC}">
              <c16:uniqueId val="{00000000-2000-47A9-BFAE-303C389B6040}"/>
            </c:ext>
          </c:extLst>
        </c:ser>
        <c:dLbls>
          <c:dLblPos val="outEnd"/>
          <c:showLegendKey val="0"/>
          <c:showVal val="1"/>
          <c:showCatName val="0"/>
          <c:showSerName val="0"/>
          <c:showPercent val="0"/>
          <c:showBubbleSize val="0"/>
        </c:dLbls>
        <c:gapWidth val="219"/>
        <c:overlap val="-27"/>
        <c:axId val="254173280"/>
        <c:axId val="254173840"/>
      </c:barChart>
      <c:catAx>
        <c:axId val="2541732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sk-SK"/>
          </a:p>
        </c:txPr>
        <c:crossAx val="254173840"/>
        <c:crosses val="autoZero"/>
        <c:auto val="1"/>
        <c:lblAlgn val="ctr"/>
        <c:lblOffset val="100"/>
        <c:noMultiLvlLbl val="0"/>
      </c:catAx>
      <c:valAx>
        <c:axId val="2541738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sk-SK"/>
          </a:p>
        </c:txPr>
        <c:crossAx val="2541732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pPr>
      <a:endParaRPr lang="sk-SK"/>
    </a:p>
  </c:txPr>
  <c:externalData r:id="rId4">
    <c:autoUpdate val="0"/>
  </c:externalData>
  <c:extLst>
    <c:ext xmlns:c14="http://schemas.microsoft.com/office/drawing/2007/8/2/chart" uri="{781A3756-C4B2-4CAC-9D66-4F8BD8637D16}">
      <c14:pivotOptions>
        <c14:dropZoneFilter val="1"/>
        <c14:dropZoneCategories val="1"/>
        <c14:dropZoneData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9079</Words>
  <Characters>51753</Characters>
  <Application>Microsoft Office Word</Application>
  <DocSecurity>0</DocSecurity>
  <Lines>431</Lines>
  <Paragraphs>121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60711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Partičková</dc:creator>
  <cp:keywords/>
  <dc:description/>
  <cp:lastModifiedBy>Nataša Wiedemannová</cp:lastModifiedBy>
  <cp:revision>7</cp:revision>
  <cp:lastPrinted>2022-09-29T09:17:00Z</cp:lastPrinted>
  <dcterms:created xsi:type="dcterms:W3CDTF">2022-09-26T13:29:00Z</dcterms:created>
  <dcterms:modified xsi:type="dcterms:W3CDTF">2022-09-29T09:18:00Z</dcterms:modified>
</cp:coreProperties>
</file>