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608DB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608DB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C608DB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8D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C608D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C608DB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C608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C608DB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816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68167E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6816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68167E" w:rsidR="006816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2037</w:t>
      </w:r>
      <w:r w:rsidRPr="0068167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68167E" w:rsidR="006816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C608DB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C608DB">
      <w:pPr>
        <w:bidi w:val="0"/>
        <w:jc w:val="left"/>
        <w:rPr>
          <w:rFonts w:ascii="Times New Roman" w:eastAsia="Times New Roman" w:hAnsi="Times New Roman" w:cs="Times New Roman"/>
        </w:rPr>
      </w:pPr>
      <w:r w:rsidRPr="00C608DB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C608DB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140531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1198</w:t>
      </w:r>
      <w:r w:rsidRPr="00C608D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C608DB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C608DB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C608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C608DB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P="00140531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C608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C608D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</w:t>
      </w:r>
      <w:r w:rsidRPr="00DF640F"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140531" w:rsidR="001405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251/2012 Z. z. o energetike a o zmene a doplnení niektorých zákonov v znení neskorších predpisov a ktorým sa mení a dopĺňa zákon č. 250/2012 Z. z. o regulácii v sieťových odvetviach v znení neskorších predpisov </w:t>
      </w:r>
      <w:r w:rsidRPr="00140531" w:rsidR="001405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1198</w:t>
      </w:r>
      <w:r w:rsidRPr="00140531" w:rsidR="001405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140531" w:rsidP="00140531">
      <w:pPr>
        <w:widowControl/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______________________________________________________________________________</w:t>
      </w:r>
    </w:p>
    <w:p w:rsidR="00140531" w:rsidRPr="00140531" w:rsidP="00140531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608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C608DB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DF640F"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140531" w:rsidR="001405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251/2012 Z. z. o energetike a o zmene a doplnení niektorých zákonov v znení neskorších predpisov a ktorým sa mení a dopĺňa zákon č. 250/2012 Z. z. o regulácii v sieťových odvetviach v znení neskorších predpisov </w:t>
      </w:r>
      <w:r w:rsidRPr="00DF640F" w:rsidR="00DF64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="001405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1198</w:t>
      </w:r>
      <w:r w:rsidRPr="00DF640F" w:rsidR="00DF64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60C08" w:rsidR="00DF640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C608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C608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C608DB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C608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C608D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608D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A5C96" w:rsidR="009048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1618</w:t>
      </w:r>
      <w:r w:rsidRPr="009A5C96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A5C96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9A5C96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9A5C96" w:rsidR="001405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9A5C96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608D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405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608D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608D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608DB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08123E" w:rsidRPr="00C608DB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608D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C608DB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C608DB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C608D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C608DB" w:rsidR="00DF70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C608DB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C608DB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89203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C608D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C608DB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C608D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C608DB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C608DB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F12D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F12DB2" w:rsidR="00F12D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F12D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67</w:t>
      </w:r>
      <w:r w:rsidRPr="000C481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0C481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DF64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="000C48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608DB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C608DB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608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341</w:t>
      </w:r>
      <w:r w:rsidRPr="00C608DB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DF64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C608D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4053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Pr="00C608DB" w:rsidR="00846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608DB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C608DB" w:rsidR="007E084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892032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608D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8809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8809B5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8809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8809B5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8809B5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8809B5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09B5" w:rsidR="003F63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8809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8809B5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809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8809B5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809B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8809B5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8809B5" w:rsidR="003F63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140531" w:rsidP="0014053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86824" w:rsidP="0014053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2500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V čl. I v 1. bode až 3. bode sa v celom texte číslo „16“ nahrádza číslom „15“.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343B3D" w:rsidP="00343B3D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2. </w:t>
      </w:r>
      <w:r w:rsidRPr="002500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4. bode v § 20 ods. 14 písmeno a) znie:</w:t>
      </w:r>
    </w:p>
    <w:p w:rsidR="00343B3D" w:rsidRPr="00F04DF7" w:rsidP="00343B3D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„a) </w:t>
      </w:r>
      <w:r w:rsidRPr="00F04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obmedzenie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transakcií vrátane obmedzenia </w:t>
      </w:r>
      <w:r w:rsidRPr="00F04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vývozu elektriny z vymedzeného územia podľa osobitného predpisu,</w:t>
      </w:r>
      <w:r>
        <w:rPr>
          <w:rFonts w:ascii="Arial" w:eastAsia="Times New Roman" w:hAnsi="Arial" w:cs="Arial" w:hint="cs"/>
          <w:sz w:val="24"/>
          <w:szCs w:val="24"/>
          <w:vertAlign w:val="superscript"/>
          <w:rtl w:val="0"/>
          <w:cs w:val="0"/>
          <w:lang w:val="sk-SK" w:eastAsia="sk-SK" w:bidi="ar-SA"/>
        </w:rPr>
        <w:t>43e</w:t>
      </w:r>
      <w:r w:rsidRPr="00F04DF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F04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okrem prepravy elektriny z a do prepojených sústav členských štátov alebo tretích štátov cez vymedzené územie be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spotreby na vymedzenom území,“.</w:t>
      </w:r>
    </w:p>
    <w:p w:rsidR="00343B3D" w:rsidP="00343B3D">
      <w:pPr>
        <w:bidi w:val="0"/>
        <w:ind w:left="2835"/>
        <w:jc w:val="both"/>
        <w:rPr>
          <w:rFonts w:ascii="Calibri" w:eastAsia="Times New Roman" w:hAnsi="Calibri" w:cs="Calibri"/>
          <w:i/>
        </w:rPr>
      </w:pPr>
    </w:p>
    <w:p w:rsidR="00343B3D" w:rsidRPr="00F04DF7" w:rsidP="00343B3D">
      <w:pPr>
        <w:bidi w:val="0"/>
        <w:ind w:left="2835"/>
        <w:jc w:val="both"/>
        <w:rPr>
          <w:rFonts w:ascii="Calibri" w:eastAsia="Times New Roman" w:hAnsi="Calibri" w:cs="Calibri"/>
          <w:i/>
        </w:rPr>
      </w:pPr>
      <w:r w:rsidRPr="00F04DF7">
        <w:rPr>
          <w:rFonts w:ascii="Calibri" w:eastAsia="Times New Roman" w:hAnsi="Calibri" w:cs="Calibri" w:hint="cs"/>
          <w:i/>
          <w:sz w:val="24"/>
          <w:szCs w:val="24"/>
          <w:rtl w:val="0"/>
          <w:cs w:val="0"/>
          <w:lang w:val="sk-SK" w:eastAsia="sk-SK" w:bidi="ar-SA"/>
        </w:rPr>
        <w:t>Navrhuje sa upraviť znenie § 20 ods. 14 písm. a) tak, aby neodkazoval na obmedzenia medzioblastnej kapacity, ktoré sú už v rámci denného trhu nerealizovateľné (aplikuje sa flow - based metodológia so špecifikáciou kritických prvkov sústavy).</w:t>
      </w:r>
    </w:p>
    <w:p w:rsidR="00343B3D" w:rsidP="00343B3D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343B3D" w:rsidRPr="00686824" w:rsidP="00343B3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43B3D" w:rsidP="00343B3D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RPr="00686824" w:rsidP="00343B3D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 čl. I sa za bod 5. vkladajú nové body 6. až 8., ktoré znejú: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„6. V § 21 ods. 5 písm. d) a v § 95 ods. 1 písm. a) sa slová „15.8“ nahrádzajú slovami „15.9“.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7. V § 21 ods. 5 písm. g) sa slová „bodu 15.1.“ nahrádzajú slovami „bodov 15.8. a 15.10.“.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8. V § 21 sa odsek 5 dopĺňa písmenom h), ktoré znie: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„h) obmedzenie a prerušenie dodávok plynu pre chránených odberateľov podľa § 3 písm. c) bodu 15.1.“.“.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Nasledujúce body sa primerane prečíslujú.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343B3D" w:rsidP="00343B3D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4. </w:t>
      </w:r>
      <w:r w:rsidRPr="002500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6. bode v § 21 ods. 13 písmeno c) znie:</w:t>
      </w:r>
    </w:p>
    <w:p w:rsidR="00343B3D" w:rsidRPr="00B21543" w:rsidP="00343B3D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B215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c) uloženie povinnosti prevádzkovateľovi zásobníka na vymedzenom území alebo mimo vymedzeného územia, ak je pripojený do siete, zabezpečiť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ťažbu plynu </w:t>
      </w:r>
      <w:r w:rsidRPr="00B215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 zásobníka za určenú cenu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dodávateľa plynu určeného ministerstvom, ktorý zabezpečí dodávku plynu určeným skupinám koncových odberateľov plynu na vymedzenom území za určenú cenu; t</w:t>
      </w:r>
      <w:r w:rsidRPr="00B215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áto povinnosť sa nevzťahuje na plyn, ktorý tvorí základnú náplň zásobníka v rozsahu nevyhnutne potrebnom na zabezpečenie jeho bezpečnej a spoľahlivej prevádzky a plyn, ktorý je v zásobníku uskladnený pre potreby strategických zásob iného členského štátu Európskej únie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,“.</w:t>
      </w:r>
    </w:p>
    <w:p w:rsidR="00343B3D" w:rsidRPr="00B21543" w:rsidP="00343B3D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43B3D" w:rsidRPr="00F04DF7" w:rsidP="00343B3D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43B3D" w:rsidRPr="00B21543" w:rsidP="00343B3D">
      <w:pPr>
        <w:bidi w:val="0"/>
        <w:ind w:left="2835"/>
        <w:jc w:val="both"/>
        <w:rPr>
          <w:rFonts w:ascii="Times New Roman" w:eastAsia="Times New Roman" w:hAnsi="Times New Roman" w:cs="Times New Roman"/>
          <w:i/>
        </w:rPr>
      </w:pP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Zásobníky plynu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,</w:t>
      </w: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nachádzajúce sa na území SR, sú zásobníkmi, ktoré vznikli z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 </w:t>
      </w: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odťažených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plynových ložísk. Základným predpokladom existencie a fungovania takýchto zásobníkov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plynu je neustále udržiavanie geológiou stanoveného množ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stva </w:t>
      </w:r>
      <w:r w:rsidRPr="00B4739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plynu v zásobníku.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preto 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upraviť znenie § 21 ods. 13 písm. c) tak, aby mal prevádzkovateľ zásobníka povinnosť ťažiť len plyn, ktorý je vo vlastníctve dodávateľa, ktorý má povinnosť plniť opatrenie vydané v súlade s týmto ustanovením zákona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,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a nebude sa týkať plynu, ktorý slúži ako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základná náplň zásobníka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Taktiež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sa navrhuje výnimka</w:t>
      </w:r>
      <w:r w:rsidRPr="00B21543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pre plyn, ktorý je uskladnený pre potreby strategických zásob plynu iného členského štátu, čo je v súlade so základnými princípmi solidarity, na ktorej sú postavené pravidlá týkajúce sa bezpečnosti dodávok plynu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</w:p>
    <w:p w:rsidR="00343B3D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343B3D" w:rsidRPr="00686824" w:rsidP="00343B3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43B3D" w:rsidP="00343B3D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6. bode sa veta „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Doterajší odsek 11 sa označuje ako odsek 17.“ nahrádza vetou  „Doterajšie odseky 11 až 14 sa označujú ako odseky 17 až 20.“.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RP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6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V čl. I sa za bod 7. vkladá nový bod 8., ktorý znie: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„8. V § 21 ods. 20 sa slová „odseku 13 písm. b)“ nahrádzajú slovami „odseku 19 písm. b)“ a slová „odseku 13 písm. c)“ nahrádzajú slovami „odseku 19 písm. c)“.“.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Doterajšie body sa primerane prečíslujú.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RPr="00686824" w:rsidP="00686824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Cs w:val="24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7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8. bode sa slová „podbodu 16.1.“ nahrádzajú slovami „bodu 15.1.“.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8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11. bode v § 22 ods. 9 sa na konci pripája táto veta: „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Dodávateľ plynu a chránený odberateľ, ktorý preniesol zodpovednosť za zabezpečenie štandardu bezpečnosti dodávok plynu na iného účastníka trhu s plynom, nemôže prevziať zodpovednosť za zabezpečenie štandardu bezpečnosti dodávok plynu za iného účastníka trhu s plynom.“.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znenia § 22 ods. 9 so zákonom č. 256/2022 Z. z., ktorý nadobudne účinnosť 1. 10. 2022.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ind w:left="141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9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12. bode a 13. bode sa slová „16.1.“ nahrádzajú slovami „15.1.“.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  <w:sz w:val="20"/>
        </w:rPr>
      </w:pP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ind w:left="1410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</w:rPr>
      </w:pPr>
    </w:p>
    <w:p w:rsidR="00686824" w:rsidRPr="00651888" w:rsidP="00686824">
      <w:pPr>
        <w:bidi w:val="0"/>
        <w:jc w:val="both"/>
        <w:rPr>
          <w:rFonts w:ascii="Times New Roman" w:eastAsia="Times New Roman" w:hAnsi="Times New Roman" w:cs="Times New Roman"/>
        </w:rPr>
      </w:pP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10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24b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nadpise sa slovo „služieb“ nahrádza slovom „povinností“.</w:t>
      </w:r>
    </w:p>
    <w:p w:rsidR="00686824" w:rsidP="00686824">
      <w:pPr>
        <w:bidi w:val="0"/>
        <w:ind w:left="1416"/>
        <w:jc w:val="both"/>
        <w:rPr>
          <w:rFonts w:ascii="Times New Roman" w:eastAsia="Times New Roman" w:hAnsi="Times New Roman" w:cs="Times New Roman"/>
        </w:rPr>
      </w:pPr>
    </w:p>
    <w:p w:rsidR="00686824" w:rsidRPr="00DD1ACC" w:rsidP="00686824">
      <w:pPr>
        <w:bidi w:val="0"/>
        <w:ind w:left="2880"/>
        <w:jc w:val="both"/>
        <w:rPr>
          <w:rFonts w:ascii="Times New Roman" w:eastAsia="Times New Roman" w:hAnsi="Times New Roman" w:cs="Times New Roman"/>
          <w:i/>
        </w:rPr>
      </w:pPr>
      <w:r w:rsidRPr="00DD1ACC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Zosúladenie s obsahom § 24b, ktorý upravuje  čisté </w:t>
      </w:r>
      <w:r w:rsidRPr="00686824">
        <w:rPr>
          <w:rFonts w:ascii="Times New Roman" w:eastAsia="Times New Roman" w:hAnsi="Times New Roman" w:cs="Times New Roman" w:hint="cs"/>
          <w:i/>
          <w:color w:val="000000"/>
          <w:sz w:val="24"/>
          <w:szCs w:val="24"/>
          <w:rtl w:val="0"/>
          <w:cs w:val="0"/>
          <w:lang w:val="sk-SK" w:eastAsia="sk-SK" w:bidi="ar-SA"/>
        </w:rPr>
        <w:t>náklady povinnosti uložených vo všeobecnom hospodárskom záujme</w:t>
      </w:r>
      <w:r w:rsidRPr="00DD1ACC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</w:p>
    <w:p w:rsidR="00686824" w:rsidRPr="00651888" w:rsidP="00686824">
      <w:pPr>
        <w:bidi w:val="0"/>
        <w:jc w:val="both"/>
        <w:rPr>
          <w:rFonts w:ascii="Times New Roman" w:eastAsia="Times New Roman" w:hAnsi="Times New Roman" w:cs="Times New Roman"/>
        </w:rPr>
      </w:pPr>
      <w:r w:rsidR="00343B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V čl. I v 14. bode v § 24c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ods. 3 písm. b) sa slová „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poskytovateľom povinnosti záujme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 nahrádza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slovami „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poskytovateľom povinnosti“</w:t>
      </w: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</w:rPr>
      </w:pPr>
      <w:r w:rsidRPr="006518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686824" w:rsidP="00686824">
      <w:pPr>
        <w:bidi w:val="0"/>
        <w:ind w:left="2160" w:firstLine="708"/>
        <w:jc w:val="both"/>
        <w:rPr>
          <w:rFonts w:ascii="Times New Roman" w:eastAsia="Times New Roman" w:hAnsi="Times New Roman" w:cs="Times New Roman"/>
          <w:i/>
        </w:rPr>
      </w:pPr>
      <w:r w:rsidRPr="00DD1ACC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Vypustenie nadbytočného slova „záujme“.</w:t>
      </w: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P="00686824">
      <w:pPr>
        <w:bidi w:val="0"/>
        <w:ind w:left="708" w:firstLine="708"/>
        <w:jc w:val="both"/>
        <w:rPr>
          <w:rFonts w:ascii="Times New Roman" w:eastAsia="Times New Roman" w:hAnsi="Times New Roman" w:cs="Times New Roman"/>
          <w:i/>
        </w:rPr>
      </w:pPr>
    </w:p>
    <w:p w:rsidR="00686824" w:rsidP="00686824">
      <w:pPr>
        <w:bidi w:val="0"/>
        <w:ind w:firstLine="1"/>
        <w:jc w:val="both"/>
        <w:rPr>
          <w:rFonts w:ascii="Times New Roman" w:eastAsia="Times New Roman" w:hAnsi="Times New Roman" w:cs="Times New Roman"/>
        </w:rPr>
      </w:pPr>
      <w:r w:rsidRPr="00AD7C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9F76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14. bode v § 24d ods. 2 písm. d) sa slová „</w:t>
      </w:r>
      <w:r w:rsidRPr="009F76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 95 ods. 2 písm. l)“ nahrádzajú slovami „§ 95 ods. 2 písm. p)“.</w:t>
      </w:r>
    </w:p>
    <w:p w:rsidR="003D212B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so zákonom č. 256/2022 Z. z., ktorý nadobudne účinnosť 1. 10. 2022.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24d ods. 3 písm. a) a b) sa slovo „služby“ nahrádza slovom „povinnosti“.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terminológie – povinnosti vo všeobecnom hospodárskom záujme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</w:t>
      </w: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eastAsia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4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24d ods. 4 druhej vete sa slovo „určenia“ nahrádza slovami „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posúdenia a určenia“.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terminológie s prvou vetou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5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24d ods. 6 sa vypúšťa slovo „vo“.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Vypustenie nadbytočného slova.</w:t>
      </w:r>
    </w:p>
    <w:p w:rsidR="00686824" w:rsidRPr="003D212B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  <w:sz w:val="2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6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24d ods. 7 sa slovo „rade“ nahrádza slovami „Regulačnej rade (ďalej len „rada“)“.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terminológie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</w:t>
      </w:r>
    </w:p>
    <w:p w:rsidR="00686824" w:rsidRPr="003D212B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  <w:sz w:val="2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7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 v 14. bode v § 24d ods. 10 sa slová „posúdi rada“ nahrádzajú slovami „preskúma rada“.</w:t>
      </w:r>
    </w:p>
    <w:p w:rsidR="00686824" w:rsidP="00686824">
      <w:pPr>
        <w:bidi w:val="0"/>
        <w:ind w:left="2172" w:firstLine="708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terminológie s odsekom 11.</w:t>
      </w:r>
    </w:p>
    <w:p w:rsidR="00686824" w:rsidP="00686824">
      <w:pPr>
        <w:bidi w:val="0"/>
        <w:ind w:left="2172" w:firstLine="708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343B3D" w:rsidP="00343B3D">
      <w:pPr>
        <w:bidi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18. </w:t>
      </w:r>
      <w:r w:rsidRPr="002500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15. bode v § 38a ods. 2 sa slová „Cal-t“ v celom texte nahrádzajú slovami „Cal-2022“.</w:t>
      </w:r>
    </w:p>
    <w:p w:rsidR="00343B3D" w:rsidRPr="00F04DF7" w:rsidP="00343B3D">
      <w:pPr>
        <w:bidi w:val="0"/>
        <w:jc w:val="both"/>
        <w:rPr>
          <w:rFonts w:ascii="Times New Roman" w:eastAsia="Times New Roman" w:hAnsi="Times New Roman" w:cs="Times New Roman"/>
        </w:rPr>
      </w:pPr>
    </w:p>
    <w:p w:rsidR="00343B3D" w:rsidP="00343B3D">
      <w:pPr>
        <w:pStyle w:val="ListParagraph"/>
        <w:tabs>
          <w:tab w:val="left" w:pos="5387"/>
          <w:tab w:val="left" w:pos="8789"/>
        </w:tabs>
        <w:bidi w:val="0"/>
        <w:ind w:left="28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Navrhuje sa upresnenie výpočtu referenčnej ceny pre dodávku elektriny pre roky 2023 a 2024 tak, že sa </w:t>
      </w:r>
      <w:r w:rsidRPr="00913F66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produkt F PXE SK BL Cal-</w:t>
      </w:r>
      <w:r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t</w:t>
      </w:r>
      <w:r w:rsidRPr="00913F66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 nahrádza produktom F PXE SK BL Cal-2022</w:t>
      </w:r>
      <w:r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343B3D" w:rsidRPr="00343B3D" w:rsidP="00343B3D">
      <w:pPr>
        <w:bidi w:val="0"/>
        <w:ind w:left="2835"/>
        <w:jc w:val="both"/>
        <w:rPr>
          <w:rFonts w:ascii="Times New Roman" w:eastAsia="Times New Roman" w:hAnsi="Times New Roman" w:cs="Times New Roman"/>
          <w:color w:val="000000"/>
        </w:rPr>
      </w:pPr>
    </w:p>
    <w:p w:rsidR="00343B3D" w:rsidRPr="00686824" w:rsidP="00343B3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43B3D" w:rsidP="00343B3D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43B3D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9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20. bode sa v celom texte písmeno „n)“ nahrádza písmenom „o)“.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20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21. bode sa v celom texte písmeno „k)“ nahrádza písmenom „o)“ a písmeno „l)“ sa nahrádza písmenom „p)“.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21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 v 23. bode sa v celom texte slová „§ 96h“ nahrádzajú slovami „§ 96i“ a slová „§ 96g“ sa nahrádzajú slovami „§ 96h“.</w:t>
      </w:r>
    </w:p>
    <w:p w:rsidR="00686824" w:rsidRPr="00686824" w:rsidP="00686824">
      <w:pPr>
        <w:pStyle w:val="ListParagraph"/>
        <w:bidi w:val="0"/>
        <w:ind w:left="567"/>
        <w:jc w:val="both"/>
        <w:rPr>
          <w:rFonts w:ascii="Times New Roman" w:eastAsia="Times New Roman" w:hAnsi="Times New Roman"/>
          <w:color w:val="000000"/>
        </w:rPr>
      </w:pP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ind w:left="1418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22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II v 1. bode sa slová „posudzuje námietky“ nahrádzajú slovami „preskúmava námietky“.</w:t>
      </w:r>
    </w:p>
    <w:p w:rsidR="00686824" w:rsidRPr="00686824" w:rsidP="00686824">
      <w:pPr>
        <w:bidi w:val="0"/>
        <w:ind w:left="1416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686824" w:rsidP="00686824">
      <w:pPr>
        <w:bidi w:val="0"/>
        <w:ind w:left="288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i/>
          <w:color w:val="000000"/>
          <w:sz w:val="24"/>
          <w:szCs w:val="24"/>
          <w:rtl w:val="0"/>
          <w:cs w:val="0"/>
          <w:lang w:val="sk-SK" w:eastAsia="sk-SK" w:bidi="ar-SA"/>
        </w:rPr>
        <w:t>V nadväznosti na bod  9. sa mení slovné spojenie „posúdenie námietok“ na „preskúmanie námietok“.</w:t>
      </w:r>
    </w:p>
    <w:p w:rsidR="003D212B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eastAsia="Times New Roman"/>
          <w:color w:val="000000"/>
        </w:rPr>
      </w:pP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</w:t>
      </w: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II v 2. bode sa slovo „písmenami“ nahrádza slovom „písmenom“ a písmeno „p)“ sa v celom texte nahrádza písmenom „o)“ a slová „Poznámky pod čiarou k odkazom 17d a 17e znejú“ sa nahrádzajú slovami „Poznámka pod čiarou k odkazu 17d znie“.</w:t>
      </w:r>
    </w:p>
    <w:p w:rsidR="00343B3D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Zosúladenie vnútorných odkazov so zákonom č. 256/2022 Z. z., ktorý nadobudne účinnosť 1. 10. 2022.</w:t>
      </w:r>
    </w:p>
    <w:p w:rsidR="00686824" w:rsidP="00686824">
      <w:pPr>
        <w:bidi w:val="0"/>
        <w:ind w:left="2874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2</w:t>
      </w:r>
      <w:r w:rsidR="00343B3D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4</w:t>
      </w: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. V čl. II v 3. bode sa slová „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Cenová regulácia vykonávaná úradom podľa tohto zákona sa neuplatňuje“ nahrádzajú slovami „Cenové rozhodnutia vydané úradom regulovaným subjektom podľa tohto zákona sa neuplatňujú“.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686824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 w:rsidRPr="00686824">
        <w:rPr>
          <w:rFonts w:ascii="Times New Roman" w:eastAsia="Times New Roman" w:hAnsi="Times New Roman" w:cs="Times New Roman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>Zjednotenie terminológie so zákonom o regulácii.</w:t>
      </w:r>
    </w:p>
    <w:p w:rsidR="00686824" w:rsidP="00686824">
      <w:pPr>
        <w:bidi w:val="0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686824" w:rsidRPr="00686824" w:rsidP="00686824">
      <w:pPr>
        <w:bidi w:val="0"/>
        <w:jc w:val="both"/>
        <w:rPr>
          <w:rFonts w:ascii="Times New Roman" w:eastAsia="Times New Roman" w:hAnsi="Times New Roman" w:cs="Times New Roman"/>
          <w:color w:val="000000"/>
        </w:rPr>
      </w:pP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</w:t>
      </w:r>
      <w:r w:rsidR="00343B3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</w:t>
      </w:r>
      <w:r w:rsidRPr="00686824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 V čl. II v 6. bode v § 41  ods. 2 písm. c) sa slová „§ 9 ods. 2 písm. p)“ nahrádzajú slovami „§ 9 ods. 1 písm. o)“ a slová „posúdenie námietok voči potvrdeniu o výške čistých nákladov povinnosti vo všeobecnom hospodárskom záujme podľa § 9 ods. 2 písm. q)“ sa nahrádzajú slovami „preskúmanie námietok voči potvrdeniu o výške čistých nákladov povinnosti vo všeobecnom hospodárskom záujme podľa  § 6 ods. 3 písm. h)“.</w:t>
      </w:r>
    </w:p>
    <w:p w:rsidR="00686824" w:rsidP="00686824">
      <w:pPr>
        <w:pStyle w:val="ListParagraph"/>
        <w:bidi w:val="0"/>
        <w:ind w:left="1416"/>
        <w:jc w:val="left"/>
        <w:rPr>
          <w:rFonts w:ascii="Times New Roman" w:eastAsia="Times New Roman" w:hAnsi="Times New Roman"/>
          <w:i/>
          <w:color w:val="000000"/>
          <w:lang w:eastAsia="en-US"/>
        </w:rPr>
      </w:pPr>
    </w:p>
    <w:p w:rsidR="00686824" w:rsidRPr="00686824" w:rsidP="00686824">
      <w:pPr>
        <w:pStyle w:val="ListParagraph"/>
        <w:bidi w:val="0"/>
        <w:ind w:left="2880"/>
        <w:jc w:val="left"/>
        <w:rPr>
          <w:rFonts w:ascii="Times New Roman" w:eastAsia="Times New Roman" w:hAnsi="Times New Roman"/>
          <w:i/>
          <w:color w:val="000000"/>
          <w:lang w:eastAsia="en-US"/>
        </w:rPr>
      </w:pPr>
      <w:r w:rsidRPr="00686824">
        <w:rPr>
          <w:rFonts w:ascii="Times New Roman" w:eastAsia="Times New Roman" w:hAnsi="Times New Roman" w:cs="Times New Roman" w:hint="cs"/>
          <w:i/>
          <w:noProof/>
          <w:color w:val="000000"/>
          <w:sz w:val="24"/>
          <w:szCs w:val="24"/>
          <w:rtl w:val="0"/>
          <w:cs w:val="0"/>
          <w:lang w:val="sk-SK" w:eastAsia="en-US" w:bidi="ar-SA"/>
        </w:rPr>
        <w:t>V nadväznosti na body  9. a 13. sa mení slovné spojenie „posúdenie námietok“ na „preskúmanie námietok“ a opravujú sa vnútorné odkazy.</w:t>
      </w:r>
    </w:p>
    <w:p w:rsidR="00686824" w:rsidRPr="00686824" w:rsidP="00686824">
      <w:pPr>
        <w:bidi w:val="0"/>
        <w:jc w:val="both"/>
        <w:rPr>
          <w:rFonts w:eastAsia="Times New Roman"/>
          <w:color w:val="000000"/>
        </w:rPr>
      </w:pPr>
    </w:p>
    <w:p w:rsidR="00686824" w:rsidRPr="00686824" w:rsidP="00686824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86824" w:rsidP="00686824">
      <w:pPr>
        <w:bidi w:val="0"/>
        <w:ind w:left="2160"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68682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86824" w:rsidP="0014053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40531" w:rsidRPr="00140531" w:rsidP="00140531">
      <w:pPr>
        <w:pStyle w:val="ListParagraph"/>
        <w:bidi w:val="0"/>
        <w:ind w:left="567"/>
        <w:jc w:val="left"/>
        <w:rPr>
          <w:rFonts w:ascii="Times New Roman" w:eastAsia="Times New Roman" w:hAnsi="Times New Roman"/>
          <w:color w:val="000000"/>
        </w:rPr>
      </w:pPr>
    </w:p>
    <w:p w:rsidR="003F6315" w:rsidRPr="00FB7EC8" w:rsidP="003F6315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FB7E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FB7E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</w:t>
      </w:r>
      <w:r w:rsidR="001405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ž</w:t>
      </w:r>
      <w:r w:rsidRPr="00FB7E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868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="00343B3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FB7E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FB7E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FB7E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A03E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40531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C608DB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C608D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AE0758" w:rsidRPr="00C608DB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08DB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DF640F"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140531"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251/2012 Z. z. o energetike a o zmene a doplnení niektorých zákonov v znení neskorších predpisov a ktorým sa mení a dopĺňa zákon č. 250/2012 Z. z. o regulácii v sieťových odvetviach v znení neskorších predpisov </w:t>
      </w:r>
      <w:r w:rsidRPr="00DF640F" w:rsidR="00AD40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</w:t>
      </w:r>
      <w:r w:rsidR="00AD40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1198</w:t>
      </w:r>
      <w:r w:rsidRPr="00DF640F" w:rsidR="00AD40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60C08" w:rsidR="00AD402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3F63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3F63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C608DB" w:rsidR="003F63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C608DB" w:rsidR="003F631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608DB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C608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608DB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608D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C608DB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608DB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342</w:t>
      </w:r>
      <w:r w:rsidRPr="00C608DB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608D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C608DB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C608DB" w:rsidR="0084675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Radovana Kazdu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C608DB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8809B5" w:rsidRPr="00C608DB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DF64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608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D40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C608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608DB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92032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C608DB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C608DB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C608DB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C608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C608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C608DB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C608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608D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608DB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608D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608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343B3D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8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3E9E7E25"/>
    <w:multiLevelType w:val="hybridMultilevel"/>
    <w:tmpl w:val="AE36F9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cs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5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7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2"/>
  </w:num>
  <w:num w:numId="36">
    <w:abstractNumId w:val="42"/>
  </w:num>
  <w:num w:numId="37">
    <w:abstractNumId w:val="41"/>
  </w:num>
  <w:num w:numId="38">
    <w:abstractNumId w:val="11"/>
  </w:num>
  <w:num w:numId="39">
    <w:abstractNumId w:val="16"/>
  </w:num>
  <w:num w:numId="40">
    <w:abstractNumId w:val="20"/>
  </w:num>
  <w:num w:numId="41">
    <w:abstractNumId w:val="3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4"/>
  </w:num>
  <w:num w:numId="47">
    <w:abstractNumId w:val="9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Bullet 1,Bullet Points,Conclusion de partie,Dot pt,Indicator Text,List Paragraph Char Char Char,List Paragraph1,List Paragraph12,MAIN CONTENT,Nad,No Spacing1,Numbered Para 1,Odsek,Odsek zoznamu1,Odsek zoznamu2,Odsek zákon,body,tabulky"/>
    <w:basedOn w:val="Normal"/>
    <w:link w:val="OdsekzoznamuChar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Conclusion de partie Char,Dot pt Char,List Paragraph Char Char Char Char,List Paragraph1 Char,Nad Char,No Spacing1 Char,Numbered Para 1 Char,Odsek Char,Odsek zoznamu1 Char,Odsek zoznamu2 Char,Odsek zákon Char,body Char,tabulk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155</TotalTime>
  <Pages>8</Pages>
  <Words>1993</Words>
  <Characters>11361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42</cp:revision>
  <cp:lastPrinted>2020-05-20T15:53:00Z</cp:lastPrinted>
  <dcterms:created xsi:type="dcterms:W3CDTF">2021-08-12T08:52:00Z</dcterms:created>
  <dcterms:modified xsi:type="dcterms:W3CDTF">2022-09-27T14:21:00Z</dcterms:modified>
</cp:coreProperties>
</file>