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71054DA8" w14:textId="77777777" w:rsidTr="000800FC">
        <w:trPr>
          <w:trHeight w:val="534"/>
          <w:jc w:val="center"/>
        </w:trPr>
        <w:tc>
          <w:tcPr>
            <w:tcW w:w="5000" w:type="pct"/>
            <w:gridSpan w:val="3"/>
            <w:tcBorders>
              <w:bottom w:val="single" w:sz="4" w:space="0" w:color="auto"/>
            </w:tcBorders>
            <w:shd w:val="clear" w:color="auto" w:fill="808080" w:themeFill="background1" w:themeFillShade="80"/>
          </w:tcPr>
          <w:p w14:paraId="5096521D"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14:paraId="31D8F12C"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6AA903D7"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3B710B4F" w14:textId="77777777" w:rsidTr="000800FC">
        <w:trPr>
          <w:jc w:val="center"/>
        </w:trPr>
        <w:tc>
          <w:tcPr>
            <w:tcW w:w="5000" w:type="pct"/>
            <w:gridSpan w:val="3"/>
            <w:tcBorders>
              <w:bottom w:val="single" w:sz="4" w:space="0" w:color="auto"/>
            </w:tcBorders>
            <w:shd w:val="clear" w:color="auto" w:fill="A6A6A6" w:themeFill="background1" w:themeFillShade="A6"/>
          </w:tcPr>
          <w:p w14:paraId="73811E37"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0130BE9A" w14:textId="77777777" w:rsidTr="000800FC">
        <w:trPr>
          <w:jc w:val="center"/>
        </w:trPr>
        <w:tc>
          <w:tcPr>
            <w:tcW w:w="5000" w:type="pct"/>
            <w:gridSpan w:val="3"/>
            <w:tcBorders>
              <w:bottom w:val="single" w:sz="4" w:space="0" w:color="auto"/>
            </w:tcBorders>
            <w:shd w:val="clear" w:color="auto" w:fill="F2F2F2"/>
          </w:tcPr>
          <w:p w14:paraId="7ACB9BC1"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702334F2"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11B30F3E"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1D5C8395"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56143EAC"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460CDAC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763122E2"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3DA52AD1"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61B52F03"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7ED980D2"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92FE65B" w14:textId="77777777" w:rsidR="002644DE" w:rsidRPr="002644DE" w:rsidRDefault="003336DA" w:rsidP="003336DA">
            <w:pPr>
              <w:spacing w:after="0" w:line="240" w:lineRule="auto"/>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Jednorazový pozitívny vplyv na hospodárenie domácností dôchodcov zakladá vyplatenie 13. dôchodku v mesiaci november 2022.</w:t>
            </w:r>
          </w:p>
        </w:tc>
      </w:tr>
      <w:tr w:rsidR="002644DE" w:rsidRPr="002644DE" w14:paraId="462771DE" w14:textId="77777777" w:rsidTr="000800FC">
        <w:trPr>
          <w:trHeight w:val="397"/>
          <w:jc w:val="center"/>
        </w:trPr>
        <w:tc>
          <w:tcPr>
            <w:tcW w:w="129" w:type="pct"/>
            <w:vMerge w:val="restart"/>
            <w:tcBorders>
              <w:top w:val="single" w:sz="4" w:space="0" w:color="auto"/>
            </w:tcBorders>
            <w:shd w:val="clear" w:color="auto" w:fill="auto"/>
            <w:vAlign w:val="center"/>
          </w:tcPr>
          <w:p w14:paraId="0468743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63EFEC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9C0025D" w14:textId="77777777" w:rsidR="002644DE" w:rsidRPr="002644DE" w:rsidRDefault="003336DA"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Poberatelia dôchodkových dávok.</w:t>
            </w:r>
          </w:p>
        </w:tc>
      </w:tr>
      <w:tr w:rsidR="002644DE" w:rsidRPr="002644DE" w14:paraId="6DA4C1DE" w14:textId="77777777" w:rsidTr="000800FC">
        <w:trPr>
          <w:trHeight w:val="397"/>
          <w:jc w:val="center"/>
        </w:trPr>
        <w:tc>
          <w:tcPr>
            <w:tcW w:w="129" w:type="pct"/>
            <w:vMerge/>
            <w:shd w:val="clear" w:color="auto" w:fill="auto"/>
            <w:vAlign w:val="center"/>
          </w:tcPr>
          <w:p w14:paraId="7248217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437FD6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3018DAC" w14:textId="77777777" w:rsidR="002644DE" w:rsidRPr="002644DE" w:rsidRDefault="003336DA"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Poberatelia dôchodkových dávok.</w:t>
            </w:r>
          </w:p>
        </w:tc>
      </w:tr>
      <w:tr w:rsidR="002644DE" w:rsidRPr="002644DE" w14:paraId="42BBBB0D" w14:textId="77777777" w:rsidTr="000800FC">
        <w:trPr>
          <w:trHeight w:val="454"/>
          <w:jc w:val="center"/>
        </w:trPr>
        <w:tc>
          <w:tcPr>
            <w:tcW w:w="129" w:type="pct"/>
            <w:tcBorders>
              <w:top w:val="dotted" w:sz="4" w:space="0" w:color="auto"/>
            </w:tcBorders>
            <w:shd w:val="clear" w:color="auto" w:fill="F2F2F2"/>
            <w:vAlign w:val="center"/>
          </w:tcPr>
          <w:p w14:paraId="64AE5F4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108B1545" w14:textId="77777777" w:rsidR="002644DE" w:rsidRPr="0079001A" w:rsidRDefault="002644DE" w:rsidP="002644DE">
            <w:pPr>
              <w:spacing w:after="0" w:line="240" w:lineRule="auto"/>
              <w:rPr>
                <w:rFonts w:ascii="Times New Roman" w:eastAsia="Calibri" w:hAnsi="Times New Roman" w:cs="Times New Roman"/>
                <w:sz w:val="20"/>
                <w:szCs w:val="20"/>
                <w:lang w:eastAsia="sk-SK"/>
              </w:rPr>
            </w:pPr>
            <w:r w:rsidRPr="0079001A">
              <w:rPr>
                <w:rFonts w:ascii="Times New Roman" w:eastAsia="Calibri" w:hAnsi="Times New Roman" w:cs="Times New Roman"/>
                <w:b/>
                <w:i/>
                <w:sz w:val="20"/>
                <w:szCs w:val="20"/>
                <w:lang w:eastAsia="sk-SK"/>
              </w:rPr>
              <w:t>Kvantifikujte</w:t>
            </w:r>
            <w:r w:rsidRPr="0079001A">
              <w:rPr>
                <w:rFonts w:ascii="Times New Roman" w:eastAsia="Calibri" w:hAnsi="Times New Roman" w:cs="Times New Roman"/>
                <w:i/>
                <w:sz w:val="20"/>
                <w:szCs w:val="20"/>
                <w:lang w:eastAsia="sk-SK"/>
              </w:rPr>
              <w:t xml:space="preserve"> rast príjmov alebo pokles výdavkov </w:t>
            </w:r>
            <w:r w:rsidRPr="0079001A">
              <w:rPr>
                <w:rFonts w:ascii="Times New Roman" w:eastAsia="Calibri" w:hAnsi="Times New Roman" w:cs="Times New Roman"/>
                <w:b/>
                <w:i/>
                <w:sz w:val="20"/>
                <w:szCs w:val="20"/>
                <w:lang w:eastAsia="sk-SK"/>
              </w:rPr>
              <w:t>za jednotlivé</w:t>
            </w:r>
            <w:r w:rsidRPr="0079001A">
              <w:rPr>
                <w:rFonts w:ascii="Times New Roman" w:eastAsia="Calibri" w:hAnsi="Times New Roman" w:cs="Times New Roman"/>
                <w:i/>
                <w:sz w:val="20"/>
                <w:szCs w:val="20"/>
                <w:lang w:eastAsia="sk-SK"/>
              </w:rPr>
              <w:t xml:space="preserve"> </w:t>
            </w:r>
            <w:r w:rsidRPr="0079001A">
              <w:rPr>
                <w:rFonts w:ascii="Times New Roman" w:eastAsia="Calibri" w:hAnsi="Times New Roman" w:cs="Times New Roman"/>
                <w:b/>
                <w:i/>
                <w:sz w:val="20"/>
                <w:szCs w:val="20"/>
                <w:lang w:eastAsia="sk-SK"/>
              </w:rPr>
              <w:t>ovplyvnené</w:t>
            </w:r>
            <w:r w:rsidRPr="0079001A">
              <w:rPr>
                <w:rFonts w:ascii="Times New Roman" w:eastAsia="Calibri" w:hAnsi="Times New Roman" w:cs="Times New Roman"/>
                <w:i/>
                <w:sz w:val="20"/>
                <w:szCs w:val="20"/>
                <w:lang w:eastAsia="sk-SK"/>
              </w:rPr>
              <w:t xml:space="preserve"> </w:t>
            </w:r>
            <w:r w:rsidRPr="0079001A">
              <w:rPr>
                <w:rFonts w:ascii="Times New Roman" w:eastAsia="Calibri" w:hAnsi="Times New Roman" w:cs="Times New Roman"/>
                <w:b/>
                <w:i/>
                <w:sz w:val="20"/>
                <w:szCs w:val="20"/>
                <w:lang w:eastAsia="sk-SK"/>
              </w:rPr>
              <w:t>skupiny</w:t>
            </w:r>
            <w:r w:rsidRPr="0079001A">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148618CC" w14:textId="77777777" w:rsidTr="000800FC">
        <w:trPr>
          <w:trHeight w:val="680"/>
          <w:jc w:val="center"/>
        </w:trPr>
        <w:tc>
          <w:tcPr>
            <w:tcW w:w="129" w:type="pct"/>
            <w:vMerge w:val="restart"/>
            <w:tcBorders>
              <w:top w:val="dotted" w:sz="4" w:space="0" w:color="auto"/>
            </w:tcBorders>
            <w:shd w:val="clear" w:color="auto" w:fill="auto"/>
            <w:vAlign w:val="center"/>
          </w:tcPr>
          <w:p w14:paraId="3703CA6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27787B61" w14:textId="77777777" w:rsidR="002644DE" w:rsidRPr="0079001A"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79001A">
              <w:rPr>
                <w:rFonts w:ascii="Times New Roman" w:eastAsia="Calibri" w:hAnsi="Times New Roman" w:cs="Times New Roman"/>
                <w:i/>
                <w:sz w:val="18"/>
                <w:szCs w:val="20"/>
                <w:lang w:eastAsia="sk-SK"/>
              </w:rPr>
              <w:t>priemerný rast príjmov/ pokles výdavkov v skupine v eurách a/alebo v % / obdobie:</w:t>
            </w:r>
          </w:p>
          <w:p w14:paraId="54220749" w14:textId="77777777" w:rsidR="002644DE" w:rsidRPr="0079001A"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79001A">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87E6D90" w14:textId="55913E03" w:rsidR="002644DE" w:rsidRPr="0079001A" w:rsidRDefault="0079001A"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Priemerná</w:t>
            </w:r>
            <w:r w:rsidR="003336DA" w:rsidRPr="0079001A">
              <w:rPr>
                <w:rFonts w:ascii="Times New Roman" w:eastAsia="Calibri" w:hAnsi="Times New Roman" w:cs="Times New Roman"/>
                <w:i/>
                <w:sz w:val="18"/>
                <w:szCs w:val="20"/>
                <w:lang w:eastAsia="sk-SK"/>
              </w:rPr>
              <w:t xml:space="preserve"> suma 13. dôchodku </w:t>
            </w:r>
            <w:r w:rsidRPr="0079001A">
              <w:rPr>
                <w:rFonts w:ascii="Times New Roman" w:eastAsia="Calibri" w:hAnsi="Times New Roman" w:cs="Times New Roman"/>
                <w:i/>
                <w:sz w:val="18"/>
                <w:szCs w:val="20"/>
                <w:lang w:eastAsia="sk-SK"/>
              </w:rPr>
              <w:t xml:space="preserve">na jedného dôchodcu </w:t>
            </w:r>
            <w:r w:rsidR="003336DA" w:rsidRPr="0079001A">
              <w:rPr>
                <w:rFonts w:ascii="Times New Roman" w:eastAsia="Calibri" w:hAnsi="Times New Roman" w:cs="Times New Roman"/>
                <w:i/>
                <w:sz w:val="18"/>
                <w:szCs w:val="20"/>
                <w:lang w:eastAsia="sk-SK"/>
              </w:rPr>
              <w:t xml:space="preserve">sa predpokladá v sume </w:t>
            </w:r>
            <w:r w:rsidR="00B11212" w:rsidRPr="0079001A">
              <w:rPr>
                <w:rFonts w:ascii="Times New Roman" w:eastAsia="Calibri" w:hAnsi="Times New Roman" w:cs="Times New Roman"/>
                <w:i/>
                <w:sz w:val="18"/>
                <w:szCs w:val="20"/>
                <w:lang w:eastAsia="sk-SK"/>
              </w:rPr>
              <w:t xml:space="preserve">cca </w:t>
            </w:r>
            <w:r w:rsidRPr="0079001A">
              <w:rPr>
                <w:rFonts w:ascii="Times New Roman" w:eastAsia="Calibri" w:hAnsi="Times New Roman" w:cs="Times New Roman"/>
                <w:i/>
                <w:sz w:val="18"/>
                <w:szCs w:val="20"/>
                <w:lang w:eastAsia="sk-SK"/>
              </w:rPr>
              <w:t>144,7</w:t>
            </w:r>
            <w:r w:rsidR="003336DA" w:rsidRPr="0079001A">
              <w:rPr>
                <w:rFonts w:ascii="Times New Roman" w:eastAsia="Calibri" w:hAnsi="Times New Roman" w:cs="Times New Roman"/>
                <w:i/>
                <w:sz w:val="18"/>
                <w:szCs w:val="20"/>
                <w:lang w:eastAsia="sk-SK"/>
              </w:rPr>
              <w:t xml:space="preserve"> eur</w:t>
            </w:r>
            <w:r w:rsidRPr="0079001A">
              <w:rPr>
                <w:rFonts w:ascii="Times New Roman" w:eastAsia="Calibri" w:hAnsi="Times New Roman" w:cs="Times New Roman"/>
                <w:i/>
                <w:sz w:val="18"/>
                <w:szCs w:val="20"/>
                <w:lang w:eastAsia="sk-SK"/>
              </w:rPr>
              <w:t>a</w:t>
            </w:r>
            <w:r w:rsidR="003336DA" w:rsidRPr="0079001A">
              <w:rPr>
                <w:rFonts w:ascii="Times New Roman" w:eastAsia="Calibri" w:hAnsi="Times New Roman" w:cs="Times New Roman"/>
                <w:i/>
                <w:sz w:val="18"/>
                <w:szCs w:val="20"/>
                <w:lang w:eastAsia="sk-SK"/>
              </w:rPr>
              <w:t xml:space="preserve">. </w:t>
            </w:r>
          </w:p>
          <w:p w14:paraId="653DF252" w14:textId="77777777" w:rsidR="003336DA" w:rsidRPr="0079001A" w:rsidRDefault="003336DA" w:rsidP="003336DA">
            <w:pPr>
              <w:spacing w:after="0" w:line="240" w:lineRule="auto"/>
              <w:jc w:val="both"/>
              <w:rPr>
                <w:rFonts w:ascii="Times New Roman" w:eastAsia="Calibri" w:hAnsi="Times New Roman" w:cs="Times New Roman"/>
                <w:sz w:val="20"/>
                <w:szCs w:val="20"/>
                <w:lang w:eastAsia="sk-SK"/>
              </w:rPr>
            </w:pPr>
            <w:r w:rsidRPr="0079001A">
              <w:rPr>
                <w:rFonts w:ascii="Times New Roman" w:eastAsia="Calibri" w:hAnsi="Times New Roman" w:cs="Times New Roman"/>
                <w:i/>
                <w:sz w:val="18"/>
                <w:szCs w:val="20"/>
                <w:lang w:eastAsia="sk-SK"/>
              </w:rPr>
              <w:t xml:space="preserve">Počet dotknutých poberateľov dôchodkových dávok odhadujeme v mesiaci november 2022 na úrovni </w:t>
            </w:r>
            <w:r w:rsidR="00925091" w:rsidRPr="0079001A">
              <w:rPr>
                <w:rFonts w:ascii="Times New Roman" w:eastAsia="Calibri" w:hAnsi="Times New Roman" w:cs="Times New Roman"/>
                <w:i/>
                <w:sz w:val="18"/>
                <w:szCs w:val="20"/>
                <w:lang w:eastAsia="sk-SK"/>
              </w:rPr>
              <w:t>približne 1 435</w:t>
            </w:r>
            <w:r w:rsidRPr="0079001A">
              <w:rPr>
                <w:rFonts w:ascii="Times New Roman" w:eastAsia="Calibri" w:hAnsi="Times New Roman" w:cs="Times New Roman"/>
                <w:i/>
                <w:sz w:val="18"/>
                <w:szCs w:val="20"/>
                <w:lang w:eastAsia="sk-SK"/>
              </w:rPr>
              <w:t xml:space="preserve"> tisíc osôb. </w:t>
            </w:r>
          </w:p>
        </w:tc>
      </w:tr>
      <w:tr w:rsidR="002644DE" w:rsidRPr="002644DE" w14:paraId="49844FDC" w14:textId="77777777" w:rsidTr="000800FC">
        <w:trPr>
          <w:trHeight w:val="680"/>
          <w:jc w:val="center"/>
        </w:trPr>
        <w:tc>
          <w:tcPr>
            <w:tcW w:w="129" w:type="pct"/>
            <w:vMerge/>
            <w:shd w:val="clear" w:color="auto" w:fill="auto"/>
            <w:vAlign w:val="center"/>
          </w:tcPr>
          <w:p w14:paraId="7771F7E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A3FBEFE"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A8EF61C" w14:textId="77777777" w:rsidR="002644DE" w:rsidRPr="002644DE" w:rsidRDefault="003336DA"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Poberatelia dôchodkových dávok.</w:t>
            </w:r>
          </w:p>
        </w:tc>
      </w:tr>
      <w:tr w:rsidR="002644DE" w:rsidRPr="002644DE" w14:paraId="6CB0745D" w14:textId="77777777" w:rsidTr="000800FC">
        <w:trPr>
          <w:trHeight w:val="397"/>
          <w:jc w:val="center"/>
        </w:trPr>
        <w:tc>
          <w:tcPr>
            <w:tcW w:w="129" w:type="pct"/>
            <w:tcBorders>
              <w:top w:val="dotted" w:sz="4" w:space="0" w:color="auto"/>
            </w:tcBorders>
            <w:shd w:val="clear" w:color="auto" w:fill="auto"/>
            <w:vAlign w:val="center"/>
          </w:tcPr>
          <w:p w14:paraId="73F893E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224EA46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E054EE5"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53701AC2" w14:textId="77777777" w:rsidTr="000800FC">
        <w:trPr>
          <w:trHeight w:val="170"/>
          <w:jc w:val="center"/>
        </w:trPr>
        <w:tc>
          <w:tcPr>
            <w:tcW w:w="129" w:type="pct"/>
            <w:tcBorders>
              <w:top w:val="nil"/>
              <w:bottom w:val="single" w:sz="4" w:space="0" w:color="auto"/>
            </w:tcBorders>
            <w:shd w:val="clear" w:color="auto" w:fill="F2F2F2"/>
            <w:vAlign w:val="center"/>
          </w:tcPr>
          <w:p w14:paraId="486D176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1C28DCB6"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66A7EE5C"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6F73B6C6"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0EBF6E6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60FC1F4A"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34955F7"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25F4F74D" w14:textId="77777777" w:rsidTr="000800FC">
        <w:trPr>
          <w:trHeight w:val="397"/>
          <w:jc w:val="center"/>
        </w:trPr>
        <w:tc>
          <w:tcPr>
            <w:tcW w:w="129" w:type="pct"/>
            <w:vMerge w:val="restart"/>
            <w:tcBorders>
              <w:top w:val="single" w:sz="4" w:space="0" w:color="auto"/>
            </w:tcBorders>
            <w:shd w:val="clear" w:color="auto" w:fill="auto"/>
            <w:vAlign w:val="center"/>
          </w:tcPr>
          <w:p w14:paraId="4537C62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7B9F308"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3AD2F1C"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2DCEF3BB" w14:textId="77777777" w:rsidTr="000800FC">
        <w:trPr>
          <w:trHeight w:val="397"/>
          <w:jc w:val="center"/>
        </w:trPr>
        <w:tc>
          <w:tcPr>
            <w:tcW w:w="129" w:type="pct"/>
            <w:vMerge/>
            <w:shd w:val="clear" w:color="auto" w:fill="auto"/>
            <w:vAlign w:val="center"/>
          </w:tcPr>
          <w:p w14:paraId="41C00C4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FA4E32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3AC2331"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688AEDB" w14:textId="77777777" w:rsidTr="000800FC">
        <w:trPr>
          <w:trHeight w:val="397"/>
          <w:jc w:val="center"/>
        </w:trPr>
        <w:tc>
          <w:tcPr>
            <w:tcW w:w="129" w:type="pct"/>
            <w:tcBorders>
              <w:top w:val="dotted" w:sz="4" w:space="0" w:color="auto"/>
            </w:tcBorders>
            <w:shd w:val="clear" w:color="auto" w:fill="F2F2F2"/>
            <w:vAlign w:val="center"/>
          </w:tcPr>
          <w:p w14:paraId="77691A2E"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161E6155"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000A8062" w14:textId="77777777" w:rsidTr="000800FC">
        <w:trPr>
          <w:trHeight w:val="680"/>
          <w:jc w:val="center"/>
        </w:trPr>
        <w:tc>
          <w:tcPr>
            <w:tcW w:w="129" w:type="pct"/>
            <w:vMerge w:val="restart"/>
            <w:tcBorders>
              <w:top w:val="dotted" w:sz="4" w:space="0" w:color="auto"/>
            </w:tcBorders>
            <w:shd w:val="clear" w:color="auto" w:fill="auto"/>
            <w:vAlign w:val="center"/>
          </w:tcPr>
          <w:p w14:paraId="64A8CB2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A861E23"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63EFA6F"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91A465E"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5C1C47D" w14:textId="77777777" w:rsidTr="000800FC">
        <w:trPr>
          <w:trHeight w:val="680"/>
          <w:jc w:val="center"/>
        </w:trPr>
        <w:tc>
          <w:tcPr>
            <w:tcW w:w="129" w:type="pct"/>
            <w:vMerge/>
            <w:shd w:val="clear" w:color="auto" w:fill="auto"/>
            <w:vAlign w:val="center"/>
          </w:tcPr>
          <w:p w14:paraId="2DEBE95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E64BD1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9B66809"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135488F" w14:textId="77777777" w:rsidTr="000800FC">
        <w:trPr>
          <w:trHeight w:val="350"/>
          <w:jc w:val="center"/>
        </w:trPr>
        <w:tc>
          <w:tcPr>
            <w:tcW w:w="129" w:type="pct"/>
            <w:tcBorders>
              <w:top w:val="dotted" w:sz="4" w:space="0" w:color="auto"/>
              <w:bottom w:val="single" w:sz="4" w:space="0" w:color="auto"/>
            </w:tcBorders>
            <w:shd w:val="clear" w:color="auto" w:fill="auto"/>
            <w:vAlign w:val="center"/>
          </w:tcPr>
          <w:p w14:paraId="659BB11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0E6D79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2E89F54"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69B3FDC2"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342D772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F401D61"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2229E171"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391AEE6B"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59394AC6"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05F667D9"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58FAA21C" w14:textId="77777777"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14:paraId="55A0FAB6" w14:textId="77777777" w:rsidTr="000800FC">
        <w:trPr>
          <w:trHeight w:val="397"/>
          <w:jc w:val="center"/>
        </w:trPr>
        <w:tc>
          <w:tcPr>
            <w:tcW w:w="129" w:type="pct"/>
            <w:vMerge w:val="restart"/>
            <w:tcBorders>
              <w:top w:val="single" w:sz="4" w:space="0" w:color="auto"/>
            </w:tcBorders>
            <w:shd w:val="clear" w:color="auto" w:fill="auto"/>
            <w:vAlign w:val="center"/>
          </w:tcPr>
          <w:p w14:paraId="3BBA7AA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C0020E5"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2BFAF54B"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51000A03" w14:textId="77777777" w:rsidTr="000800FC">
        <w:trPr>
          <w:trHeight w:val="397"/>
          <w:jc w:val="center"/>
        </w:trPr>
        <w:tc>
          <w:tcPr>
            <w:tcW w:w="129" w:type="pct"/>
            <w:vMerge/>
            <w:tcBorders>
              <w:bottom w:val="single" w:sz="4" w:space="0" w:color="auto"/>
            </w:tcBorders>
            <w:shd w:val="clear" w:color="auto" w:fill="auto"/>
            <w:vAlign w:val="center"/>
          </w:tcPr>
          <w:p w14:paraId="1BBF085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0AB08F0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326B148C"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795275B" w14:textId="77777777" w:rsidTr="000800FC">
        <w:trPr>
          <w:trHeight w:val="397"/>
          <w:jc w:val="center"/>
        </w:trPr>
        <w:tc>
          <w:tcPr>
            <w:tcW w:w="129" w:type="pct"/>
            <w:tcBorders>
              <w:top w:val="single" w:sz="4" w:space="0" w:color="auto"/>
            </w:tcBorders>
            <w:shd w:val="clear" w:color="auto" w:fill="F2F2F2"/>
            <w:vAlign w:val="center"/>
          </w:tcPr>
          <w:p w14:paraId="098CF60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7FC805D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6C993867" w14:textId="77777777" w:rsidTr="000800FC">
        <w:trPr>
          <w:trHeight w:val="680"/>
          <w:jc w:val="center"/>
        </w:trPr>
        <w:tc>
          <w:tcPr>
            <w:tcW w:w="129" w:type="pct"/>
            <w:vMerge w:val="restart"/>
            <w:tcBorders>
              <w:top w:val="dotted" w:sz="4" w:space="0" w:color="auto"/>
            </w:tcBorders>
            <w:shd w:val="clear" w:color="auto" w:fill="auto"/>
            <w:vAlign w:val="center"/>
          </w:tcPr>
          <w:p w14:paraId="7013998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3AF50D0F"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602C39A"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316CBE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9849332" w14:textId="77777777" w:rsidTr="000800FC">
        <w:trPr>
          <w:trHeight w:val="680"/>
          <w:jc w:val="center"/>
        </w:trPr>
        <w:tc>
          <w:tcPr>
            <w:tcW w:w="129" w:type="pct"/>
            <w:vMerge/>
            <w:shd w:val="clear" w:color="auto" w:fill="auto"/>
            <w:vAlign w:val="center"/>
          </w:tcPr>
          <w:p w14:paraId="4D15BF4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658DECA"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A67C1DA"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007A3FD" w14:textId="77777777" w:rsidTr="000800FC">
        <w:trPr>
          <w:trHeight w:val="397"/>
          <w:jc w:val="center"/>
        </w:trPr>
        <w:tc>
          <w:tcPr>
            <w:tcW w:w="129" w:type="pct"/>
            <w:tcBorders>
              <w:top w:val="dotted" w:sz="4" w:space="0" w:color="auto"/>
            </w:tcBorders>
            <w:shd w:val="clear" w:color="auto" w:fill="auto"/>
            <w:vAlign w:val="center"/>
          </w:tcPr>
          <w:p w14:paraId="1E0FDE8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61D9849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0C065A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ABFD851" w14:textId="77777777" w:rsidTr="000800FC">
        <w:trPr>
          <w:trHeight w:val="227"/>
          <w:jc w:val="center"/>
        </w:trPr>
        <w:tc>
          <w:tcPr>
            <w:tcW w:w="129" w:type="pct"/>
            <w:tcBorders>
              <w:top w:val="nil"/>
              <w:bottom w:val="single" w:sz="4" w:space="0" w:color="auto"/>
            </w:tcBorders>
            <w:shd w:val="clear" w:color="auto" w:fill="F2F2F2"/>
            <w:vAlign w:val="center"/>
          </w:tcPr>
          <w:p w14:paraId="602AD3E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66116C6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4578EA43"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3F2018FD"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3CDA7C4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24DFB738"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3584B4FD"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57CD46C1" w14:textId="77777777" w:rsidTr="000800FC">
        <w:trPr>
          <w:trHeight w:val="397"/>
          <w:jc w:val="center"/>
        </w:trPr>
        <w:tc>
          <w:tcPr>
            <w:tcW w:w="129" w:type="pct"/>
            <w:vMerge w:val="restart"/>
            <w:tcBorders>
              <w:top w:val="single" w:sz="4" w:space="0" w:color="auto"/>
            </w:tcBorders>
            <w:shd w:val="clear" w:color="auto" w:fill="auto"/>
            <w:vAlign w:val="center"/>
          </w:tcPr>
          <w:p w14:paraId="4D6B7BE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F7D062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6A624A67"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1510EE01" w14:textId="77777777" w:rsidTr="000800FC">
        <w:trPr>
          <w:trHeight w:val="397"/>
          <w:jc w:val="center"/>
        </w:trPr>
        <w:tc>
          <w:tcPr>
            <w:tcW w:w="129" w:type="pct"/>
            <w:vMerge/>
            <w:shd w:val="clear" w:color="auto" w:fill="auto"/>
            <w:vAlign w:val="center"/>
          </w:tcPr>
          <w:p w14:paraId="7920452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60B0B9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0C79E4E"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C96FE9A" w14:textId="77777777" w:rsidTr="000800FC">
        <w:trPr>
          <w:trHeight w:val="454"/>
          <w:jc w:val="center"/>
        </w:trPr>
        <w:tc>
          <w:tcPr>
            <w:tcW w:w="129" w:type="pct"/>
            <w:tcBorders>
              <w:top w:val="dotted" w:sz="4" w:space="0" w:color="auto"/>
            </w:tcBorders>
            <w:shd w:val="clear" w:color="auto" w:fill="F2F2F2"/>
            <w:vAlign w:val="center"/>
          </w:tcPr>
          <w:p w14:paraId="458763C5"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760B5A6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2F1797F5" w14:textId="77777777" w:rsidTr="000800FC">
        <w:trPr>
          <w:trHeight w:val="680"/>
          <w:jc w:val="center"/>
        </w:trPr>
        <w:tc>
          <w:tcPr>
            <w:tcW w:w="129" w:type="pct"/>
            <w:vMerge w:val="restart"/>
            <w:tcBorders>
              <w:top w:val="dotted" w:sz="4" w:space="0" w:color="auto"/>
            </w:tcBorders>
            <w:shd w:val="clear" w:color="auto" w:fill="auto"/>
            <w:vAlign w:val="center"/>
          </w:tcPr>
          <w:p w14:paraId="37B218D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466EA640"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1DECB20E"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C777D8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60CC69D" w14:textId="77777777" w:rsidTr="000800FC">
        <w:trPr>
          <w:trHeight w:val="680"/>
          <w:jc w:val="center"/>
        </w:trPr>
        <w:tc>
          <w:tcPr>
            <w:tcW w:w="129" w:type="pct"/>
            <w:vMerge/>
            <w:shd w:val="clear" w:color="auto" w:fill="auto"/>
            <w:vAlign w:val="center"/>
          </w:tcPr>
          <w:p w14:paraId="372D6BC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48C2F4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0FE479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12E5168" w14:textId="77777777" w:rsidTr="000800FC">
        <w:trPr>
          <w:trHeight w:val="454"/>
          <w:jc w:val="center"/>
        </w:trPr>
        <w:tc>
          <w:tcPr>
            <w:tcW w:w="129" w:type="pct"/>
            <w:tcBorders>
              <w:top w:val="dotted" w:sz="4" w:space="0" w:color="auto"/>
              <w:bottom w:val="single" w:sz="4" w:space="0" w:color="auto"/>
            </w:tcBorders>
            <w:shd w:val="clear" w:color="auto" w:fill="auto"/>
            <w:vAlign w:val="center"/>
          </w:tcPr>
          <w:p w14:paraId="132C6AC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A0808F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114BBA14"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08F5C8D8" w14:textId="77777777" w:rsidR="002644DE" w:rsidRPr="002644DE" w:rsidRDefault="002644DE" w:rsidP="002644DE">
      <w:r w:rsidRPr="002644DE">
        <w:br w:type="page"/>
      </w:r>
    </w:p>
    <w:p w14:paraId="5826B393" w14:textId="77777777" w:rsidR="002644DE" w:rsidRPr="002644DE" w:rsidRDefault="002644DE" w:rsidP="002644DE">
      <w:pPr>
        <w:sectPr w:rsidR="002644DE" w:rsidRPr="002644DE" w:rsidSect="00670684">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7BB10D2C" w14:textId="77777777" w:rsidTr="000800FC">
        <w:trPr>
          <w:trHeight w:val="339"/>
          <w:jc w:val="center"/>
        </w:trPr>
        <w:tc>
          <w:tcPr>
            <w:tcW w:w="4998" w:type="pct"/>
            <w:gridSpan w:val="4"/>
            <w:tcBorders>
              <w:bottom w:val="single" w:sz="4" w:space="0" w:color="auto"/>
            </w:tcBorders>
            <w:shd w:val="clear" w:color="auto" w:fill="D9D9D9"/>
          </w:tcPr>
          <w:p w14:paraId="5FC3F594"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344E7ADE" w14:textId="77777777" w:rsidTr="000800FC">
        <w:trPr>
          <w:trHeight w:val="290"/>
          <w:jc w:val="center"/>
        </w:trPr>
        <w:tc>
          <w:tcPr>
            <w:tcW w:w="4998" w:type="pct"/>
            <w:gridSpan w:val="4"/>
            <w:tcBorders>
              <w:bottom w:val="single" w:sz="4" w:space="0" w:color="auto"/>
            </w:tcBorders>
            <w:shd w:val="clear" w:color="auto" w:fill="F2F2F2"/>
            <w:vAlign w:val="center"/>
          </w:tcPr>
          <w:p w14:paraId="52534C17"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609AF8FA"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78E58BEA" w14:textId="77777777" w:rsidTr="000800FC">
        <w:tblPrEx>
          <w:tblBorders>
            <w:top w:val="none" w:sz="0" w:space="0" w:color="auto"/>
            <w:bottom w:val="none" w:sz="0" w:space="0" w:color="auto"/>
          </w:tblBorders>
        </w:tblPrEx>
        <w:trPr>
          <w:trHeight w:val="557"/>
          <w:jc w:val="center"/>
        </w:trPr>
        <w:tc>
          <w:tcPr>
            <w:tcW w:w="180" w:type="pct"/>
            <w:shd w:val="clear" w:color="auto" w:fill="auto"/>
            <w:vAlign w:val="center"/>
          </w:tcPr>
          <w:p w14:paraId="41CC6DA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5A9701FF"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6E34702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CC02E5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23BE77E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D09B61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589BC23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6A7759E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7FBFDDA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7EA77CD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7A6CA22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3495F44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77CA467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25FD9C1F"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0D5B0BEF" w14:textId="77777777" w:rsidR="002644DE" w:rsidRPr="002644DE" w:rsidRDefault="00E9049D" w:rsidP="00692896">
            <w:pPr>
              <w:spacing w:after="0" w:line="240" w:lineRule="auto"/>
              <w:jc w:val="both"/>
              <w:rPr>
                <w:rFonts w:ascii="Times New Roman" w:eastAsia="Calibri" w:hAnsi="Times New Roman" w:cs="Times New Roman"/>
                <w:sz w:val="20"/>
                <w:szCs w:val="20"/>
                <w:lang w:eastAsia="sk-SK"/>
              </w:rPr>
            </w:pPr>
            <w:r w:rsidRPr="00DF6C72">
              <w:rPr>
                <w:rFonts w:ascii="Times New Roman" w:eastAsia="Calibri" w:hAnsi="Times New Roman" w:cs="Times New Roman"/>
                <w:sz w:val="20"/>
                <w:lang w:eastAsia="sk-SK"/>
              </w:rPr>
              <w:t>Bez vplyvu</w:t>
            </w:r>
            <w:r>
              <w:rPr>
                <w:rFonts w:ascii="Times New Roman" w:eastAsia="Calibri" w:hAnsi="Times New Roman" w:cs="Times New Roman"/>
                <w:sz w:val="20"/>
                <w:lang w:eastAsia="sk-SK"/>
              </w:rPr>
              <w:t>.</w:t>
            </w:r>
          </w:p>
        </w:tc>
      </w:tr>
      <w:tr w:rsidR="002644DE" w:rsidRPr="002644DE" w14:paraId="5C2FA4E3" w14:textId="77777777" w:rsidTr="000800FC">
        <w:trPr>
          <w:jc w:val="center"/>
        </w:trPr>
        <w:tc>
          <w:tcPr>
            <w:tcW w:w="180" w:type="pct"/>
            <w:tcBorders>
              <w:bottom w:val="single" w:sz="4" w:space="0" w:color="auto"/>
            </w:tcBorders>
            <w:shd w:val="clear" w:color="auto" w:fill="F2F2F2"/>
            <w:vAlign w:val="center"/>
          </w:tcPr>
          <w:p w14:paraId="193583C6"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350D0ED5"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50FEDB4B"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58BE6913" w14:textId="77777777" w:rsidTr="000800FC">
        <w:tblPrEx>
          <w:tblBorders>
            <w:top w:val="none" w:sz="0" w:space="0" w:color="auto"/>
          </w:tblBorders>
        </w:tblPrEx>
        <w:trPr>
          <w:trHeight w:val="677"/>
          <w:jc w:val="center"/>
        </w:trPr>
        <w:tc>
          <w:tcPr>
            <w:tcW w:w="179" w:type="pct"/>
            <w:shd w:val="clear" w:color="auto" w:fill="auto"/>
            <w:vAlign w:val="center"/>
          </w:tcPr>
          <w:p w14:paraId="2AD56DBC"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58DF93E5"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1439A6C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02C04AC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2600B0D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038E1DE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7E1EDF7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016EE3C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1625B26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3F39A9C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2232270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790FBB2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6B8B232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53CF74BD" w14:textId="77777777" w:rsidR="002644DE" w:rsidRPr="002644DE" w:rsidRDefault="00E9049D" w:rsidP="002644DE">
            <w:pPr>
              <w:spacing w:after="0" w:line="240" w:lineRule="auto"/>
              <w:rPr>
                <w:rFonts w:ascii="Times New Roman" w:eastAsia="Calibri" w:hAnsi="Times New Roman" w:cs="Times New Roman"/>
                <w:sz w:val="20"/>
                <w:lang w:eastAsia="sk-SK"/>
              </w:rPr>
            </w:pPr>
            <w:r w:rsidRPr="00DF6C72">
              <w:rPr>
                <w:rFonts w:ascii="Times New Roman" w:eastAsia="Calibri" w:hAnsi="Times New Roman" w:cs="Times New Roman"/>
                <w:sz w:val="20"/>
                <w:lang w:eastAsia="sk-SK"/>
              </w:rPr>
              <w:t>Bez vplyvu</w:t>
            </w:r>
            <w:r>
              <w:rPr>
                <w:rFonts w:ascii="Times New Roman" w:eastAsia="Calibri" w:hAnsi="Times New Roman" w:cs="Times New Roman"/>
                <w:sz w:val="20"/>
                <w:lang w:eastAsia="sk-SK"/>
              </w:rPr>
              <w:t>.</w:t>
            </w:r>
          </w:p>
        </w:tc>
      </w:tr>
    </w:tbl>
    <w:p w14:paraId="1BD1E5C1" w14:textId="77777777" w:rsidR="002644DE" w:rsidRPr="002644DE" w:rsidRDefault="002644DE" w:rsidP="002644DE">
      <w:pPr>
        <w:sectPr w:rsidR="002644DE"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742B783A" w14:textId="77777777" w:rsidTr="000800FC">
        <w:trPr>
          <w:jc w:val="center"/>
        </w:trPr>
        <w:tc>
          <w:tcPr>
            <w:tcW w:w="5000" w:type="pct"/>
            <w:gridSpan w:val="3"/>
            <w:shd w:val="clear" w:color="auto" w:fill="D9D9D9"/>
          </w:tcPr>
          <w:p w14:paraId="5E67ED83"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540F909B"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487F966D" w14:textId="77777777" w:rsidTr="000800FC">
        <w:trPr>
          <w:jc w:val="center"/>
        </w:trPr>
        <w:tc>
          <w:tcPr>
            <w:tcW w:w="132" w:type="pct"/>
            <w:tcBorders>
              <w:bottom w:val="single" w:sz="4" w:space="0" w:color="auto"/>
            </w:tcBorders>
            <w:shd w:val="clear" w:color="auto" w:fill="F2F2F2"/>
            <w:vAlign w:val="center"/>
          </w:tcPr>
          <w:p w14:paraId="42B034D1"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7CE7178E"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521208A0" w14:textId="77777777" w:rsidTr="000800FC">
        <w:trPr>
          <w:trHeight w:val="928"/>
          <w:jc w:val="center"/>
        </w:trPr>
        <w:tc>
          <w:tcPr>
            <w:tcW w:w="132" w:type="pct"/>
            <w:tcBorders>
              <w:top w:val="nil"/>
              <w:bottom w:val="nil"/>
            </w:tcBorders>
            <w:shd w:val="clear" w:color="auto" w:fill="auto"/>
          </w:tcPr>
          <w:p w14:paraId="61BAA68B" w14:textId="77777777" w:rsidR="002644DE" w:rsidRPr="002644DE" w:rsidRDefault="002644DE" w:rsidP="002644DE">
            <w:pPr>
              <w:spacing w:after="0" w:line="240" w:lineRule="auto"/>
              <w:rPr>
                <w:rFonts w:ascii="Times New Roman" w:eastAsia="Calibri" w:hAnsi="Times New Roman" w:cs="Times New Roman"/>
                <w:sz w:val="20"/>
              </w:rPr>
            </w:pPr>
          </w:p>
          <w:p w14:paraId="5093FF42" w14:textId="77777777" w:rsidR="002644DE" w:rsidRPr="002644DE" w:rsidRDefault="002644DE" w:rsidP="002644DE">
            <w:pPr>
              <w:spacing w:after="0" w:line="240" w:lineRule="auto"/>
              <w:rPr>
                <w:rFonts w:ascii="Times New Roman" w:eastAsia="Calibri" w:hAnsi="Times New Roman" w:cs="Times New Roman"/>
                <w:i/>
                <w:sz w:val="20"/>
              </w:rPr>
            </w:pPr>
          </w:p>
          <w:p w14:paraId="58B45BDE" w14:textId="77777777" w:rsidR="002644DE" w:rsidRPr="002644DE" w:rsidRDefault="002644DE" w:rsidP="002644DE">
            <w:pPr>
              <w:spacing w:after="0" w:line="240" w:lineRule="auto"/>
              <w:rPr>
                <w:rFonts w:ascii="Times New Roman" w:eastAsia="Calibri" w:hAnsi="Times New Roman" w:cs="Times New Roman"/>
                <w:i/>
                <w:sz w:val="20"/>
              </w:rPr>
            </w:pPr>
          </w:p>
          <w:p w14:paraId="1A354C23"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09B69131" w14:textId="77777777" w:rsidR="002644DE" w:rsidRPr="002644DE" w:rsidRDefault="002644DE" w:rsidP="002644DE">
            <w:pPr>
              <w:spacing w:after="0" w:line="240" w:lineRule="auto"/>
              <w:rPr>
                <w:rFonts w:ascii="Times New Roman" w:eastAsia="Calibri" w:hAnsi="Times New Roman" w:cs="Times New Roman"/>
                <w:i/>
                <w:sz w:val="20"/>
              </w:rPr>
            </w:pPr>
          </w:p>
          <w:p w14:paraId="3BECBA4D" w14:textId="77777777" w:rsidR="002644DE" w:rsidRPr="002644DE" w:rsidRDefault="002644DE" w:rsidP="002644DE">
            <w:pPr>
              <w:spacing w:after="0" w:line="240" w:lineRule="auto"/>
              <w:rPr>
                <w:rFonts w:ascii="Times New Roman" w:eastAsia="Calibri" w:hAnsi="Times New Roman" w:cs="Times New Roman"/>
                <w:i/>
                <w:sz w:val="20"/>
              </w:rPr>
            </w:pPr>
          </w:p>
          <w:p w14:paraId="03B3E9FA"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2823D2AB" w14:textId="77777777" w:rsidR="002644DE" w:rsidRPr="002644DE" w:rsidRDefault="002644DE" w:rsidP="002644DE">
            <w:pPr>
              <w:rPr>
                <w:rFonts w:ascii="Times New Roman" w:eastAsia="Calibri" w:hAnsi="Times New Roman" w:cs="Times New Roman"/>
                <w:i/>
                <w:sz w:val="20"/>
              </w:rPr>
            </w:pPr>
          </w:p>
          <w:p w14:paraId="0155C277" w14:textId="77777777" w:rsidR="002644DE" w:rsidRPr="00E9049D" w:rsidRDefault="00E9049D" w:rsidP="002644DE">
            <w:pPr>
              <w:spacing w:after="0" w:line="240" w:lineRule="auto"/>
              <w:rPr>
                <w:rFonts w:ascii="Times New Roman" w:eastAsia="Calibri" w:hAnsi="Times New Roman" w:cs="Times New Roman"/>
                <w:b/>
                <w:i/>
                <w:sz w:val="20"/>
              </w:rPr>
            </w:pPr>
            <w:r w:rsidRPr="00DF6C72">
              <w:rPr>
                <w:rFonts w:ascii="Times New Roman" w:eastAsia="Calibri" w:hAnsi="Times New Roman" w:cs="Times New Roman"/>
                <w:sz w:val="20"/>
                <w:lang w:eastAsia="sk-SK"/>
              </w:rPr>
              <w:t>Bez vplyvu</w:t>
            </w:r>
            <w:r>
              <w:rPr>
                <w:rFonts w:ascii="Times New Roman" w:eastAsia="Calibri" w:hAnsi="Times New Roman" w:cs="Times New Roman"/>
                <w:sz w:val="20"/>
                <w:lang w:eastAsia="sk-SK"/>
              </w:rPr>
              <w:t>.</w:t>
            </w:r>
          </w:p>
        </w:tc>
      </w:tr>
      <w:tr w:rsidR="002644DE" w:rsidRPr="002644DE" w14:paraId="40183D5E" w14:textId="77777777" w:rsidTr="000800FC">
        <w:trPr>
          <w:trHeight w:val="345"/>
          <w:jc w:val="center"/>
        </w:trPr>
        <w:tc>
          <w:tcPr>
            <w:tcW w:w="132" w:type="pct"/>
            <w:tcBorders>
              <w:bottom w:val="single" w:sz="4" w:space="0" w:color="auto"/>
            </w:tcBorders>
            <w:shd w:val="clear" w:color="auto" w:fill="F2F2F2"/>
            <w:vAlign w:val="center"/>
          </w:tcPr>
          <w:p w14:paraId="18E1C13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27BE06D1"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6ABA5A9A" w14:textId="77777777" w:rsidTr="000800FC">
        <w:tblPrEx>
          <w:tblBorders>
            <w:top w:val="none" w:sz="0" w:space="0" w:color="auto"/>
            <w:bottom w:val="none" w:sz="0" w:space="0" w:color="auto"/>
          </w:tblBorders>
        </w:tblPrEx>
        <w:trPr>
          <w:trHeight w:val="372"/>
          <w:jc w:val="center"/>
        </w:trPr>
        <w:tc>
          <w:tcPr>
            <w:tcW w:w="132" w:type="pct"/>
            <w:shd w:val="clear" w:color="auto" w:fill="auto"/>
            <w:vAlign w:val="center"/>
          </w:tcPr>
          <w:p w14:paraId="7CF716E3"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2E35F73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67595FBA" w14:textId="77777777" w:rsidR="002644DE" w:rsidRPr="002644DE" w:rsidRDefault="00E9049D" w:rsidP="002644DE">
            <w:pPr>
              <w:spacing w:after="0" w:line="240" w:lineRule="auto"/>
              <w:jc w:val="both"/>
              <w:rPr>
                <w:rFonts w:ascii="Times New Roman" w:eastAsia="Calibri" w:hAnsi="Times New Roman" w:cs="Times New Roman"/>
                <w:sz w:val="20"/>
              </w:rPr>
            </w:pPr>
            <w:r w:rsidRPr="00DF6C72">
              <w:rPr>
                <w:rFonts w:ascii="Times New Roman" w:eastAsia="Calibri" w:hAnsi="Times New Roman" w:cs="Times New Roman"/>
                <w:sz w:val="20"/>
                <w:lang w:eastAsia="sk-SK"/>
              </w:rPr>
              <w:t>Bez vplyvu</w:t>
            </w:r>
            <w:r>
              <w:rPr>
                <w:rFonts w:ascii="Times New Roman" w:eastAsia="Calibri" w:hAnsi="Times New Roman" w:cs="Times New Roman"/>
                <w:sz w:val="20"/>
                <w:lang w:eastAsia="sk-SK"/>
              </w:rPr>
              <w:t>.</w:t>
            </w:r>
          </w:p>
        </w:tc>
      </w:tr>
      <w:tr w:rsidR="002644DE" w:rsidRPr="002644DE" w14:paraId="3980E920" w14:textId="77777777" w:rsidTr="000800FC">
        <w:tblPrEx>
          <w:tblBorders>
            <w:top w:val="none" w:sz="0" w:space="0" w:color="auto"/>
            <w:bottom w:val="none" w:sz="0" w:space="0" w:color="auto"/>
          </w:tblBorders>
        </w:tblPrEx>
        <w:trPr>
          <w:trHeight w:val="371"/>
          <w:jc w:val="center"/>
        </w:trPr>
        <w:tc>
          <w:tcPr>
            <w:tcW w:w="132" w:type="pct"/>
            <w:shd w:val="clear" w:color="auto" w:fill="auto"/>
            <w:vAlign w:val="center"/>
          </w:tcPr>
          <w:p w14:paraId="0A32C5B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58D7324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52AFB35D" w14:textId="77777777" w:rsidR="002644DE" w:rsidRPr="002644DE" w:rsidRDefault="00E9049D" w:rsidP="002644DE">
            <w:pPr>
              <w:spacing w:after="0" w:line="240" w:lineRule="auto"/>
              <w:jc w:val="both"/>
              <w:rPr>
                <w:rFonts w:ascii="Times New Roman" w:eastAsia="Calibri" w:hAnsi="Times New Roman" w:cs="Times New Roman"/>
                <w:i/>
                <w:sz w:val="18"/>
                <w:szCs w:val="18"/>
              </w:rPr>
            </w:pPr>
            <w:r w:rsidRPr="00DF6C72">
              <w:rPr>
                <w:rFonts w:ascii="Times New Roman" w:eastAsia="Calibri" w:hAnsi="Times New Roman" w:cs="Times New Roman"/>
                <w:sz w:val="20"/>
                <w:lang w:eastAsia="sk-SK"/>
              </w:rPr>
              <w:t>Bez vplyvu</w:t>
            </w:r>
            <w:r>
              <w:rPr>
                <w:rFonts w:ascii="Times New Roman" w:eastAsia="Calibri" w:hAnsi="Times New Roman" w:cs="Times New Roman"/>
                <w:sz w:val="20"/>
                <w:lang w:eastAsia="sk-SK"/>
              </w:rPr>
              <w:t>.</w:t>
            </w:r>
          </w:p>
        </w:tc>
      </w:tr>
      <w:tr w:rsidR="002644DE" w:rsidRPr="002644DE" w14:paraId="41E21AFC" w14:textId="77777777"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217C518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394FBCB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4308C108" w14:textId="77777777" w:rsidR="002644DE" w:rsidRPr="002644DE" w:rsidRDefault="00E9049D" w:rsidP="002644DE">
            <w:pPr>
              <w:spacing w:after="0" w:line="240" w:lineRule="auto"/>
              <w:jc w:val="both"/>
              <w:rPr>
                <w:rFonts w:ascii="Times New Roman" w:eastAsia="Calibri" w:hAnsi="Times New Roman" w:cs="Times New Roman"/>
                <w:i/>
                <w:sz w:val="18"/>
                <w:szCs w:val="18"/>
              </w:rPr>
            </w:pPr>
            <w:r w:rsidRPr="00DF6C72">
              <w:rPr>
                <w:rFonts w:ascii="Times New Roman" w:eastAsia="Calibri" w:hAnsi="Times New Roman" w:cs="Times New Roman"/>
                <w:sz w:val="20"/>
                <w:lang w:eastAsia="sk-SK"/>
              </w:rPr>
              <w:t>Bez vplyvu</w:t>
            </w:r>
            <w:r>
              <w:rPr>
                <w:rFonts w:ascii="Times New Roman" w:eastAsia="Calibri" w:hAnsi="Times New Roman" w:cs="Times New Roman"/>
                <w:sz w:val="20"/>
                <w:lang w:eastAsia="sk-SK"/>
              </w:rPr>
              <w:t>.</w:t>
            </w:r>
          </w:p>
        </w:tc>
      </w:tr>
      <w:tr w:rsidR="002644DE" w:rsidRPr="002644DE" w14:paraId="3D76584B" w14:textId="77777777"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1A320F8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0D8ADA6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22E88C63"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4E5E80F0"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1A85624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0A176D7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3FCF793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156A5760"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2BA6C54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7EB38F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55F54574" w14:textId="77777777" w:rsidR="002644DE" w:rsidRPr="002644DE" w:rsidRDefault="00E9049D" w:rsidP="002644DE">
            <w:pPr>
              <w:spacing w:after="0" w:line="240" w:lineRule="auto"/>
              <w:rPr>
                <w:rFonts w:ascii="Times New Roman" w:eastAsia="Calibri" w:hAnsi="Times New Roman" w:cs="Times New Roman"/>
                <w:sz w:val="20"/>
              </w:rPr>
            </w:pPr>
            <w:r w:rsidRPr="00DF6C72">
              <w:rPr>
                <w:rFonts w:ascii="Times New Roman" w:eastAsia="Calibri" w:hAnsi="Times New Roman" w:cs="Times New Roman"/>
                <w:sz w:val="20"/>
                <w:lang w:eastAsia="sk-SK"/>
              </w:rPr>
              <w:t>Bez vplyvu</w:t>
            </w:r>
            <w:r>
              <w:rPr>
                <w:rFonts w:ascii="Times New Roman" w:eastAsia="Calibri" w:hAnsi="Times New Roman" w:cs="Times New Roman"/>
                <w:sz w:val="20"/>
                <w:lang w:eastAsia="sk-SK"/>
              </w:rPr>
              <w:t>.</w:t>
            </w:r>
          </w:p>
        </w:tc>
      </w:tr>
    </w:tbl>
    <w:p w14:paraId="00261755"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74A13BB8" w14:textId="77777777" w:rsidTr="000800FC">
        <w:trPr>
          <w:jc w:val="center"/>
        </w:trPr>
        <w:tc>
          <w:tcPr>
            <w:tcW w:w="5000" w:type="pct"/>
            <w:gridSpan w:val="3"/>
            <w:shd w:val="clear" w:color="auto" w:fill="D9D9D9"/>
          </w:tcPr>
          <w:p w14:paraId="5059C270"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1E852320"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5663F92F" w14:textId="77777777" w:rsidTr="000800FC">
        <w:trPr>
          <w:trHeight w:val="287"/>
          <w:jc w:val="center"/>
        </w:trPr>
        <w:tc>
          <w:tcPr>
            <w:tcW w:w="129" w:type="pct"/>
            <w:tcBorders>
              <w:top w:val="nil"/>
              <w:bottom w:val="single" w:sz="4" w:space="0" w:color="auto"/>
            </w:tcBorders>
            <w:shd w:val="clear" w:color="auto" w:fill="F2F2F2"/>
            <w:vAlign w:val="center"/>
          </w:tcPr>
          <w:p w14:paraId="687CEB6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1B603F2A"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27D98FAE" w14:textId="77777777" w:rsidTr="000800FC">
        <w:trPr>
          <w:trHeight w:val="567"/>
          <w:jc w:val="center"/>
        </w:trPr>
        <w:tc>
          <w:tcPr>
            <w:tcW w:w="129" w:type="pct"/>
            <w:tcBorders>
              <w:top w:val="nil"/>
              <w:bottom w:val="single" w:sz="4" w:space="0" w:color="auto"/>
            </w:tcBorders>
            <w:shd w:val="clear" w:color="auto" w:fill="FFFFFF"/>
            <w:vAlign w:val="center"/>
          </w:tcPr>
          <w:p w14:paraId="545B727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53440D43"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74BD93BC" w14:textId="77777777" w:rsidR="002644DE" w:rsidRPr="002644DE" w:rsidRDefault="00E9049D" w:rsidP="002644DE">
            <w:pPr>
              <w:spacing w:after="0" w:line="240" w:lineRule="auto"/>
              <w:rPr>
                <w:rFonts w:ascii="Times New Roman" w:eastAsia="Calibri" w:hAnsi="Times New Roman" w:cs="Times New Roman"/>
                <w:sz w:val="20"/>
                <w:szCs w:val="18"/>
              </w:rPr>
            </w:pPr>
            <w:r w:rsidRPr="00DF6C72">
              <w:rPr>
                <w:rFonts w:ascii="Times New Roman" w:eastAsia="Calibri" w:hAnsi="Times New Roman" w:cs="Times New Roman"/>
                <w:sz w:val="20"/>
                <w:lang w:eastAsia="sk-SK"/>
              </w:rPr>
              <w:t>Bez vplyvu</w:t>
            </w:r>
            <w:r>
              <w:rPr>
                <w:rFonts w:ascii="Times New Roman" w:eastAsia="Calibri" w:hAnsi="Times New Roman" w:cs="Times New Roman"/>
                <w:sz w:val="20"/>
                <w:lang w:eastAsia="sk-SK"/>
              </w:rPr>
              <w:t>.</w:t>
            </w:r>
          </w:p>
        </w:tc>
      </w:tr>
      <w:tr w:rsidR="002644DE" w:rsidRPr="002644DE" w14:paraId="02F522C3" w14:textId="77777777" w:rsidTr="000800FC">
        <w:trPr>
          <w:trHeight w:val="270"/>
          <w:jc w:val="center"/>
        </w:trPr>
        <w:tc>
          <w:tcPr>
            <w:tcW w:w="129" w:type="pct"/>
            <w:tcBorders>
              <w:bottom w:val="single" w:sz="4" w:space="0" w:color="auto"/>
            </w:tcBorders>
            <w:shd w:val="clear" w:color="auto" w:fill="F2F2F2"/>
            <w:vAlign w:val="center"/>
          </w:tcPr>
          <w:p w14:paraId="6069CDC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5607C3F3"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12A0CC21" w14:textId="77777777" w:rsidTr="000800FC">
        <w:trPr>
          <w:trHeight w:val="454"/>
          <w:jc w:val="center"/>
        </w:trPr>
        <w:tc>
          <w:tcPr>
            <w:tcW w:w="129" w:type="pct"/>
            <w:tcBorders>
              <w:bottom w:val="single" w:sz="4" w:space="0" w:color="auto"/>
            </w:tcBorders>
            <w:shd w:val="clear" w:color="auto" w:fill="FFFFFF"/>
            <w:vAlign w:val="center"/>
          </w:tcPr>
          <w:p w14:paraId="1143526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5EBC2E4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74483EDE" w14:textId="77777777" w:rsidR="002644DE" w:rsidRPr="002644DE" w:rsidRDefault="00E9049D" w:rsidP="002644DE">
            <w:pPr>
              <w:spacing w:after="0" w:line="240" w:lineRule="auto"/>
              <w:rPr>
                <w:rFonts w:ascii="Times New Roman" w:eastAsia="Calibri" w:hAnsi="Times New Roman" w:cs="Times New Roman"/>
                <w:sz w:val="20"/>
                <w:szCs w:val="18"/>
              </w:rPr>
            </w:pPr>
            <w:r w:rsidRPr="00DF6C72">
              <w:rPr>
                <w:rFonts w:ascii="Times New Roman" w:eastAsia="Calibri" w:hAnsi="Times New Roman" w:cs="Times New Roman"/>
                <w:sz w:val="20"/>
                <w:lang w:eastAsia="sk-SK"/>
              </w:rPr>
              <w:t>Bez vplyvu</w:t>
            </w:r>
            <w:r>
              <w:rPr>
                <w:rFonts w:ascii="Times New Roman" w:eastAsia="Calibri" w:hAnsi="Times New Roman" w:cs="Times New Roman"/>
                <w:sz w:val="20"/>
                <w:lang w:eastAsia="sk-SK"/>
              </w:rPr>
              <w:t>.</w:t>
            </w:r>
          </w:p>
        </w:tc>
      </w:tr>
      <w:tr w:rsidR="002644DE" w:rsidRPr="002644DE" w14:paraId="738AD54D" w14:textId="77777777" w:rsidTr="000800FC">
        <w:trPr>
          <w:trHeight w:val="248"/>
          <w:jc w:val="center"/>
        </w:trPr>
        <w:tc>
          <w:tcPr>
            <w:tcW w:w="129" w:type="pct"/>
            <w:tcBorders>
              <w:bottom w:val="single" w:sz="4" w:space="0" w:color="auto"/>
            </w:tcBorders>
            <w:shd w:val="clear" w:color="auto" w:fill="F2F2F2"/>
            <w:vAlign w:val="center"/>
          </w:tcPr>
          <w:p w14:paraId="3DC3BCA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1929CC2F"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52C492FB" w14:textId="77777777" w:rsidTr="000800FC">
        <w:trPr>
          <w:trHeight w:val="209"/>
          <w:jc w:val="center"/>
        </w:trPr>
        <w:tc>
          <w:tcPr>
            <w:tcW w:w="129" w:type="pct"/>
            <w:tcBorders>
              <w:bottom w:val="single" w:sz="4" w:space="0" w:color="auto"/>
            </w:tcBorders>
            <w:shd w:val="clear" w:color="auto" w:fill="FFFFFF"/>
            <w:vAlign w:val="center"/>
          </w:tcPr>
          <w:p w14:paraId="3025EDF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A264A3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69FABA28" w14:textId="77777777" w:rsidR="002644DE" w:rsidRPr="002644DE" w:rsidRDefault="00E9049D" w:rsidP="002644DE">
            <w:pPr>
              <w:spacing w:after="0" w:line="240" w:lineRule="auto"/>
              <w:rPr>
                <w:rFonts w:ascii="Times New Roman" w:eastAsia="Calibri" w:hAnsi="Times New Roman" w:cs="Times New Roman"/>
                <w:sz w:val="20"/>
                <w:szCs w:val="18"/>
              </w:rPr>
            </w:pPr>
            <w:r w:rsidRPr="00DF6C72">
              <w:rPr>
                <w:rFonts w:ascii="Times New Roman" w:eastAsia="Calibri" w:hAnsi="Times New Roman" w:cs="Times New Roman"/>
                <w:sz w:val="20"/>
                <w:lang w:eastAsia="sk-SK"/>
              </w:rPr>
              <w:t>Bez vplyvu</w:t>
            </w:r>
            <w:r>
              <w:rPr>
                <w:rFonts w:ascii="Times New Roman" w:eastAsia="Calibri" w:hAnsi="Times New Roman" w:cs="Times New Roman"/>
                <w:sz w:val="20"/>
                <w:lang w:eastAsia="sk-SK"/>
              </w:rPr>
              <w:t>.</w:t>
            </w:r>
          </w:p>
        </w:tc>
      </w:tr>
      <w:tr w:rsidR="002644DE" w:rsidRPr="002644DE" w14:paraId="02FC555C" w14:textId="77777777" w:rsidTr="000800FC">
        <w:trPr>
          <w:trHeight w:val="208"/>
          <w:jc w:val="center"/>
        </w:trPr>
        <w:tc>
          <w:tcPr>
            <w:tcW w:w="129" w:type="pct"/>
            <w:tcBorders>
              <w:bottom w:val="single" w:sz="4" w:space="0" w:color="auto"/>
            </w:tcBorders>
            <w:shd w:val="clear" w:color="auto" w:fill="F2F2F2"/>
            <w:vAlign w:val="center"/>
          </w:tcPr>
          <w:p w14:paraId="5A478A1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05896535"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1602CCF8" w14:textId="77777777" w:rsidTr="000800FC">
        <w:trPr>
          <w:trHeight w:val="794"/>
          <w:jc w:val="center"/>
        </w:trPr>
        <w:tc>
          <w:tcPr>
            <w:tcW w:w="129" w:type="pct"/>
            <w:tcBorders>
              <w:bottom w:val="single" w:sz="4" w:space="0" w:color="auto"/>
            </w:tcBorders>
            <w:shd w:val="clear" w:color="auto" w:fill="FFFFFF"/>
            <w:vAlign w:val="center"/>
          </w:tcPr>
          <w:p w14:paraId="2563594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6F63DA3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64B8863D" w14:textId="77777777" w:rsidR="002644DE" w:rsidRPr="002644DE" w:rsidRDefault="00E9049D" w:rsidP="002644DE">
            <w:pPr>
              <w:spacing w:after="0" w:line="240" w:lineRule="auto"/>
              <w:rPr>
                <w:rFonts w:ascii="Times New Roman" w:eastAsia="Calibri" w:hAnsi="Times New Roman" w:cs="Times New Roman"/>
                <w:sz w:val="20"/>
                <w:szCs w:val="18"/>
              </w:rPr>
            </w:pPr>
            <w:r w:rsidRPr="00DF6C72">
              <w:rPr>
                <w:rFonts w:ascii="Times New Roman" w:eastAsia="Calibri" w:hAnsi="Times New Roman" w:cs="Times New Roman"/>
                <w:sz w:val="20"/>
                <w:lang w:eastAsia="sk-SK"/>
              </w:rPr>
              <w:t>Bez vplyvu</w:t>
            </w:r>
            <w:r>
              <w:rPr>
                <w:rFonts w:ascii="Times New Roman" w:eastAsia="Calibri" w:hAnsi="Times New Roman" w:cs="Times New Roman"/>
                <w:sz w:val="20"/>
                <w:lang w:eastAsia="sk-SK"/>
              </w:rPr>
              <w:t>.</w:t>
            </w:r>
          </w:p>
        </w:tc>
      </w:tr>
      <w:tr w:rsidR="002644DE" w:rsidRPr="002644DE" w14:paraId="49C470D1" w14:textId="77777777" w:rsidTr="000800FC">
        <w:trPr>
          <w:trHeight w:val="324"/>
          <w:jc w:val="center"/>
        </w:trPr>
        <w:tc>
          <w:tcPr>
            <w:tcW w:w="129" w:type="pct"/>
            <w:tcBorders>
              <w:bottom w:val="single" w:sz="4" w:space="0" w:color="auto"/>
            </w:tcBorders>
            <w:shd w:val="clear" w:color="auto" w:fill="F2F2F2"/>
            <w:vAlign w:val="center"/>
          </w:tcPr>
          <w:p w14:paraId="047E14C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73EF98C3"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7E2D7F91" w14:textId="77777777" w:rsidTr="000800FC">
        <w:trPr>
          <w:trHeight w:val="216"/>
          <w:jc w:val="center"/>
        </w:trPr>
        <w:tc>
          <w:tcPr>
            <w:tcW w:w="129" w:type="pct"/>
            <w:tcBorders>
              <w:bottom w:val="single" w:sz="4" w:space="0" w:color="auto"/>
            </w:tcBorders>
            <w:shd w:val="clear" w:color="auto" w:fill="FFFFFF"/>
            <w:vAlign w:val="center"/>
          </w:tcPr>
          <w:p w14:paraId="1028E50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BE82FD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65801834" w14:textId="77777777" w:rsidR="002644DE" w:rsidRPr="002644DE" w:rsidRDefault="00E9049D" w:rsidP="002644DE">
            <w:pPr>
              <w:spacing w:after="0" w:line="240" w:lineRule="auto"/>
              <w:rPr>
                <w:rFonts w:ascii="Times New Roman" w:eastAsia="Calibri" w:hAnsi="Times New Roman" w:cs="Times New Roman"/>
                <w:sz w:val="20"/>
                <w:szCs w:val="18"/>
              </w:rPr>
            </w:pPr>
            <w:r w:rsidRPr="00DF6C72">
              <w:rPr>
                <w:rFonts w:ascii="Times New Roman" w:eastAsia="Calibri" w:hAnsi="Times New Roman" w:cs="Times New Roman"/>
                <w:sz w:val="20"/>
                <w:lang w:eastAsia="sk-SK"/>
              </w:rPr>
              <w:t>Bez vplyvu</w:t>
            </w:r>
            <w:r>
              <w:rPr>
                <w:rFonts w:ascii="Times New Roman" w:eastAsia="Calibri" w:hAnsi="Times New Roman" w:cs="Times New Roman"/>
                <w:sz w:val="20"/>
                <w:lang w:eastAsia="sk-SK"/>
              </w:rPr>
              <w:t>.</w:t>
            </w:r>
          </w:p>
        </w:tc>
      </w:tr>
      <w:tr w:rsidR="002644DE" w:rsidRPr="002644DE" w14:paraId="6D43B168" w14:textId="77777777" w:rsidTr="000800FC">
        <w:trPr>
          <w:trHeight w:val="219"/>
          <w:jc w:val="center"/>
        </w:trPr>
        <w:tc>
          <w:tcPr>
            <w:tcW w:w="129" w:type="pct"/>
            <w:tcBorders>
              <w:bottom w:val="single" w:sz="4" w:space="0" w:color="auto"/>
            </w:tcBorders>
            <w:shd w:val="clear" w:color="auto" w:fill="F2F2F2"/>
            <w:vAlign w:val="center"/>
          </w:tcPr>
          <w:p w14:paraId="3283E77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0953C1EF"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11EC43CA" w14:textId="77777777" w:rsidTr="000800FC">
        <w:trPr>
          <w:trHeight w:val="497"/>
          <w:jc w:val="center"/>
        </w:trPr>
        <w:tc>
          <w:tcPr>
            <w:tcW w:w="129" w:type="pct"/>
            <w:tcBorders>
              <w:bottom w:val="single" w:sz="4" w:space="0" w:color="auto"/>
            </w:tcBorders>
            <w:shd w:val="clear" w:color="auto" w:fill="FFFFFF"/>
            <w:vAlign w:val="center"/>
          </w:tcPr>
          <w:p w14:paraId="58F9DCD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0499F9E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2214C592" w14:textId="77777777" w:rsidR="002644DE" w:rsidRPr="002644DE" w:rsidRDefault="00E9049D" w:rsidP="002644DE">
            <w:pPr>
              <w:spacing w:after="0" w:line="240" w:lineRule="auto"/>
              <w:rPr>
                <w:rFonts w:ascii="Times New Roman" w:eastAsia="Calibri" w:hAnsi="Times New Roman" w:cs="Times New Roman"/>
                <w:sz w:val="20"/>
                <w:szCs w:val="18"/>
              </w:rPr>
            </w:pPr>
            <w:r w:rsidRPr="00DF6C72">
              <w:rPr>
                <w:rFonts w:ascii="Times New Roman" w:eastAsia="Calibri" w:hAnsi="Times New Roman" w:cs="Times New Roman"/>
                <w:sz w:val="20"/>
                <w:lang w:eastAsia="sk-SK"/>
              </w:rPr>
              <w:t>Bez vplyvu</w:t>
            </w:r>
            <w:r>
              <w:rPr>
                <w:rFonts w:ascii="Times New Roman" w:eastAsia="Calibri" w:hAnsi="Times New Roman" w:cs="Times New Roman"/>
                <w:sz w:val="20"/>
                <w:lang w:eastAsia="sk-SK"/>
              </w:rPr>
              <w:t>.</w:t>
            </w:r>
          </w:p>
        </w:tc>
      </w:tr>
    </w:tbl>
    <w:p w14:paraId="2FF15661"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sectPr w:rsidR="002644DE" w:rsidRPr="002644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86728" w14:textId="77777777" w:rsidR="00367E6F" w:rsidRDefault="00367E6F" w:rsidP="002644DE">
      <w:pPr>
        <w:spacing w:after="0" w:line="240" w:lineRule="auto"/>
      </w:pPr>
      <w:r>
        <w:separator/>
      </w:r>
    </w:p>
  </w:endnote>
  <w:endnote w:type="continuationSeparator" w:id="0">
    <w:p w14:paraId="5B99DF61" w14:textId="77777777" w:rsidR="00367E6F" w:rsidRDefault="00367E6F"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575D05F4" w14:textId="55B91E38"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92237">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7ACF21C9" w14:textId="0619B866"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92237">
          <w:rPr>
            <w:rFonts w:ascii="Times New Roman" w:hAnsi="Times New Roman" w:cs="Times New Roman"/>
            <w:noProof/>
          </w:rPr>
          <w:t>3</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E7BDF" w14:textId="77777777" w:rsidR="00367E6F" w:rsidRDefault="00367E6F" w:rsidP="002644DE">
      <w:pPr>
        <w:spacing w:after="0" w:line="240" w:lineRule="auto"/>
      </w:pPr>
      <w:r>
        <w:separator/>
      </w:r>
    </w:p>
  </w:footnote>
  <w:footnote w:type="continuationSeparator" w:id="0">
    <w:p w14:paraId="585488C8" w14:textId="77777777" w:rsidR="00367E6F" w:rsidRDefault="00367E6F"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BBB2" w14:textId="77777777"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E2B21"/>
    <w:rsid w:val="002644DE"/>
    <w:rsid w:val="003336DA"/>
    <w:rsid w:val="00367E6F"/>
    <w:rsid w:val="00382021"/>
    <w:rsid w:val="003868E5"/>
    <w:rsid w:val="003D670D"/>
    <w:rsid w:val="0040256B"/>
    <w:rsid w:val="00430C0B"/>
    <w:rsid w:val="00433C47"/>
    <w:rsid w:val="005D2CEB"/>
    <w:rsid w:val="00636449"/>
    <w:rsid w:val="0068222F"/>
    <w:rsid w:val="00692896"/>
    <w:rsid w:val="006A6F61"/>
    <w:rsid w:val="00721CC5"/>
    <w:rsid w:val="00757EBC"/>
    <w:rsid w:val="0079001A"/>
    <w:rsid w:val="007E57E7"/>
    <w:rsid w:val="007F58AE"/>
    <w:rsid w:val="007F6319"/>
    <w:rsid w:val="008801B5"/>
    <w:rsid w:val="00925091"/>
    <w:rsid w:val="0095188C"/>
    <w:rsid w:val="00995B7E"/>
    <w:rsid w:val="009E09F7"/>
    <w:rsid w:val="00A0696E"/>
    <w:rsid w:val="00B11212"/>
    <w:rsid w:val="00B4290C"/>
    <w:rsid w:val="00BB38A7"/>
    <w:rsid w:val="00BD141A"/>
    <w:rsid w:val="00BF2196"/>
    <w:rsid w:val="00C47745"/>
    <w:rsid w:val="00C92237"/>
    <w:rsid w:val="00DD3CE8"/>
    <w:rsid w:val="00E904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8DBD"/>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character" w:styleId="Odkaznakomentr">
    <w:name w:val="annotation reference"/>
    <w:basedOn w:val="Predvolenpsmoodseku"/>
    <w:uiPriority w:val="99"/>
    <w:semiHidden/>
    <w:unhideWhenUsed/>
    <w:rsid w:val="000E2B21"/>
    <w:rPr>
      <w:sz w:val="16"/>
      <w:szCs w:val="16"/>
    </w:rPr>
  </w:style>
  <w:style w:type="paragraph" w:styleId="Textkomentra">
    <w:name w:val="annotation text"/>
    <w:basedOn w:val="Normlny"/>
    <w:link w:val="TextkomentraChar"/>
    <w:uiPriority w:val="99"/>
    <w:semiHidden/>
    <w:unhideWhenUsed/>
    <w:rsid w:val="000E2B21"/>
    <w:pPr>
      <w:spacing w:line="240" w:lineRule="auto"/>
    </w:pPr>
    <w:rPr>
      <w:sz w:val="20"/>
      <w:szCs w:val="20"/>
    </w:rPr>
  </w:style>
  <w:style w:type="character" w:customStyle="1" w:styleId="TextkomentraChar">
    <w:name w:val="Text komentára Char"/>
    <w:basedOn w:val="Predvolenpsmoodseku"/>
    <w:link w:val="Textkomentra"/>
    <w:uiPriority w:val="99"/>
    <w:semiHidden/>
    <w:rsid w:val="000E2B21"/>
    <w:rPr>
      <w:sz w:val="20"/>
      <w:szCs w:val="20"/>
    </w:rPr>
  </w:style>
  <w:style w:type="paragraph" w:styleId="Predmetkomentra">
    <w:name w:val="annotation subject"/>
    <w:basedOn w:val="Textkomentra"/>
    <w:next w:val="Textkomentra"/>
    <w:link w:val="PredmetkomentraChar"/>
    <w:uiPriority w:val="99"/>
    <w:semiHidden/>
    <w:unhideWhenUsed/>
    <w:rsid w:val="000E2B21"/>
    <w:rPr>
      <w:b/>
      <w:bCs/>
    </w:rPr>
  </w:style>
  <w:style w:type="character" w:customStyle="1" w:styleId="PredmetkomentraChar">
    <w:name w:val="Predmet komentára Char"/>
    <w:basedOn w:val="TextkomentraChar"/>
    <w:link w:val="Predmetkomentra"/>
    <w:uiPriority w:val="99"/>
    <w:semiHidden/>
    <w:rsid w:val="000E2B21"/>
    <w:rPr>
      <w:b/>
      <w:bCs/>
      <w:sz w:val="20"/>
      <w:szCs w:val="20"/>
    </w:rPr>
  </w:style>
  <w:style w:type="paragraph" w:styleId="Textbubliny">
    <w:name w:val="Balloon Text"/>
    <w:basedOn w:val="Normlny"/>
    <w:link w:val="TextbublinyChar"/>
    <w:uiPriority w:val="99"/>
    <w:semiHidden/>
    <w:unhideWhenUsed/>
    <w:rsid w:val="000E2B2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2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9925</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2</cp:revision>
  <dcterms:created xsi:type="dcterms:W3CDTF">2022-09-26T10:08:00Z</dcterms:created>
  <dcterms:modified xsi:type="dcterms:W3CDTF">2022-09-26T10:08:00Z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