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5D" w:rsidRPr="007A2832" w:rsidRDefault="00E35A5D" w:rsidP="00E35A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A2832">
        <w:rPr>
          <w:b/>
          <w:sz w:val="28"/>
          <w:szCs w:val="28"/>
        </w:rPr>
        <w:t>Doložka vybraných vplyvov</w:t>
      </w:r>
    </w:p>
    <w:p w:rsidR="00E35A5D" w:rsidRPr="007A2832" w:rsidRDefault="00E35A5D" w:rsidP="00E35A5D">
      <w:pPr>
        <w:spacing w:after="200" w:line="276" w:lineRule="auto"/>
        <w:ind w:left="426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E35A5D" w:rsidRPr="007A2832" w:rsidTr="0093062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Základné údaje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Názov materiálu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E35A5D" w:rsidRPr="007A2832" w:rsidRDefault="00E35A5D" w:rsidP="00D327B5">
            <w:pPr>
              <w:jc w:val="both"/>
            </w:pPr>
            <w:r w:rsidRPr="007A2832">
              <w:t xml:space="preserve">Návrh zákona, ktorým sa </w:t>
            </w:r>
            <w:r w:rsidR="006519A8">
              <w:t xml:space="preserve">mení a </w:t>
            </w:r>
            <w:r w:rsidRPr="007A2832">
              <w:t xml:space="preserve">dopĺňa zákon č. 251/2012 Z. z. o energetike a o zmene a doplnení niektorých zákonov v znení neskorších predpisov a ktorým sa </w:t>
            </w:r>
            <w:r w:rsidR="00D327B5">
              <w:t xml:space="preserve">mení a </w:t>
            </w:r>
            <w:r w:rsidRPr="007A2832">
              <w:t>dopĺňa zákon č. 250/2012 Z. z. o regulácii v sieťových odvetviach v znení neskorších predpisov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Predkladateľ (a spolupredkladateľ)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r w:rsidRPr="007A2832">
              <w:t>Ministerstvo hospodárstva Slovenskej republiky</w:t>
            </w:r>
          </w:p>
          <w:p w:rsidR="00E35A5D" w:rsidRPr="007A2832" w:rsidRDefault="00E35A5D" w:rsidP="0093062C"/>
        </w:tc>
      </w:tr>
      <w:tr w:rsidR="00E35A5D" w:rsidRPr="007A2832" w:rsidTr="0093062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Charakter predkladaného materiálu</w:t>
            </w:r>
          </w:p>
        </w:tc>
        <w:sdt>
          <w:sdtPr>
            <w:id w:val="901099221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r w:rsidRPr="007A2832">
              <w:t>Materiál nelegislatívnej povahy</w:t>
            </w:r>
          </w:p>
        </w:tc>
      </w:tr>
      <w:tr w:rsidR="00E35A5D" w:rsidRPr="007A2832" w:rsidTr="0093062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E35A5D" w:rsidRPr="007A2832" w:rsidRDefault="00E35A5D" w:rsidP="0093062C"/>
        </w:tc>
        <w:sdt>
          <w:sdtPr>
            <w:id w:val="1281381661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ind w:left="175" w:hanging="175"/>
            </w:pPr>
            <w:r w:rsidRPr="007A2832">
              <w:t>Materiál legislatívnej povahy</w:t>
            </w:r>
          </w:p>
        </w:tc>
      </w:tr>
      <w:tr w:rsidR="00E35A5D" w:rsidRPr="007A2832" w:rsidTr="0093062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E35A5D" w:rsidRPr="007A2832" w:rsidRDefault="00E35A5D" w:rsidP="0093062C"/>
        </w:tc>
        <w:sdt>
          <w:sdtPr>
            <w:id w:val="-1821804044"/>
          </w:sdtPr>
          <w:sdtEndPr/>
          <w:sdtContent>
            <w:sdt>
              <w:sdtPr>
                <w:id w:val="-1998561739"/>
              </w:sdtPr>
              <w:sdtEndPr/>
              <w:sdtContent>
                <w:tc>
                  <w:tcPr>
                    <w:tcW w:w="70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/>
                  </w:tcPr>
                  <w:p w:rsidR="00E35A5D" w:rsidRPr="007A2832" w:rsidRDefault="00D327B5" w:rsidP="0093062C">
                    <w:pPr>
                      <w:jc w:val="center"/>
                    </w:pPr>
                    <w:r w:rsidRPr="007A2832">
                      <w:rPr>
                        <w:rFonts w:eastAsia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r w:rsidRPr="007A2832">
              <w:t>Transpozícia práva EÚ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>V prípade transpozície uveďte zoznam transponovaných predpisov:</w:t>
            </w:r>
          </w:p>
          <w:p w:rsidR="00E35A5D" w:rsidRPr="007A2832" w:rsidRDefault="00E35A5D" w:rsidP="00D327B5">
            <w:pPr>
              <w:numPr>
                <w:ilvl w:val="0"/>
                <w:numId w:val="10"/>
              </w:numPr>
              <w:contextualSpacing/>
              <w:jc w:val="both"/>
            </w:pPr>
          </w:p>
        </w:tc>
      </w:tr>
      <w:tr w:rsidR="00E35A5D" w:rsidRPr="007A2832" w:rsidTr="0093062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rPr>
                <w:i/>
              </w:rPr>
            </w:pPr>
          </w:p>
        </w:tc>
      </w:tr>
      <w:tr w:rsidR="00E35A5D" w:rsidRPr="007A2832" w:rsidTr="0093062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D" w:rsidRPr="00250925" w:rsidRDefault="00E35A5D" w:rsidP="0093062C"/>
        </w:tc>
      </w:tr>
      <w:tr w:rsidR="00E35A5D" w:rsidRPr="007A2832" w:rsidTr="0093062C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spacing w:line="276" w:lineRule="auto"/>
              <w:ind w:left="142"/>
              <w:contextualSpacing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Predpokladaný termín začiatku a ukončenia ZP**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rPr>
                <w:i/>
              </w:rPr>
            </w:pPr>
          </w:p>
        </w:tc>
      </w:tr>
      <w:tr w:rsidR="00E35A5D" w:rsidRPr="007A2832" w:rsidTr="0093062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D" w:rsidRPr="00250925" w:rsidRDefault="00D327B5" w:rsidP="0093062C">
            <w:r>
              <w:t>September</w:t>
            </w:r>
            <w:r w:rsidR="00250925" w:rsidRPr="00250925">
              <w:t xml:space="preserve"> 2022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5A5D" w:rsidRPr="007A2832" w:rsidRDefault="00E35A5D" w:rsidP="0093062C"/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Definovanie problému</w:t>
            </w:r>
          </w:p>
        </w:tc>
      </w:tr>
      <w:tr w:rsidR="00E35A5D" w:rsidRPr="007A2832" w:rsidTr="0093062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E35A5D" w:rsidRPr="007A2832" w:rsidRDefault="00E35A5D" w:rsidP="0093062C">
            <w:pPr>
              <w:rPr>
                <w:b/>
              </w:rPr>
            </w:pPr>
          </w:p>
          <w:p w:rsidR="00D327B5" w:rsidRPr="00D327B5" w:rsidRDefault="00D327B5" w:rsidP="00D327B5">
            <w:pPr>
              <w:pStyle w:val="Normlnywebov"/>
              <w:jc w:val="both"/>
              <w:rPr>
                <w:sz w:val="20"/>
                <w:szCs w:val="20"/>
              </w:rPr>
            </w:pPr>
            <w:r w:rsidRPr="00D327B5">
              <w:rPr>
                <w:sz w:val="20"/>
                <w:szCs w:val="20"/>
              </w:rPr>
              <w:t xml:space="preserve">Veľkoobchodné ceny elektriny v období od začiatku leta 2022 skokovo narastajú v reakcii na významný rast veľkoobchodnej ceny zemného plynu, na ktorú je cena elektrina naviazaná v dôsledku uplatňovania algoritmov a metodík veľkoobchodných trhov na báze marginálnych nákladov najdrahšej výrobne elektriny, ktorou je v súčasnosti výroba zo zemného plynu. Cena elektriny na </w:t>
            </w:r>
            <w:proofErr w:type="spellStart"/>
            <w:r w:rsidRPr="00D327B5">
              <w:rPr>
                <w:sz w:val="20"/>
                <w:szCs w:val="20"/>
              </w:rPr>
              <w:t>forwardovom</w:t>
            </w:r>
            <w:proofErr w:type="spellEnd"/>
            <w:r w:rsidRPr="00D327B5">
              <w:rPr>
                <w:sz w:val="20"/>
                <w:szCs w:val="20"/>
              </w:rPr>
              <w:t xml:space="preserve"> trhu PXE pre budúci rok stúpla v období od 15. júla do 26. augusta 2022 z úrovne 354,57 eur/MWh na úroveň 1 001,50 eur/MWh. Spotový trh dosahuje cenové úrovne až 750 eur/MWh. </w:t>
            </w:r>
            <w:bookmarkStart w:id="1" w:name="_Hlk114399334"/>
            <w:r w:rsidRPr="00D327B5">
              <w:rPr>
                <w:sz w:val="20"/>
                <w:szCs w:val="20"/>
              </w:rPr>
              <w:t xml:space="preserve">Veľkoobchodné ceny následne priamo ovplyvňujú tvorbu maloobchodných cien elektriny, ktoré majú dopad na zabezpečovanie základných životných potrieb obyvateľov a základných predpokladov prevádzky podnikov v Slovenskej republike. Cenovo regulované kategórie odberateľov elektriny platia dnes vo svojich koncových cenách trhovú cenu komodity určenú v prvom polroku predchádzajúceho kalendárneho roka vo výške 61,21 eur/MWh. Ak by sa mala súčasná úroveň </w:t>
            </w:r>
            <w:proofErr w:type="spellStart"/>
            <w:r w:rsidRPr="00D327B5">
              <w:rPr>
                <w:sz w:val="20"/>
                <w:szCs w:val="20"/>
              </w:rPr>
              <w:t>forwardových</w:t>
            </w:r>
            <w:proofErr w:type="spellEnd"/>
            <w:r w:rsidRPr="00D327B5">
              <w:rPr>
                <w:sz w:val="20"/>
                <w:szCs w:val="20"/>
              </w:rPr>
              <w:t xml:space="preserve"> produktov premietnuť do koncových cien elektriny, znamenalo by to mnohonásobný nárast koncových cien, ktorý sa v ekonomických podmienkach Slovenskej republiky rovná cenovej nedostupnosti elektriny pre prevažnú časť obyvateľov Slovenskej republiky a tým vážnemu ohrozeniu ich života a zdravia alebo vážnym hospodárskym škodám. </w:t>
            </w:r>
          </w:p>
          <w:bookmarkEnd w:id="1"/>
          <w:p w:rsidR="00E35A5D" w:rsidRPr="007A2832" w:rsidRDefault="00E35A5D" w:rsidP="00D327B5">
            <w:pPr>
              <w:pStyle w:val="Normlnywebov"/>
              <w:jc w:val="both"/>
              <w:rPr>
                <w:b/>
              </w:rPr>
            </w:pP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Ciele a výsledný stav</w:t>
            </w:r>
          </w:p>
        </w:tc>
      </w:tr>
      <w:tr w:rsidR="00E35A5D" w:rsidRPr="007A2832" w:rsidTr="0093062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E35A5D" w:rsidRPr="007A2832" w:rsidRDefault="00E35A5D" w:rsidP="0093062C"/>
          <w:p w:rsidR="00D327B5" w:rsidRPr="00D327B5" w:rsidRDefault="00D327B5" w:rsidP="00D327B5">
            <w:pPr>
              <w:pStyle w:val="Normlnywebov"/>
              <w:jc w:val="both"/>
              <w:rPr>
                <w:sz w:val="20"/>
                <w:szCs w:val="20"/>
              </w:rPr>
            </w:pPr>
            <w:r w:rsidRPr="00D327B5">
              <w:rPr>
                <w:sz w:val="20"/>
                <w:szCs w:val="20"/>
              </w:rPr>
              <w:t xml:space="preserve">Návrh zákona reaguje na hroziacu cenovú nedostupnosť elektriny </w:t>
            </w:r>
            <w:r w:rsidR="004B2A55">
              <w:rPr>
                <w:sz w:val="20"/>
                <w:szCs w:val="20"/>
              </w:rPr>
              <w:t xml:space="preserve">a plynu </w:t>
            </w:r>
            <w:r w:rsidRPr="00D327B5">
              <w:rPr>
                <w:sz w:val="20"/>
                <w:szCs w:val="20"/>
              </w:rPr>
              <w:t xml:space="preserve">rozšírením konceptu stavu núdze v elektroenergetike </w:t>
            </w:r>
            <w:r w:rsidR="004B2A55">
              <w:rPr>
                <w:sz w:val="20"/>
                <w:szCs w:val="20"/>
              </w:rPr>
              <w:t xml:space="preserve">a plynárenstve </w:t>
            </w:r>
            <w:r w:rsidRPr="00D327B5">
              <w:rPr>
                <w:sz w:val="20"/>
                <w:szCs w:val="20"/>
              </w:rPr>
              <w:t xml:space="preserve">a vytvorením dostatočných legislatívnych nástrojov umožňujúcich štátu reagovať pružne a efektívne na prípadný vznik stavu núdze. </w:t>
            </w:r>
          </w:p>
          <w:p w:rsidR="00E35A5D" w:rsidRPr="007A2832" w:rsidRDefault="00E35A5D" w:rsidP="0093062C"/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Dotknuté subjekty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 xml:space="preserve">Uveďte subjekty, ktorých sa zmeny predkladaného materiálu dotknú priamo aj nepriamo: </w:t>
            </w:r>
          </w:p>
          <w:p w:rsidR="00E35A5D" w:rsidRPr="007A2832" w:rsidRDefault="00E35A5D" w:rsidP="0093062C">
            <w:pPr>
              <w:rPr>
                <w:i/>
              </w:rPr>
            </w:pPr>
          </w:p>
          <w:p w:rsidR="00E35A5D" w:rsidRDefault="00D327B5" w:rsidP="0093062C">
            <w:r>
              <w:t>Účastníci trhu s</w:t>
            </w:r>
            <w:r w:rsidR="004B2A55">
              <w:t> </w:t>
            </w:r>
            <w:r>
              <w:t>elektrinou</w:t>
            </w:r>
            <w:r w:rsidR="004B2A55">
              <w:t xml:space="preserve"> a plynom</w:t>
            </w:r>
            <w:r>
              <w:t xml:space="preserve"> (najmä </w:t>
            </w:r>
            <w:r w:rsidR="00F4069D">
              <w:t>koncoví odberatelia</w:t>
            </w:r>
            <w:r>
              <w:t>)</w:t>
            </w:r>
            <w:r w:rsidRPr="007A2832">
              <w:t>, Úrad pre reguláciu sieťových odvetví, Ministerstvo hospodárstva Slovenskej republiky.</w:t>
            </w:r>
          </w:p>
          <w:p w:rsidR="00D327B5" w:rsidRPr="007A2832" w:rsidRDefault="00D327B5" w:rsidP="0093062C">
            <w:pPr>
              <w:rPr>
                <w:i/>
              </w:rPr>
            </w:pP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Alternatívne riešenia</w:t>
            </w:r>
          </w:p>
        </w:tc>
      </w:tr>
      <w:tr w:rsidR="00E35A5D" w:rsidRPr="007A2832" w:rsidTr="0093062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lastRenderedPageBreak/>
              <w:t>Aké alternatívne riešenia vedúce k stanovenému cieľu boli identifikované a posudzované pre riešenie definovaného problému?</w:t>
            </w:r>
          </w:p>
          <w:p w:rsidR="00E35A5D" w:rsidRPr="007A2832" w:rsidRDefault="00E35A5D" w:rsidP="0093062C">
            <w:pPr>
              <w:rPr>
                <w:i/>
              </w:rPr>
            </w:pPr>
          </w:p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E35A5D" w:rsidRPr="007A2832" w:rsidRDefault="00E35A5D" w:rsidP="0093062C">
            <w:pPr>
              <w:jc w:val="both"/>
              <w:rPr>
                <w:i/>
              </w:rPr>
            </w:pPr>
          </w:p>
          <w:p w:rsidR="00D327B5" w:rsidRDefault="00D327B5" w:rsidP="00D327B5">
            <w:pPr>
              <w:jc w:val="both"/>
            </w:pPr>
            <w:r>
              <w:t>Aktuálne nie sú k dispozícii žiadne alternatívne riešenia.</w:t>
            </w:r>
          </w:p>
          <w:p w:rsidR="00D327B5" w:rsidRDefault="00D327B5" w:rsidP="00D327B5">
            <w:pPr>
              <w:jc w:val="both"/>
            </w:pPr>
          </w:p>
          <w:p w:rsidR="00D327B5" w:rsidRDefault="00D327B5" w:rsidP="00D327B5">
            <w:pPr>
              <w:jc w:val="both"/>
            </w:pPr>
            <w:r>
              <w:t xml:space="preserve">V prípade, že by nebol predložený materiál, ceny elektriny pre </w:t>
            </w:r>
            <w:r w:rsidR="00F4069D">
              <w:t>koncových odberateľov</w:t>
            </w:r>
            <w:r>
              <w:t xml:space="preserve"> by zaznamenali skokový nárast.</w:t>
            </w:r>
          </w:p>
          <w:p w:rsidR="00E35A5D" w:rsidRPr="007A2832" w:rsidRDefault="00E35A5D" w:rsidP="0093062C">
            <w:pPr>
              <w:jc w:val="both"/>
            </w:pP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Vykonávacie predpisy</w:t>
            </w:r>
          </w:p>
        </w:tc>
      </w:tr>
      <w:tr w:rsidR="00E35A5D" w:rsidRPr="007A2832" w:rsidTr="0093062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E35A5D" w:rsidRPr="007A2832" w:rsidRDefault="003D0806" w:rsidP="0093062C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929613764"/>
              </w:sdtPr>
              <w:sdtEndPr/>
              <w:sdtContent>
                <w:r w:rsidR="00E35A5D" w:rsidRPr="007A2832">
                  <w:rPr>
                    <w:rFonts w:eastAsia="MS Gothic" w:hint="eastAsia"/>
                    <w:b/>
                  </w:rPr>
                  <w:t>☐</w:t>
                </w:r>
              </w:sdtContent>
            </w:sdt>
            <w:r w:rsidR="00E35A5D" w:rsidRPr="007A2832">
              <w:rPr>
                <w:b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35A5D" w:rsidRPr="007A2832" w:rsidRDefault="003D0806" w:rsidP="0093062C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594626508"/>
              </w:sdtPr>
              <w:sdtEndPr/>
              <w:sdtContent>
                <w:r w:rsidR="00E35A5D" w:rsidRPr="007A2832">
                  <w:rPr>
                    <w:rFonts w:eastAsia="MS Gothic" w:hint="eastAsia"/>
                    <w:b/>
                  </w:rPr>
                  <w:t>☒</w:t>
                </w:r>
              </w:sdtContent>
            </w:sdt>
            <w:r w:rsidR="00E35A5D" w:rsidRPr="007A2832">
              <w:rPr>
                <w:b/>
              </w:rPr>
              <w:t xml:space="preserve">  Nie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>Ak áno, uveďte ktoré oblasti budú nimi upravené, resp. ktorých vykonávacích predpisov sa zmena dotkne:</w:t>
            </w:r>
          </w:p>
          <w:p w:rsidR="00E35A5D" w:rsidRPr="007A2832" w:rsidRDefault="00E35A5D" w:rsidP="0093062C"/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 xml:space="preserve">Transpozícia práva EÚ </w:t>
            </w:r>
          </w:p>
        </w:tc>
      </w:tr>
      <w:tr w:rsidR="00E35A5D" w:rsidRPr="007A2832" w:rsidTr="0093062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D327B5">
            <w:pPr>
              <w:jc w:val="both"/>
            </w:pPr>
            <w:r w:rsidRPr="007A2832">
              <w:rPr>
                <w:i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7A2832">
              <w:rPr>
                <w:i/>
              </w:rPr>
              <w:t>goldplating</w:t>
            </w:r>
            <w:proofErr w:type="spellEnd"/>
            <w:r w:rsidRPr="007A2832">
              <w:rPr>
                <w:i/>
              </w:rPr>
              <w:t>) spolu s odôvodnením opodstatnenosti presahu.</w:t>
            </w:r>
          </w:p>
        </w:tc>
      </w:tr>
      <w:tr w:rsidR="00E35A5D" w:rsidRPr="007A2832" w:rsidTr="0093062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A5D" w:rsidRPr="007A2832" w:rsidRDefault="00E35A5D" w:rsidP="0093062C">
            <w:pPr>
              <w:jc w:val="center"/>
            </w:pP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Preskúmanie účelnosti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>Uveďte termín, kedy by malo dôjsť k preskúmaniu účinnosti a účelnosti predkladaného materiálu.</w:t>
            </w:r>
          </w:p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>Uveďte kritériá, na základe ktorých bude preskúmanie vykonané.</w:t>
            </w:r>
          </w:p>
          <w:p w:rsidR="00E35A5D" w:rsidRPr="007A2832" w:rsidRDefault="00E35A5D" w:rsidP="0093062C">
            <w:pPr>
              <w:rPr>
                <w:i/>
              </w:rPr>
            </w:pPr>
          </w:p>
          <w:p w:rsidR="00D327B5" w:rsidRPr="007A2832" w:rsidRDefault="00D327B5" w:rsidP="00D327B5">
            <w:r w:rsidRPr="007A2832">
              <w:t>Účinnosť a účelnosť predkladaného materiálu bude možné vyhodnotiť najskôr po uplynutí minimálne jedného roka od jeho účinnosti.</w:t>
            </w:r>
          </w:p>
          <w:p w:rsidR="00E35A5D" w:rsidRPr="007A2832" w:rsidRDefault="00E35A5D" w:rsidP="0093062C"/>
        </w:tc>
      </w:tr>
      <w:tr w:rsidR="00E35A5D" w:rsidRPr="007A2832" w:rsidTr="0093062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5A5D" w:rsidRPr="007A2832" w:rsidRDefault="00E35A5D" w:rsidP="0093062C">
            <w:pPr>
              <w:rPr>
                <w:b/>
              </w:rPr>
            </w:pPr>
          </w:p>
          <w:p w:rsidR="00E35A5D" w:rsidRPr="007A2832" w:rsidRDefault="00E35A5D" w:rsidP="0093062C">
            <w:pPr>
              <w:ind w:left="142" w:hanging="142"/>
            </w:pPr>
            <w:r w:rsidRPr="007A2832"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E35A5D" w:rsidRPr="007A2832" w:rsidRDefault="00E35A5D" w:rsidP="0093062C">
            <w:r w:rsidRPr="007A2832">
              <w:t>** vyplniť iba v prípade, ak sa záverečné posúdenie vybraných vplyvov uskutočnilo v zmysle bodu 9.1. jednotnej metodiky.</w:t>
            </w:r>
          </w:p>
          <w:p w:rsidR="00E35A5D" w:rsidRPr="007A2832" w:rsidRDefault="00E35A5D" w:rsidP="0093062C"/>
          <w:p w:rsidR="00E35A5D" w:rsidRPr="007A2832" w:rsidRDefault="00E35A5D" w:rsidP="0093062C">
            <w:pPr>
              <w:rPr>
                <w:b/>
              </w:rPr>
            </w:pPr>
          </w:p>
        </w:tc>
      </w:tr>
      <w:tr w:rsidR="00E35A5D" w:rsidRPr="007A2832" w:rsidTr="0093062C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Vybrané vplyvy  materiálu</w:t>
            </w:r>
          </w:p>
        </w:tc>
      </w:tr>
      <w:tr w:rsidR="00E35A5D" w:rsidRPr="007A2832" w:rsidTr="009306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-1066412587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481296198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755052973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ind w:left="-107" w:right="-108"/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ind w:left="3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r w:rsidRPr="007A2832">
              <w:t xml:space="preserve">    z toho rozpočtovo zabezpečené vplyvy,         </w:t>
            </w:r>
          </w:p>
          <w:p w:rsidR="00E35A5D" w:rsidRPr="007A2832" w:rsidRDefault="00E35A5D" w:rsidP="0093062C">
            <w:r w:rsidRPr="007A2832">
              <w:t xml:space="preserve">    v prípade identifikovaného negatívneho </w:t>
            </w:r>
          </w:p>
          <w:p w:rsidR="00E35A5D" w:rsidRPr="007A2832" w:rsidRDefault="00E35A5D" w:rsidP="0093062C">
            <w:r w:rsidRPr="007A2832">
              <w:t xml:space="preserve">    vplyvu</w:t>
            </w:r>
          </w:p>
        </w:tc>
        <w:sdt>
          <w:sdtPr>
            <w:id w:val="-1143340457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r w:rsidRPr="007A2832">
              <w:t>Áno</w:t>
            </w:r>
          </w:p>
        </w:tc>
        <w:sdt>
          <w:sdtPr>
            <w:id w:val="40579842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r w:rsidRPr="007A2832">
              <w:t>Nie</w:t>
            </w:r>
          </w:p>
        </w:tc>
        <w:sdt>
          <w:sdtPr>
            <w:id w:val="-134647770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ind w:left="-107" w:right="-108"/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34"/>
            </w:pPr>
            <w:r w:rsidRPr="007A2832">
              <w:t>Čiastočne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v tom vplyvy na rozpočty obcí a vyšších územných celkov</w:t>
            </w:r>
          </w:p>
        </w:tc>
        <w:sdt>
          <w:sdtPr>
            <w:rPr>
              <w:b/>
            </w:rPr>
            <w:id w:val="-1577430931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E35A5D" w:rsidRPr="007A2832" w:rsidRDefault="003D0806" w:rsidP="00387180">
                <w:pPr>
                  <w:jc w:val="center"/>
                  <w:rPr>
                    <w:b/>
                  </w:rPr>
                </w:pPr>
                <w:sdt>
                  <w:sdtPr>
                    <w:rPr>
                      <w:b/>
                    </w:rPr>
                    <w:id w:val="18056962"/>
                  </w:sdtPr>
                  <w:sdtEndPr/>
                  <w:sdtContent>
                    <w:r w:rsidR="00387180" w:rsidRPr="007A2832">
                      <w:rPr>
                        <w:rFonts w:eastAsia="MS Gothic" w:hint="eastAsia"/>
                        <w:b/>
                      </w:rPr>
                      <w:t>☐</w:t>
                    </w:r>
                  </w:sdtContent>
                </w:sdt>
                <w:r w:rsidR="00387180" w:rsidRPr="007A2832">
                  <w:rPr>
                    <w:rFonts w:eastAsia="MS Gothic" w:hint="eastAsia"/>
                    <w:b/>
                  </w:rPr>
                  <w:t xml:space="preserve"> 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03596396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35A5D" w:rsidRPr="007A2832" w:rsidRDefault="003D0806" w:rsidP="007D0585">
                <w:pPr>
                  <w:jc w:val="center"/>
                  <w:rPr>
                    <w:b/>
                  </w:rPr>
                </w:pPr>
                <w:sdt>
                  <w:sdtPr>
                    <w:rPr>
                      <w:b/>
                    </w:rPr>
                    <w:id w:val="18056969"/>
                  </w:sdtPr>
                  <w:sdtEndPr/>
                  <w:sdtContent>
                    <w:r w:rsidR="007D0585" w:rsidRPr="007A2832">
                      <w:rPr>
                        <w:rFonts w:eastAsia="MS Gothic" w:hint="eastAsia"/>
                        <w:b/>
                      </w:rPr>
                      <w:t>☒</w:t>
                    </w:r>
                  </w:sdtContent>
                </w:sdt>
                <w:r w:rsidR="007D0585" w:rsidRPr="007A2832">
                  <w:rPr>
                    <w:rFonts w:eastAsia="MS Gothic" w:hint="eastAsia"/>
                    <w:b/>
                  </w:rPr>
                  <w:t xml:space="preserve"> 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1094750243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35A5D" w:rsidRPr="007A2832" w:rsidRDefault="003D0806" w:rsidP="00387180">
                <w:pPr>
                  <w:ind w:left="-107" w:right="-108"/>
                  <w:jc w:val="center"/>
                  <w:rPr>
                    <w:b/>
                  </w:rPr>
                </w:pPr>
                <w:sdt>
                  <w:sdtPr>
                    <w:rPr>
                      <w:b/>
                    </w:rPr>
                    <w:id w:val="18056960"/>
                  </w:sdtPr>
                  <w:sdtEndPr/>
                  <w:sdtContent>
                    <w:r w:rsidR="00387180" w:rsidRPr="007A2832">
                      <w:rPr>
                        <w:rFonts w:eastAsia="MS Gothic" w:hint="eastAsia"/>
                        <w:b/>
                      </w:rPr>
                      <w:t>☐</w:t>
                    </w:r>
                  </w:sdtContent>
                </w:sdt>
                <w:r w:rsidR="00387180" w:rsidRPr="007A2832">
                  <w:rPr>
                    <w:rFonts w:eastAsia="MS Gothic" w:hint="eastAsia"/>
                    <w:b/>
                  </w:rPr>
                  <w:t xml:space="preserve"> 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ind w:left="3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ind w:left="171"/>
            </w:pPr>
            <w:r w:rsidRPr="007A2832">
              <w:t>z toho rozpočtovo zabezpečené vplyvy,</w:t>
            </w:r>
          </w:p>
          <w:p w:rsidR="00E35A5D" w:rsidRPr="007A2832" w:rsidRDefault="00E35A5D" w:rsidP="0093062C">
            <w:pPr>
              <w:ind w:left="171"/>
            </w:pPr>
            <w:r w:rsidRPr="007A2832">
              <w:t>v prípade identifikovaného negatívneho vplyvu</w:t>
            </w:r>
          </w:p>
        </w:tc>
        <w:sdt>
          <w:sdtPr>
            <w:id w:val="64164179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r w:rsidRPr="007A2832">
              <w:t>Áno</w:t>
            </w:r>
          </w:p>
        </w:tc>
        <w:sdt>
          <w:sdtPr>
            <w:id w:val="-63826553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r w:rsidRPr="007A2832">
              <w:t>Nie</w:t>
            </w:r>
          </w:p>
        </w:tc>
        <w:sdt>
          <w:sdtPr>
            <w:id w:val="-30277041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ind w:left="-107" w:right="-108"/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34"/>
            </w:pPr>
            <w:r w:rsidRPr="007A2832">
              <w:t>Čiastočne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470941242"/>
          </w:sdtPr>
          <w:sdtEndPr/>
          <w:sdtContent>
            <w:sdt>
              <w:sdtPr>
                <w:rPr>
                  <w:b/>
                </w:rPr>
                <w:id w:val="913357334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:rsidR="00E35A5D" w:rsidRPr="007A2832" w:rsidRDefault="003D0806" w:rsidP="0093062C">
                    <w:pPr>
                      <w:jc w:val="center"/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id w:val="1143474478"/>
                      </w:sdtPr>
                      <w:sdtEndPr/>
                      <w:sdtContent>
                        <w:r w:rsidR="00D327B5" w:rsidRPr="007A2832">
                          <w:rPr>
                            <w:rFonts w:eastAsia="MS Gothic" w:hint="eastAsia"/>
                            <w:b/>
                          </w:rPr>
                          <w:t>☐</w:t>
                        </w:r>
                      </w:sdtContent>
                    </w:sdt>
                    <w:r w:rsidR="00D327B5" w:rsidRPr="007A2832">
                      <w:rPr>
                        <w:rFonts w:eastAsia="MS Gothic" w:hint="eastAsia"/>
                        <w:b/>
                      </w:rPr>
                      <w:t xml:space="preserve"> 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038465019"/>
          </w:sdtPr>
          <w:sdtEndPr/>
          <w:sdtContent>
            <w:sdt>
              <w:sdtPr>
                <w:rPr>
                  <w:b/>
                </w:rPr>
                <w:id w:val="-1262679428"/>
              </w:sdtPr>
              <w:sdtEndPr/>
              <w:sdtContent>
                <w:tc>
                  <w:tcPr>
                    <w:tcW w:w="538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:rsidR="00E35A5D" w:rsidRPr="007A2832" w:rsidRDefault="00D327B5" w:rsidP="0093062C">
                    <w:pPr>
                      <w:jc w:val="center"/>
                      <w:rPr>
                        <w:b/>
                      </w:rPr>
                    </w:pPr>
                    <w:r w:rsidRPr="007A2832">
                      <w:rPr>
                        <w:rFonts w:eastAsia="MS Gothic" w:hint="eastAsia"/>
                        <w:b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558398718"/>
          </w:sdtPr>
          <w:sdtEndPr/>
          <w:sdtContent>
            <w:sdt>
              <w:sdtPr>
                <w:rPr>
                  <w:b/>
                </w:rPr>
                <w:id w:val="1681475090"/>
              </w:sdtPr>
              <w:sdtEndPr/>
              <w:sdtContent>
                <w:tc>
                  <w:tcPr>
                    <w:tcW w:w="547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:rsidR="00E35A5D" w:rsidRPr="007A2832" w:rsidRDefault="003D0806" w:rsidP="0093062C">
                    <w:pPr>
                      <w:jc w:val="center"/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id w:val="2007473338"/>
                      </w:sdtPr>
                      <w:sdtEndPr/>
                      <w:sdtContent>
                        <w:r w:rsidR="00D327B5" w:rsidRPr="007A2832">
                          <w:rPr>
                            <w:rFonts w:eastAsia="MS Gothic" w:hint="eastAsia"/>
                            <w:b/>
                          </w:rPr>
                          <w:t>☐</w:t>
                        </w:r>
                      </w:sdtContent>
                    </w:sdt>
                    <w:r w:rsidR="00D327B5" w:rsidRPr="007A2832">
                      <w:rPr>
                        <w:rFonts w:eastAsia="MS Gothic" w:hint="eastAsia"/>
                        <w:b/>
                      </w:rPr>
                      <w:t xml:space="preserve"> </w:t>
                    </w:r>
                  </w:p>
                </w:tc>
              </w:sdtContent>
            </w:sdt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E35A5D" w:rsidRPr="007A2832" w:rsidRDefault="00E35A5D" w:rsidP="0093062C">
            <w:r w:rsidRPr="007A2832">
              <w:t xml:space="preserve">    z toho vplyvy na MSP</w:t>
            </w:r>
          </w:p>
          <w:p w:rsidR="00E35A5D" w:rsidRPr="007A2832" w:rsidRDefault="00E35A5D" w:rsidP="0093062C"/>
        </w:tc>
        <w:sdt>
          <w:sdtPr>
            <w:id w:val="862408102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ind w:right="-108"/>
            </w:pPr>
            <w:r w:rsidRPr="007A2832">
              <w:t>Pozitívne</w:t>
            </w:r>
          </w:p>
        </w:tc>
        <w:sdt>
          <w:sdtPr>
            <w:id w:val="994611021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r w:rsidRPr="007A2832">
              <w:t>Žiadne</w:t>
            </w:r>
          </w:p>
        </w:tc>
        <w:sdt>
          <w:sdtPr>
            <w:id w:val="-386717170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54"/>
            </w:pPr>
            <w:r w:rsidRPr="007A2832"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r w:rsidRPr="007A2832">
              <w:t xml:space="preserve">    Mechanizmus znižovania byrokracie    </w:t>
            </w:r>
          </w:p>
          <w:p w:rsidR="00E35A5D" w:rsidRPr="007A2832" w:rsidRDefault="00E35A5D" w:rsidP="0093062C">
            <w:pPr>
              <w:rPr>
                <w:b/>
              </w:rPr>
            </w:pPr>
            <w:r w:rsidRPr="007A2832">
              <w:t xml:space="preserve">    a nákladov sa uplatňuje:</w:t>
            </w:r>
          </w:p>
        </w:tc>
        <w:sdt>
          <w:sdtPr>
            <w:rPr>
              <w:b/>
            </w:rPr>
            <w:id w:val="-817577505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-365677636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t>Nie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-1958945844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872293991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692835279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1474483314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2060162118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85088255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Vplyvy na informatizáciu spoločnosti</w:t>
            </w:r>
          </w:p>
        </w:tc>
        <w:sdt>
          <w:sdtPr>
            <w:rPr>
              <w:b/>
            </w:rPr>
            <w:id w:val="-1573421395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69603435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169528927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E35A5D" w:rsidRPr="007A2832" w:rsidTr="009306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rFonts w:eastAsia="Calibri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5A5D" w:rsidRPr="007A2832" w:rsidRDefault="00E35A5D" w:rsidP="0093062C">
            <w:pPr>
              <w:ind w:left="54"/>
              <w:rPr>
                <w:b/>
              </w:rPr>
            </w:pP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7A2832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2031215792"/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52193863"/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282867047"/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ind w:left="168" w:hanging="168"/>
              <w:rPr>
                <w:rFonts w:eastAsia="Calibri"/>
                <w:b/>
                <w:lang w:eastAsia="en-US"/>
              </w:rPr>
            </w:pPr>
            <w:r w:rsidRPr="007A2832">
              <w:rPr>
                <w:rFonts w:eastAsia="Calibri"/>
                <w:b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b/>
            </w:rPr>
            <w:id w:val="1017204256"/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993677602"/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578477896"/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E35A5D" w:rsidRPr="007A2832" w:rsidTr="009306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  <w:lang w:eastAsia="en-US"/>
              </w:rPr>
              <w:t xml:space="preserve">Vplyvy na manželstvo, rodičovstvo </w:t>
            </w:r>
            <w:r w:rsidRPr="007A2832">
              <w:rPr>
                <w:b/>
                <w:lang w:eastAsia="en-US"/>
              </w:rPr>
              <w:lastRenderedPageBreak/>
              <w:t>a rodinu</w:t>
            </w:r>
          </w:p>
        </w:tc>
        <w:sdt>
          <w:sdtPr>
            <w:rPr>
              <w:b/>
            </w:rPr>
            <w:id w:val="1977256156"/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025549405"/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710956538"/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</w:tbl>
    <w:p w:rsidR="00E35A5D" w:rsidRPr="007A2832" w:rsidRDefault="00E35A5D" w:rsidP="00E35A5D">
      <w:pPr>
        <w:ind w:right="141"/>
        <w:rPr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E35A5D" w:rsidRPr="007A2832" w:rsidTr="009306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Poznámky</w:t>
            </w:r>
          </w:p>
        </w:tc>
      </w:tr>
      <w:tr w:rsidR="00E35A5D" w:rsidRPr="007A2832" w:rsidTr="0093062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 xml:space="preserve">V prípade potreby uveďte doplňujúce informácie k identifikovaným vplyvom a ich analýzam. </w:t>
            </w:r>
          </w:p>
          <w:p w:rsidR="00E35A5D" w:rsidRPr="007A2832" w:rsidRDefault="00E35A5D" w:rsidP="0093062C">
            <w:pPr>
              <w:jc w:val="both"/>
              <w:rPr>
                <w:i/>
              </w:rPr>
            </w:pPr>
          </w:p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E35A5D" w:rsidRPr="007A2832" w:rsidRDefault="00E35A5D" w:rsidP="0093062C">
            <w:pPr>
              <w:jc w:val="both"/>
              <w:rPr>
                <w:i/>
              </w:rPr>
            </w:pPr>
          </w:p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4C0C67" w:rsidRPr="007A2832" w:rsidRDefault="004C0C67" w:rsidP="00D327B5">
            <w:pPr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35A5D" w:rsidRPr="007A2832" w:rsidTr="009306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Kontakt na spracovateľa</w:t>
            </w:r>
          </w:p>
        </w:tc>
      </w:tr>
      <w:tr w:rsidR="00E35A5D" w:rsidRPr="007A2832" w:rsidTr="0093062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>Uveďte údaje na kontaktnú osobu, ktorú je možné kontaktovať v súvislosti s posúdením vybraných vplyvov.</w:t>
            </w:r>
          </w:p>
          <w:p w:rsidR="00E35A5D" w:rsidRPr="007A2832" w:rsidRDefault="00E35A5D" w:rsidP="0093062C"/>
        </w:tc>
      </w:tr>
      <w:tr w:rsidR="00E35A5D" w:rsidRPr="007A2832" w:rsidTr="009306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Zdroje</w:t>
            </w:r>
          </w:p>
        </w:tc>
      </w:tr>
      <w:tr w:rsidR="00E35A5D" w:rsidRPr="007A2832" w:rsidTr="0093062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</w:p>
          <w:p w:rsidR="00E35A5D" w:rsidRPr="007A2832" w:rsidRDefault="00E35A5D" w:rsidP="0093062C"/>
          <w:p w:rsidR="00E35A5D" w:rsidRPr="007A2832" w:rsidRDefault="00E35A5D" w:rsidP="00D327B5">
            <w:pPr>
              <w:jc w:val="both"/>
              <w:rPr>
                <w:b/>
              </w:rPr>
            </w:pPr>
          </w:p>
        </w:tc>
      </w:tr>
      <w:tr w:rsidR="00E35A5D" w:rsidRPr="007A2832" w:rsidTr="009306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47" w:hanging="425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Stanovisko Komisie na posudzovanie vybraných vplyvov z PPK č. ..........</w:t>
            </w:r>
          </w:p>
          <w:p w:rsidR="00E35A5D" w:rsidRPr="007A2832" w:rsidRDefault="00E35A5D" w:rsidP="0093062C">
            <w:pPr>
              <w:ind w:left="502"/>
              <w:rPr>
                <w:b/>
              </w:rPr>
            </w:pPr>
            <w:r w:rsidRPr="007A2832">
              <w:rPr>
                <w:rFonts w:eastAsia="Calibri"/>
                <w:sz w:val="22"/>
                <w:szCs w:val="22"/>
                <w:lang w:eastAsia="en-US"/>
              </w:rPr>
              <w:t>(v prípade, ak sa uskutočnilo v zmysle bodu 8.1 Jednotnej metodiky)</w:t>
            </w:r>
          </w:p>
        </w:tc>
      </w:tr>
      <w:tr w:rsidR="00E35A5D" w:rsidRPr="007A2832" w:rsidTr="0093062C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rPr>
                <w:b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35A5D" w:rsidRPr="007A2832" w:rsidTr="0093062C">
              <w:trPr>
                <w:trHeight w:val="396"/>
              </w:trPr>
              <w:tc>
                <w:tcPr>
                  <w:tcW w:w="2552" w:type="dxa"/>
                </w:tcPr>
                <w:p w:rsidR="00E35A5D" w:rsidRPr="007A2832" w:rsidRDefault="003D0806" w:rsidP="0093062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1874910888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E35A5D" w:rsidRPr="007A2832" w:rsidRDefault="003D0806" w:rsidP="0093062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1697888127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E35A5D" w:rsidRPr="007A2832" w:rsidRDefault="003D0806" w:rsidP="0093062C">
                  <w:pPr>
                    <w:ind w:right="459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647822913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Nesúhlasné</w:t>
                  </w:r>
                </w:p>
              </w:tc>
            </w:tr>
          </w:tbl>
          <w:p w:rsidR="00E35A5D" w:rsidRPr="007A2832" w:rsidRDefault="00E35A5D" w:rsidP="0093062C">
            <w:pPr>
              <w:jc w:val="both"/>
              <w:rPr>
                <w:b/>
              </w:rPr>
            </w:pPr>
            <w:r w:rsidRPr="007A2832">
              <w:rPr>
                <w:b/>
              </w:rPr>
              <w:t>Uveďte pripomienky zo stanoviska Komisie z časti II. spolu s Vaším vyhodnotením:</w:t>
            </w:r>
          </w:p>
          <w:p w:rsidR="00E35A5D" w:rsidRPr="007A2832" w:rsidRDefault="00E35A5D" w:rsidP="0093062C">
            <w:pPr>
              <w:rPr>
                <w:b/>
              </w:rPr>
            </w:pPr>
          </w:p>
          <w:p w:rsidR="00E35A5D" w:rsidRPr="007A2832" w:rsidRDefault="00E35A5D" w:rsidP="0093062C">
            <w:pPr>
              <w:rPr>
                <w:b/>
              </w:rPr>
            </w:pPr>
          </w:p>
        </w:tc>
      </w:tr>
      <w:tr w:rsidR="00E35A5D" w:rsidRPr="007A2832" w:rsidTr="0093062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50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Stanovisko Komisie na posudzovanie vybraných vplyvov zo záverečného posúdenia č. ..........</w:t>
            </w:r>
            <w:r w:rsidRPr="007A2832">
              <w:rPr>
                <w:rFonts w:eastAsia="Calibri"/>
                <w:sz w:val="22"/>
                <w:szCs w:val="22"/>
                <w:lang w:eastAsia="en-US"/>
              </w:rPr>
              <w:t xml:space="preserve"> (v prípade, ak sa uskutočnilo v zmysle bodu 9.1. Jednotnej metodiky) </w:t>
            </w:r>
          </w:p>
        </w:tc>
      </w:tr>
      <w:tr w:rsidR="00E35A5D" w:rsidRPr="007A2832" w:rsidTr="0093062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E35A5D" w:rsidRPr="007A2832" w:rsidRDefault="00E35A5D" w:rsidP="0093062C">
            <w:pPr>
              <w:rPr>
                <w:b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35A5D" w:rsidRPr="007A2832" w:rsidTr="0093062C">
              <w:trPr>
                <w:trHeight w:val="396"/>
              </w:trPr>
              <w:tc>
                <w:tcPr>
                  <w:tcW w:w="2552" w:type="dxa"/>
                </w:tcPr>
                <w:p w:rsidR="00E35A5D" w:rsidRPr="007A2832" w:rsidRDefault="003D0806" w:rsidP="0093062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888232876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E35A5D" w:rsidRPr="007A2832" w:rsidRDefault="003D0806" w:rsidP="0093062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953831761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E35A5D" w:rsidRPr="007A2832" w:rsidRDefault="003D0806" w:rsidP="0093062C">
                  <w:pPr>
                    <w:ind w:right="459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361740452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Nesúhlasné</w:t>
                  </w:r>
                </w:p>
              </w:tc>
            </w:tr>
          </w:tbl>
          <w:p w:rsidR="00E35A5D" w:rsidRPr="007A2832" w:rsidRDefault="00E35A5D" w:rsidP="0093062C">
            <w:pPr>
              <w:jc w:val="both"/>
              <w:rPr>
                <w:b/>
              </w:rPr>
            </w:pPr>
            <w:r w:rsidRPr="007A2832">
              <w:rPr>
                <w:b/>
              </w:rPr>
              <w:t>Uveďte pripomienky zo stanoviska Komisie z časti II. spolu s Vaším vyhodnotením:</w:t>
            </w:r>
          </w:p>
          <w:p w:rsidR="00E35A5D" w:rsidRPr="007A2832" w:rsidRDefault="00E35A5D" w:rsidP="0093062C">
            <w:pPr>
              <w:rPr>
                <w:b/>
              </w:rPr>
            </w:pPr>
          </w:p>
          <w:p w:rsidR="00E35A5D" w:rsidRPr="007A2832" w:rsidRDefault="00E35A5D" w:rsidP="0093062C">
            <w:pPr>
              <w:rPr>
                <w:b/>
              </w:rPr>
            </w:pPr>
          </w:p>
        </w:tc>
      </w:tr>
    </w:tbl>
    <w:p w:rsidR="00E35A5D" w:rsidRPr="00C01C97" w:rsidRDefault="00E35A5D" w:rsidP="00011CD9">
      <w:pPr>
        <w:rPr>
          <w:sz w:val="24"/>
          <w:szCs w:val="24"/>
        </w:rPr>
      </w:pPr>
    </w:p>
    <w:sectPr w:rsidR="00E35A5D" w:rsidRPr="00C01C97" w:rsidSect="00211C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E0" w:rsidRDefault="007721E0">
      <w:r>
        <w:separator/>
      </w:r>
    </w:p>
  </w:endnote>
  <w:endnote w:type="continuationSeparator" w:id="0">
    <w:p w:rsidR="007721E0" w:rsidRDefault="0077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7" w:rsidRPr="00E16875" w:rsidRDefault="003D0806" w:rsidP="001D2E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E0" w:rsidRDefault="007721E0">
      <w:r>
        <w:separator/>
      </w:r>
    </w:p>
  </w:footnote>
  <w:footnote w:type="continuationSeparator" w:id="0">
    <w:p w:rsidR="007721E0" w:rsidRDefault="0077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7" w:rsidRPr="00433C47" w:rsidRDefault="003D0806" w:rsidP="001D2E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1DA"/>
    <w:multiLevelType w:val="hybridMultilevel"/>
    <w:tmpl w:val="7196FF22"/>
    <w:lvl w:ilvl="0" w:tplc="07F6BB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2F56"/>
    <w:multiLevelType w:val="hybridMultilevel"/>
    <w:tmpl w:val="7EFC22AE"/>
    <w:lvl w:ilvl="0" w:tplc="D3ACFD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239F7"/>
    <w:multiLevelType w:val="hybridMultilevel"/>
    <w:tmpl w:val="F2822772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6F6FA5"/>
    <w:multiLevelType w:val="hybridMultilevel"/>
    <w:tmpl w:val="B81A74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64C97"/>
    <w:multiLevelType w:val="hybridMultilevel"/>
    <w:tmpl w:val="E702B7C6"/>
    <w:lvl w:ilvl="0" w:tplc="91260BAE">
      <w:start w:val="9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1F6C06"/>
    <w:multiLevelType w:val="hybridMultilevel"/>
    <w:tmpl w:val="3230AAE6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F0B12"/>
    <w:multiLevelType w:val="hybridMultilevel"/>
    <w:tmpl w:val="B45824F4"/>
    <w:lvl w:ilvl="0" w:tplc="CCC099DA">
      <w:start w:val="4"/>
      <w:numFmt w:val="bullet"/>
      <w:lvlText w:val="-"/>
      <w:lvlJc w:val="left"/>
      <w:pPr>
        <w:ind w:left="170" w:hanging="17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F540DD1"/>
    <w:multiLevelType w:val="hybridMultilevel"/>
    <w:tmpl w:val="869A4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DA0"/>
    <w:rsid w:val="000011E5"/>
    <w:rsid w:val="00011CD9"/>
    <w:rsid w:val="00091008"/>
    <w:rsid w:val="001A7C92"/>
    <w:rsid w:val="0021015D"/>
    <w:rsid w:val="00211C7E"/>
    <w:rsid w:val="00250925"/>
    <w:rsid w:val="00387180"/>
    <w:rsid w:val="003D0806"/>
    <w:rsid w:val="004B2A55"/>
    <w:rsid w:val="004C0C67"/>
    <w:rsid w:val="006519A8"/>
    <w:rsid w:val="006D7938"/>
    <w:rsid w:val="006E75A8"/>
    <w:rsid w:val="00765247"/>
    <w:rsid w:val="007721E0"/>
    <w:rsid w:val="0079032F"/>
    <w:rsid w:val="007D0585"/>
    <w:rsid w:val="007F015A"/>
    <w:rsid w:val="00811DA0"/>
    <w:rsid w:val="00971E20"/>
    <w:rsid w:val="00B117B7"/>
    <w:rsid w:val="00B32B47"/>
    <w:rsid w:val="00BC1D35"/>
    <w:rsid w:val="00D327B5"/>
    <w:rsid w:val="00D357F1"/>
    <w:rsid w:val="00D45509"/>
    <w:rsid w:val="00DE1395"/>
    <w:rsid w:val="00E35A5D"/>
    <w:rsid w:val="00F4069D"/>
    <w:rsid w:val="00FF60A7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F664F-ED4A-42FF-AB41-605C5CAC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11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11D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11D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1D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1DA0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81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81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FF7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E3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E13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395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link w:val="NormlnywebovChar"/>
    <w:uiPriority w:val="99"/>
    <w:unhideWhenUsed/>
    <w:rsid w:val="00D327B5"/>
    <w:rPr>
      <w:sz w:val="24"/>
      <w:szCs w:val="24"/>
    </w:rPr>
  </w:style>
  <w:style w:type="character" w:customStyle="1" w:styleId="NormlnywebovChar">
    <w:name w:val="Normálny (webový) Char"/>
    <w:link w:val="Normlnywebov"/>
    <w:uiPriority w:val="99"/>
    <w:locked/>
    <w:rsid w:val="00D327B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C5E7-EDFF-403C-A43D-5A987ED2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1110</Words>
  <Characters>6333</Characters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2022-06-29T12:14:00Z</cp:lastPrinted>
  <dcterms:created xsi:type="dcterms:W3CDTF">2022-08-08T10:10:00Z</dcterms:created>
  <dcterms:modified xsi:type="dcterms:W3CDTF">2022-09-21T07:30:00Z</dcterms:modified>
</cp:coreProperties>
</file>