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861617">
        <w:rPr>
          <w:rFonts w:ascii="Times New Roman" w:eastAsia="Times New Roman" w:hAnsi="Times New Roman" w:cs="Times New Roman" w:hint="cs"/>
          <w:sz w:val="24"/>
          <w:szCs w:val="24"/>
          <w:rtl w:val="0"/>
          <w:cs w:val="0"/>
          <w:lang w:val="sk-SK" w:eastAsia="sk-SK" w:bidi="ar-SA"/>
        </w:rPr>
        <w:t>119</w:t>
      </w:r>
      <w:r w:rsidR="00F8175D">
        <w:rPr>
          <w:rFonts w:ascii="Times New Roman" w:eastAsia="Times New Roman" w:hAnsi="Times New Roman" w:cs="Times New Roman" w:hint="cs"/>
          <w:sz w:val="24"/>
          <w:szCs w:val="24"/>
          <w:rtl w:val="0"/>
          <w:cs w:val="0"/>
          <w:lang w:val="sk-SK" w:eastAsia="sk-SK" w:bidi="ar-SA"/>
        </w:rPr>
        <w:t xml:space="preserve">. </w:t>
      </w:r>
      <w:r w:rsidRPr="00F95756">
        <w:rPr>
          <w:rFonts w:ascii="Times New Roman" w:eastAsia="Times New Roman" w:hAnsi="Times New Roman" w:cs="Times New Roman" w:hint="cs"/>
          <w:sz w:val="24"/>
          <w:szCs w:val="24"/>
          <w:rtl w:val="0"/>
          <w:cs w:val="0"/>
          <w:lang w:val="sk-SK" w:eastAsia="sk-SK" w:bidi="ar-SA"/>
        </w:rPr>
        <w:t>schôdza výboru</w:t>
      </w:r>
    </w:p>
    <w:p w:rsidR="009A3C1A" w:rsidRPr="0066606D" w:rsidP="0066606D">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w:t>
      </w:r>
      <w:r w:rsidR="00657B97">
        <w:rPr>
          <w:rFonts w:ascii="Times New Roman" w:eastAsia="Times New Roman" w:hAnsi="Times New Roman" w:cs="Times New Roman" w:hint="cs"/>
          <w:color w:val="auto"/>
          <w:sz w:val="24"/>
          <w:szCs w:val="20"/>
          <w:rtl w:val="0"/>
          <w:cs w:val="0"/>
          <w:lang w:val="sk-SK" w:eastAsia="sk-SK" w:bidi="ar-SA"/>
        </w:rPr>
        <w:t>–</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861617">
        <w:rPr>
          <w:rFonts w:ascii="Times New Roman" w:eastAsia="Times New Roman" w:hAnsi="Times New Roman" w:cs="Times New Roman" w:hint="cs"/>
          <w:color w:val="auto"/>
          <w:sz w:val="24"/>
          <w:szCs w:val="20"/>
          <w:rtl w:val="0"/>
          <w:cs w:val="0"/>
          <w:lang w:val="sk-SK" w:eastAsia="sk-SK" w:bidi="ar-SA"/>
        </w:rPr>
        <w:t>1336</w:t>
      </w:r>
      <w:r w:rsidR="00657B97">
        <w:rPr>
          <w:rFonts w:ascii="Times New Roman" w:eastAsia="Times New Roman" w:hAnsi="Times New Roman" w:cs="Times New Roman" w:hint="cs"/>
          <w:color w:val="auto"/>
          <w:sz w:val="24"/>
          <w:szCs w:val="20"/>
          <w:rtl w:val="0"/>
          <w:cs w:val="0"/>
          <w:lang w:val="sk-SK" w:eastAsia="sk-SK" w:bidi="ar-SA"/>
        </w:rPr>
        <w:t>/</w:t>
      </w:r>
      <w:r w:rsidR="008853BC">
        <w:rPr>
          <w:rFonts w:ascii="Times New Roman" w:eastAsia="Times New Roman" w:hAnsi="Times New Roman" w:cs="Times New Roman" w:hint="cs"/>
          <w:iCs/>
          <w:color w:val="auto"/>
          <w:sz w:val="24"/>
          <w:szCs w:val="20"/>
          <w:rtl w:val="0"/>
          <w:cs w:val="0"/>
          <w:lang w:val="sk-SK" w:eastAsia="sk-SK" w:bidi="ar-SA"/>
        </w:rPr>
        <w:t>2022</w:t>
      </w:r>
      <w:r w:rsidR="0066606D">
        <w:rPr>
          <w:rFonts w:ascii="Times New Roman" w:eastAsia="Times New Roman" w:hAnsi="Times New Roman" w:cs="Times New Roman" w:hint="cs"/>
          <w:iCs/>
          <w:color w:val="auto"/>
          <w:sz w:val="24"/>
          <w:szCs w:val="20"/>
          <w:rtl w:val="0"/>
          <w:cs w:val="0"/>
          <w:lang w:val="sk-SK" w:eastAsia="sk-SK" w:bidi="ar-SA"/>
        </w:rPr>
        <w:t xml:space="preserve"> - VHZ</w:t>
      </w:r>
    </w:p>
    <w:p w:rsidR="003F7A68"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AD3B5D"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00F804E8">
        <w:rPr>
          <w:rFonts w:ascii="Times New Roman" w:eastAsia="Times New Roman" w:hAnsi="Times New Roman" w:cs="Times New Roman" w:hint="cs"/>
          <w:b/>
          <w:sz w:val="32"/>
          <w:szCs w:val="28"/>
          <w:rtl w:val="0"/>
          <w:cs w:val="0"/>
          <w:lang w:val="sk-SK" w:eastAsia="sk-SK" w:bidi="ar-SA"/>
        </w:rPr>
        <w:t>324</w:t>
      </w:r>
    </w:p>
    <w:p w:rsidR="00EA5DC2" w:rsidRPr="00F9575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3142E3" w:rsidR="00444C9D">
        <w:rPr>
          <w:rFonts w:ascii="Times New Roman" w:eastAsia="Times New Roman" w:hAnsi="Times New Roman" w:cs="Times New Roman" w:hint="cs"/>
          <w:sz w:val="24"/>
          <w:szCs w:val="24"/>
          <w:rtl w:val="0"/>
          <w:cs w:val="0"/>
          <w:lang w:val="sk-SK" w:eastAsia="sk-SK" w:bidi="ar-SA"/>
        </w:rPr>
        <w:t>z</w:t>
      </w:r>
      <w:r w:rsidR="00861617">
        <w:rPr>
          <w:rFonts w:ascii="Times New Roman" w:eastAsia="Times New Roman" w:hAnsi="Times New Roman" w:cs="Times New Roman" w:hint="cs"/>
          <w:sz w:val="24"/>
          <w:szCs w:val="24"/>
          <w:rtl w:val="0"/>
          <w:cs w:val="0"/>
          <w:lang w:val="sk-SK" w:eastAsia="sk-SK" w:bidi="ar-SA"/>
        </w:rPr>
        <w:t> 12</w:t>
      </w:r>
      <w:r w:rsidR="008401DB">
        <w:rPr>
          <w:rFonts w:ascii="Times New Roman" w:eastAsia="Times New Roman" w:hAnsi="Times New Roman" w:cs="Times New Roman" w:hint="cs"/>
          <w:sz w:val="24"/>
          <w:szCs w:val="24"/>
          <w:rtl w:val="0"/>
          <w:cs w:val="0"/>
          <w:lang w:val="sk-SK" w:eastAsia="sk-SK" w:bidi="ar-SA"/>
        </w:rPr>
        <w:t xml:space="preserve">. </w:t>
      </w:r>
      <w:r w:rsidR="00861617">
        <w:rPr>
          <w:rFonts w:ascii="Times New Roman" w:eastAsia="Times New Roman" w:hAnsi="Times New Roman" w:cs="Times New Roman" w:hint="cs"/>
          <w:sz w:val="24"/>
          <w:szCs w:val="24"/>
          <w:rtl w:val="0"/>
          <w:cs w:val="0"/>
          <w:lang w:val="sk-SK" w:eastAsia="sk-SK" w:bidi="ar-SA"/>
        </w:rPr>
        <w:t xml:space="preserve">septembra </w:t>
      </w:r>
      <w:r w:rsidR="00F8175D">
        <w:rPr>
          <w:rFonts w:ascii="Times New Roman" w:eastAsia="Times New Roman" w:hAnsi="Times New Roman" w:cs="Times New Roman" w:hint="cs"/>
          <w:sz w:val="24"/>
          <w:szCs w:val="24"/>
          <w:rtl w:val="0"/>
          <w:cs w:val="0"/>
          <w:lang w:val="sk-SK" w:eastAsia="sk-SK" w:bidi="ar-SA"/>
        </w:rPr>
        <w:t>2022</w:t>
      </w:r>
    </w:p>
    <w:p w:rsidR="00BB64E2"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861617" w:rsidR="00861617">
        <w:rPr>
          <w:rFonts w:ascii="Times New Roman" w:eastAsia="Times New Roman" w:hAnsi="Times New Roman" w:cs="Times New Roman" w:hint="cs"/>
          <w:noProof/>
          <w:sz w:val="24"/>
          <w:szCs w:val="24"/>
          <w:rtl w:val="0"/>
          <w:cs w:val="0"/>
          <w:lang w:val="sk-SK" w:eastAsia="sk-SK" w:bidi="ar-SA"/>
        </w:rPr>
        <w:t>vládnemu návrhu zákona, ktorým sa mení a dopĺňa zákon č. 309/2009 Z. z. o podpore obnoviteľných zdrojov energie a vysoko účinnej kombinovanej výroby a o zmene a doplnení niektorých zákonov v znení neskorších predpisov a ktorým sa menia a dopĺňajú niektoré zákony</w:t>
      </w:r>
      <w:r w:rsidRPr="00C60C08" w:rsidR="00861617">
        <w:rPr>
          <w:rFonts w:ascii="Times New Roman" w:eastAsia="Times New Roman" w:hAnsi="Times New Roman" w:cs="Times New Roman" w:hint="cs"/>
          <w:b/>
          <w:noProof/>
          <w:sz w:val="24"/>
          <w:szCs w:val="24"/>
          <w:rtl w:val="0"/>
          <w:cs w:val="0"/>
          <w:lang w:val="sk-SK" w:eastAsia="sk-SK" w:bidi="ar-SA"/>
        </w:rPr>
        <w:t xml:space="preserve"> (tlač </w:t>
      </w:r>
      <w:r w:rsidR="00861617">
        <w:rPr>
          <w:rFonts w:ascii="Times New Roman" w:eastAsia="Times New Roman" w:hAnsi="Times New Roman" w:cs="Times New Roman" w:hint="cs"/>
          <w:b/>
          <w:noProof/>
          <w:sz w:val="24"/>
          <w:szCs w:val="24"/>
          <w:rtl w:val="0"/>
          <w:cs w:val="0"/>
          <w:lang w:val="sk-SK" w:eastAsia="sk-SK" w:bidi="ar-SA"/>
        </w:rPr>
        <w:t>1033</w:t>
      </w:r>
      <w:r w:rsidRPr="00C60C08" w:rsidR="00861617">
        <w:rPr>
          <w:rFonts w:ascii="Times New Roman" w:eastAsia="Times New Roman" w:hAnsi="Times New Roman" w:cs="Times New Roman" w:hint="cs"/>
          <w:b/>
          <w:noProof/>
          <w:sz w:val="24"/>
          <w:szCs w:val="24"/>
          <w:rtl w:val="0"/>
          <w:cs w:val="0"/>
          <w:lang w:val="sk-SK" w:eastAsia="sk-SK" w:bidi="ar-SA"/>
        </w:rPr>
        <w:t>)</w:t>
      </w:r>
      <w:r>
        <w:rPr>
          <w:rFonts w:ascii="Times New Roman" w:eastAsia="Times New Roman" w:hAnsi="Times New Roman" w:cs="Times New Roman" w:hint="cs"/>
          <w:b/>
          <w:noProof/>
          <w:sz w:val="24"/>
          <w:szCs w:val="24"/>
          <w:rtl w:val="0"/>
          <w:cs w:val="0"/>
          <w:lang w:val="sk-SK" w:eastAsia="sk-SK" w:bidi="ar-SA"/>
        </w:rPr>
        <w:t>;</w:t>
      </w:r>
    </w:p>
    <w:p w:rsidR="003F7A68"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F9575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D3B5D" w:rsidRPr="00974738" w:rsidP="00974738">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5242C8" w:rsidRPr="00861617" w:rsidP="002B1F59">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861617" w:rsidR="00861617">
        <w:rPr>
          <w:rFonts w:ascii="AT*Toronto" w:eastAsia="Times New Roman" w:hAnsi="AT*Toronto" w:cs="Times New Roman" w:hint="cs"/>
          <w:color w:val="auto"/>
          <w:sz w:val="24"/>
          <w:szCs w:val="20"/>
          <w:rtl w:val="0"/>
          <w:cs w:val="0"/>
          <w:lang w:val="cs-CZ" w:eastAsia="sk-SK" w:bidi="ar-SA"/>
        </w:rPr>
        <w:t>vládnym návrhom zákona, ktorým sa mení a dopĺňa zákon č. 309/2009 Z. z. o podpore obnoviteľných zdrojov energie a vysoko účinnej kombinovanej výroby a o zmene a doplnení niektorých zákonov v znení neskorších predpisov a ktorým sa menia a dopĺňajú niektoré zákony</w:t>
      </w:r>
      <w:r w:rsidRPr="00861617" w:rsidR="00861617">
        <w:rPr>
          <w:rFonts w:ascii="AT*Toronto" w:eastAsia="Times New Roman" w:hAnsi="AT*Toronto" w:cs="Times New Roman" w:hint="cs"/>
          <w:b/>
          <w:color w:val="auto"/>
          <w:sz w:val="24"/>
          <w:szCs w:val="20"/>
          <w:rtl w:val="0"/>
          <w:cs w:val="0"/>
          <w:lang w:val="cs-CZ" w:eastAsia="sk-SK" w:bidi="ar-SA"/>
        </w:rPr>
        <w:t xml:space="preserve"> (tlač 1033)</w:t>
      </w:r>
      <w:r w:rsidRPr="00861617" w:rsidR="00B70D4C">
        <w:rPr>
          <w:rFonts w:ascii="AT*Toronto" w:eastAsia="Times New Roman" w:hAnsi="AT*Toronto" w:cs="Times New Roman" w:hint="cs"/>
          <w:color w:val="auto"/>
          <w:sz w:val="24"/>
          <w:szCs w:val="20"/>
          <w:rtl w:val="0"/>
          <w:cs w:val="0"/>
          <w:lang w:val="cs-CZ" w:eastAsia="sk-SK" w:bidi="ar-SA"/>
        </w:rPr>
        <w:t>;</w:t>
      </w:r>
    </w:p>
    <w:p w:rsidR="00F95756" w:rsidRPr="00F9575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A1790A"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F9575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861617" w:rsidR="00861617">
        <w:rPr>
          <w:rFonts w:ascii="AT*Toronto" w:eastAsia="Times New Roman" w:hAnsi="AT*Toronto" w:cs="Times New Roman" w:hint="cs"/>
          <w:color w:val="auto"/>
          <w:sz w:val="24"/>
          <w:szCs w:val="20"/>
          <w:rtl w:val="0"/>
          <w:cs w:val="0"/>
          <w:lang w:val="cs-CZ" w:eastAsia="sk-SK" w:bidi="ar-SA"/>
        </w:rPr>
        <w:t>vládny návrh zákona, ktorým sa mení a dopĺňa zákon č. 309/2009 Z. z. o podpore obnoviteľných zdrojov energie a vysoko účinnej kombinovanej výroby a o zmene a doplnení niektorých zákonov v znení neskorších predpisov a ktorým sa menia a dopĺňajú niektoré zákony</w:t>
      </w:r>
      <w:r w:rsidRPr="00861617" w:rsidR="00861617">
        <w:rPr>
          <w:rFonts w:ascii="AT*Toronto" w:eastAsia="Times New Roman" w:hAnsi="AT*Toronto" w:cs="Times New Roman" w:hint="cs"/>
          <w:b/>
          <w:color w:val="auto"/>
          <w:sz w:val="24"/>
          <w:szCs w:val="20"/>
          <w:rtl w:val="0"/>
          <w:cs w:val="0"/>
          <w:lang w:val="cs-CZ" w:eastAsia="sk-SK" w:bidi="ar-SA"/>
        </w:rPr>
        <w:t xml:space="preserve"> (tlač 1033)</w:t>
      </w:r>
      <w:r w:rsidRPr="00C60C08" w:rsidR="007B39DE">
        <w:rPr>
          <w:rFonts w:ascii="AT*Toronto" w:eastAsia="Times New Roman" w:hAnsi="AT*Toronto" w:cs="Times New Roman" w:hint="cs"/>
          <w:b/>
          <w:color w:val="0000FF"/>
          <w:sz w:val="24"/>
          <w:szCs w:val="20"/>
          <w:rtl w:val="0"/>
          <w:cs w:val="0"/>
          <w:lang w:val="cs-CZ" w:eastAsia="sk-SK" w:bidi="ar-SA"/>
        </w:rPr>
        <w:t xml:space="preserve"> </w:t>
      </w:r>
      <w:r w:rsidR="005A7283">
        <w:rPr>
          <w:rFonts w:ascii="AT*Toronto" w:eastAsia="Times New Roman" w:hAnsi="AT*Toronto" w:cs="Times New Roman" w:hint="cs"/>
          <w:b/>
          <w:color w:val="0000FF"/>
          <w:sz w:val="24"/>
          <w:szCs w:val="20"/>
          <w:rtl w:val="0"/>
          <w:cs w:val="0"/>
          <w:lang w:val="cs-CZ" w:eastAsia="sk-SK" w:bidi="ar-SA"/>
        </w:rPr>
        <w:t xml:space="preserve"> </w:t>
      </w:r>
      <w:r w:rsidRPr="00CB156B" w:rsidR="00B625F8">
        <w:rPr>
          <w:rFonts w:ascii="Times New Roman" w:eastAsia="Times New Roman" w:hAnsi="Times New Roman" w:cs="Times New Roman" w:hint="cs"/>
          <w:color w:val="auto"/>
          <w:sz w:val="24"/>
          <w:szCs w:val="20"/>
          <w:rtl w:val="0"/>
          <w:cs w:val="0"/>
          <w:lang w:val="cs-CZ" w:eastAsia="sk-SK" w:bidi="ar-SA"/>
        </w:rPr>
        <w:t>s</w:t>
      </w:r>
      <w:r w:rsidRPr="00CB156B" w:rsidR="00B625F8">
        <w:rPr>
          <w:rFonts w:ascii="Times New Roman" w:eastAsia="Times New Roman" w:hAnsi="Times New Roman" w:cs="Times New Roman" w:hint="cs"/>
          <w:bCs/>
          <w:color w:val="auto"/>
          <w:sz w:val="24"/>
          <w:szCs w:val="20"/>
          <w:rtl w:val="0"/>
          <w:cs w:val="0"/>
          <w:lang w:val="cs-CZ" w:eastAsia="sk-SK" w:bidi="ar-SA"/>
        </w:rPr>
        <w:t>chváliť</w:t>
      </w:r>
      <w:r w:rsidRPr="00231802" w:rsidR="00B625F8">
        <w:rPr>
          <w:rFonts w:ascii="AT*Toronto CE" w:eastAsia="Times New Roman" w:hAnsi="AT*Toronto CE" w:cs="Times New Roman" w:hint="cs"/>
          <w:bCs/>
          <w:color w:val="000000"/>
          <w:sz w:val="24"/>
          <w:szCs w:val="20"/>
          <w:rtl w:val="0"/>
          <w:cs w:val="0"/>
          <w:lang w:val="cs-CZ" w:eastAsia="sk-SK" w:bidi="ar-SA"/>
        </w:rPr>
        <w:t xml:space="preserve"> </w:t>
      </w:r>
      <w:r w:rsidRPr="00A46160" w:rsidR="00B625F8">
        <w:rPr>
          <w:rFonts w:ascii="AT*Toronto CE" w:eastAsia="Times New Roman" w:hAnsi="AT*Toronto CE" w:cs="Times New Roman" w:hint="cs"/>
          <w:bCs/>
          <w:color w:val="000000"/>
          <w:sz w:val="24"/>
          <w:szCs w:val="20"/>
          <w:rtl w:val="0"/>
          <w:cs w:val="0"/>
          <w:lang w:val="cs-CZ" w:eastAsia="sk-SK" w:bidi="ar-SA"/>
        </w:rPr>
        <w:t>s pozmeňujúcimi a doplňujúcimi návrhmi uvedený</w:t>
      </w:r>
      <w:r w:rsidRPr="00A46160" w:rsidR="00B625F8">
        <w:rPr>
          <w:rFonts w:ascii="AT*Toronto" w:eastAsia="Times New Roman" w:hAnsi="AT*Toronto" w:cs="Times New Roman" w:hint="cs"/>
          <w:bCs/>
          <w:color w:val="000000"/>
          <w:sz w:val="24"/>
          <w:szCs w:val="20"/>
          <w:rtl w:val="0"/>
          <w:cs w:val="0"/>
          <w:lang w:val="cs-CZ" w:eastAsia="sk-SK" w:bidi="ar-SA"/>
        </w:rPr>
        <w:t>mi v prílohe;</w:t>
      </w:r>
    </w:p>
    <w:p w:rsidR="005242C8" w:rsidRPr="00F9575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AD3B5D" w:rsidRPr="00F95756" w:rsidP="00974738">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1F5615">
        <w:rPr>
          <w:rFonts w:ascii="Times New Roman" w:eastAsia="Times New Roman" w:hAnsi="Times New Roman" w:cs="Times New Roman" w:hint="cs"/>
          <w:sz w:val="24"/>
          <w:szCs w:val="24"/>
          <w:rtl w:val="0"/>
          <w:cs w:val="0"/>
          <w:lang w:val="sk-SK" w:eastAsia="sk-SK" w:bidi="ar-SA"/>
        </w:rPr>
        <w:t xml:space="preserve"> </w:t>
      </w:r>
      <w:r w:rsidR="003F7A68">
        <w:rPr>
          <w:rFonts w:ascii="Times New Roman" w:eastAsia="Times New Roman" w:hAnsi="Times New Roman" w:cs="Times New Roman" w:hint="cs"/>
          <w:sz w:val="24"/>
          <w:szCs w:val="24"/>
          <w:rtl w:val="0"/>
          <w:cs w:val="0"/>
          <w:lang w:val="sk-SK" w:eastAsia="sk-SK" w:bidi="ar-SA"/>
        </w:rPr>
        <w:t xml:space="preserve">                  </w:t>
      </w:r>
      <w:r w:rsidR="00861617">
        <w:rPr>
          <w:rFonts w:ascii="Times New Roman" w:eastAsia="Times New Roman" w:hAnsi="Times New Roman" w:cs="Times New Roman" w:hint="cs"/>
          <w:sz w:val="24"/>
          <w:szCs w:val="24"/>
          <w:rtl w:val="0"/>
          <w:cs w:val="0"/>
          <w:lang w:val="sk-SK" w:eastAsia="sk-SK" w:bidi="ar-SA"/>
        </w:rPr>
        <w:t>12</w:t>
      </w:r>
      <w:r w:rsidRPr="00F95756" w:rsidR="008B3D58">
        <w:rPr>
          <w:rFonts w:ascii="Times New Roman" w:eastAsia="Times New Roman" w:hAnsi="Times New Roman" w:cs="Times New Roman" w:hint="cs"/>
          <w:sz w:val="24"/>
          <w:szCs w:val="24"/>
          <w:rtl w:val="0"/>
          <w:cs w:val="0"/>
          <w:lang w:val="sk-SK" w:eastAsia="sk-SK" w:bidi="ar-SA"/>
        </w:rPr>
        <w:t xml:space="preserve">. </w:t>
      </w:r>
      <w:r w:rsidR="00861617">
        <w:rPr>
          <w:rFonts w:ascii="Times New Roman" w:eastAsia="Times New Roman" w:hAnsi="Times New Roman" w:cs="Times New Roman" w:hint="cs"/>
          <w:sz w:val="24"/>
          <w:szCs w:val="24"/>
          <w:rtl w:val="0"/>
          <w:cs w:val="0"/>
          <w:lang w:val="sk-SK" w:eastAsia="sk-SK" w:bidi="ar-SA"/>
        </w:rPr>
        <w:t xml:space="preserve">septembra </w:t>
      </w:r>
      <w:r w:rsidR="00DD3EEE">
        <w:rPr>
          <w:rFonts w:ascii="Times New Roman" w:eastAsia="Times New Roman" w:hAnsi="Times New Roman" w:cs="Times New Roman" w:hint="cs"/>
          <w:sz w:val="24"/>
          <w:szCs w:val="24"/>
          <w:rtl w:val="0"/>
          <w:cs w:val="0"/>
          <w:lang w:val="sk-SK" w:eastAsia="sk-SK" w:bidi="ar-SA"/>
        </w:rPr>
        <w:t>2022</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00861617">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00861617">
        <w:rPr>
          <w:rFonts w:ascii="Times New Roman" w:eastAsia="Times New Roman" w:hAnsi="Times New Roman" w:cs="Times New Roman" w:hint="cs"/>
          <w:b/>
          <w:bCs/>
          <w:sz w:val="24"/>
          <w:szCs w:val="24"/>
          <w:rtl w:val="0"/>
          <w:cs w:val="0"/>
          <w:lang w:val="sk-SK" w:eastAsia="sk-SK" w:bidi="ar-SA"/>
        </w:rPr>
        <w:t>R. Kazdu</w:t>
      </w:r>
      <w:r w:rsidR="00850C3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850C30" w:rsidRPr="00A00DCE" w:rsidP="00850C30">
      <w:pPr>
        <w:framePr w:wrap="auto"/>
        <w:widowControl/>
        <w:autoSpaceDE/>
        <w:autoSpaceDN/>
        <w:bidi w:val="0"/>
        <w:adjustRightInd/>
        <w:spacing w:line="240" w:lineRule="atLeast"/>
        <w:ind w:left="0" w:right="0" w:firstLine="6120"/>
        <w:jc w:val="both"/>
        <w:textAlignment w:val="auto"/>
        <w:rPr>
          <w:rFonts w:ascii="Times New Roman" w:eastAsia="Times New Roman" w:hAnsi="Times New Roman" w:cs="Times New Roman" w:hint="cs"/>
          <w:b/>
          <w:rtl w:val="0"/>
          <w:cs w:val="0"/>
          <w:lang w:val="sk-SK" w:eastAsia="sk-SK" w:bidi="ar-SA"/>
        </w:rPr>
      </w:pPr>
      <w:r w:rsidR="00DC3B48">
        <w:rPr>
          <w:rFonts w:ascii="Times New Roman" w:eastAsia="Times New Roman" w:hAnsi="Times New Roman" w:cs="Times New Roman" w:hint="cs"/>
          <w:sz w:val="24"/>
          <w:szCs w:val="24"/>
          <w:rtl w:val="0"/>
          <w:cs w:val="0"/>
          <w:lang w:val="sk-SK" w:eastAsia="sk-SK" w:bidi="ar-SA"/>
        </w:rPr>
        <w:tab/>
        <w:tab/>
        <w:tab/>
      </w:r>
      <w:r>
        <w:rPr>
          <w:rFonts w:ascii="Times New Roman" w:eastAsia="Times New Roman" w:hAnsi="Times New Roman" w:cs="Times New Roman" w:hint="cs"/>
          <w:sz w:val="24"/>
          <w:szCs w:val="24"/>
          <w:rtl w:val="0"/>
          <w:cs w:val="0"/>
          <w:lang w:val="sk-SK" w:eastAsia="sk-SK" w:bidi="ar-SA"/>
        </w:rPr>
        <w:tab/>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bCs/>
          <w:sz w:val="24"/>
          <w:szCs w:val="24"/>
          <w:rtl w:val="0"/>
          <w:cs w:val="0"/>
          <w:lang w:val="sk-SK" w:eastAsia="sk-SK" w:bidi="ar-SA"/>
        </w:rPr>
        <w:t xml:space="preserve">K r e m s k ý, v.r.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sz w:val="24"/>
          <w:szCs w:val="24"/>
          <w:rtl w:val="0"/>
          <w:cs w:val="0"/>
          <w:lang w:val="sk-SK" w:eastAsia="sk-SK" w:bidi="ar-SA"/>
        </w:rPr>
        <w:t xml:space="preserve">L i b a </w:t>
      </w:r>
      <w:r>
        <w:rPr>
          <w:rFonts w:ascii="Times New Roman" w:eastAsia="Times New Roman" w:hAnsi="Times New Roman" w:cs="Times New Roman" w:hint="cs"/>
          <w:sz w:val="24"/>
          <w:szCs w:val="24"/>
          <w:rtl w:val="0"/>
          <w:cs w:val="0"/>
          <w:lang w:val="sk-SK" w:eastAsia="sk-SK" w:bidi="ar-SA"/>
        </w:rPr>
        <w:tab/>
        <w:tab/>
        <w:tab/>
        <w:tab/>
        <w:tab/>
        <w:t xml:space="preserve">                  predseda výboru</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Maroš </w:t>
      </w:r>
      <w:r>
        <w:rPr>
          <w:rFonts w:ascii="Times New Roman" w:eastAsia="Times New Roman" w:hAnsi="Times New Roman" w:cs="Times New Roman" w:hint="cs"/>
          <w:b/>
          <w:bCs/>
          <w:sz w:val="24"/>
          <w:szCs w:val="24"/>
          <w:rtl w:val="0"/>
          <w:cs w:val="0"/>
          <w:lang w:val="sk-SK" w:eastAsia="sk-SK" w:bidi="ar-SA"/>
        </w:rPr>
        <w:t>K o n d r ó t</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overovatelia výboru</w:t>
      </w:r>
    </w:p>
    <w:p w:rsidR="00DE08D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Pr>
          <w:rFonts w:ascii="Times New Roman" w:eastAsia="Times New Roman" w:hAnsi="Times New Roman" w:cs="Times New Roman" w:hint="cs"/>
          <w:bCs/>
          <w:i/>
          <w:iCs/>
          <w:sz w:val="24"/>
          <w:szCs w:val="24"/>
          <w:rtl w:val="0"/>
          <w:cs w:val="0"/>
          <w:lang w:val="sk-SK" w:eastAsia="sk-SK" w:bidi="ar-SA"/>
        </w:rPr>
        <w:t xml:space="preserve">   </w:t>
        <w:tab/>
        <w:tab/>
        <w:t>Výbor</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tab/>
        <w:tab/>
      </w:r>
    </w:p>
    <w:p w:rsidR="00DE08D9"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00861617">
        <w:rPr>
          <w:rFonts w:ascii="Times New Roman" w:eastAsia="Times New Roman" w:hAnsi="Times New Roman" w:cs="Times New Roman" w:hint="cs"/>
          <w:sz w:val="24"/>
          <w:szCs w:val="24"/>
          <w:rtl w:val="0"/>
          <w:cs w:val="0"/>
          <w:lang w:val="sk-SK" w:eastAsia="sk-SK" w:bidi="ar-SA"/>
        </w:rPr>
        <w:t xml:space="preserve"> 119</w:t>
      </w:r>
      <w:r>
        <w:rPr>
          <w:rFonts w:ascii="Times New Roman" w:eastAsia="Times New Roman" w:hAnsi="Times New Roman" w:cs="Times New Roman" w:hint="cs"/>
          <w:sz w:val="24"/>
          <w:szCs w:val="24"/>
          <w:rtl w:val="0"/>
          <w:cs w:val="0"/>
          <w:lang w:val="sk-SK" w:eastAsia="sk-SK" w:bidi="ar-SA"/>
        </w:rPr>
        <w:t>. schôdza výboru</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tab/>
        <w:tab/>
        <w:t xml:space="preserve"> </w:t>
      </w:r>
      <w:r w:rsidR="00F804E8">
        <w:rPr>
          <w:rFonts w:ascii="Times New Roman" w:eastAsia="Times New Roman" w:hAnsi="Times New Roman" w:cs="Times New Roman" w:hint="cs"/>
          <w:bCs/>
          <w:sz w:val="24"/>
          <w:szCs w:val="24"/>
          <w:rtl w:val="0"/>
          <w:cs w:val="0"/>
          <w:lang w:val="sk-SK" w:eastAsia="sk-SK" w:bidi="ar-SA"/>
        </w:rPr>
        <w:t>Príloha k uzneseniu č. 324</w:t>
      </w:r>
    </w:p>
    <w:p w:rsidR="00DE08D9"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Pr>
          <w:rFonts w:ascii="Times New Roman" w:eastAsia="Times New Roman" w:hAnsi="Times New Roman" w:cs="Times New Roman" w:hint="cs"/>
          <w:iCs/>
          <w:color w:val="auto"/>
          <w:sz w:val="24"/>
          <w:szCs w:val="20"/>
          <w:rtl w:val="0"/>
          <w:cs w:val="0"/>
          <w:lang w:val="sk-SK" w:eastAsia="sk-SK" w:bidi="ar-SA"/>
        </w:rPr>
        <w:t xml:space="preserve">  </w:t>
      </w:r>
    </w:p>
    <w:p w:rsidR="00DE08D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Z m e n y  a  d o p l n k y</w:t>
      </w:r>
    </w:p>
    <w:p w:rsidR="00DE08D9"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k </w:t>
      </w:r>
      <w:r w:rsidRPr="00861617" w:rsidR="00861617">
        <w:rPr>
          <w:rFonts w:ascii="Times New Roman" w:eastAsia="Times New Roman" w:hAnsi="Times New Roman" w:cs="Times New Roman" w:hint="cs"/>
          <w:sz w:val="24"/>
          <w:szCs w:val="24"/>
          <w:rtl w:val="0"/>
          <w:cs w:val="0"/>
          <w:lang w:val="sk-SK" w:eastAsia="sk-SK" w:bidi="ar-SA"/>
        </w:rPr>
        <w:t>vládnemu návrhu zákona, ktorým sa mení a dopĺňa zákon č. 309/2009 Z. z. o podpore obnoviteľných zdrojov energie a vysoko účinnej kombinovanej výroby a o zmene a doplnení niektorých zákonov v znení neskorších predpisov a ktorým sa menia a dopĺňajú niektoré zákony</w:t>
      </w:r>
      <w:r w:rsidRPr="00C60C08" w:rsidR="00861617">
        <w:rPr>
          <w:rFonts w:ascii="Times New Roman" w:eastAsia="Times New Roman" w:hAnsi="Times New Roman" w:cs="Times New Roman" w:hint="cs"/>
          <w:b/>
          <w:sz w:val="24"/>
          <w:szCs w:val="24"/>
          <w:rtl w:val="0"/>
          <w:cs w:val="0"/>
          <w:lang w:val="sk-SK" w:eastAsia="sk-SK" w:bidi="ar-SA"/>
        </w:rPr>
        <w:t xml:space="preserve"> (tlač </w:t>
      </w:r>
      <w:r w:rsidR="00861617">
        <w:rPr>
          <w:rFonts w:ascii="Times New Roman" w:eastAsia="Times New Roman" w:hAnsi="Times New Roman" w:cs="Times New Roman" w:hint="cs"/>
          <w:b/>
          <w:sz w:val="24"/>
          <w:szCs w:val="24"/>
          <w:rtl w:val="0"/>
          <w:cs w:val="0"/>
          <w:lang w:val="sk-SK" w:eastAsia="sk-SK" w:bidi="ar-SA"/>
        </w:rPr>
        <w:t>1033</w:t>
      </w:r>
      <w:r w:rsidRPr="00C60C08" w:rsidR="00861617">
        <w:rPr>
          <w:rFonts w:ascii="Times New Roman" w:eastAsia="Times New Roman" w:hAnsi="Times New Roman" w:cs="Times New Roman" w:hint="cs"/>
          <w:b/>
          <w:sz w:val="24"/>
          <w:szCs w:val="24"/>
          <w:rtl w:val="0"/>
          <w:cs w:val="0"/>
          <w:lang w:val="sk-SK" w:eastAsia="sk-SK" w:bidi="ar-SA"/>
        </w:rPr>
        <w:t>)</w:t>
      </w:r>
    </w:p>
    <w:p w:rsidR="00B24EF7"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9A0D67"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3. bode v § 2 ods. 1 písm. e) sa slovo „vyrábané“ nahrádza slovom „vyrobené“.</w:t>
      </w:r>
    </w:p>
    <w:p w:rsidR="0089763C" w:rsidP="0089763C">
      <w:pPr>
        <w:framePr w:wrap="auto"/>
        <w:widowControl/>
        <w:autoSpaceDE/>
        <w:autoSpaceDN/>
        <w:bidi w:val="0"/>
        <w:adjustRightInd/>
        <w:spacing w:line="276" w:lineRule="auto"/>
        <w:ind w:left="360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Zjednotenie použitých pojmov s pojmami použitými v čl. I v bode 1. alebo v čl. I v bode 4. v § 2 ods. 1 písm. j). </w:t>
      </w:r>
    </w:p>
    <w:p w:rsidR="0089763C" w:rsidP="0089763C">
      <w:pPr>
        <w:framePr w:wrap="auto"/>
        <w:widowControl/>
        <w:autoSpaceDE/>
        <w:autoSpaceDN/>
        <w:bidi w:val="0"/>
        <w:adjustRightInd/>
        <w:spacing w:line="276" w:lineRule="auto"/>
        <w:ind w:left="360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14. bode v § 2 ods. 6 písm. q) sa za slová „od dodávateľov energie“ a za slová „od spotrebiteľov energie“ vkladajú slová „sa vyžaduje“.</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2  bodom 6 smernice  (EÚ) 2018/2001.</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A0D67" w:rsidRPr="009A0D67" w:rsidP="009A0D67">
      <w:pPr>
        <w:framePr w:wrap="auto"/>
        <w:widowControl/>
        <w:numPr>
          <w:numId w:val="32"/>
        </w:numPr>
        <w:tabs>
          <w:tab w:val="left" w:pos="284"/>
          <w:tab w:val="left" w:pos="426"/>
        </w:tabs>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V čl. I sa za doterajší bod 21 vkladá nový bod 22, ktorý znie:</w:t>
      </w:r>
    </w:p>
    <w:p w:rsidR="009A0D67" w:rsidRPr="00771AE0"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771AE0">
        <w:rPr>
          <w:rFonts w:ascii="Times New Roman" w:eastAsia="Times New Roman" w:hAnsi="Times New Roman" w:cs="Times New Roman" w:hint="cs"/>
          <w:b/>
          <w:bCs/>
          <w:sz w:val="24"/>
          <w:szCs w:val="24"/>
          <w:rtl w:val="0"/>
          <w:cs w:val="0"/>
          <w:lang w:val="sk-SK" w:eastAsia="sk-SK" w:bidi="ar-SA"/>
        </w:rPr>
        <w:tab/>
      </w:r>
      <w:r>
        <w:rPr>
          <w:rFonts w:ascii="Times New Roman" w:eastAsia="Times New Roman" w:hAnsi="Times New Roman" w:cs="Times New Roman" w:hint="cs"/>
          <w:sz w:val="24"/>
          <w:szCs w:val="24"/>
          <w:rtl w:val="0"/>
          <w:cs w:val="0"/>
          <w:lang w:val="sk-SK" w:eastAsia="sk-SK" w:bidi="ar-SA"/>
        </w:rPr>
        <w:t xml:space="preserve">„22. </w:t>
      </w:r>
      <w:r w:rsidRPr="00771AE0">
        <w:rPr>
          <w:rFonts w:ascii="Times New Roman" w:eastAsia="Times New Roman" w:hAnsi="Times New Roman" w:cs="Times New Roman" w:hint="cs"/>
          <w:sz w:val="24"/>
          <w:szCs w:val="24"/>
          <w:rtl w:val="0"/>
          <w:cs w:val="0"/>
          <w:lang w:val="sk-SK" w:eastAsia="sk-SK" w:bidi="ar-SA"/>
        </w:rPr>
        <w:t>V § 3c odsek 2 znie:</w:t>
      </w:r>
    </w:p>
    <w:p w:rsidR="009A0D67" w:rsidRPr="009A0D67" w:rsidP="009A0D67">
      <w:pPr>
        <w:framePr w:wrap="auto"/>
        <w:widowControl/>
        <w:autoSpaceDE/>
        <w:autoSpaceDN/>
        <w:bidi w:val="0"/>
        <w:adjustRightInd/>
        <w:ind w:left="709" w:right="0" w:hanging="1"/>
        <w:jc w:val="both"/>
        <w:textAlignment w:val="auto"/>
        <w:rPr>
          <w:rFonts w:ascii="Times New Roman" w:eastAsia="Times New Roman" w:hAnsi="Times New Roman" w:cs="Times New Roman" w:hint="cs"/>
          <w:color w:val="000000"/>
          <w:rtl w:val="0"/>
          <w:cs w:val="0"/>
          <w:lang w:val="sk-SK" w:eastAsia="sk-SK" w:bidi="ar-SA"/>
        </w:rPr>
      </w:pPr>
      <w:r w:rsidRPr="009A0D67">
        <w:rPr>
          <w:rStyle w:val="DefaultParagraphFont"/>
          <w:rFonts w:ascii="Times New Roman" w:eastAsia="Times New Roman" w:hAnsi="Times New Roman" w:cs="Times New Roman" w:hint="cs"/>
          <w:i/>
          <w:iCs/>
          <w:color w:val="000000"/>
          <w:sz w:val="24"/>
          <w:szCs w:val="24"/>
          <w:rtl w:val="0"/>
          <w:cs w:val="0"/>
          <w:lang w:val="sk-SK" w:eastAsia="sk-SK" w:bidi="ar-SA"/>
        </w:rPr>
        <w:t>„(2)</w:t>
      </w:r>
      <w:r w:rsidRPr="009A0D67">
        <w:rPr>
          <w:rFonts w:ascii="Times New Roman" w:eastAsia="Times New Roman" w:hAnsi="Times New Roman" w:cs="Times New Roman" w:hint="cs"/>
          <w:color w:val="000000"/>
          <w:sz w:val="24"/>
          <w:szCs w:val="24"/>
          <w:rtl w:val="0"/>
          <w:cs w:val="0"/>
          <w:lang w:val="sk-SK" w:eastAsia="sk-SK" w:bidi="ar-SA"/>
        </w:rPr>
        <w:t xml:space="preserve"> Za rekonštrukciu alebo modernizáciu technologickej časti zariadenia výrobcu elektriny sa považuje aj nahradenie technologickej časti zariadenia výrobcu elektriny novou technologickou časťou, ktorá nemusí zodpovedať pôvodnej technológii zariadenia výrobcu elektriny. Za rekonštrukciu alebo modernizáciu technologickej časti zariadenia výrobcu elektriny sa nepovažujú opravy alebo úpravy technologickej časti zariadenia výrobcu elektriny uskutočnené za účelom § 6 odseku 14 písm. d) v predĺženom trvaní podpory so zníženou cenou elektriny.“.“.</w:t>
      </w:r>
    </w:p>
    <w:p w:rsidR="009A0D67" w:rsidRPr="00771AE0" w:rsidP="009A0D67">
      <w:pPr>
        <w:framePr w:wrap="auto"/>
        <w:widowControl/>
        <w:tabs>
          <w:tab w:val="left" w:pos="284"/>
          <w:tab w:val="left" w:pos="426"/>
        </w:tabs>
        <w:autoSpaceDE/>
        <w:autoSpaceDN/>
        <w:bidi w:val="0"/>
        <w:adjustRightInd/>
        <w:spacing w:line="360" w:lineRule="auto"/>
        <w:ind w:left="0" w:right="0"/>
        <w:jc w:val="both"/>
        <w:textAlignment w:val="auto"/>
        <w:rPr>
          <w:rFonts w:ascii="Times New Roman" w:eastAsia="Times New Roman" w:hAnsi="Times New Roman" w:cs="Times New Roman" w:hint="cs"/>
          <w:noProof/>
          <w:rtl w:val="0"/>
          <w:cs w:val="0"/>
          <w:lang w:val="sk-SK" w:eastAsia="sk-SK" w:bidi="ar-SA"/>
        </w:rPr>
      </w:pPr>
      <w:r w:rsidRPr="00771AE0">
        <w:rPr>
          <w:rFonts w:ascii="Times New Roman" w:eastAsia="Times New Roman" w:hAnsi="Times New Roman" w:cs="Times New Roman" w:hint="cs"/>
          <w:noProof/>
          <w:sz w:val="24"/>
          <w:szCs w:val="24"/>
          <w:rtl w:val="0"/>
          <w:cs w:val="0"/>
          <w:lang w:val="sk-SK" w:eastAsia="sk-SK" w:bidi="ar-SA"/>
        </w:rPr>
        <w:tab/>
        <w:tab/>
        <w:tab/>
      </w:r>
      <w:r>
        <w:rPr>
          <w:rFonts w:ascii="Times New Roman" w:eastAsia="Times New Roman" w:hAnsi="Times New Roman" w:cs="Times New Roman" w:hint="cs"/>
          <w:noProof/>
          <w:sz w:val="24"/>
          <w:szCs w:val="24"/>
          <w:rtl w:val="0"/>
          <w:cs w:val="0"/>
          <w:lang w:val="sk-SK" w:eastAsia="sk-SK" w:bidi="ar-SA"/>
        </w:rPr>
        <w:t>Nasledujúce body sa primerane prečíslujú</w:t>
      </w:r>
      <w:r w:rsidRPr="00771AE0">
        <w:rPr>
          <w:rFonts w:ascii="Times New Roman" w:eastAsia="Times New Roman" w:hAnsi="Times New Roman" w:cs="Times New Roman" w:hint="cs"/>
          <w:noProof/>
          <w:sz w:val="24"/>
          <w:szCs w:val="24"/>
          <w:rtl w:val="0"/>
          <w:cs w:val="0"/>
          <w:lang w:val="sk-SK" w:eastAsia="sk-SK" w:bidi="ar-SA"/>
        </w:rPr>
        <w:t>.</w:t>
      </w: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rtl w:val="0"/>
          <w:cs w:val="0"/>
          <w:lang w:val="sk-SK" w:eastAsia="sk-SK" w:bidi="ar-SA"/>
        </w:rPr>
      </w:pPr>
      <w:r w:rsidRPr="009A0D67">
        <w:rPr>
          <w:rFonts w:ascii="Times New Roman" w:eastAsia="Times New Roman" w:hAnsi="Times New Roman" w:cs="Times New Roman" w:hint="cs"/>
          <w:sz w:val="24"/>
          <w:szCs w:val="24"/>
          <w:rtl w:val="0"/>
          <w:cs w:val="0"/>
          <w:lang w:val="sk-SK" w:eastAsia="sk-SK" w:bidi="ar-SA"/>
        </w:rPr>
        <w:t xml:space="preserve">Výrobcovia elektriny, ktorí v zmysle § 4 odseku 3 písm. f) museli vstúpiť do systému predĺženej doby podpory, dostali zároveň podľa § 6 odseku 14 písm. d) právo uplatniť si oprávnené náklady vo výške 15 % z investičných nákladov na obstaranie novej porovnateľnej technologickej časti zariadenia na „nevyhnutnú opravu alebo úpravu technologickej časti zariadenia“. Takáto oprava alebo úprava technologickej časti zariadenia, ktorej účelom je predĺžiť jeho technickú životnosť tak, aby zariadenie bolo schopné prevádzky aj v predĺženej dobe podpory, by sa nemala považovať za rekonštrukciu alebo modernizáciu v zmysle príslušných ustanovení § 3c zákona. Toto však v súčasnosti zo zákona priamo nevyplýva. </w:t>
      </w:r>
    </w:p>
    <w:p w:rsidR="009A0D67" w:rsidRPr="009A0D67" w:rsidP="009A0D67">
      <w:pPr>
        <w:framePr w:wrap="auto"/>
        <w:widowControl/>
        <w:numPr>
          <w:numId w:val="32"/>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V čl I. bod 33 znie:</w:t>
      </w:r>
    </w:p>
    <w:p w:rsidR="009A0D67" w:rsidRPr="00771AE0" w:rsidP="009A0D67">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r w:rsidRPr="00771AE0">
        <w:rPr>
          <w:rFonts w:ascii="Times New Roman" w:eastAsia="Times New Roman" w:hAnsi="Times New Roman" w:cs="Times New Roman" w:hint="cs"/>
          <w:sz w:val="24"/>
          <w:szCs w:val="24"/>
          <w:rtl w:val="0"/>
          <w:cs w:val="0"/>
          <w:lang w:val="sk-SK" w:eastAsia="sk-SK" w:bidi="ar-SA"/>
        </w:rPr>
        <w:t>„V § 4b odsek 5 znie:</w:t>
      </w:r>
    </w:p>
    <w:p w:rsidR="009A0D67" w:rsidP="009A0D6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9A0D67">
        <w:rPr>
          <w:rStyle w:val="DefaultParagraphFont"/>
          <w:rFonts w:ascii="Times New Roman" w:eastAsia="Times New Roman" w:hAnsi="Times New Roman" w:cs="Times New Roman" w:hint="cs"/>
          <w:i/>
          <w:iCs/>
          <w:noProof/>
          <w:sz w:val="24"/>
          <w:szCs w:val="24"/>
          <w:rtl w:val="0"/>
          <w:cs w:val="0"/>
          <w:lang w:val="sk-SK" w:eastAsia="sk-SK" w:bidi="ar-SA"/>
        </w:rPr>
        <w:t>„(5)</w:t>
      </w:r>
      <w:r w:rsidRPr="00771AE0">
        <w:rPr>
          <w:rFonts w:ascii="Times New Roman" w:eastAsia="Times New Roman" w:hAnsi="Times New Roman" w:cs="Times New Roman" w:hint="cs"/>
          <w:noProof/>
          <w:sz w:val="24"/>
          <w:szCs w:val="24"/>
          <w:rtl w:val="0"/>
          <w:cs w:val="0"/>
          <w:lang w:val="sk-SK" w:eastAsia="sk-SK" w:bidi="ar-SA"/>
        </w:rPr>
        <w:t xml:space="preserve"> Prevádzkovateľ distribučnej sústavy je povinný oznámiť stanovisko k rezervovanej kapacite na pripojenie lokálneho zdroja do 15 pracovných dní odo dňa doručenia žiadosti o </w:t>
      </w:r>
      <w:r w:rsidRPr="009A0D67">
        <w:rPr>
          <w:rFonts w:ascii="Times New Roman" w:eastAsia="Times New Roman" w:hAnsi="Times New Roman" w:cs="Times New Roman" w:hint="cs"/>
          <w:noProof/>
          <w:color w:val="000000"/>
          <w:sz w:val="24"/>
          <w:szCs w:val="24"/>
          <w:rtl w:val="0"/>
          <w:cs w:val="0"/>
          <w:lang w:val="sk-SK" w:eastAsia="sk-SK" w:bidi="ar-SA"/>
        </w:rPr>
        <w:t>stanovisko. Stanovisko prevádzkovateľa distribučnej sústavy k rezervovanej kapacite na pripojenie lokálneho zdroja platí najmenej dvanásť mesiacov od jeho vydania. V prípade, že sa stanovisko vydáva pre lokálny zdroj, na ktorého výstavbu je potrebné osvedčenie na výstavbu energetického zariadenia na základe osobitného predpisu</w:t>
      </w:r>
      <w:r w:rsidRPr="009A0D67">
        <w:rPr>
          <w:rFonts w:ascii="Times New Roman" w:eastAsia="Times New Roman" w:hAnsi="Times New Roman" w:cs="Times New Roman" w:hint="cs"/>
          <w:noProof/>
          <w:color w:val="000000"/>
          <w:sz w:val="24"/>
          <w:szCs w:val="24"/>
          <w:vertAlign w:val="superscript"/>
          <w:rtl w:val="0"/>
          <w:cs w:val="0"/>
          <w:lang w:val="sk-SK" w:eastAsia="sk-SK" w:bidi="ar-SA"/>
        </w:rPr>
        <w:t>11ca</w:t>
      </w:r>
      <w:r w:rsidRPr="009A0D67">
        <w:rPr>
          <w:rFonts w:ascii="Times New Roman" w:eastAsia="Times New Roman" w:hAnsi="Times New Roman" w:cs="Times New Roman" w:hint="cs"/>
          <w:noProof/>
          <w:color w:val="000000"/>
          <w:sz w:val="24"/>
          <w:szCs w:val="24"/>
          <w:rtl w:val="0"/>
          <w:cs w:val="0"/>
          <w:lang w:val="sk-SK" w:eastAsia="sk-SK" w:bidi="ar-SA"/>
        </w:rPr>
        <w:t xml:space="preserve">)  a osvedčenie bolo vydané v priebehu dvanástich mesiacov od vydania stanoviska prevádzkovateľa distribučnej sústavy, platnosť tohto stanoviska sa predlžuje na dobu platnosti vydaného osvedčenia. Prevádzkovateľ distribučnej sústavy je povinný nesúhlasné stanovisko </w:t>
      </w:r>
      <w:r w:rsidRPr="00771AE0">
        <w:rPr>
          <w:rFonts w:ascii="Times New Roman" w:eastAsia="Times New Roman" w:hAnsi="Times New Roman" w:cs="Times New Roman" w:hint="cs"/>
          <w:noProof/>
          <w:sz w:val="24"/>
          <w:szCs w:val="24"/>
          <w:rtl w:val="0"/>
          <w:cs w:val="0"/>
          <w:lang w:val="sk-SK" w:eastAsia="sk-SK" w:bidi="ar-SA"/>
        </w:rPr>
        <w:t>k rezervovanej kapacite na pripojenie lokálneho zdroja písomne odôvodniť. Vzor žiadosti o stanovisko k rezervovanej kapacite na pripojenie lokálneho zdroja zverejní prevádzkovateľ distribučnej sústavy na svojom webovom sídle.“</w:t>
      </w:r>
      <w:r>
        <w:rPr>
          <w:rFonts w:ascii="Times New Roman" w:eastAsia="Times New Roman" w:hAnsi="Times New Roman" w:cs="Times New Roman" w:hint="cs"/>
          <w:noProof/>
          <w:sz w:val="24"/>
          <w:szCs w:val="24"/>
          <w:rtl w:val="0"/>
          <w:cs w:val="0"/>
          <w:lang w:val="sk-SK" w:eastAsia="sk-SK" w:bidi="ar-SA"/>
        </w:rPr>
        <w:t>.</w:t>
      </w:r>
    </w:p>
    <w:p w:rsidR="009A0D67" w:rsidP="009A0D6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9A0D67" w:rsidP="009A0D6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Poznámka pod čiarou </w:t>
      </w:r>
      <w:r>
        <w:rPr>
          <w:rFonts w:ascii="Times New Roman" w:eastAsia="Times New Roman" w:hAnsi="Times New Roman" w:cs="Times New Roman" w:hint="cs"/>
          <w:noProof/>
          <w:sz w:val="24"/>
          <w:szCs w:val="24"/>
          <w:vertAlign w:val="superscript"/>
          <w:rtl w:val="0"/>
          <w:cs w:val="0"/>
          <w:lang w:val="sk-SK" w:eastAsia="sk-SK" w:bidi="ar-SA"/>
        </w:rPr>
        <w:t>11ca</w:t>
      </w:r>
      <w:r>
        <w:rPr>
          <w:rFonts w:ascii="Times New Roman" w:eastAsia="Times New Roman" w:hAnsi="Times New Roman" w:cs="Times New Roman" w:hint="cs"/>
          <w:noProof/>
          <w:sz w:val="24"/>
          <w:szCs w:val="24"/>
          <w:rtl w:val="0"/>
          <w:cs w:val="0"/>
          <w:lang w:val="sk-SK" w:eastAsia="sk-SK" w:bidi="ar-SA"/>
        </w:rPr>
        <w:t>) znie:</w:t>
      </w:r>
    </w:p>
    <w:p w:rsidR="009A0D67" w:rsidP="009A0D6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9A0D67" w:rsidRPr="004321EA" w:rsidP="009A0D6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w:t>
      </w:r>
      <w:r>
        <w:rPr>
          <w:rFonts w:ascii="Times New Roman" w:eastAsia="Times New Roman" w:hAnsi="Times New Roman" w:cs="Times New Roman" w:hint="cs"/>
          <w:noProof/>
          <w:sz w:val="24"/>
          <w:szCs w:val="24"/>
          <w:vertAlign w:val="superscript"/>
          <w:rtl w:val="0"/>
          <w:cs w:val="0"/>
          <w:lang w:val="sk-SK" w:eastAsia="sk-SK" w:bidi="ar-SA"/>
        </w:rPr>
        <w:t>11ca</w:t>
      </w:r>
      <w:r>
        <w:rPr>
          <w:rFonts w:ascii="Times New Roman" w:eastAsia="Times New Roman" w:hAnsi="Times New Roman" w:cs="Times New Roman" w:hint="cs"/>
          <w:noProof/>
          <w:sz w:val="24"/>
          <w:szCs w:val="24"/>
          <w:rtl w:val="0"/>
          <w:cs w:val="0"/>
          <w:lang w:val="sk-SK" w:eastAsia="sk-SK" w:bidi="ar-SA"/>
        </w:rPr>
        <w:t>) § 12 ods. 2 zákona č. 251/2012 Z. z.“.“.</w:t>
      </w:r>
    </w:p>
    <w:p w:rsidR="009A0D67" w:rsidP="009A0D6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9A0D67" w:rsidRPr="00771AE0" w:rsidP="009A0D6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noProof/>
          <w:rtl w:val="0"/>
          <w:cs w:val="0"/>
          <w:lang w:val="sk-SK" w:eastAsia="sk-SK" w:bidi="ar-SA"/>
        </w:rPr>
      </w:pPr>
      <w:r w:rsidRPr="009A0D67">
        <w:rPr>
          <w:rFonts w:ascii="Times New Roman" w:eastAsia="Times New Roman" w:hAnsi="Times New Roman" w:cs="Times New Roman" w:hint="cs"/>
          <w:noProof/>
          <w:sz w:val="24"/>
          <w:szCs w:val="24"/>
          <w:rtl w:val="0"/>
          <w:cs w:val="0"/>
          <w:lang w:val="sk-SK" w:eastAsia="sk-SK" w:bidi="ar-SA"/>
        </w:rPr>
        <w:t>Z aplikačnej praxe vyplýva, že už v súčasnosti pre mnohé lokálne zdroje s väčším výkonom (nad 100 kW) nie je postačujúce stanovisko k rezervovanej kapacite s dĺžkou platnosti len 6 mesiacov. Tieto lokálne zdroje musia totiž často prejsť celým procesom stavebného konania a prevádzkovateľ distribučnej sústavy od nich navyše požaduje inštaláciu dispečerského riadenia, ktoré je zložité pokiaľ ide o projekčné práce a realizáciu. Ak sa zákonom odstráni len limit na inštalovaný výkon lokálneho zdroja a neupraví sa zároveň platnosť stanovísk k rezervovanej kapacite aj v nadväznosti na povinnosť získania osvedčenia na výstavbu energetického zariadenia, tento zákon nijako efektívne nepodporí výstavbu väčších lokálnych zdrojov slúžiacich napríklad pre priemyselné podniky. Podľa súčasného znenia zákona o energetike je potrebné získať osvedčenie od ministerstva hospodárstva pre všetky zdroje využívajúce slnečnú energiu, ktoré majú inštalovaný výkon viac ako 500 kW podľa prijatej novely viac ako 5 MW). Vydanie osvedčenia od ministerstva je administratívny proces, ktorý sám o sebe predlžuje dobu povoľovania lokálneho zdroja o min. 3 mesiace, keďže je k tomu potrebné získať stanoviská od PDS, ÚRSO a tiež SEPS.</w:t>
      </w:r>
    </w:p>
    <w:p w:rsidR="009A0D67"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A0D67" w:rsidRPr="009A0D67" w:rsidP="009A0D67">
      <w:pPr>
        <w:framePr w:wrap="auto"/>
        <w:widowControl/>
        <w:numPr>
          <w:numId w:val="32"/>
        </w:numPr>
        <w:tabs>
          <w:tab w:val="left" w:pos="284"/>
          <w:tab w:val="left" w:pos="426"/>
        </w:tabs>
        <w:autoSpaceDE/>
        <w:autoSpaceDN/>
        <w:bidi w:val="0"/>
        <w:adjustRightInd/>
        <w:spacing w:after="160" w:line="360"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V čl. I. sa za bod 38 vkladá nový bod 39, ktorý znie:</w:t>
      </w:r>
    </w:p>
    <w:p w:rsidR="009A0D67"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r>
        <w:rPr>
          <w:rFonts w:ascii="Times New Roman" w:eastAsia="Times New Roman" w:hAnsi="Times New Roman" w:cs="Times New Roman" w:hint="cs"/>
          <w:sz w:val="24"/>
          <w:szCs w:val="24"/>
          <w:rtl w:val="0"/>
          <w:cs w:val="0"/>
          <w:lang w:val="sk-SK" w:eastAsia="en-US" w:bidi="ar-SA"/>
        </w:rPr>
        <w:t>„39. V § 5 sa dopĺňa odsekmi 10 a 11, ktoré znejú:</w:t>
      </w:r>
    </w:p>
    <w:p w:rsidR="009A0D67"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9A0D67" w:rsidP="009A0D6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r>
        <w:rPr>
          <w:rFonts w:ascii="Times New Roman" w:eastAsia="Times New Roman" w:hAnsi="Times New Roman" w:cs="Times New Roman" w:hint="cs"/>
          <w:sz w:val="24"/>
          <w:szCs w:val="24"/>
          <w:rtl w:val="0"/>
          <w:cs w:val="0"/>
          <w:lang w:val="sk-SK" w:eastAsia="en-US" w:bidi="ar-SA"/>
        </w:rPr>
        <w:t>„(10) Prevádzkovateľ distribučnej sústavy je povinný na svojom webovom sídle priebežne zverejňovať úplné údaje o čerpaní voľnej kapacity pripojenia do sústavy pre zariadenia na výrobu elektriny, vrátane času prijatia žiadosti, typu zariadenia, inštalovaného výkonu, lokality pripojenia a doby platnosti stanoviska.</w:t>
      </w:r>
    </w:p>
    <w:p w:rsidR="009A0D67" w:rsidP="009A0D6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r>
        <w:rPr>
          <w:rFonts w:ascii="Times New Roman" w:eastAsia="Times New Roman" w:hAnsi="Times New Roman" w:cs="Times New Roman" w:hint="cs"/>
          <w:sz w:val="24"/>
          <w:szCs w:val="24"/>
          <w:rtl w:val="0"/>
          <w:cs w:val="0"/>
          <w:lang w:val="sk-SK" w:eastAsia="sk-SK" w:bidi="ar-SA"/>
        </w:rPr>
        <w:t>(</w:t>
      </w:r>
      <w:r w:rsidRPr="004E30BC">
        <w:rPr>
          <w:rFonts w:ascii="Times New Roman" w:eastAsia="Times New Roman" w:hAnsi="Times New Roman" w:cs="Times New Roman" w:hint="cs"/>
          <w:sz w:val="24"/>
          <w:szCs w:val="24"/>
          <w:rtl w:val="0"/>
          <w:cs w:val="0"/>
          <w:lang w:val="sk-SK" w:eastAsia="sk-SK" w:bidi="ar-SA"/>
        </w:rPr>
        <w:t>1</w:t>
      </w:r>
      <w:r>
        <w:rPr>
          <w:rFonts w:ascii="Times New Roman" w:eastAsia="Times New Roman" w:hAnsi="Times New Roman" w:cs="Times New Roman" w:hint="cs"/>
          <w:sz w:val="24"/>
          <w:szCs w:val="24"/>
          <w:rtl w:val="0"/>
          <w:cs w:val="0"/>
          <w:lang w:val="sk-SK" w:eastAsia="sk-SK" w:bidi="ar-SA"/>
        </w:rPr>
        <w:t>1</w:t>
      </w:r>
      <w:r w:rsidRPr="004E30BC">
        <w:rPr>
          <w:rFonts w:ascii="Times New Roman" w:eastAsia="Times New Roman" w:hAnsi="Times New Roman" w:cs="Times New Roman" w:hint="cs"/>
          <w:sz w:val="24"/>
          <w:szCs w:val="24"/>
          <w:rtl w:val="0"/>
          <w:cs w:val="0"/>
          <w:lang w:val="sk-SK" w:eastAsia="sk-SK" w:bidi="ar-SA"/>
        </w:rPr>
        <w:t>) Prevádzkovateľ prenosovej sústavy je povinný umožniť výrobcovi elektriny komunikovať s prevádzkovateľom prenosovej sústavy v elektronickej forme, najmä umožniť elektronickú komunikáciu v súvislosti s pripojením zariadenia výrobcu elektriny do distribučnej sústavy.“</w:t>
      </w:r>
      <w:r>
        <w:rPr>
          <w:rFonts w:ascii="Times New Roman" w:eastAsia="Times New Roman" w:hAnsi="Times New Roman" w:cs="Times New Roman" w:hint="cs"/>
          <w:sz w:val="24"/>
          <w:szCs w:val="24"/>
          <w:rtl w:val="0"/>
          <w:cs w:val="0"/>
          <w:lang w:val="sk-SK" w:eastAsia="sk-SK" w:bidi="ar-SA"/>
        </w:rPr>
        <w:t>.“.</w:t>
      </w:r>
    </w:p>
    <w:p w:rsidR="009A0D67"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9A0D67" w:rsidRPr="00313AA6"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r>
        <w:rPr>
          <w:rFonts w:ascii="Times New Roman" w:eastAsia="Times New Roman" w:hAnsi="Times New Roman" w:cs="Times New Roman" w:hint="cs"/>
          <w:sz w:val="24"/>
          <w:szCs w:val="24"/>
          <w:rtl w:val="0"/>
          <w:cs w:val="0"/>
          <w:lang w:val="sk-SK" w:eastAsia="en-US" w:bidi="ar-SA"/>
        </w:rPr>
        <w:t>Nasledujúce body sa primerane prečíslujú.</w:t>
      </w:r>
    </w:p>
    <w:p w:rsidR="009A0D67" w:rsidP="009A0D67">
      <w:pPr>
        <w:framePr w:wrap="auto"/>
        <w:widowControl/>
        <w:autoSpaceDE/>
        <w:autoSpaceDN/>
        <w:bidi w:val="0"/>
        <w:adjustRightInd/>
        <w:ind w:left="0" w:right="0"/>
        <w:jc w:val="both"/>
        <w:textAlignment w:val="auto"/>
        <w:rPr>
          <w:rFonts w:ascii="Times New Roman" w:eastAsia="Times New Roman" w:hAnsi="Times New Roman" w:cs="Times New Roman" w:hint="cs"/>
          <w:b/>
          <w:bCs/>
          <w:i/>
          <w:iCs/>
          <w:rtl w:val="0"/>
          <w:cs w:val="0"/>
          <w:lang w:val="sk-SK" w:eastAsia="sk-SK" w:bidi="ar-SA"/>
        </w:rPr>
      </w:pPr>
    </w:p>
    <w:p w:rsidR="009A0D67" w:rsidRPr="00A2592F" w:rsidP="009A0D67">
      <w:pPr>
        <w:framePr w:wrap="auto"/>
        <w:widowControl/>
        <w:autoSpaceDE/>
        <w:autoSpaceDN/>
        <w:bidi w:val="0"/>
        <w:adjustRightInd/>
        <w:ind w:left="0" w:right="0"/>
        <w:jc w:val="both"/>
        <w:textAlignment w:val="auto"/>
        <w:rPr>
          <w:rFonts w:ascii="Times New Roman" w:eastAsia="Times New Roman" w:hAnsi="Times New Roman" w:cs="Times New Roman" w:hint="cs"/>
          <w:bCs/>
          <w:iCs/>
          <w:rtl w:val="0"/>
          <w:cs w:val="0"/>
          <w:lang w:val="sk-SK" w:eastAsia="sk-SK" w:bidi="ar-SA"/>
        </w:rPr>
      </w:pPr>
      <w:r w:rsidRPr="00A2592F">
        <w:rPr>
          <w:rFonts w:ascii="Times New Roman" w:eastAsia="Times New Roman" w:hAnsi="Times New Roman" w:cs="Times New Roman" w:hint="cs"/>
          <w:bCs/>
          <w:iCs/>
          <w:sz w:val="24"/>
          <w:szCs w:val="24"/>
          <w:rtl w:val="0"/>
          <w:cs w:val="0"/>
          <w:lang w:val="sk-SK" w:eastAsia="sk-SK" w:bidi="ar-SA"/>
        </w:rPr>
        <w:t>Toto ustanovenie nadobúda účinnosť 31. decembra 2023, čo sa premietne do ustanovenia o účinnosti.</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b/>
          <w:bCs/>
          <w:i/>
          <w:iCs/>
          <w:rtl w:val="0"/>
          <w:cs w:val="0"/>
          <w:lang w:val="sk-SK" w:eastAsia="sk-SK" w:bidi="ar-SA"/>
        </w:rPr>
      </w:pPr>
    </w:p>
    <w:p w:rsidR="009A0D67" w:rsidRPr="009A0D67" w:rsidP="009A0D67">
      <w:pPr>
        <w:framePr w:wrap="auto"/>
        <w:widowControl/>
        <w:tabs>
          <w:tab w:val="left" w:pos="284"/>
          <w:tab w:val="left" w:pos="426"/>
        </w:tabs>
        <w:autoSpaceDE/>
        <w:autoSpaceDN/>
        <w:bidi w:val="0"/>
        <w:adjustRightInd/>
        <w:ind w:left="3545" w:right="0"/>
        <w:jc w:val="both"/>
        <w:textAlignment w:val="auto"/>
        <w:rPr>
          <w:rFonts w:ascii="Times New Roman" w:eastAsia="Times New Roman" w:hAnsi="Times New Roman" w:cs="Times New Roman" w:hint="cs"/>
          <w:iCs/>
          <w:noProof/>
          <w:rtl w:val="0"/>
          <w:cs w:val="0"/>
          <w:lang w:val="sk-SK" w:eastAsia="sk-SK" w:bidi="ar-SA"/>
        </w:rPr>
      </w:pPr>
      <w:r w:rsidRPr="009A0D67">
        <w:rPr>
          <w:rFonts w:ascii="Times New Roman" w:eastAsia="Times New Roman" w:hAnsi="Times New Roman" w:cs="Times New Roman" w:hint="cs"/>
          <w:noProof/>
          <w:sz w:val="24"/>
          <w:szCs w:val="24"/>
          <w:rtl w:val="0"/>
          <w:cs w:val="0"/>
          <w:lang w:val="sk-SK" w:eastAsia="sk-SK" w:bidi="ar-SA"/>
        </w:rPr>
        <w:t xml:space="preserve">Navrhovaná úprava a doplnenie povinností prevádzkovateľov distribučných sústav má za účel zefektívniť proces pripojenia zariadení na výrobu elektriny do distribučnej sústavy, čo je v súčasnej situácii osobitne dôležité najmä pre podniky ako samospotrebiteľov, ktorí si chcú vybudovať lokálny zdroj na zníženie platieb za odber elektriny. Prevádzkovatelia sústav by mali zverejňovať čerpanie voľných kapacít na pripájanie nových zdrojov v navrhovanej štruktúre a plne digitalizovať proces pripájania v lehote do 31.12.2023, čo umožní výrobcov využívať rovnaký proces, ako už v súčasnosti prebieha pri pripájaní odberných miest. </w:t>
      </w:r>
      <w:r w:rsidRPr="009A0D67">
        <w:rPr>
          <w:rFonts w:ascii="Times New Roman" w:eastAsia="Times New Roman" w:hAnsi="Times New Roman" w:cs="Times New Roman" w:hint="cs"/>
          <w:iCs/>
          <w:noProof/>
          <w:sz w:val="24"/>
          <w:szCs w:val="24"/>
          <w:rtl w:val="0"/>
          <w:cs w:val="0"/>
          <w:lang w:val="sk-SK" w:eastAsia="sk-SK" w:bidi="ar-SA"/>
        </w:rPr>
        <w:t>Navrhuje sa plne zdigitalizovať proces pripájania zariadení výrobcov elektriny do sústavy, podobne ako to je v procese pripájania odberných miest. Cieľom návrhu je zefektívniť celý proces pripájania a zjednodušiť výrobcom potrebné úkony, nakoľko súčasné fungovanie sa v aplikačnej praxi ukazuje ako neefektívne a pomalé.</w:t>
      </w:r>
    </w:p>
    <w:p w:rsidR="009A0D67" w:rsidP="009A0D67">
      <w:pPr>
        <w:framePr w:wrap="auto"/>
        <w:widowControl/>
        <w:autoSpaceDE/>
        <w:autoSpaceDN/>
        <w:bidi w:val="0"/>
        <w:adjustRightInd/>
        <w:ind w:left="3969" w:right="0" w:firstLine="709"/>
        <w:jc w:val="both"/>
        <w:textAlignment w:val="auto"/>
        <w:rPr>
          <w:rFonts w:ascii="Times New Roman" w:eastAsia="Times New Roman" w:hAnsi="Times New Roman" w:cs="Times New Roman" w:hint="cs"/>
          <w:i/>
          <w:rtl w:val="0"/>
          <w:cs w:val="0"/>
          <w:lang w:val="sk-SK" w:eastAsia="sk-SK" w:bidi="ar-SA"/>
        </w:rPr>
      </w:pPr>
    </w:p>
    <w:p w:rsidR="009A0D67" w:rsidRPr="009A0D67" w:rsidP="009A0D67">
      <w:pPr>
        <w:framePr w:wrap="auto"/>
        <w:widowControl/>
        <w:numPr>
          <w:numId w:val="32"/>
        </w:numPr>
        <w:tabs>
          <w:tab w:val="left" w:pos="284"/>
          <w:tab w:val="left" w:pos="426"/>
        </w:tabs>
        <w:autoSpaceDE/>
        <w:autoSpaceDN/>
        <w:bidi w:val="0"/>
        <w:adjustRightInd/>
        <w:spacing w:after="160" w:line="360"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V čl. I sa za doterajší bod 40 vkladá nový bod 41, ktorý znie:</w:t>
      </w:r>
    </w:p>
    <w:p w:rsidR="009A0D67" w:rsidRPr="00EC307C" w:rsidP="009A0D67">
      <w:pPr>
        <w:framePr w:wrap="auto"/>
        <w:widowControl/>
        <w:tabs>
          <w:tab w:val="left" w:pos="284"/>
          <w:tab w:val="left" w:pos="426"/>
        </w:tabs>
        <w:autoSpaceDE/>
        <w:autoSpaceDN/>
        <w:bidi w:val="0"/>
        <w:adjustRightInd/>
        <w:spacing w:line="360" w:lineRule="auto"/>
        <w:ind w:left="0" w:right="0"/>
        <w:jc w:val="both"/>
        <w:textAlignment w:val="auto"/>
        <w:rPr>
          <w:rFonts w:ascii="Times New Roman" w:eastAsia="Times New Roman" w:hAnsi="Times New Roman" w:cs="Times New Roman" w:hint="cs"/>
          <w:b/>
          <w:b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„41. </w:t>
      </w:r>
      <w:r w:rsidRPr="00EC307C">
        <w:rPr>
          <w:rFonts w:ascii="Times New Roman" w:eastAsia="Times New Roman" w:hAnsi="Times New Roman" w:cs="Times New Roman" w:hint="cs"/>
          <w:noProof/>
          <w:sz w:val="24"/>
          <w:szCs w:val="24"/>
          <w:rtl w:val="0"/>
          <w:cs w:val="0"/>
          <w:lang w:val="sk-SK" w:eastAsia="sk-SK" w:bidi="ar-SA"/>
        </w:rPr>
        <w:t>V § 6 odsek 12 znie:</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r w:rsidRPr="005748F5">
        <w:rPr>
          <w:rFonts w:ascii="Times New Roman" w:eastAsia="Times New Roman" w:hAnsi="Times New Roman" w:cs="Times New Roman" w:hint="cs"/>
          <w:sz w:val="24"/>
          <w:szCs w:val="24"/>
          <w:rtl w:val="0"/>
          <w:cs w:val="0"/>
          <w:lang w:val="sk-SK" w:eastAsia="en-US" w:bidi="ar-SA"/>
        </w:rPr>
        <w:t> </w:t>
      </w:r>
      <w:r>
        <w:rPr>
          <w:rFonts w:ascii="Times New Roman" w:eastAsia="Times New Roman" w:hAnsi="Times New Roman" w:cs="Times New Roman" w:hint="cs"/>
          <w:sz w:val="24"/>
          <w:szCs w:val="24"/>
          <w:rtl w:val="0"/>
          <w:cs w:val="0"/>
          <w:lang w:val="sk-SK" w:eastAsia="en-US" w:bidi="ar-SA"/>
        </w:rPr>
        <w:t>„</w:t>
      </w:r>
      <w:r w:rsidRPr="005748F5">
        <w:rPr>
          <w:rFonts w:ascii="Times New Roman" w:eastAsia="Times New Roman" w:hAnsi="Times New Roman" w:cs="Times New Roman" w:hint="cs"/>
          <w:sz w:val="24"/>
          <w:szCs w:val="24"/>
          <w:rtl w:val="0"/>
          <w:cs w:val="0"/>
          <w:lang w:val="sk-SK" w:eastAsia="en-US" w:bidi="ar-SA"/>
        </w:rPr>
        <w:t>(12) Úrad určuje spôsob a rozsah výpočtu základu pre výpočet ceny vykupovanej elektriny tak, aby zohľadňoval ceny elektriny na trhu v čase výroby elektriny. Pri určení spôsobu výpočtu základu pre výpočet ceny vykupovanej elektriny Úrad postupuje jednotne pre všetkých výrobcov s právom na podporu podľa § 3 ods. 1 písm. b), pričom neprihliada na to, či je cena elektriny na trhu v čase výroby elektriny nižšia alebo vyššia ako cena elektriny podľa § 6 ods. 1 písm. a). Koeficient podľa odseku 1 písm. b) určuje úrad na základe výsledkov aukcie na výkupcu elektriny.</w:t>
      </w:r>
      <w:r w:rsidRPr="00771AE0">
        <w:rPr>
          <w:rFonts w:ascii="Times New Roman" w:eastAsia="Times New Roman" w:hAnsi="Times New Roman" w:cs="Times New Roman" w:hint="cs"/>
          <w:sz w:val="24"/>
          <w:szCs w:val="24"/>
          <w:rtl w:val="0"/>
          <w:cs w:val="0"/>
          <w:lang w:val="sk-SK" w:eastAsia="en-US" w:bidi="ar-SA"/>
        </w:rPr>
        <w:t>“</w:t>
      </w:r>
      <w:r>
        <w:rPr>
          <w:rFonts w:ascii="Times New Roman" w:eastAsia="Times New Roman" w:hAnsi="Times New Roman" w:cs="Times New Roman" w:hint="cs"/>
          <w:sz w:val="24"/>
          <w:szCs w:val="24"/>
          <w:rtl w:val="0"/>
          <w:cs w:val="0"/>
          <w:lang w:val="sk-SK" w:eastAsia="en-US" w:bidi="ar-SA"/>
        </w:rPr>
        <w:t>.“.</w:t>
      </w:r>
    </w:p>
    <w:p w:rsidR="009A0D67" w:rsidRPr="00771AE0"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r w:rsidRPr="00771AE0">
        <w:rPr>
          <w:rFonts w:ascii="Times New Roman" w:eastAsia="Times New Roman" w:hAnsi="Times New Roman" w:cs="Times New Roman" w:hint="cs"/>
          <w:sz w:val="24"/>
          <w:szCs w:val="24"/>
          <w:rtl w:val="0"/>
          <w:cs w:val="0"/>
          <w:lang w:val="sk-SK" w:eastAsia="en-US" w:bidi="ar-SA"/>
        </w:rPr>
        <w:tab/>
        <w:tab/>
        <w:tab/>
      </w:r>
    </w:p>
    <w:p w:rsidR="009A0D67" w:rsidRPr="00771AE0"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r>
        <w:rPr>
          <w:rFonts w:ascii="Times New Roman" w:eastAsia="Times New Roman" w:hAnsi="Times New Roman" w:cs="Times New Roman" w:hint="cs"/>
          <w:sz w:val="24"/>
          <w:szCs w:val="24"/>
          <w:rtl w:val="0"/>
          <w:cs w:val="0"/>
          <w:lang w:val="sk-SK" w:eastAsia="en-US" w:bidi="ar-SA"/>
        </w:rPr>
        <w:t>Nasledujúce body</w:t>
      </w:r>
      <w:r w:rsidRPr="00771AE0">
        <w:rPr>
          <w:rFonts w:ascii="Times New Roman" w:eastAsia="Times New Roman" w:hAnsi="Times New Roman" w:cs="Times New Roman" w:hint="cs"/>
          <w:sz w:val="24"/>
          <w:szCs w:val="24"/>
          <w:rtl w:val="0"/>
          <w:cs w:val="0"/>
          <w:lang w:val="sk-SK" w:eastAsia="en-US" w:bidi="ar-SA"/>
        </w:rPr>
        <w:t> sa primerane prečíslujú.</w:t>
      </w:r>
    </w:p>
    <w:p w:rsidR="009A0D67" w:rsidRPr="00771AE0"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9A0D67" w:rsidRPr="00771AE0" w:rsidP="009A0D67">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Extrémne vysoké ceny elektriny na trhu majú za následok neúmerné zvýšenie prevádzkových nákladov výrobcov elektriny, najmä tých ktorí vyrábajú v zariadeniach VÚ KVET. Väčšina z týchto zariadení sa nachádzajú v režime povinného výkupu a na základe sekundárnej legislatívy majú zastropovanú cenu, za ktorú predávajú elektrinu, čo im spôsobuje likvidačné ekonomické problémy.</w:t>
      </w: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bCs/>
          <w:noProof/>
          <w:rtl w:val="0"/>
          <w:cs w:val="0"/>
          <w:lang w:val="sk-SK" w:eastAsia="sk-SK" w:bidi="ar-SA"/>
        </w:rPr>
      </w:pP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Navrhuje sa preto legislatívne upraviť určovanie ceny vykupovanej elektriny pre podporovaných výrobcov v režime povinného výkupu tak, že sa neprihliada na určenú cenu elektriny, ale cena vykupovanej elektriny sa bude odvíja od trhových cien.</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b/>
          <w:bCs/>
          <w:i/>
          <w:iCs/>
          <w:rtl w:val="0"/>
          <w:cs w:val="0"/>
          <w:lang w:val="sk-SK" w:eastAsia="sk-SK" w:bidi="ar-SA"/>
        </w:rPr>
      </w:pPr>
    </w:p>
    <w:p w:rsidR="009A0D67" w:rsidRPr="009A0D67" w:rsidP="009A0D67">
      <w:pPr>
        <w:framePr w:wrap="auto"/>
        <w:widowControl/>
        <w:numPr>
          <w:numId w:val="32"/>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 xml:space="preserve">V čl I. v bode 47 </w:t>
      </w:r>
      <w:r w:rsidRPr="009A0D67">
        <w:rPr>
          <w:rFonts w:ascii="Times New Roman" w:eastAsia="Times New Roman" w:hAnsi="Times New Roman" w:cs="Times New Roman" w:hint="cs"/>
          <w:bCs/>
          <w:noProof/>
          <w:color w:val="000000"/>
          <w:sz w:val="24"/>
          <w:szCs w:val="24"/>
          <w:rtl w:val="0"/>
          <w:cs w:val="0"/>
          <w:lang w:val="sk-SK" w:eastAsia="sk-SK" w:bidi="ar-SA"/>
        </w:rPr>
        <w:t xml:space="preserve">§ 8a </w:t>
      </w:r>
      <w:r w:rsidRPr="009A0D67">
        <w:rPr>
          <w:rFonts w:ascii="Times New Roman" w:eastAsia="Times New Roman" w:hAnsi="Times New Roman" w:cs="Times New Roman" w:hint="cs"/>
          <w:noProof/>
          <w:sz w:val="24"/>
          <w:szCs w:val="24"/>
          <w:rtl w:val="0"/>
          <w:cs w:val="0"/>
          <w:lang w:val="sk-SK" w:eastAsia="sk-SK" w:bidi="ar-SA"/>
        </w:rPr>
        <w:t>odsek 2 znie</w:t>
      </w:r>
      <w:r w:rsidRPr="009A0D67">
        <w:rPr>
          <w:rFonts w:ascii="Times New Roman" w:eastAsia="Times New Roman" w:hAnsi="Times New Roman" w:cs="Times New Roman" w:hint="cs"/>
          <w:bCs/>
          <w:noProof/>
          <w:sz w:val="24"/>
          <w:szCs w:val="24"/>
          <w:rtl w:val="0"/>
          <w:cs w:val="0"/>
          <w:lang w:val="sk-SK" w:eastAsia="sk-SK" w:bidi="ar-SA"/>
        </w:rPr>
        <w:t>:</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color w:val="222222"/>
          <w:shd w:val="clear" w:color="auto" w:fill="FFFFFF"/>
          <w:rtl w:val="0"/>
          <w:cs w:val="0"/>
          <w:lang w:val="sk-SK" w:eastAsia="sk-SK" w:bidi="ar-SA"/>
        </w:rPr>
      </w:pPr>
      <w:r>
        <w:rPr>
          <w:rFonts w:ascii="Times New Roman" w:eastAsia="Times New Roman" w:hAnsi="Times New Roman" w:cs="Times New Roman" w:hint="cs"/>
          <w:color w:val="222222"/>
          <w:sz w:val="24"/>
          <w:szCs w:val="24"/>
          <w:shd w:val="clear" w:color="auto" w:fill="FFFFFF"/>
          <w:rtl w:val="0"/>
          <w:cs w:val="0"/>
          <w:lang w:val="sk-SK" w:eastAsia="sk-SK" w:bidi="ar-SA"/>
        </w:rPr>
        <w:t>„</w:t>
      </w:r>
      <w:r w:rsidRPr="00EC307C">
        <w:rPr>
          <w:rFonts w:ascii="Times New Roman" w:eastAsia="Times New Roman" w:hAnsi="Times New Roman" w:cs="Times New Roman" w:hint="cs"/>
          <w:color w:val="222222"/>
          <w:sz w:val="24"/>
          <w:szCs w:val="24"/>
          <w:shd w:val="clear" w:color="auto" w:fill="FFFFFF"/>
          <w:rtl w:val="0"/>
          <w:cs w:val="0"/>
          <w:lang w:val="sk-SK" w:eastAsia="sk-SK" w:bidi="ar-SA"/>
        </w:rPr>
        <w:t>(2)</w:t>
      </w:r>
      <w:r w:rsidRPr="00771AE0">
        <w:rPr>
          <w:rFonts w:ascii="Times New Roman" w:eastAsia="Times New Roman" w:hAnsi="Times New Roman" w:cs="Times New Roman" w:hint="cs"/>
          <w:color w:val="222222"/>
          <w:sz w:val="24"/>
          <w:szCs w:val="24"/>
          <w:shd w:val="clear" w:color="auto" w:fill="FFFFFF"/>
          <w:rtl w:val="0"/>
          <w:cs w:val="0"/>
          <w:lang w:val="sk-SK" w:eastAsia="sk-SK" w:bidi="ar-SA"/>
        </w:rPr>
        <w:t xml:space="preserve"> Záruka pôvodu elektriny z obnoviteľných zdrojov energie je doklad preukazujúci, že elektrina bola vyrobená z obnoviteľných zdrojov energie a používa sa na účely preukázania, že daný podiel </w:t>
      </w:r>
      <w:r>
        <w:rPr>
          <w:rFonts w:ascii="Times New Roman" w:eastAsia="Times New Roman" w:hAnsi="Times New Roman" w:cs="Times New Roman" w:hint="cs"/>
          <w:color w:val="222222"/>
          <w:sz w:val="24"/>
          <w:szCs w:val="24"/>
          <w:shd w:val="clear" w:color="auto" w:fill="FFFFFF"/>
          <w:rtl w:val="0"/>
          <w:cs w:val="0"/>
          <w:lang w:val="sk-SK" w:eastAsia="sk-SK" w:bidi="ar-SA"/>
        </w:rPr>
        <w:t>alebo množstvo elektriny</w:t>
      </w:r>
      <w:r w:rsidRPr="00771AE0">
        <w:rPr>
          <w:rFonts w:ascii="Times New Roman" w:eastAsia="Times New Roman" w:hAnsi="Times New Roman" w:cs="Times New Roman" w:hint="cs"/>
          <w:color w:val="222222"/>
          <w:sz w:val="24"/>
          <w:szCs w:val="24"/>
          <w:shd w:val="clear" w:color="auto" w:fill="FFFFFF"/>
          <w:rtl w:val="0"/>
          <w:cs w:val="0"/>
          <w:lang w:val="sk-SK" w:eastAsia="sk-SK" w:bidi="ar-SA"/>
        </w:rPr>
        <w:t xml:space="preserve"> bol</w:t>
      </w:r>
      <w:r>
        <w:rPr>
          <w:rFonts w:ascii="Times New Roman" w:eastAsia="Times New Roman" w:hAnsi="Times New Roman" w:cs="Times New Roman" w:hint="cs"/>
          <w:color w:val="222222"/>
          <w:sz w:val="24"/>
          <w:szCs w:val="24"/>
          <w:shd w:val="clear" w:color="auto" w:fill="FFFFFF"/>
          <w:rtl w:val="0"/>
          <w:cs w:val="0"/>
          <w:lang w:val="sk-SK" w:eastAsia="sk-SK" w:bidi="ar-SA"/>
        </w:rPr>
        <w:t>i</w:t>
      </w:r>
      <w:r w:rsidRPr="00771AE0">
        <w:rPr>
          <w:rFonts w:ascii="Times New Roman" w:eastAsia="Times New Roman" w:hAnsi="Times New Roman" w:cs="Times New Roman" w:hint="cs"/>
          <w:color w:val="222222"/>
          <w:sz w:val="24"/>
          <w:szCs w:val="24"/>
          <w:shd w:val="clear" w:color="auto" w:fill="FFFFFF"/>
          <w:rtl w:val="0"/>
          <w:cs w:val="0"/>
          <w:lang w:val="sk-SK" w:eastAsia="sk-SK" w:bidi="ar-SA"/>
        </w:rPr>
        <w:t xml:space="preserve"> vyroben</w:t>
      </w:r>
      <w:r>
        <w:rPr>
          <w:rFonts w:ascii="Times New Roman" w:eastAsia="Times New Roman" w:hAnsi="Times New Roman" w:cs="Times New Roman" w:hint="cs"/>
          <w:color w:val="222222"/>
          <w:sz w:val="24"/>
          <w:szCs w:val="24"/>
          <w:shd w:val="clear" w:color="auto" w:fill="FFFFFF"/>
          <w:rtl w:val="0"/>
          <w:cs w:val="0"/>
          <w:lang w:val="sk-SK" w:eastAsia="sk-SK" w:bidi="ar-SA"/>
        </w:rPr>
        <w:t>é</w:t>
      </w:r>
      <w:r w:rsidRPr="00771AE0">
        <w:rPr>
          <w:rFonts w:ascii="Times New Roman" w:eastAsia="Times New Roman" w:hAnsi="Times New Roman" w:cs="Times New Roman" w:hint="cs"/>
          <w:color w:val="222222"/>
          <w:sz w:val="24"/>
          <w:szCs w:val="24"/>
          <w:shd w:val="clear" w:color="auto" w:fill="FFFFFF"/>
          <w:rtl w:val="0"/>
          <w:cs w:val="0"/>
          <w:lang w:val="sk-SK" w:eastAsia="sk-SK" w:bidi="ar-SA"/>
        </w:rPr>
        <w:t xml:space="preserve"> z obnoviteľných zdrojov energie</w:t>
      </w:r>
      <w:r>
        <w:rPr>
          <w:rFonts w:ascii="Times New Roman" w:eastAsia="Times New Roman" w:hAnsi="Times New Roman" w:cs="Times New Roman" w:hint="cs"/>
          <w:color w:val="222222"/>
          <w:sz w:val="24"/>
          <w:szCs w:val="24"/>
          <w:shd w:val="clear" w:color="auto" w:fill="FFFFFF"/>
          <w:rtl w:val="0"/>
          <w:cs w:val="0"/>
          <w:lang w:val="sk-SK" w:eastAsia="sk-SK" w:bidi="ar-SA"/>
        </w:rPr>
        <w:t>.</w:t>
      </w:r>
      <w:r w:rsidRPr="00771AE0">
        <w:rPr>
          <w:rFonts w:ascii="Times New Roman" w:eastAsia="Times New Roman" w:hAnsi="Times New Roman" w:cs="Times New Roman" w:hint="cs"/>
          <w:color w:val="222222"/>
          <w:sz w:val="24"/>
          <w:szCs w:val="24"/>
          <w:shd w:val="clear" w:color="auto" w:fill="FFFFFF"/>
          <w:rtl w:val="0"/>
          <w:cs w:val="0"/>
          <w:lang w:val="sk-SK" w:eastAsia="sk-SK" w:bidi="ar-SA"/>
        </w:rPr>
        <w:t>“</w:t>
      </w:r>
      <w:r>
        <w:rPr>
          <w:rFonts w:ascii="Times New Roman" w:eastAsia="Times New Roman" w:hAnsi="Times New Roman" w:cs="Times New Roman" w:hint="cs"/>
          <w:color w:val="222222"/>
          <w:sz w:val="24"/>
          <w:szCs w:val="24"/>
          <w:shd w:val="clear" w:color="auto" w:fill="FFFFFF"/>
          <w:rtl w:val="0"/>
          <w:cs w:val="0"/>
          <w:lang w:val="sk-SK" w:eastAsia="sk-SK" w:bidi="ar-SA"/>
        </w:rPr>
        <w:t>.</w:t>
      </w:r>
    </w:p>
    <w:p w:rsidR="009A0D67" w:rsidP="009A0D67">
      <w:pPr>
        <w:framePr w:wrap="auto"/>
        <w:widowControl/>
        <w:autoSpaceDE/>
        <w:autoSpaceDN/>
        <w:bidi w:val="0"/>
        <w:adjustRightInd/>
        <w:ind w:left="3969" w:right="0"/>
        <w:jc w:val="both"/>
        <w:textAlignment w:val="auto"/>
        <w:rPr>
          <w:rFonts w:ascii="Times New Roman" w:eastAsia="Times New Roman" w:hAnsi="Times New Roman" w:cs="Times New Roman" w:hint="cs"/>
          <w:b/>
          <w:i/>
          <w:noProof/>
          <w:rtl w:val="0"/>
          <w:cs w:val="0"/>
          <w:lang w:val="sk-SK" w:eastAsia="sk-SK" w:bidi="ar-SA"/>
        </w:rPr>
      </w:pP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Navrhuje sa legislatívna úprava definície záruky pôvodu, čím sa zosúľaďuje s definíciou uvedenou v čl. 2 ods. 12 Smernice EÚ 2018/2001 o podpore využívania obnoviteľných zdrojov energie. Doterajšia definícia obmedzovala vydávanie záruk len na elektrinu, ktorá bola aj zároveň dodaná do sústavy, čo nie je v súlade s textom smernice, ktorá by sa v aj tomto bode mala transponovať do slovenskej legislatívy.</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b/>
          <w:bCs/>
          <w:i/>
          <w:iCs/>
          <w:rtl w:val="0"/>
          <w:cs w:val="0"/>
          <w:lang w:val="sk-SK" w:eastAsia="sk-SK" w:bidi="ar-SA"/>
        </w:rPr>
      </w:pPr>
    </w:p>
    <w:p w:rsidR="009A0D67" w:rsidRPr="009A0D67" w:rsidP="009A0D67">
      <w:pPr>
        <w:framePr w:wrap="auto"/>
        <w:widowControl/>
        <w:numPr>
          <w:numId w:val="32"/>
        </w:numPr>
        <w:tabs>
          <w:tab w:val="left" w:pos="284"/>
          <w:tab w:val="left" w:pos="426"/>
        </w:tabs>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 xml:space="preserve">V čl. I. v bode 66 sa </w:t>
      </w:r>
      <w:r w:rsidRPr="009A0D67">
        <w:rPr>
          <w:rFonts w:ascii="Times New Roman" w:eastAsia="Times New Roman" w:hAnsi="Times New Roman" w:cs="Times New Roman" w:hint="cs"/>
          <w:noProof/>
          <w:sz w:val="24"/>
          <w:szCs w:val="24"/>
          <w:rtl w:val="0"/>
          <w:cs w:val="0"/>
          <w:lang w:val="sk-SK" w:eastAsia="sk-SK" w:bidi="ar-SA"/>
        </w:rPr>
        <w:t>§ 13b odsek 2 dopĺňa o nové písmeno e),  ktoré znie</w:t>
      </w:r>
      <w:r w:rsidRPr="009A0D67">
        <w:rPr>
          <w:rFonts w:ascii="Times New Roman" w:eastAsia="Times New Roman" w:hAnsi="Times New Roman" w:cs="Times New Roman" w:hint="cs"/>
          <w:bCs/>
          <w:noProof/>
          <w:sz w:val="24"/>
          <w:szCs w:val="24"/>
          <w:rtl w:val="0"/>
          <w:cs w:val="0"/>
          <w:lang w:val="sk-SK" w:eastAsia="sk-SK" w:bidi="ar-SA"/>
        </w:rPr>
        <w:t>:</w:t>
      </w:r>
    </w:p>
    <w:p w:rsidR="009A0D67" w:rsidRPr="00771AE0" w:rsidP="009A0D67">
      <w:pPr>
        <w:framePr w:wrap="auto"/>
        <w:widowControl/>
        <w:autoSpaceDE/>
        <w:autoSpaceDN/>
        <w:bidi w:val="0"/>
        <w:adjustRightInd/>
        <w:ind w:left="0" w:right="0"/>
        <w:jc w:val="both"/>
        <w:textAlignment w:val="auto"/>
        <w:rPr>
          <w:rFonts w:ascii="Times New Roman" w:eastAsia="Times New Roman" w:hAnsi="Times New Roman" w:cs="Times New Roman" w:hint="cs"/>
          <w:color w:val="222222"/>
          <w:shd w:val="clear" w:color="auto" w:fill="FFFFFF"/>
          <w:rtl w:val="0"/>
          <w:cs w:val="0"/>
          <w:lang w:val="sk-SK" w:eastAsia="sk-SK" w:bidi="ar-SA"/>
        </w:rPr>
      </w:pPr>
      <w:r w:rsidRPr="00771AE0">
        <w:rPr>
          <w:rFonts w:ascii="Times New Roman" w:eastAsia="Times New Roman" w:hAnsi="Times New Roman" w:cs="Times New Roman" w:hint="cs"/>
          <w:color w:val="222222"/>
          <w:sz w:val="24"/>
          <w:szCs w:val="24"/>
          <w:shd w:val="clear" w:color="auto" w:fill="FFFFFF"/>
          <w:rtl w:val="0"/>
          <w:cs w:val="0"/>
          <w:lang w:val="sk-SK" w:eastAsia="sk-SK" w:bidi="ar-SA"/>
        </w:rPr>
        <w:t>„e) ohľadom založenia, prevádzky a rozvoja spoločenstiev vyrábajúcich energiu z obnoviteľných zdrojov energie.“</w:t>
      </w:r>
      <w:r>
        <w:rPr>
          <w:rFonts w:ascii="Times New Roman" w:eastAsia="Times New Roman" w:hAnsi="Times New Roman" w:cs="Times New Roman" w:hint="cs"/>
          <w:color w:val="222222"/>
          <w:sz w:val="24"/>
          <w:szCs w:val="24"/>
          <w:shd w:val="clear" w:color="auto" w:fill="FFFFFF"/>
          <w:rtl w:val="0"/>
          <w:cs w:val="0"/>
          <w:lang w:val="sk-SK" w:eastAsia="sk-SK" w:bidi="ar-SA"/>
        </w:rPr>
        <w:t>.</w:t>
      </w:r>
    </w:p>
    <w:p w:rsidR="009A0D67" w:rsidRPr="00771AE0" w:rsidP="009A0D67">
      <w:pPr>
        <w:framePr w:wrap="auto"/>
        <w:widowControl/>
        <w:autoSpaceDE/>
        <w:autoSpaceDN/>
        <w:bidi w:val="0"/>
        <w:adjustRightInd/>
        <w:ind w:left="0" w:right="0"/>
        <w:jc w:val="both"/>
        <w:textAlignment w:val="auto"/>
        <w:rPr>
          <w:rFonts w:ascii="Arial" w:eastAsia="Times New Roman" w:hAnsi="Arial" w:cs="Arial" w:hint="cs"/>
          <w:color w:val="222222"/>
          <w:shd w:val="clear" w:color="auto" w:fill="FFFFFF"/>
          <w:rtl w:val="0"/>
          <w:cs w:val="0"/>
          <w:lang w:val="sk-SK" w:eastAsia="sk-SK" w:bidi="ar-SA"/>
        </w:rPr>
      </w:pPr>
    </w:p>
    <w:p w:rsidR="009A0D67" w:rsidRPr="009A0D67" w:rsidP="009A0D67">
      <w:pPr>
        <w:framePr w:wrap="auto"/>
        <w:widowControl/>
        <w:autoSpaceDE/>
        <w:autoSpaceDN/>
        <w:bidi w:val="0"/>
        <w:adjustRightInd/>
        <w:ind w:left="3545" w:right="0"/>
        <w:jc w:val="both"/>
        <w:textAlignment w:val="auto"/>
        <w:rPr>
          <w:rFonts w:ascii="Times New Roman" w:eastAsia="Times New Roman" w:hAnsi="Times New Roman" w:cs="Times New Roman" w:hint="cs"/>
          <w:bCs/>
          <w:noProof/>
          <w:rtl w:val="0"/>
          <w:cs w:val="0"/>
          <w:lang w:val="sk-SK" w:eastAsia="sk-SK" w:bidi="ar-SA"/>
        </w:rPr>
      </w:pPr>
      <w:r w:rsidRPr="009A0D67">
        <w:rPr>
          <w:rFonts w:ascii="Times New Roman" w:eastAsia="Times New Roman" w:hAnsi="Times New Roman" w:cs="Times New Roman" w:hint="cs"/>
          <w:bCs/>
          <w:noProof/>
          <w:sz w:val="24"/>
          <w:szCs w:val="24"/>
          <w:rtl w:val="0"/>
          <w:cs w:val="0"/>
          <w:lang w:val="sk-SK" w:eastAsia="sk-SK" w:bidi="ar-SA"/>
        </w:rPr>
        <w:t>Navrhované doplnenie dáva informačnú povinnosť pre SIEA ako jednotné kontaktné miesto aj pre oblasť energetických spoločenstiev. </w:t>
      </w:r>
    </w:p>
    <w:p w:rsidR="009A0D67"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72. bode v §14 ods. 8 sa slovo „využívanie“ nahrádza slovom „prijímanie“ a  za slovo „aby“ sa vkladajú slová „tieto zmluvy“.</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4 Legislatívnych pravidiel tvorby zákonov a s čl. 15 ods. 8 smernice (EÚ) 2018/2001; slovné spojenie „využívanie zmlúv“ v právnom texte pôsobí zmätočne.</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72. bode v § 14 ods. 9 sa slovo „potenciál“ nahrádza slovom „možnosti“.</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Ide o legislatívno-technickú úpravu, ktorou sa spresňuje navrhovaný právny text v súlade s čl. 4 ods. 3 Legislatívnych pravidiel tvorby zákonov a s čl. 21 ods. 6 smernice (EÚ) 2018/2001. </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72. bode v § 14 ods. 10 písm. a) sa za slovo „právne“ vkladajú slová „alebo administratívne“.</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Ide o legislatívno-technickú úpravu, ktorou sa spresňuje navrhovaný právny text v súlade s čl. 22 ods. 4 smernice (EÚ) 2018/2001 („ </w:t>
      </w:r>
      <w:r>
        <w:rPr>
          <w:rFonts w:ascii="Times New Roman" w:eastAsia="Times New Roman" w:hAnsi="Times New Roman" w:cs="Times New Roman" w:hint="cs"/>
          <w:i/>
          <w:sz w:val="24"/>
          <w:szCs w:val="24"/>
          <w:rtl w:val="0"/>
          <w:cs w:val="0"/>
          <w:lang w:val="sk-SK" w:eastAsia="sk-SK" w:bidi="ar-SA"/>
        </w:rPr>
        <w:t>...členské štáty zabezpečia, aby boli odstránené regulačné alebo administratívne prekážky, pokiaľ ide o komunity vyrábajúce energiu z obnoviteľných zdrojov</w:t>
      </w:r>
      <w:r>
        <w:rPr>
          <w:rFonts w:ascii="Times New Roman" w:eastAsia="Times New Roman" w:hAnsi="Times New Roman" w:cs="Times New Roman" w:hint="cs"/>
          <w:sz w:val="24"/>
          <w:szCs w:val="24"/>
          <w:rtl w:val="0"/>
          <w:cs w:val="0"/>
          <w:lang w:val="sk-SK" w:eastAsia="sk-SK" w:bidi="ar-SA"/>
        </w:rPr>
        <w:t>“).</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V čl. I v 73. bode v § 14a ods. 6 písm. c) sa za slová „medzinárodnej </w:t>
      </w:r>
      <w:r w:rsidRPr="0089763C">
        <w:rPr>
          <w:rFonts w:ascii="Times New Roman" w:eastAsia="Times New Roman" w:hAnsi="Times New Roman" w:cs="Times New Roman" w:hint="cs"/>
          <w:noProof/>
          <w:color w:val="000000"/>
          <w:sz w:val="24"/>
          <w:szCs w:val="24"/>
          <w:rtl w:val="0"/>
          <w:cs w:val="0"/>
          <w:lang w:val="sk-SK" w:eastAsia="sk-SK" w:bidi="ar-SA"/>
        </w:rPr>
        <w:t>zmluvy,</w:t>
      </w:r>
      <w:r w:rsidRPr="0089763C">
        <w:rPr>
          <w:rFonts w:ascii="Times New Roman" w:eastAsia="Times New Roman" w:hAnsi="Times New Roman" w:cs="Times New Roman" w:hint="cs"/>
          <w:noProof/>
          <w:color w:val="000000"/>
          <w:sz w:val="24"/>
          <w:szCs w:val="24"/>
          <w:vertAlign w:val="superscript"/>
          <w:rtl w:val="0"/>
          <w:cs w:val="0"/>
          <w:lang w:val="sk-SK" w:eastAsia="sk-SK" w:bidi="ar-SA"/>
        </w:rPr>
        <w:t>17h</w:t>
      </w:r>
      <w:r w:rsidRPr="0089763C">
        <w:rPr>
          <w:rFonts w:ascii="Times New Roman" w:eastAsia="Times New Roman" w:hAnsi="Times New Roman" w:cs="Times New Roman" w:hint="cs"/>
          <w:noProof/>
          <w:color w:val="000000"/>
          <w:sz w:val="24"/>
          <w:szCs w:val="24"/>
          <w:rtl w:val="0"/>
          <w:cs w:val="0"/>
          <w:lang w:val="sk-SK" w:eastAsia="sk-SK" w:bidi="ar-SA"/>
        </w:rPr>
        <w:t>)</w:t>
      </w:r>
      <w:r>
        <w:rPr>
          <w:rFonts w:ascii="Times New Roman" w:eastAsia="Times New Roman" w:hAnsi="Times New Roman" w:cs="Times New Roman" w:hint="cs"/>
          <w:noProof/>
          <w:sz w:val="24"/>
          <w:szCs w:val="24"/>
          <w:rtl w:val="0"/>
          <w:cs w:val="0"/>
          <w:lang w:val="sk-SK" w:eastAsia="sk-SK" w:bidi="ar-SA"/>
        </w:rPr>
        <w:t>“  pripájajú slová „ktorou je Slovenská republika viazaná,“.</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4 Legislatívnych pravidiel tvorby zákonov.</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97. bode v § 18m ods. 4 sa slová „podľa odseku 1“ nahrádzajú slovami „podľa § 3 odseku 1“.</w:t>
      </w:r>
    </w:p>
    <w:p w:rsidR="0089763C" w:rsidP="0089763C">
      <w:pPr>
        <w:framePr w:wrap="auto"/>
        <w:widowControl/>
        <w:autoSpaceDE/>
        <w:autoSpaceDN/>
        <w:bidi w:val="0"/>
        <w:adjustRightInd/>
        <w:spacing w:line="360" w:lineRule="auto"/>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tab/>
        <w:tab/>
        <w:tab/>
        <w:t>Oprava nesprávneho vnútorného odkazu.</w:t>
      </w:r>
    </w:p>
    <w:p w:rsidR="0089763C" w:rsidP="0089763C">
      <w:pPr>
        <w:framePr w:wrap="auto"/>
        <w:widowControl/>
        <w:autoSpaceDE/>
        <w:autoSpaceDN/>
        <w:bidi w:val="0"/>
        <w:adjustRightInd/>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107. bode v prílohe č. 2 v bode 7. a v čl. III v 5. bode v prílohe v 6. bode sa za slová „(Ú. v. ES L 328 21.12.2018)“ vkladajú slová „v znení korigenda“.</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Ide o legislatívno-technickú úpravu, ktorou sa spresňuje citácia  preberanej smernice (EÚ) 2018/2001.</w:t>
      </w:r>
    </w:p>
    <w:p w:rsidR="0089763C" w:rsidP="0089763C">
      <w:pPr>
        <w:framePr w:wrap="auto"/>
        <w:widowControl/>
        <w:autoSpaceDE/>
        <w:autoSpaceDN/>
        <w:bidi w:val="0"/>
        <w:adjustRightInd/>
        <w:spacing w:line="276" w:lineRule="auto"/>
        <w:ind w:left="3540" w:right="0"/>
        <w:jc w:val="both"/>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after="160" w:line="360" w:lineRule="auto"/>
        <w:ind w:right="0"/>
        <w:contextualSpacing/>
        <w:jc w:val="left"/>
        <w:textAlignment w:val="auto"/>
        <w:rPr>
          <w:rFonts w:ascii="Times New Roman" w:eastAsia="Times New Roman" w:hAnsi="Times New Roman" w:cs="Times New Roman" w:hint="cs"/>
          <w:bCs/>
          <w:noProof/>
          <w:shd w:val="clear" w:color="auto" w:fill="FFFFFF"/>
          <w:rtl w:val="0"/>
          <w:cs w:val="0"/>
          <w:lang w:val="sk-SK" w:eastAsia="sk-SK" w:bidi="ar-SA"/>
        </w:rPr>
      </w:pPr>
      <w:r>
        <w:rPr>
          <w:rFonts w:ascii="Times New Roman" w:eastAsia="Times New Roman" w:hAnsi="Times New Roman" w:cs="Times New Roman" w:hint="cs"/>
          <w:bCs/>
          <w:noProof/>
          <w:sz w:val="24"/>
          <w:szCs w:val="24"/>
          <w:shd w:val="clear" w:color="auto" w:fill="FFFFFF"/>
          <w:rtl w:val="0"/>
          <w:cs w:val="0"/>
          <w:lang w:val="sk-SK" w:eastAsia="sk-SK" w:bidi="ar-SA"/>
        </w:rPr>
        <w:t>V čl. II sa vypúšťajú body 20. a 22.</w:t>
      </w:r>
    </w:p>
    <w:p w:rsidR="0089763C" w:rsidP="0089763C">
      <w:pPr>
        <w:framePr w:wrap="auto"/>
        <w:widowControl/>
        <w:autoSpaceDE/>
        <w:autoSpaceDN/>
        <w:bidi w:val="0"/>
        <w:adjustRightInd/>
        <w:spacing w:line="360" w:lineRule="auto"/>
        <w:ind w:left="0" w:right="0" w:firstLine="720"/>
        <w:jc w:val="left"/>
        <w:textAlignment w:val="auto"/>
        <w:rPr>
          <w:rFonts w:ascii="Times New Roman" w:eastAsia="Times New Roman" w:hAnsi="Times New Roman" w:cs="Times New Roman" w:hint="cs"/>
          <w:bCs/>
          <w:shd w:val="clear" w:color="auto" w:fill="FFFFFF"/>
          <w:rtl w:val="0"/>
          <w:cs w:val="0"/>
          <w:lang w:val="sk-SK" w:eastAsia="sk-SK" w:bidi="ar-SA"/>
        </w:rPr>
      </w:pPr>
      <w:r>
        <w:rPr>
          <w:rFonts w:ascii="Times New Roman" w:eastAsia="Times New Roman" w:hAnsi="Times New Roman" w:cs="Times New Roman" w:hint="cs"/>
          <w:bCs/>
          <w:sz w:val="24"/>
          <w:szCs w:val="24"/>
          <w:shd w:val="clear" w:color="auto" w:fill="FFFFFF"/>
          <w:rtl w:val="0"/>
          <w:cs w:val="0"/>
          <w:lang w:val="sk-SK" w:eastAsia="sk-SK" w:bidi="ar-SA"/>
        </w:rPr>
        <w:t>Nasledujúce body sa prečíslujú.</w:t>
      </w:r>
    </w:p>
    <w:p w:rsidR="0089763C" w:rsidP="0089763C">
      <w:pPr>
        <w:framePr w:wrap="auto"/>
        <w:widowControl/>
        <w:autoSpaceDE/>
        <w:autoSpaceDN/>
        <w:bidi w:val="0"/>
        <w:adjustRightInd/>
        <w:spacing w:line="276" w:lineRule="auto"/>
        <w:ind w:left="3600" w:right="0"/>
        <w:jc w:val="both"/>
        <w:textAlignment w:val="auto"/>
        <w:rPr>
          <w:rFonts w:ascii="Times New Roman" w:eastAsia="Times New Roman" w:hAnsi="Times New Roman" w:cs="Times New Roman" w:hint="cs"/>
          <w:bCs/>
          <w:shd w:val="clear" w:color="auto" w:fill="FFFFFF"/>
          <w:rtl w:val="0"/>
          <w:cs w:val="0"/>
          <w:lang w:val="sk-SK" w:eastAsia="sk-SK" w:bidi="ar-SA"/>
        </w:rPr>
      </w:pPr>
      <w:r>
        <w:rPr>
          <w:rFonts w:ascii="Times New Roman" w:eastAsia="Times New Roman" w:hAnsi="Times New Roman" w:cs="Times New Roman" w:hint="cs"/>
          <w:bCs/>
          <w:sz w:val="24"/>
          <w:szCs w:val="24"/>
          <w:shd w:val="clear" w:color="auto" w:fill="FFFFFF"/>
          <w:rtl w:val="0"/>
          <w:cs w:val="0"/>
          <w:lang w:val="sk-SK" w:eastAsia="sk-SK" w:bidi="ar-SA"/>
        </w:rPr>
        <w:t>Predmetné body 20 a 22 v čl. II obsahujú také návrhy (vypustenie odseku 3 v § 7 a vypustenie písmena b) v § 9 ods. 1), ktoré už boli vykonané zákonom č. 249/2022 Z. z., ktorým sa menia a dopĺňajú niektoré zákony v súvislosti so zlepšovaním podnikateľského prostredia v čl. VIII v bodoch 1. a 3, ktoré nadobúdajú účinnosť 1. septembra 2022.</w:t>
      </w:r>
    </w:p>
    <w:p w:rsidR="0089763C" w:rsidP="0089763C">
      <w:pPr>
        <w:framePr w:wrap="auto"/>
        <w:widowControl/>
        <w:autoSpaceDE/>
        <w:autoSpaceDN/>
        <w:bidi w:val="0"/>
        <w:adjustRightInd/>
        <w:spacing w:line="276" w:lineRule="auto"/>
        <w:ind w:left="3600" w:right="0"/>
        <w:jc w:val="both"/>
        <w:textAlignment w:val="auto"/>
        <w:rPr>
          <w:rFonts w:ascii="Times New Roman" w:eastAsia="Times New Roman" w:hAnsi="Times New Roman" w:cs="Times New Roman" w:hint="cs"/>
          <w:bCs/>
          <w:shd w:val="clear" w:color="auto" w:fill="FFFFFF"/>
          <w:rtl w:val="0"/>
          <w:cs w:val="0"/>
          <w:lang w:val="sk-SK" w:eastAsia="sk-SK" w:bidi="ar-SA"/>
        </w:rPr>
      </w:pPr>
    </w:p>
    <w:p w:rsidR="0089763C" w:rsidP="0089763C">
      <w:pPr>
        <w:framePr w:wrap="auto"/>
        <w:widowControl/>
        <w:numPr>
          <w:numId w:val="32"/>
        </w:numPr>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bCs/>
          <w:noProof/>
          <w:sz w:val="24"/>
          <w:szCs w:val="24"/>
          <w:shd w:val="clear" w:color="auto" w:fill="FFFFFF"/>
          <w:rtl w:val="0"/>
          <w:cs w:val="0"/>
          <w:lang w:val="sk-SK" w:eastAsia="sk-SK" w:bidi="ar-SA"/>
        </w:rPr>
        <w:t>V čl. II v 73. bode v § 25 ods. 9 sa slovo „</w:t>
      </w:r>
      <w:r>
        <w:rPr>
          <w:rFonts w:ascii="Times New Roman" w:eastAsia="Times New Roman" w:hAnsi="Times New Roman" w:cs="Times New Roman" w:hint="cs"/>
          <w:noProof/>
          <w:sz w:val="24"/>
          <w:szCs w:val="24"/>
          <w:rtl w:val="0"/>
          <w:cs w:val="0"/>
          <w:lang w:val="sk-SK" w:eastAsia="sk-SK" w:bidi="ar-SA"/>
        </w:rPr>
        <w:t xml:space="preserve">ustanovení“ nahrádza slovom „ustanoví“. </w:t>
      </w:r>
    </w:p>
    <w:p w:rsidR="0089763C" w:rsidP="0089763C">
      <w:pPr>
        <w:framePr w:wrap="auto"/>
        <w:widowControl/>
        <w:autoSpaceDE/>
        <w:autoSpaceDN/>
        <w:bidi w:val="0"/>
        <w:adjustRightInd/>
        <w:spacing w:line="276" w:lineRule="auto"/>
        <w:ind w:left="0" w:right="0"/>
        <w:jc w:val="left"/>
        <w:textAlignment w:val="auto"/>
        <w:rPr>
          <w:rFonts w:ascii="Times New Roman" w:eastAsia="Times New Roman" w:hAnsi="Times New Roman" w:cs="Times New Roman" w:hint="cs"/>
          <w:bCs/>
          <w:shd w:val="clear" w:color="auto" w:fill="FFFFFF"/>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tab/>
        <w:tab/>
        <w:tab/>
        <w:t>Oprava splnomocňovacieho ustanovenia.</w:t>
      </w:r>
    </w:p>
    <w:p w:rsidR="0089763C" w:rsidP="0089763C">
      <w:pPr>
        <w:framePr w:wrap="auto"/>
        <w:widowControl/>
        <w:autoSpaceDE/>
        <w:autoSpaceDN/>
        <w:bidi w:val="0"/>
        <w:adjustRightInd/>
        <w:spacing w:line="276" w:lineRule="auto"/>
        <w:ind w:left="0" w:right="0"/>
        <w:jc w:val="left"/>
        <w:textAlignment w:val="auto"/>
        <w:rPr>
          <w:rFonts w:ascii="Times New Roman" w:eastAsia="Times New Roman" w:hAnsi="Times New Roman" w:cs="Times New Roman" w:hint="cs"/>
          <w:rtl w:val="0"/>
          <w:cs w:val="0"/>
          <w:lang w:val="sk-SK" w:eastAsia="sk-SK" w:bidi="ar-SA"/>
        </w:rPr>
      </w:pPr>
    </w:p>
    <w:p w:rsidR="0089763C" w:rsidP="0089763C">
      <w:pPr>
        <w:framePr w:wrap="auto"/>
        <w:widowControl/>
        <w:numPr>
          <w:numId w:val="32"/>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III v bode 1. sa slovo „štrnástym“ nahrádza slovom „dvadsiatym prvým“ a číslovka „14.“ sa nahrádza číslovkou „21.“.</w:t>
      </w:r>
    </w:p>
    <w:p w:rsidR="00DB0808" w:rsidP="0089763C">
      <w:pPr>
        <w:framePr w:wrap="auto"/>
        <w:widowControl/>
        <w:autoSpaceDE/>
        <w:autoSpaceDN/>
        <w:bidi w:val="0"/>
        <w:adjustRightInd/>
        <w:spacing w:line="240" w:lineRule="atLeast"/>
        <w:ind w:left="3686" w:right="0"/>
        <w:jc w:val="both"/>
        <w:textAlignment w:val="auto"/>
        <w:rPr>
          <w:rFonts w:ascii="Times New Roman" w:eastAsia="Times New Roman" w:hAnsi="Times New Roman" w:cs="Times New Roman" w:hint="cs"/>
          <w:rtl w:val="0"/>
          <w:cs w:val="0"/>
          <w:lang w:val="sk-SK" w:eastAsia="sk-SK" w:bidi="ar-SA"/>
        </w:rPr>
      </w:pPr>
      <w:r w:rsidR="0089763C">
        <w:rPr>
          <w:rFonts w:ascii="Times New Roman" w:eastAsia="Times New Roman" w:hAnsi="Times New Roman" w:cs="Times New Roman" w:hint="cs"/>
          <w:sz w:val="24"/>
          <w:szCs w:val="24"/>
          <w:rtl w:val="0"/>
          <w:cs w:val="0"/>
          <w:lang w:val="sk-SK" w:eastAsia="sk-SK" w:bidi="ar-SA"/>
        </w:rPr>
        <w:t xml:space="preserve">Dňa 1. októbra 2022 nadobúda účinnosť zákon č. 256/2022 Z. z., </w:t>
      </w:r>
      <w:r w:rsidR="0089763C">
        <w:rPr>
          <w:rFonts w:ascii="Times New Roman" w:eastAsia="Times New Roman" w:hAnsi="Times New Roman" w:cs="Times New Roman" w:hint="cs"/>
          <w:bCs/>
          <w:sz w:val="24"/>
          <w:szCs w:val="24"/>
          <w:shd w:val="clear" w:color="auto" w:fill="FFFFFF"/>
          <w:rtl w:val="0"/>
          <w:cs w:val="0"/>
          <w:lang w:val="sk-SK" w:eastAsia="sk-SK" w:bidi="ar-SA"/>
        </w:rPr>
        <w:t>ktorým sa mení a dopĺňa zákon č. 251/2012 Z. z. o energetike a o zmene a doplnení niektorých zákonov v znení neskorších predpisov a ktorým sa menia a dopĺňajú niektoré zákony. Predmetnou novelou sa novelizoval aj § 10, čo je potrebné zohľadniť v predloženom návrhu.</w:t>
      </w:r>
    </w:p>
    <w:p w:rsidR="00EA6501" w:rsidRPr="00C5637B" w:rsidP="00861617">
      <w:pPr>
        <w:framePr w:wrap="auto"/>
        <w:widowControl/>
        <w:tabs>
          <w:tab w:val="left" w:pos="-1985"/>
          <w:tab w:val="left" w:pos="709"/>
          <w:tab w:val="left" w:pos="1077"/>
        </w:tabs>
        <w:autoSpaceDE/>
        <w:autoSpaceDN/>
        <w:bidi w:val="0"/>
        <w:adjustRightInd/>
        <w:ind w:left="0" w:right="0"/>
        <w:jc w:val="both"/>
        <w:textAlignment w:val="auto"/>
        <w:rPr>
          <w:rStyle w:val="DefaultParagraphFont"/>
          <w:rFonts w:ascii="Times New Roman" w:eastAsia="Times New Roman" w:hAnsi="Times New Roman" w:cs="Times New Roman" w:hint="cs"/>
          <w:color w:val="000000"/>
          <w:rtl w:val="0"/>
          <w:cs w:val="0"/>
          <w:lang w:val="sk-SK" w:eastAsia="sk-SK" w:bidi="ar-SA"/>
        </w:rPr>
      </w:pPr>
      <w:r w:rsidR="00F93F93">
        <w:rPr>
          <w:rFonts w:ascii="Times New Roman" w:eastAsia="Times New Roman" w:hAnsi="Times New Roman" w:cs="Times New Roman" w:hint="cs"/>
          <w:bCs/>
          <w:i/>
          <w:iCs/>
          <w:sz w:val="24"/>
          <w:szCs w:val="24"/>
          <w:rtl w:val="0"/>
          <w:cs w:val="0"/>
          <w:lang w:val="sk-SK" w:eastAsia="sk-SK" w:bidi="ar-SA"/>
        </w:rPr>
        <w:tab/>
        <w:t xml:space="preserve">   </w:t>
      </w: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00"/>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Cambria">
    <w:panose1 w:val="02040503050406030204"/>
    <w:charset w:val="EE"/>
    <w:family w:val="roman"/>
    <w:pitch w:val="variable"/>
  </w:font>
  <w:font w:name="@SimSun">
    <w:panose1 w:val="02010600030101010101"/>
    <w:charset w:val="86"/>
    <w:family w:val="auto"/>
    <w:pitch w:val="variable"/>
  </w:font>
  <w:font w:name="Lucida Sans">
    <w:panose1 w:val="020B0602030504020204"/>
    <w:charset w:val="00"/>
    <w:family w:val="swiss"/>
    <w:pitch w:val="variable"/>
  </w:font>
  <w:font w:name="@MS Gothic">
    <w:panose1 w:val="020B0609070205080204"/>
    <w:charset w:val="80"/>
    <w:family w:val="modern"/>
    <w:pitch w:val="fixed"/>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AT*Toronto CE">
    <w:altName w:val="Times New Roman"/>
    <w:panose1 w:val="00000000000000000000"/>
    <w:charset w:val="EE"/>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E">
    <w:charset w:val="EE"/>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9A0D67">
      <w:rPr>
        <w:rStyle w:val="DefaultParagraphFont"/>
        <w:rFonts w:ascii="Times New Roman" w:eastAsia="Times New Roman" w:hAnsi="Times New Roman" w:cs="Times New Roman" w:hint="cs"/>
        <w:noProof/>
        <w:sz w:val="24"/>
        <w:szCs w:val="24"/>
        <w:rtl w:val="0"/>
        <w:cs w:val="0"/>
        <w:lang w:val="sk-SK" w:eastAsia="cs-CZ" w:bidi="ar-SA"/>
      </w:rPr>
      <w:t>7</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8">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0">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3">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4">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9">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1">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5">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6">
    <w:nsid w:val="6BD91FED"/>
    <w:multiLevelType w:val="hybridMultilevel"/>
    <w:tmpl w:val="8F30BB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6C8F02D9"/>
    <w:multiLevelType w:val="hybridMultilevel"/>
    <w:tmpl w:val="DC2C12E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76804BDB"/>
    <w:multiLevelType w:val="hybridMultilevel"/>
    <w:tmpl w:val="D514DD0C"/>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abstractNum w:abstractNumId="32">
    <w:nsid w:val="7AB848CD"/>
    <w:multiLevelType w:val="hybridMultilevel"/>
    <w:tmpl w:val="8780AEC6"/>
    <w:lvl w:ilvl="0">
      <w:start w:val="1"/>
      <w:numFmt w:val="decimal"/>
      <w:lvlText w:val="%1."/>
      <w:lvlJc w:val="left"/>
      <w:pPr>
        <w:ind w:left="360" w:hanging="360"/>
      </w:pPr>
      <w:rPr>
        <w:rFonts w:cs="Times New Roman" w:hint="cs"/>
        <w:color w:val="auto"/>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num w:numId="1">
    <w:abstractNumId w:val="12"/>
  </w:num>
  <w:num w:numId="2">
    <w:abstractNumId w:val="2"/>
  </w:num>
  <w:num w:numId="3">
    <w:abstractNumId w:val="25"/>
  </w:num>
  <w:num w:numId="4">
    <w:abstractNumId w:val="24"/>
  </w:num>
  <w:num w:numId="5">
    <w:abstractNumId w:val="19"/>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
  </w:num>
  <w:num w:numId="16">
    <w:abstractNumId w:val="7"/>
  </w:num>
  <w:num w:numId="17">
    <w:abstractNumId w:val="20"/>
  </w:num>
  <w:num w:numId="18">
    <w:abstractNumId w:val="18"/>
  </w:num>
  <w:num w:numId="19">
    <w:abstractNumId w:val="11"/>
  </w:num>
  <w:num w:numId="20">
    <w:abstractNumId w:val="29"/>
  </w:num>
  <w:num w:numId="21">
    <w:abstractNumId w:val="8"/>
  </w:num>
  <w:num w:numId="22">
    <w:abstractNumId w:val="15"/>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3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22</TotalTime>
  <Pages>7</Pages>
  <Words>2095</Words>
  <Characters>11948</Characters>
  <Application>Microsoft Office Word</Application>
  <DocSecurity>0</DocSecurity>
  <Lines>0</Lines>
  <Paragraphs>0</Paragraphs>
  <ScaleCrop>false</ScaleCrop>
  <Company>Kancelaria NR SR</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13</cp:revision>
  <cp:lastPrinted>2022-03-09T13:28:00Z</cp:lastPrinted>
  <dcterms:created xsi:type="dcterms:W3CDTF">2022-04-06T10:12:00Z</dcterms:created>
  <dcterms:modified xsi:type="dcterms:W3CDTF">2022-09-12T17:52:00Z</dcterms:modified>
</cp:coreProperties>
</file>