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</w:t>
      </w:r>
      <w:r w:rsidR="00FF0913">
        <w:rPr>
          <w:sz w:val="22"/>
          <w:szCs w:val="22"/>
        </w:rPr>
        <w:t>1</w:t>
      </w:r>
      <w:r w:rsidR="008A317F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572E2">
      <w:pPr>
        <w:pStyle w:val="rozhodnutia"/>
      </w:pPr>
      <w:r>
        <w:t>1235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8A317F">
        <w:rPr>
          <w:rFonts w:cs="Arial"/>
          <w:sz w:val="22"/>
          <w:szCs w:val="22"/>
          <w:lang w:val="sk-SK"/>
        </w:rPr>
        <w:t xml:space="preserve"> skupinou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8A317F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A317F">
        <w:rPr>
          <w:rFonts w:cs="Arial"/>
          <w:szCs w:val="22"/>
        </w:rPr>
        <w:t xml:space="preserve">skupiny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FF0913">
        <w:rPr>
          <w:rFonts w:cs="Arial"/>
          <w:szCs w:val="22"/>
        </w:rPr>
        <w:t xml:space="preserve">, ktorým sa mení a dopĺňa zákon č. </w:t>
      </w:r>
      <w:r w:rsidR="008A317F">
        <w:rPr>
          <w:rFonts w:cs="Arial"/>
          <w:szCs w:val="22"/>
        </w:rPr>
        <w:t>583/2004 Z. z. o rozpočtových pravidlách územnej samosprávy a o zmene a doplnení niektorých zákonov v znení neskorších predpisov</w:t>
      </w:r>
      <w:r w:rsidR="008A317F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2198A">
        <w:rPr>
          <w:rFonts w:cs="Arial"/>
          <w:szCs w:val="22"/>
        </w:rPr>
        <w:t>8</w:t>
      </w:r>
      <w:r w:rsidR="008A317F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572E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572E2">
        <w:rPr>
          <w:rFonts w:ascii="Arial" w:hAnsi="Arial" w:cs="Arial"/>
          <w:sz w:val="22"/>
          <w:szCs w:val="22"/>
        </w:rPr>
        <w:t>financie a rozpočet a</w:t>
      </w:r>
    </w:p>
    <w:p w:rsidR="002572E2" w:rsidRDefault="002572E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2572E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572E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>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572E2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54350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2277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317F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BC80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FED8-AE5A-4B9D-8927-81BE711C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2022-08-31T09:10:00Z</cp:lastPrinted>
  <dcterms:created xsi:type="dcterms:W3CDTF">2022-08-30T05:35:00Z</dcterms:created>
  <dcterms:modified xsi:type="dcterms:W3CDTF">2022-08-31T09:11:00Z</dcterms:modified>
</cp:coreProperties>
</file>