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C43FBA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26F41">
      <w:pPr>
        <w:pStyle w:val="rozhodnutia"/>
      </w:pPr>
      <w:r>
        <w:t>1231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D156B8">
        <w:rPr>
          <w:rFonts w:cs="Arial"/>
          <w:sz w:val="22"/>
          <w:szCs w:val="22"/>
          <w:lang w:val="sk-SK"/>
        </w:rPr>
        <w:t>om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D156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="00B465EC">
        <w:rPr>
          <w:rFonts w:cs="Arial"/>
          <w:szCs w:val="22"/>
        </w:rPr>
        <w:t>Milan</w:t>
      </w:r>
      <w:r w:rsidR="00452AA4">
        <w:rPr>
          <w:rFonts w:cs="Arial"/>
          <w:szCs w:val="22"/>
        </w:rPr>
        <w:t>a</w:t>
      </w:r>
      <w:r w:rsidR="00B465EC">
        <w:rPr>
          <w:rFonts w:cs="Arial"/>
          <w:szCs w:val="22"/>
        </w:rPr>
        <w:t xml:space="preserve"> VETRÁKA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D156B8">
        <w:rPr>
          <w:rFonts w:cs="Arial"/>
          <w:szCs w:val="22"/>
        </w:rPr>
        <w:t xml:space="preserve">, ktorým  sa mení a dopĺňa zákon č. </w:t>
      </w:r>
      <w:r w:rsidR="00C43FBA">
        <w:rPr>
          <w:rFonts w:cs="Arial"/>
          <w:szCs w:val="22"/>
        </w:rPr>
        <w:t>235/2012 Z. z. o osobitnom odvode z podnikania v regulovaných odvetviach</w:t>
      </w:r>
      <w:r w:rsidR="00D156B8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C43FBA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43FBA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631F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631FA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C631F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631FA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2AA4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26F41"/>
    <w:rsid w:val="007351A5"/>
    <w:rsid w:val="007448FA"/>
    <w:rsid w:val="00746D4E"/>
    <w:rsid w:val="00754302"/>
    <w:rsid w:val="007B2F24"/>
    <w:rsid w:val="007D2CB1"/>
    <w:rsid w:val="007E72EE"/>
    <w:rsid w:val="007F017E"/>
    <w:rsid w:val="007F7A89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43FBA"/>
    <w:rsid w:val="00C631FA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156B8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2ED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EE89-0FB2-4AA7-B7BB-CCE0843B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2022-08-31T10:29:00Z</cp:lastPrinted>
  <dcterms:created xsi:type="dcterms:W3CDTF">2022-08-30T05:28:00Z</dcterms:created>
  <dcterms:modified xsi:type="dcterms:W3CDTF">2022-08-31T10:29:00Z</dcterms:modified>
</cp:coreProperties>
</file>