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rsidR="00054C41" w:rsidRPr="00895898" w:rsidRDefault="00054C41" w:rsidP="00054C41">
      <w:pPr>
        <w:jc w:val="both"/>
        <w:rPr>
          <w:rFonts w:ascii="Times New Roman" w:eastAsia="Calibri" w:hAnsi="Times New Roman" w:cs="Times New Roman"/>
          <w:b/>
          <w:sz w:val="24"/>
          <w:szCs w:val="24"/>
        </w:rPr>
      </w:pPr>
    </w:p>
    <w:p w:rsidR="001F6993" w:rsidRDefault="00054C41" w:rsidP="001F6993">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sidR="005C6F70">
        <w:rPr>
          <w:rFonts w:ascii="Times New Roman" w:eastAsia="Calibri" w:hAnsi="Times New Roman" w:cs="Times New Roman"/>
          <w:b/>
          <w:sz w:val="24"/>
          <w:szCs w:val="24"/>
        </w:rPr>
        <w:t xml:space="preserve"> </w:t>
      </w:r>
      <w:r w:rsidR="00F10E19" w:rsidRPr="00F10E19">
        <w:rPr>
          <w:rFonts w:ascii="Times New Roman" w:eastAsia="Calibri" w:hAnsi="Times New Roman" w:cs="Times New Roman"/>
          <w:sz w:val="24"/>
          <w:szCs w:val="24"/>
        </w:rPr>
        <w:t>Vládny</w:t>
      </w:r>
      <w:r w:rsidR="00F10E19">
        <w:rPr>
          <w:rFonts w:ascii="Times New Roman" w:eastAsia="Calibri" w:hAnsi="Times New Roman" w:cs="Times New Roman"/>
          <w:b/>
          <w:sz w:val="24"/>
          <w:szCs w:val="24"/>
        </w:rPr>
        <w:t xml:space="preserve"> </w:t>
      </w:r>
      <w:r w:rsidR="00F10E19">
        <w:rPr>
          <w:rFonts w:ascii="Times New Roman" w:eastAsia="Calibri" w:hAnsi="Times New Roman" w:cs="Times New Roman"/>
          <w:sz w:val="24"/>
          <w:szCs w:val="24"/>
        </w:rPr>
        <w:t>n</w:t>
      </w:r>
      <w:r w:rsidR="00F10E19" w:rsidRPr="001F6993">
        <w:rPr>
          <w:rFonts w:ascii="Times New Roman" w:eastAsia="Calibri" w:hAnsi="Times New Roman" w:cs="Times New Roman"/>
          <w:sz w:val="24"/>
          <w:szCs w:val="24"/>
        </w:rPr>
        <w:t xml:space="preserve">ávrh </w:t>
      </w:r>
      <w:r w:rsidR="001F6993" w:rsidRPr="001F6993">
        <w:rPr>
          <w:rFonts w:ascii="Times New Roman" w:eastAsia="Calibri" w:hAnsi="Times New Roman" w:cs="Times New Roman"/>
          <w:sz w:val="24"/>
          <w:szCs w:val="24"/>
        </w:rPr>
        <w:t xml:space="preserve">zákona, ktorým sa mení a dopĺňa zákon č. 43/2004 Z. z. o starobnom dôchodkovom sporení a o zmene a doplnení niektorých zákonov v znení neskorších predpisov a ktorým sa </w:t>
      </w:r>
      <w:r w:rsidR="007618CE">
        <w:rPr>
          <w:rFonts w:ascii="Times New Roman" w:eastAsia="Calibri" w:hAnsi="Times New Roman" w:cs="Times New Roman"/>
          <w:sz w:val="24"/>
          <w:szCs w:val="24"/>
        </w:rPr>
        <w:t>menia a dopĺňajú niektoré zákony</w:t>
      </w:r>
    </w:p>
    <w:p w:rsidR="005C6F70" w:rsidRPr="00502F36" w:rsidRDefault="00054C41" w:rsidP="001F6993">
      <w:pPr>
        <w:jc w:val="both"/>
        <w:rPr>
          <w:rFonts w:ascii="Times New Roman" w:eastAsia="Times New Roman" w:hAnsi="Times New Roman" w:cs="Times New Roman"/>
          <w:sz w:val="20"/>
          <w:szCs w:val="20"/>
          <w:lang w:eastAsia="sk-SK"/>
        </w:rPr>
      </w:pPr>
      <w:r w:rsidRPr="001F1B43">
        <w:rPr>
          <w:rFonts w:ascii="Times New Roman" w:eastAsia="Calibri" w:hAnsi="Times New Roman" w:cs="Times New Roman"/>
          <w:b/>
          <w:sz w:val="24"/>
          <w:szCs w:val="24"/>
        </w:rPr>
        <w:t>Predkladateľ:</w:t>
      </w:r>
      <w:r w:rsidR="005C6F70">
        <w:rPr>
          <w:rFonts w:ascii="Times New Roman" w:eastAsia="Calibri" w:hAnsi="Times New Roman" w:cs="Times New Roman"/>
          <w:b/>
          <w:sz w:val="24"/>
          <w:szCs w:val="24"/>
        </w:rPr>
        <w:t xml:space="preserve"> </w:t>
      </w:r>
      <w:r w:rsidR="005C6F70" w:rsidRPr="005C6F70">
        <w:rPr>
          <w:rFonts w:ascii="Times New Roman" w:eastAsia="Times New Roman" w:hAnsi="Times New Roman" w:cs="Times New Roman"/>
          <w:sz w:val="24"/>
          <w:szCs w:val="24"/>
          <w:lang w:eastAsia="sk-SK"/>
        </w:rPr>
        <w:t>Ministerstvo práce, sociálnych vecí a rodiny</w:t>
      </w:r>
      <w:r w:rsidR="0082494C">
        <w:rPr>
          <w:rFonts w:ascii="Times New Roman" w:eastAsia="Times New Roman" w:hAnsi="Times New Roman" w:cs="Times New Roman"/>
          <w:sz w:val="24"/>
          <w:szCs w:val="24"/>
          <w:lang w:eastAsia="sk-SK"/>
        </w:rPr>
        <w:t xml:space="preserve"> Slovenskej republiky</w:t>
      </w:r>
    </w:p>
    <w:p w:rsidR="00054C41" w:rsidRPr="001F1B43" w:rsidRDefault="00054C41" w:rsidP="00054C41">
      <w:pPr>
        <w:jc w:val="both"/>
        <w:rPr>
          <w:rFonts w:ascii="Times New Roman" w:eastAsia="Calibri" w:hAnsi="Times New Roman" w:cs="Times New Roman"/>
          <w:b/>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rsidR="00054C41" w:rsidRPr="001F1B43" w:rsidRDefault="00054C41" w:rsidP="00054C41">
      <w:pPr>
        <w:spacing w:after="0"/>
        <w:jc w:val="both"/>
        <w:rPr>
          <w:rFonts w:ascii="Times New Roman" w:eastAsia="Calibri" w:hAnsi="Times New Roman" w:cs="Times New Roman"/>
          <w:b/>
          <w:sz w:val="24"/>
          <w:szCs w:val="24"/>
        </w:rPr>
      </w:pPr>
    </w:p>
    <w:p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1F6993" w:rsidRPr="000340E8" w:rsidRDefault="00054C41" w:rsidP="000340E8">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1F6993" w:rsidRPr="001F6993" w:rsidTr="001F6993">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jc w:val="center"/>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Zníženie nákladov v € na PP</w:t>
            </w:r>
          </w:p>
        </w:tc>
      </w:tr>
      <w:tr w:rsidR="001F6993" w:rsidRPr="001F6993" w:rsidTr="001F6993">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1F6993">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1F6993">
              <w:rPr>
                <w:rFonts w:ascii="Times New Roman" w:eastAsia="Times New Roman" w:hAnsi="Times New Roman" w:cs="Times New Roman"/>
                <w:b/>
                <w:bCs/>
                <w:i/>
                <w:iCs/>
                <w:color w:val="000000"/>
                <w:sz w:val="20"/>
                <w:szCs w:val="20"/>
                <w:lang w:eastAsia="sk-SK"/>
              </w:rPr>
              <w:t>externality</w:t>
            </w:r>
            <w:proofErr w:type="spellEnd"/>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F6993" w:rsidRPr="001F6993" w:rsidRDefault="007262CE" w:rsidP="001F6993">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F6993" w:rsidRPr="001F6993" w:rsidRDefault="007262CE" w:rsidP="001F6993">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1F6993" w:rsidRPr="001F6993" w:rsidTr="001F6993">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7262CE" w:rsidRPr="001F6993" w:rsidRDefault="007262CE" w:rsidP="007262C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2 094 378 </w:t>
            </w:r>
          </w:p>
        </w:tc>
      </w:tr>
      <w:tr w:rsidR="001F6993" w:rsidRPr="001F6993" w:rsidTr="001F6993">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r>
      <w:tr w:rsidR="001F6993" w:rsidRPr="001F6993" w:rsidTr="001F6993">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F6993" w:rsidRPr="001F6993" w:rsidRDefault="00875667" w:rsidP="00875667">
            <w:pPr>
              <w:spacing w:after="0" w:line="240" w:lineRule="auto"/>
              <w:jc w:val="center"/>
              <w:rPr>
                <w:rFonts w:ascii="Times New Roman" w:eastAsia="Times New Roman" w:hAnsi="Times New Roman" w:cs="Times New Roman"/>
                <w:b/>
                <w:bCs/>
                <w:color w:val="000000"/>
                <w:sz w:val="20"/>
                <w:szCs w:val="20"/>
                <w:lang w:eastAsia="sk-SK"/>
              </w:rPr>
            </w:pPr>
            <w:r w:rsidRPr="00875667">
              <w:rPr>
                <w:rFonts w:ascii="Times New Roman" w:eastAsia="Times New Roman" w:hAnsi="Times New Roman" w:cs="Times New Roman"/>
                <w:b/>
                <w:bCs/>
                <w:color w:val="000000"/>
                <w:sz w:val="20"/>
                <w:szCs w:val="20"/>
                <w:lang w:eastAsia="sk-SK"/>
              </w:rPr>
              <w:t>1 637 250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r>
      <w:tr w:rsidR="001F6993" w:rsidRPr="001F6993" w:rsidTr="001F6993">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F6993" w:rsidRPr="001F6993" w:rsidRDefault="00875667" w:rsidP="001F6993">
            <w:pPr>
              <w:spacing w:after="0" w:line="240" w:lineRule="auto"/>
              <w:jc w:val="center"/>
              <w:rPr>
                <w:rFonts w:ascii="Times New Roman" w:eastAsia="Times New Roman" w:hAnsi="Times New Roman" w:cs="Times New Roman"/>
                <w:b/>
                <w:bCs/>
                <w:color w:val="000000"/>
                <w:sz w:val="20"/>
                <w:szCs w:val="20"/>
                <w:lang w:eastAsia="sk-SK"/>
              </w:rPr>
            </w:pPr>
            <w:r w:rsidRPr="00875667">
              <w:rPr>
                <w:rFonts w:ascii="Times New Roman" w:eastAsia="Times New Roman" w:hAnsi="Times New Roman" w:cs="Times New Roman"/>
                <w:b/>
                <w:bCs/>
                <w:color w:val="000000"/>
                <w:sz w:val="20"/>
                <w:szCs w:val="20"/>
                <w:lang w:eastAsia="sk-SK"/>
              </w:rPr>
              <w:t>1 637 250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F6993" w:rsidRPr="001F6993" w:rsidRDefault="007262CE" w:rsidP="001F6993">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2 094 378</w:t>
            </w:r>
          </w:p>
        </w:tc>
      </w:tr>
      <w:tr w:rsidR="001F6993" w:rsidRPr="001F6993" w:rsidTr="001F6993">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 </w:t>
            </w:r>
          </w:p>
        </w:tc>
      </w:tr>
      <w:tr w:rsidR="001F6993" w:rsidRPr="001F6993" w:rsidTr="001F6993">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 xml:space="preserve">E. Vplyv na </w:t>
            </w:r>
            <w:proofErr w:type="spellStart"/>
            <w:r w:rsidRPr="001F6993">
              <w:rPr>
                <w:rFonts w:ascii="Times New Roman" w:eastAsia="Times New Roman" w:hAnsi="Times New Roman" w:cs="Times New Roman"/>
                <w:b/>
                <w:bCs/>
                <w:i/>
                <w:iCs/>
                <w:color w:val="000000"/>
                <w:sz w:val="20"/>
                <w:szCs w:val="20"/>
                <w:lang w:eastAsia="sk-SK"/>
              </w:rPr>
              <w:t>mikro</w:t>
            </w:r>
            <w:proofErr w:type="spellEnd"/>
            <w:r w:rsidRPr="001F6993">
              <w:rPr>
                <w:rFonts w:ascii="Times New Roman" w:eastAsia="Times New Roman" w:hAnsi="Times New Roman" w:cs="Times New Roman"/>
                <w:b/>
                <w:bCs/>
                <w:i/>
                <w:iCs/>
                <w:color w:val="000000"/>
                <w:sz w:val="20"/>
                <w:szCs w:val="20"/>
                <w:lang w:eastAsia="sk-SK"/>
              </w:rPr>
              <w:t xml:space="preserve">, malé a stredné </w:t>
            </w:r>
            <w:proofErr w:type="spellStart"/>
            <w:r w:rsidRPr="001F6993">
              <w:rPr>
                <w:rFonts w:ascii="Times New Roman" w:eastAsia="Times New Roman" w:hAnsi="Times New Roman" w:cs="Times New Roman"/>
                <w:b/>
                <w:bCs/>
                <w:i/>
                <w:iCs/>
                <w:color w:val="000000"/>
                <w:sz w:val="20"/>
                <w:szCs w:val="20"/>
                <w:lang w:eastAsia="sk-SK"/>
              </w:rPr>
              <w:t>podn</w:t>
            </w:r>
            <w:proofErr w:type="spellEnd"/>
            <w:r w:rsidRPr="001F6993">
              <w:rPr>
                <w:rFonts w:ascii="Times New Roman" w:eastAsia="Times New Roman" w:hAnsi="Times New Roman" w:cs="Times New Roman"/>
                <w:b/>
                <w:bCs/>
                <w:i/>
                <w:iCs/>
                <w:color w:val="000000"/>
                <w:sz w:val="20"/>
                <w:szCs w:val="20"/>
                <w:lang w:eastAsia="sk-SK"/>
              </w:rPr>
              <w:t>.</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r>
      <w:tr w:rsidR="001F6993" w:rsidRPr="001F6993" w:rsidTr="001F6993">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b/>
                <w:bCs/>
                <w:i/>
                <w:iCs/>
                <w:color w:val="000000"/>
                <w:sz w:val="20"/>
                <w:szCs w:val="20"/>
                <w:lang w:eastAsia="sk-SK"/>
              </w:rPr>
            </w:pPr>
            <w:r w:rsidRPr="001F6993">
              <w:rPr>
                <w:rFonts w:ascii="Times New Roman" w:eastAsia="Times New Roman" w:hAnsi="Times New Roman" w:cs="Times New Roman"/>
                <w:b/>
                <w:bCs/>
                <w:i/>
                <w:iCs/>
                <w:color w:val="000000"/>
                <w:sz w:val="20"/>
                <w:szCs w:val="20"/>
                <w:lang w:eastAsia="sk-SK"/>
              </w:rPr>
              <w:t>F. Úplná harmonizácia práva EÚ</w:t>
            </w:r>
            <w:r w:rsidRPr="001F6993">
              <w:rPr>
                <w:rFonts w:ascii="Times New Roman" w:eastAsia="Times New Roman" w:hAnsi="Times New Roman" w:cs="Times New Roman"/>
                <w:b/>
                <w:bCs/>
                <w:i/>
                <w:iCs/>
                <w:color w:val="000000"/>
                <w:sz w:val="20"/>
                <w:szCs w:val="20"/>
                <w:lang w:eastAsia="sk-SK"/>
              </w:rPr>
              <w:br/>
            </w:r>
            <w:r w:rsidRPr="001F6993">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1F6993">
              <w:rPr>
                <w:rFonts w:ascii="Times New Roman" w:eastAsia="Times New Roman" w:hAnsi="Times New Roman" w:cs="Times New Roman"/>
                <w:i/>
                <w:iCs/>
                <w:color w:val="000000"/>
                <w:sz w:val="16"/>
                <w:szCs w:val="16"/>
                <w:lang w:eastAsia="sk-SK"/>
              </w:rPr>
              <w:t>externality</w:t>
            </w:r>
            <w:proofErr w:type="spellEnd"/>
            <w:r w:rsidRPr="001F6993">
              <w:rPr>
                <w:rFonts w:ascii="Times New Roman" w:eastAsia="Times New Roman" w:hAnsi="Times New Roman" w:cs="Times New Roman"/>
                <w:i/>
                <w:iCs/>
                <w:color w:val="000000"/>
                <w:sz w:val="16"/>
                <w:szCs w:val="16"/>
                <w:lang w:eastAsia="sk-SK"/>
              </w:rPr>
              <w:t>)</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r w:rsidRPr="001F6993">
              <w:rPr>
                <w:rFonts w:ascii="Times New Roman" w:eastAsia="Times New Roman" w:hAnsi="Times New Roman" w:cs="Times New Roman"/>
                <w:b/>
                <w:bCs/>
                <w:color w:val="000000"/>
                <w:sz w:val="20"/>
                <w:szCs w:val="20"/>
                <w:lang w:eastAsia="sk-SK"/>
              </w:rPr>
              <w:t>0</w:t>
            </w:r>
          </w:p>
        </w:tc>
      </w:tr>
      <w:tr w:rsidR="001F6993" w:rsidRPr="001F6993" w:rsidTr="001F6993">
        <w:trPr>
          <w:trHeight w:val="270"/>
        </w:trPr>
        <w:tc>
          <w:tcPr>
            <w:tcW w:w="3780" w:type="dxa"/>
            <w:tcBorders>
              <w:top w:val="nil"/>
              <w:left w:val="nil"/>
              <w:bottom w:val="nil"/>
              <w:right w:val="nil"/>
            </w:tcBorders>
            <w:shd w:val="clear" w:color="auto" w:fill="auto"/>
            <w:noWrap/>
            <w:vAlign w:val="bottom"/>
            <w:hideMark/>
          </w:tcPr>
          <w:p w:rsidR="001F6993" w:rsidRPr="001F6993" w:rsidRDefault="001F6993" w:rsidP="001F6993">
            <w:pPr>
              <w:spacing w:after="0" w:line="240" w:lineRule="auto"/>
              <w:jc w:val="center"/>
              <w:rPr>
                <w:rFonts w:ascii="Times New Roman" w:eastAsia="Times New Roman" w:hAnsi="Times New Roman" w:cs="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sz w:val="20"/>
                <w:szCs w:val="20"/>
                <w:lang w:eastAsia="sk-SK"/>
              </w:rPr>
            </w:pPr>
          </w:p>
        </w:tc>
        <w:tc>
          <w:tcPr>
            <w:tcW w:w="1360" w:type="dxa"/>
            <w:tcBorders>
              <w:top w:val="nil"/>
              <w:left w:val="nil"/>
              <w:bottom w:val="nil"/>
              <w:right w:val="nil"/>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sz w:val="20"/>
                <w:szCs w:val="20"/>
                <w:lang w:eastAsia="sk-SK"/>
              </w:rPr>
            </w:pPr>
          </w:p>
        </w:tc>
      </w:tr>
      <w:tr w:rsidR="001F6993" w:rsidRPr="001F6993" w:rsidTr="001F6993">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i/>
                <w:iCs/>
                <w:color w:val="000000"/>
                <w:sz w:val="20"/>
                <w:szCs w:val="20"/>
                <w:lang w:eastAsia="sk-SK"/>
              </w:rPr>
            </w:pPr>
            <w:r w:rsidRPr="001F6993">
              <w:rPr>
                <w:rFonts w:ascii="Times New Roman" w:eastAsia="Times New Roman" w:hAnsi="Times New Roman" w:cs="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1F6993" w:rsidRPr="001F6993" w:rsidRDefault="001F6993" w:rsidP="001F6993">
            <w:pPr>
              <w:spacing w:after="0" w:line="240" w:lineRule="auto"/>
              <w:jc w:val="center"/>
              <w:rPr>
                <w:rFonts w:ascii="Times New Roman" w:eastAsia="Times New Roman" w:hAnsi="Times New Roman" w:cs="Times New Roman"/>
                <w:color w:val="000000"/>
                <w:sz w:val="20"/>
                <w:szCs w:val="20"/>
                <w:lang w:eastAsia="sk-SK"/>
              </w:rPr>
            </w:pPr>
            <w:r w:rsidRPr="001F6993">
              <w:rPr>
                <w:rFonts w:ascii="Times New Roman" w:eastAsia="Times New Roman" w:hAnsi="Times New Roman" w:cs="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1F6993" w:rsidRPr="001F6993" w:rsidRDefault="001F6993" w:rsidP="001F6993">
            <w:pPr>
              <w:spacing w:after="0" w:line="240" w:lineRule="auto"/>
              <w:jc w:val="center"/>
              <w:rPr>
                <w:rFonts w:ascii="Times New Roman" w:eastAsia="Times New Roman" w:hAnsi="Times New Roman" w:cs="Times New Roman"/>
                <w:color w:val="000000"/>
                <w:sz w:val="20"/>
                <w:szCs w:val="20"/>
                <w:lang w:eastAsia="sk-SK"/>
              </w:rPr>
            </w:pPr>
            <w:r w:rsidRPr="001F6993">
              <w:rPr>
                <w:rFonts w:ascii="Times New Roman" w:eastAsia="Times New Roman" w:hAnsi="Times New Roman" w:cs="Times New Roman"/>
                <w:color w:val="000000"/>
                <w:sz w:val="20"/>
                <w:szCs w:val="20"/>
                <w:lang w:eastAsia="sk-SK"/>
              </w:rPr>
              <w:t>OUT</w:t>
            </w:r>
          </w:p>
        </w:tc>
      </w:tr>
      <w:tr w:rsidR="001F6993" w:rsidRPr="001F6993" w:rsidTr="001F6993">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1F6993" w:rsidRPr="001F6993" w:rsidRDefault="001F6993" w:rsidP="001F6993">
            <w:pPr>
              <w:spacing w:after="0" w:line="240" w:lineRule="auto"/>
              <w:rPr>
                <w:rFonts w:ascii="Times New Roman" w:eastAsia="Times New Roman" w:hAnsi="Times New Roman" w:cs="Times New Roman"/>
                <w:i/>
                <w:iCs/>
                <w:color w:val="000000"/>
                <w:sz w:val="20"/>
                <w:szCs w:val="20"/>
                <w:lang w:eastAsia="sk-SK"/>
              </w:rPr>
            </w:pPr>
            <w:r w:rsidRPr="001F6993">
              <w:rPr>
                <w:rFonts w:ascii="Times New Roman" w:eastAsia="Times New Roman" w:hAnsi="Times New Roman" w:cs="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1F6993" w:rsidRPr="001F6993" w:rsidRDefault="00875667" w:rsidP="001F6993">
            <w:pPr>
              <w:spacing w:after="0" w:line="240" w:lineRule="auto"/>
              <w:jc w:val="center"/>
              <w:rPr>
                <w:rFonts w:ascii="Times New Roman" w:eastAsia="Times New Roman" w:hAnsi="Times New Roman" w:cs="Times New Roman"/>
                <w:b/>
                <w:bCs/>
                <w:color w:val="000000"/>
                <w:sz w:val="20"/>
                <w:szCs w:val="20"/>
                <w:lang w:eastAsia="sk-SK"/>
              </w:rPr>
            </w:pPr>
            <w:r w:rsidRPr="00875667">
              <w:rPr>
                <w:rFonts w:ascii="Times New Roman" w:eastAsia="Times New Roman" w:hAnsi="Times New Roman" w:cs="Times New Roman"/>
                <w:b/>
                <w:bCs/>
                <w:color w:val="000000"/>
                <w:sz w:val="20"/>
                <w:szCs w:val="20"/>
                <w:lang w:eastAsia="sk-SK"/>
              </w:rPr>
              <w:t>1 637 250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1F6993" w:rsidRPr="001F6993" w:rsidRDefault="007262CE" w:rsidP="001F6993">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2 094 378</w:t>
            </w:r>
          </w:p>
        </w:tc>
      </w:tr>
    </w:tbl>
    <w:p w:rsidR="00054C41" w:rsidRPr="00895898" w:rsidRDefault="00054C41" w:rsidP="00054C41">
      <w:pPr>
        <w:spacing w:after="0"/>
        <w:rPr>
          <w:rFonts w:ascii="Times New Roman" w:eastAsia="Calibri" w:hAnsi="Times New Roman" w:cs="Times New Roman"/>
          <w:i/>
        </w:rPr>
      </w:pPr>
    </w:p>
    <w:p w:rsidR="00054C41" w:rsidRPr="00895898" w:rsidRDefault="00054C41" w:rsidP="00054C41">
      <w:pPr>
        <w:rPr>
          <w:rFonts w:ascii="Times New Roman" w:eastAsia="Calibri" w:hAnsi="Times New Roman" w:cs="Times New Roman"/>
          <w:b/>
          <w:sz w:val="24"/>
          <w:szCs w:val="24"/>
        </w:rPr>
      </w:pPr>
    </w:p>
    <w:p w:rsidR="00054C41" w:rsidRPr="00895898" w:rsidRDefault="00054C41" w:rsidP="00054C41">
      <w:pPr>
        <w:rPr>
          <w:rFonts w:ascii="Times New Roman" w:eastAsia="Calibri" w:hAnsi="Times New Roman" w:cs="Times New Roman"/>
          <w:b/>
          <w:sz w:val="24"/>
          <w:szCs w:val="24"/>
        </w:rPr>
        <w:sectPr w:rsidR="00054C41" w:rsidRPr="00895898" w:rsidSect="00142154">
          <w:footerReference w:type="default" r:id="rId10"/>
          <w:pgSz w:w="11906" w:h="16838"/>
          <w:pgMar w:top="993" w:right="1417" w:bottom="1417" w:left="1417" w:header="708" w:footer="708" w:gutter="0"/>
          <w:pgNumType w:start="1"/>
          <w:cols w:space="708"/>
          <w:docGrid w:linePitch="360"/>
        </w:sectPr>
      </w:pPr>
    </w:p>
    <w:p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r w:rsidR="001F6993">
        <w:rPr>
          <w:rFonts w:ascii="Times New Roman" w:eastAsia="Calibri" w:hAnsi="Times New Roman" w:cs="Times New Roman"/>
          <w:i/>
          <w:sz w:val="24"/>
          <w:szCs w:val="24"/>
        </w:rPr>
        <w:t xml:space="preserve"> </w:t>
      </w:r>
    </w:p>
    <w:tbl>
      <w:tblPr>
        <w:tblW w:w="14185" w:type="dxa"/>
        <w:tblInd w:w="-5" w:type="dxa"/>
        <w:tblLayout w:type="fixed"/>
        <w:tblCellMar>
          <w:left w:w="70" w:type="dxa"/>
          <w:right w:w="70" w:type="dxa"/>
        </w:tblCellMar>
        <w:tblLook w:val="04A0" w:firstRow="1" w:lastRow="0" w:firstColumn="1" w:lastColumn="0" w:noHBand="0" w:noVBand="1"/>
      </w:tblPr>
      <w:tblGrid>
        <w:gridCol w:w="506"/>
        <w:gridCol w:w="1946"/>
        <w:gridCol w:w="1285"/>
        <w:gridCol w:w="1129"/>
        <w:gridCol w:w="1176"/>
        <w:gridCol w:w="934"/>
        <w:gridCol w:w="2004"/>
        <w:gridCol w:w="974"/>
        <w:gridCol w:w="819"/>
        <w:gridCol w:w="993"/>
        <w:gridCol w:w="1424"/>
        <w:gridCol w:w="995"/>
      </w:tblGrid>
      <w:tr w:rsidR="005C6F70" w:rsidRPr="00C77178" w:rsidTr="00172FA1">
        <w:trPr>
          <w:trHeight w:val="230"/>
        </w:trPr>
        <w:tc>
          <w:tcPr>
            <w:tcW w:w="50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C77178">
              <w:rPr>
                <w:rFonts w:ascii="Times New Roman" w:eastAsia="Times New Roman" w:hAnsi="Times New Roman" w:cs="Times New Roman"/>
                <w:b/>
                <w:bCs/>
                <w:color w:val="000000"/>
                <w:sz w:val="18"/>
                <w:szCs w:val="18"/>
                <w:lang w:eastAsia="sk-SK"/>
              </w:rPr>
              <w:t>P.č</w:t>
            </w:r>
            <w:proofErr w:type="spellEnd"/>
            <w:r w:rsidRPr="00C77178">
              <w:rPr>
                <w:rFonts w:ascii="Times New Roman" w:eastAsia="Times New Roman" w:hAnsi="Times New Roman" w:cs="Times New Roman"/>
                <w:b/>
                <w:bCs/>
                <w:color w:val="000000"/>
                <w:sz w:val="18"/>
                <w:szCs w:val="18"/>
                <w:lang w:eastAsia="sk-SK"/>
              </w:rPr>
              <w:t>.</w:t>
            </w:r>
          </w:p>
        </w:tc>
        <w:tc>
          <w:tcPr>
            <w:tcW w:w="194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 xml:space="preserve">Zrozumiteľný a stručný opis regulácie </w:t>
            </w:r>
            <w:r w:rsidRPr="00C77178">
              <w:rPr>
                <w:rFonts w:ascii="Times New Roman" w:eastAsia="Times New Roman" w:hAnsi="Times New Roman" w:cs="Times New Roman"/>
                <w:b/>
                <w:bCs/>
                <w:color w:val="000000"/>
                <w:sz w:val="18"/>
                <w:szCs w:val="18"/>
                <w:lang w:eastAsia="sk-SK"/>
              </w:rPr>
              <w:br/>
              <w:t>(dôvod zvýšenia/zníženia nákladov na PP)</w:t>
            </w:r>
          </w:p>
        </w:tc>
        <w:tc>
          <w:tcPr>
            <w:tcW w:w="1285"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Číslo normy</w:t>
            </w:r>
            <w:r w:rsidRPr="00C77178">
              <w:rPr>
                <w:rFonts w:ascii="Times New Roman" w:eastAsia="Times New Roman" w:hAnsi="Times New Roman" w:cs="Times New Roman"/>
                <w:b/>
                <w:bCs/>
                <w:color w:val="000000"/>
                <w:sz w:val="18"/>
                <w:szCs w:val="18"/>
                <w:lang w:eastAsia="sk-SK"/>
              </w:rPr>
              <w:br/>
            </w:r>
            <w:r w:rsidRPr="00C77178">
              <w:rPr>
                <w:rFonts w:ascii="Times New Roman" w:eastAsia="Times New Roman" w:hAnsi="Times New Roman" w:cs="Times New Roman"/>
                <w:color w:val="000000"/>
                <w:sz w:val="18"/>
                <w:szCs w:val="18"/>
                <w:lang w:eastAsia="sk-SK"/>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Lokalizácia</w:t>
            </w:r>
            <w:r w:rsidRPr="00C77178">
              <w:rPr>
                <w:rFonts w:ascii="Times New Roman" w:eastAsia="Times New Roman" w:hAnsi="Times New Roman" w:cs="Times New Roman"/>
                <w:b/>
                <w:bCs/>
                <w:color w:val="000000"/>
                <w:sz w:val="18"/>
                <w:szCs w:val="18"/>
                <w:lang w:eastAsia="sk-SK"/>
              </w:rPr>
              <w:br/>
              <w:t>(§, ods.)</w:t>
            </w:r>
          </w:p>
        </w:tc>
        <w:tc>
          <w:tcPr>
            <w:tcW w:w="11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 xml:space="preserve">Pôvod regulácie: </w:t>
            </w:r>
            <w:r w:rsidRPr="00C77178">
              <w:rPr>
                <w:rFonts w:ascii="Times New Roman" w:eastAsia="Times New Roman" w:hAnsi="Times New Roman" w:cs="Times New Roman"/>
                <w:b/>
                <w:bCs/>
                <w:color w:val="000000"/>
                <w:sz w:val="18"/>
                <w:szCs w:val="18"/>
                <w:lang w:eastAsia="sk-SK"/>
              </w:rPr>
              <w:br/>
            </w:r>
            <w:r w:rsidRPr="00C77178">
              <w:rPr>
                <w:rFonts w:ascii="Times New Roman" w:eastAsia="Times New Roman" w:hAnsi="Times New Roman" w:cs="Times New Roman"/>
                <w:color w:val="000000"/>
                <w:sz w:val="18"/>
                <w:szCs w:val="18"/>
                <w:lang w:eastAsia="sk-SK"/>
              </w:rPr>
              <w:t xml:space="preserve">SR/EÚ úplná </w:t>
            </w:r>
            <w:proofErr w:type="spellStart"/>
            <w:r w:rsidRPr="00C77178">
              <w:rPr>
                <w:rFonts w:ascii="Times New Roman" w:eastAsia="Times New Roman" w:hAnsi="Times New Roman" w:cs="Times New Roman"/>
                <w:color w:val="000000"/>
                <w:sz w:val="18"/>
                <w:szCs w:val="18"/>
                <w:lang w:eastAsia="sk-SK"/>
              </w:rPr>
              <w:t>harm</w:t>
            </w:r>
            <w:proofErr w:type="spellEnd"/>
            <w:r w:rsidRPr="00C77178">
              <w:rPr>
                <w:rFonts w:ascii="Times New Roman" w:eastAsia="Times New Roman" w:hAnsi="Times New Roman" w:cs="Times New Roman"/>
                <w:color w:val="000000"/>
                <w:sz w:val="18"/>
                <w:szCs w:val="18"/>
                <w:lang w:eastAsia="sk-SK"/>
              </w:rPr>
              <w:t xml:space="preserve">./EÚ </w:t>
            </w:r>
            <w:proofErr w:type="spellStart"/>
            <w:r w:rsidRPr="00C77178">
              <w:rPr>
                <w:rFonts w:ascii="Times New Roman" w:eastAsia="Times New Roman" w:hAnsi="Times New Roman" w:cs="Times New Roman"/>
                <w:color w:val="000000"/>
                <w:sz w:val="18"/>
                <w:szCs w:val="18"/>
                <w:lang w:eastAsia="sk-SK"/>
              </w:rPr>
              <w:t>harm</w:t>
            </w:r>
            <w:proofErr w:type="spellEnd"/>
            <w:r w:rsidRPr="00C77178">
              <w:rPr>
                <w:rFonts w:ascii="Times New Roman" w:eastAsia="Times New Roman" w:hAnsi="Times New Roman" w:cs="Times New Roman"/>
                <w:color w:val="000000"/>
                <w:sz w:val="18"/>
                <w:szCs w:val="18"/>
                <w:lang w:eastAsia="sk-SK"/>
              </w:rPr>
              <w:t>. s možnosťou voľby</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Účinnosť regulácie</w:t>
            </w:r>
          </w:p>
        </w:tc>
        <w:tc>
          <w:tcPr>
            <w:tcW w:w="200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 xml:space="preserve">Kategória </w:t>
            </w:r>
            <w:proofErr w:type="spellStart"/>
            <w:r w:rsidRPr="00C77178">
              <w:rPr>
                <w:rFonts w:ascii="Times New Roman" w:eastAsia="Times New Roman" w:hAnsi="Times New Roman" w:cs="Times New Roman"/>
                <w:b/>
                <w:bCs/>
                <w:color w:val="000000"/>
                <w:sz w:val="18"/>
                <w:szCs w:val="18"/>
                <w:lang w:eastAsia="sk-SK"/>
              </w:rPr>
              <w:t>dotk</w:t>
            </w:r>
            <w:proofErr w:type="spellEnd"/>
            <w:r w:rsidRPr="00C77178">
              <w:rPr>
                <w:rFonts w:ascii="Times New Roman" w:eastAsia="Times New Roman" w:hAnsi="Times New Roman" w:cs="Times New Roman"/>
                <w:b/>
                <w:bCs/>
                <w:color w:val="000000"/>
                <w:sz w:val="18"/>
                <w:szCs w:val="18"/>
                <w:lang w:eastAsia="sk-SK"/>
              </w:rPr>
              <w:t>.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 xml:space="preserve">Počet subjektov spolu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Počet subjektov MSP</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Vplyv na 1 podnik. v €</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 xml:space="preserve">Vplyv na kategóriu </w:t>
            </w:r>
            <w:proofErr w:type="spellStart"/>
            <w:r w:rsidRPr="00C77178">
              <w:rPr>
                <w:rFonts w:ascii="Times New Roman" w:eastAsia="Times New Roman" w:hAnsi="Times New Roman" w:cs="Times New Roman"/>
                <w:b/>
                <w:bCs/>
                <w:color w:val="000000"/>
                <w:sz w:val="18"/>
                <w:szCs w:val="18"/>
                <w:lang w:eastAsia="sk-SK"/>
              </w:rPr>
              <w:t>dotk</w:t>
            </w:r>
            <w:proofErr w:type="spellEnd"/>
            <w:r w:rsidRPr="00C77178">
              <w:rPr>
                <w:rFonts w:ascii="Times New Roman" w:eastAsia="Times New Roman" w:hAnsi="Times New Roman" w:cs="Times New Roman"/>
                <w:b/>
                <w:bCs/>
                <w:color w:val="000000"/>
                <w:sz w:val="18"/>
                <w:szCs w:val="18"/>
                <w:lang w:eastAsia="sk-SK"/>
              </w:rPr>
              <w:t>. subjektov v €</w:t>
            </w:r>
          </w:p>
        </w:tc>
        <w:tc>
          <w:tcPr>
            <w:tcW w:w="99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6F70" w:rsidRPr="00C77178" w:rsidRDefault="005C6F70" w:rsidP="005C6F70">
            <w:pPr>
              <w:spacing w:after="0" w:line="240" w:lineRule="auto"/>
              <w:jc w:val="center"/>
              <w:rPr>
                <w:rFonts w:ascii="Times New Roman" w:eastAsia="Times New Roman" w:hAnsi="Times New Roman" w:cs="Times New Roman"/>
                <w:b/>
                <w:bCs/>
                <w:color w:val="000000"/>
                <w:sz w:val="18"/>
                <w:szCs w:val="18"/>
                <w:lang w:eastAsia="sk-SK"/>
              </w:rPr>
            </w:pPr>
            <w:r w:rsidRPr="00C77178">
              <w:rPr>
                <w:rFonts w:ascii="Times New Roman" w:eastAsia="Times New Roman" w:hAnsi="Times New Roman" w:cs="Times New Roman"/>
                <w:b/>
                <w:bCs/>
                <w:color w:val="000000"/>
                <w:sz w:val="18"/>
                <w:szCs w:val="18"/>
                <w:lang w:eastAsia="sk-SK"/>
              </w:rPr>
              <w:t>Druh vplyvu</w:t>
            </w:r>
            <w:r w:rsidRPr="00C77178">
              <w:rPr>
                <w:rFonts w:ascii="Times New Roman" w:eastAsia="Times New Roman" w:hAnsi="Times New Roman" w:cs="Times New Roman"/>
                <w:b/>
                <w:bCs/>
                <w:color w:val="000000"/>
                <w:sz w:val="18"/>
                <w:szCs w:val="18"/>
                <w:lang w:eastAsia="sk-SK"/>
              </w:rPr>
              <w:br/>
            </w:r>
            <w:r w:rsidRPr="00C77178">
              <w:rPr>
                <w:rFonts w:ascii="Times New Roman" w:eastAsia="Times New Roman" w:hAnsi="Times New Roman" w:cs="Times New Roman"/>
                <w:color w:val="000000"/>
                <w:sz w:val="18"/>
                <w:szCs w:val="18"/>
                <w:lang w:eastAsia="sk-SK"/>
              </w:rPr>
              <w:t xml:space="preserve">In (zvyšuje náklady) / </w:t>
            </w:r>
            <w:r w:rsidRPr="00C77178">
              <w:rPr>
                <w:rFonts w:ascii="Times New Roman" w:eastAsia="Times New Roman" w:hAnsi="Times New Roman" w:cs="Times New Roman"/>
                <w:color w:val="000000"/>
                <w:sz w:val="18"/>
                <w:szCs w:val="18"/>
                <w:lang w:eastAsia="sk-SK"/>
              </w:rPr>
              <w:br/>
            </w:r>
            <w:proofErr w:type="spellStart"/>
            <w:r w:rsidRPr="00C77178">
              <w:rPr>
                <w:rFonts w:ascii="Times New Roman" w:eastAsia="Times New Roman" w:hAnsi="Times New Roman" w:cs="Times New Roman"/>
                <w:color w:val="000000"/>
                <w:sz w:val="18"/>
                <w:szCs w:val="18"/>
                <w:lang w:eastAsia="sk-SK"/>
              </w:rPr>
              <w:t>Out</w:t>
            </w:r>
            <w:proofErr w:type="spellEnd"/>
            <w:r w:rsidRPr="00C77178">
              <w:rPr>
                <w:rFonts w:ascii="Times New Roman" w:eastAsia="Times New Roman" w:hAnsi="Times New Roman" w:cs="Times New Roman"/>
                <w:color w:val="000000"/>
                <w:sz w:val="18"/>
                <w:szCs w:val="18"/>
                <w:lang w:eastAsia="sk-SK"/>
              </w:rPr>
              <w:t xml:space="preserve"> (znižuje náklady)</w:t>
            </w:r>
          </w:p>
        </w:tc>
      </w:tr>
      <w:tr w:rsidR="005C6F70" w:rsidRPr="00C77178" w:rsidTr="00172FA1">
        <w:trPr>
          <w:trHeight w:val="450"/>
        </w:trPr>
        <w:tc>
          <w:tcPr>
            <w:tcW w:w="50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r>
      <w:tr w:rsidR="005C6F70" w:rsidRPr="00C77178" w:rsidTr="00172FA1">
        <w:trPr>
          <w:trHeight w:val="450"/>
        </w:trPr>
        <w:tc>
          <w:tcPr>
            <w:tcW w:w="50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r>
      <w:tr w:rsidR="005C6F70" w:rsidRPr="00C77178" w:rsidTr="00172FA1">
        <w:trPr>
          <w:trHeight w:val="450"/>
        </w:trPr>
        <w:tc>
          <w:tcPr>
            <w:tcW w:w="50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r>
      <w:tr w:rsidR="005C6F70" w:rsidRPr="00C77178" w:rsidTr="00172FA1">
        <w:trPr>
          <w:trHeight w:val="450"/>
        </w:trPr>
        <w:tc>
          <w:tcPr>
            <w:tcW w:w="50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r>
      <w:tr w:rsidR="005C6F70" w:rsidRPr="00C77178" w:rsidTr="00172FA1">
        <w:trPr>
          <w:trHeight w:val="450"/>
        </w:trPr>
        <w:tc>
          <w:tcPr>
            <w:tcW w:w="50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C6F70" w:rsidRPr="00C77178" w:rsidRDefault="005C6F70" w:rsidP="005C6F70">
            <w:pPr>
              <w:spacing w:after="0" w:line="240" w:lineRule="auto"/>
              <w:rPr>
                <w:rFonts w:ascii="Times New Roman" w:eastAsia="Times New Roman" w:hAnsi="Times New Roman" w:cs="Times New Roman"/>
                <w:b/>
                <w:bCs/>
                <w:color w:val="000000"/>
                <w:sz w:val="18"/>
                <w:szCs w:val="18"/>
                <w:lang w:eastAsia="sk-SK"/>
              </w:rPr>
            </w:pPr>
          </w:p>
        </w:tc>
      </w:tr>
      <w:tr w:rsidR="00C77178" w:rsidRPr="00C77178" w:rsidTr="00C77178">
        <w:trPr>
          <w:trHeight w:val="216"/>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C77178" w:rsidRPr="00C77178" w:rsidRDefault="00AA6CCD" w:rsidP="00C77178">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w:t>
            </w:r>
          </w:p>
        </w:tc>
        <w:tc>
          <w:tcPr>
            <w:tcW w:w="1946"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 xml:space="preserve">Zrušenie odmeny finančnému sprostredkovateľovi  </w:t>
            </w:r>
          </w:p>
        </w:tc>
        <w:tc>
          <w:tcPr>
            <w:tcW w:w="1285" w:type="dxa"/>
            <w:tcBorders>
              <w:top w:val="nil"/>
              <w:left w:val="single" w:sz="4" w:space="0" w:color="auto"/>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43/2004 Z. z.</w:t>
            </w:r>
          </w:p>
        </w:tc>
        <w:tc>
          <w:tcPr>
            <w:tcW w:w="1129"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§63e ods. 1</w:t>
            </w:r>
          </w:p>
        </w:tc>
        <w:tc>
          <w:tcPr>
            <w:tcW w:w="1176"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SK</w:t>
            </w:r>
          </w:p>
        </w:tc>
        <w:tc>
          <w:tcPr>
            <w:tcW w:w="934"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01.01.23</w:t>
            </w:r>
          </w:p>
        </w:tc>
        <w:tc>
          <w:tcPr>
            <w:tcW w:w="2004"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Dôchodkové správcovské spoločnosti</w:t>
            </w:r>
          </w:p>
        </w:tc>
        <w:tc>
          <w:tcPr>
            <w:tcW w:w="974"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5</w:t>
            </w:r>
          </w:p>
        </w:tc>
        <w:tc>
          <w:tcPr>
            <w:tcW w:w="819"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w:t>
            </w:r>
          </w:p>
        </w:tc>
        <w:tc>
          <w:tcPr>
            <w:tcW w:w="993" w:type="dxa"/>
            <w:tcBorders>
              <w:top w:val="nil"/>
              <w:left w:val="nil"/>
              <w:bottom w:val="single" w:sz="4" w:space="0" w:color="auto"/>
              <w:right w:val="single" w:sz="4" w:space="0" w:color="auto"/>
            </w:tcBorders>
            <w:shd w:val="clear" w:color="auto" w:fill="auto"/>
            <w:vAlign w:val="center"/>
          </w:tcPr>
          <w:p w:rsidR="00C77178" w:rsidRPr="00C77178" w:rsidRDefault="00423428" w:rsidP="00C77178">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418 876</w:t>
            </w:r>
          </w:p>
        </w:tc>
        <w:tc>
          <w:tcPr>
            <w:tcW w:w="1424" w:type="dxa"/>
            <w:tcBorders>
              <w:top w:val="nil"/>
              <w:left w:val="nil"/>
              <w:bottom w:val="single" w:sz="4" w:space="0" w:color="auto"/>
              <w:right w:val="single" w:sz="4" w:space="0" w:color="auto"/>
            </w:tcBorders>
            <w:shd w:val="clear" w:color="auto" w:fill="auto"/>
            <w:vAlign w:val="center"/>
          </w:tcPr>
          <w:p w:rsidR="00C77178" w:rsidRPr="00C77178" w:rsidRDefault="00423428" w:rsidP="00C77178">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2 094 378</w:t>
            </w:r>
          </w:p>
        </w:tc>
        <w:tc>
          <w:tcPr>
            <w:tcW w:w="995"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proofErr w:type="spellStart"/>
            <w:r w:rsidRPr="00C77178">
              <w:rPr>
                <w:rFonts w:ascii="Times New Roman" w:eastAsia="Times New Roman" w:hAnsi="Times New Roman" w:cs="Times New Roman"/>
                <w:color w:val="000000"/>
                <w:sz w:val="18"/>
                <w:szCs w:val="18"/>
                <w:lang w:eastAsia="sk-SK"/>
              </w:rPr>
              <w:t>Out</w:t>
            </w:r>
            <w:proofErr w:type="spellEnd"/>
            <w:r w:rsidRPr="00C77178">
              <w:rPr>
                <w:rFonts w:ascii="Times New Roman" w:eastAsia="Times New Roman" w:hAnsi="Times New Roman" w:cs="Times New Roman"/>
                <w:color w:val="000000"/>
                <w:sz w:val="18"/>
                <w:szCs w:val="18"/>
                <w:lang w:eastAsia="sk-SK"/>
              </w:rPr>
              <w:t xml:space="preserve"> (znižuje náklady)</w:t>
            </w:r>
          </w:p>
        </w:tc>
      </w:tr>
      <w:tr w:rsidR="00C77178" w:rsidRPr="00C77178" w:rsidTr="00C77178">
        <w:trPr>
          <w:trHeight w:val="216"/>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C77178" w:rsidRPr="00C77178" w:rsidRDefault="00AA6CCD" w:rsidP="00C77178">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w:t>
            </w:r>
          </w:p>
        </w:tc>
        <w:tc>
          <w:tcPr>
            <w:tcW w:w="1946"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 xml:space="preserve">Náklady na presun sporiteľov v súlade s predvolenou investičnou stratégiou </w:t>
            </w:r>
          </w:p>
        </w:tc>
        <w:tc>
          <w:tcPr>
            <w:tcW w:w="1285" w:type="dxa"/>
            <w:tcBorders>
              <w:top w:val="nil"/>
              <w:left w:val="single" w:sz="4" w:space="0" w:color="auto"/>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43/2004 Z. z.</w:t>
            </w:r>
          </w:p>
        </w:tc>
        <w:tc>
          <w:tcPr>
            <w:tcW w:w="1129" w:type="dxa"/>
            <w:tcBorders>
              <w:top w:val="nil"/>
              <w:left w:val="nil"/>
              <w:bottom w:val="single" w:sz="4" w:space="0" w:color="auto"/>
              <w:right w:val="single" w:sz="4" w:space="0" w:color="auto"/>
            </w:tcBorders>
            <w:shd w:val="clear" w:color="auto" w:fill="auto"/>
            <w:vAlign w:val="center"/>
          </w:tcPr>
          <w:p w:rsidR="00C77178" w:rsidRPr="00C77178" w:rsidRDefault="00875667" w:rsidP="00C77178">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 xml:space="preserve">§123 </w:t>
            </w:r>
            <w:proofErr w:type="spellStart"/>
            <w:r>
              <w:rPr>
                <w:rFonts w:ascii="Times New Roman" w:eastAsia="Times New Roman" w:hAnsi="Times New Roman" w:cs="Times New Roman"/>
                <w:color w:val="000000"/>
                <w:sz w:val="18"/>
                <w:szCs w:val="18"/>
                <w:lang w:eastAsia="sk-SK"/>
              </w:rPr>
              <w:t>ay</w:t>
            </w:r>
            <w:proofErr w:type="spellEnd"/>
          </w:p>
        </w:tc>
        <w:tc>
          <w:tcPr>
            <w:tcW w:w="1176"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SK</w:t>
            </w:r>
          </w:p>
        </w:tc>
        <w:tc>
          <w:tcPr>
            <w:tcW w:w="934"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01.01.23</w:t>
            </w:r>
          </w:p>
        </w:tc>
        <w:tc>
          <w:tcPr>
            <w:tcW w:w="2004"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Dôchodkové správcovské spoločnosti</w:t>
            </w:r>
          </w:p>
        </w:tc>
        <w:tc>
          <w:tcPr>
            <w:tcW w:w="974"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5</w:t>
            </w:r>
          </w:p>
        </w:tc>
        <w:tc>
          <w:tcPr>
            <w:tcW w:w="819"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w:t>
            </w:r>
          </w:p>
        </w:tc>
        <w:tc>
          <w:tcPr>
            <w:tcW w:w="993" w:type="dxa"/>
            <w:tcBorders>
              <w:top w:val="nil"/>
              <w:left w:val="nil"/>
              <w:bottom w:val="single" w:sz="4" w:space="0" w:color="auto"/>
              <w:right w:val="single" w:sz="4" w:space="0" w:color="auto"/>
            </w:tcBorders>
            <w:shd w:val="clear" w:color="auto" w:fill="auto"/>
            <w:vAlign w:val="center"/>
          </w:tcPr>
          <w:p w:rsidR="00C77178" w:rsidRPr="00C77178" w:rsidRDefault="00875667" w:rsidP="00C77178">
            <w:pPr>
              <w:spacing w:after="0" w:line="240" w:lineRule="auto"/>
              <w:jc w:val="center"/>
              <w:rPr>
                <w:rFonts w:ascii="Times New Roman" w:eastAsia="Times New Roman" w:hAnsi="Times New Roman" w:cs="Times New Roman"/>
                <w:color w:val="000000"/>
                <w:sz w:val="18"/>
                <w:szCs w:val="18"/>
                <w:lang w:eastAsia="sk-SK"/>
              </w:rPr>
            </w:pPr>
            <w:r w:rsidRPr="00875667">
              <w:rPr>
                <w:rFonts w:ascii="Times New Roman" w:eastAsia="Times New Roman" w:hAnsi="Times New Roman" w:cs="Times New Roman"/>
                <w:color w:val="000000"/>
                <w:sz w:val="18"/>
                <w:szCs w:val="18"/>
                <w:lang w:eastAsia="sk-SK"/>
              </w:rPr>
              <w:t>327 450</w:t>
            </w:r>
          </w:p>
        </w:tc>
        <w:tc>
          <w:tcPr>
            <w:tcW w:w="1424" w:type="dxa"/>
            <w:tcBorders>
              <w:top w:val="nil"/>
              <w:left w:val="nil"/>
              <w:bottom w:val="single" w:sz="4" w:space="0" w:color="auto"/>
              <w:right w:val="single" w:sz="4" w:space="0" w:color="auto"/>
            </w:tcBorders>
            <w:shd w:val="clear" w:color="auto" w:fill="auto"/>
            <w:vAlign w:val="center"/>
          </w:tcPr>
          <w:p w:rsidR="00C77178" w:rsidRPr="00C77178" w:rsidRDefault="00875667" w:rsidP="00C77178">
            <w:pPr>
              <w:spacing w:after="0" w:line="240" w:lineRule="auto"/>
              <w:jc w:val="center"/>
              <w:rPr>
                <w:rFonts w:ascii="Times New Roman" w:eastAsia="Times New Roman" w:hAnsi="Times New Roman" w:cs="Times New Roman"/>
                <w:color w:val="000000"/>
                <w:sz w:val="18"/>
                <w:szCs w:val="18"/>
                <w:lang w:eastAsia="sk-SK"/>
              </w:rPr>
            </w:pPr>
            <w:r w:rsidRPr="00875667">
              <w:rPr>
                <w:rFonts w:ascii="Times New Roman" w:eastAsia="Times New Roman" w:hAnsi="Times New Roman" w:cs="Times New Roman"/>
                <w:color w:val="000000"/>
                <w:sz w:val="18"/>
                <w:szCs w:val="18"/>
                <w:lang w:eastAsia="sk-SK"/>
              </w:rPr>
              <w:t>1 637 250</w:t>
            </w:r>
          </w:p>
        </w:tc>
        <w:tc>
          <w:tcPr>
            <w:tcW w:w="995" w:type="dxa"/>
            <w:tcBorders>
              <w:top w:val="nil"/>
              <w:left w:val="nil"/>
              <w:bottom w:val="single" w:sz="4" w:space="0" w:color="auto"/>
              <w:right w:val="single" w:sz="4" w:space="0" w:color="auto"/>
            </w:tcBorders>
            <w:shd w:val="clear" w:color="auto" w:fill="auto"/>
            <w:vAlign w:val="center"/>
          </w:tcPr>
          <w:p w:rsidR="00C77178" w:rsidRPr="00C77178" w:rsidRDefault="00C77178" w:rsidP="00C77178">
            <w:pPr>
              <w:spacing w:after="0" w:line="240" w:lineRule="auto"/>
              <w:jc w:val="center"/>
              <w:rPr>
                <w:rFonts w:ascii="Times New Roman" w:eastAsia="Times New Roman" w:hAnsi="Times New Roman" w:cs="Times New Roman"/>
                <w:color w:val="000000"/>
                <w:sz w:val="18"/>
                <w:szCs w:val="18"/>
                <w:lang w:eastAsia="sk-SK"/>
              </w:rPr>
            </w:pPr>
            <w:r w:rsidRPr="00C77178">
              <w:rPr>
                <w:rFonts w:ascii="Times New Roman" w:eastAsia="Times New Roman" w:hAnsi="Times New Roman" w:cs="Times New Roman"/>
                <w:color w:val="000000"/>
                <w:sz w:val="18"/>
                <w:szCs w:val="18"/>
                <w:lang w:eastAsia="sk-SK"/>
              </w:rPr>
              <w:t>In (zvyšuje náklady)</w:t>
            </w:r>
          </w:p>
        </w:tc>
      </w:tr>
    </w:tbl>
    <w:p w:rsidR="00054C41" w:rsidRPr="00895898" w:rsidRDefault="00054C41" w:rsidP="00054C41">
      <w:pPr>
        <w:jc w:val="both"/>
        <w:rPr>
          <w:rFonts w:ascii="Times New Roman" w:eastAsia="Calibri" w:hAnsi="Times New Roman" w:cs="Times New Roman"/>
          <w:i/>
        </w:rPr>
      </w:pPr>
    </w:p>
    <w:p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3D4123" w:rsidRDefault="00AA6CCD" w:rsidP="00CF211A">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Opatrenie 1 (OUT)</w:t>
      </w:r>
      <w:r w:rsidR="00987FB6">
        <w:rPr>
          <w:rFonts w:ascii="Times New Roman" w:eastAsia="Calibri" w:hAnsi="Times New Roman" w:cs="Times New Roman"/>
          <w:b/>
          <w:bCs/>
          <w:i/>
          <w:iCs/>
          <w:color w:val="000000"/>
          <w:sz w:val="24"/>
          <w:szCs w:val="24"/>
          <w:u w:val="single"/>
        </w:rPr>
        <w:t xml:space="preserve">- </w:t>
      </w:r>
      <w:r w:rsidR="00987FB6" w:rsidRPr="00987FB6">
        <w:rPr>
          <w:rFonts w:ascii="Times New Roman" w:eastAsia="Calibri" w:hAnsi="Times New Roman" w:cs="Times New Roman"/>
          <w:bCs/>
          <w:iCs/>
          <w:color w:val="000000"/>
          <w:sz w:val="24"/>
          <w:szCs w:val="24"/>
        </w:rPr>
        <w:t xml:space="preserve">Výdavky </w:t>
      </w:r>
      <w:r w:rsidR="00987FB6">
        <w:rPr>
          <w:rFonts w:ascii="Times New Roman" w:eastAsia="Calibri" w:hAnsi="Times New Roman" w:cs="Times New Roman"/>
          <w:bCs/>
          <w:iCs/>
          <w:color w:val="000000"/>
          <w:sz w:val="24"/>
          <w:szCs w:val="24"/>
        </w:rPr>
        <w:t>DSS</w:t>
      </w:r>
      <w:r w:rsidR="00987FB6" w:rsidRPr="00987FB6">
        <w:rPr>
          <w:rFonts w:ascii="Times New Roman" w:eastAsia="Calibri" w:hAnsi="Times New Roman" w:cs="Times New Roman"/>
          <w:bCs/>
          <w:iCs/>
          <w:color w:val="000000"/>
          <w:sz w:val="24"/>
          <w:szCs w:val="24"/>
        </w:rPr>
        <w:t xml:space="preserve"> a výdavky na uzatvorenie jednej zmluvy o starobnom dôchodkovom sporení vrátane jej zmie</w:t>
      </w:r>
      <w:r w:rsidR="007618CE">
        <w:rPr>
          <w:rFonts w:ascii="Times New Roman" w:eastAsia="Calibri" w:hAnsi="Times New Roman" w:cs="Times New Roman"/>
          <w:bCs/>
          <w:iCs/>
          <w:color w:val="000000"/>
          <w:sz w:val="24"/>
          <w:szCs w:val="24"/>
        </w:rPr>
        <w:t>n a na činnosti s tým súvisiace</w:t>
      </w:r>
      <w:r w:rsidR="00987FB6" w:rsidRPr="00987FB6">
        <w:rPr>
          <w:rFonts w:ascii="Times New Roman" w:eastAsia="Calibri" w:hAnsi="Times New Roman" w:cs="Times New Roman"/>
          <w:bCs/>
          <w:iCs/>
          <w:color w:val="000000"/>
          <w:sz w:val="24"/>
          <w:szCs w:val="24"/>
        </w:rPr>
        <w:t xml:space="preserve"> nesmú presiahnuť</w:t>
      </w:r>
      <w:r w:rsidR="00423428">
        <w:rPr>
          <w:rFonts w:ascii="Times New Roman" w:eastAsia="Calibri" w:hAnsi="Times New Roman" w:cs="Times New Roman"/>
          <w:bCs/>
          <w:iCs/>
          <w:color w:val="000000"/>
          <w:sz w:val="24"/>
          <w:szCs w:val="24"/>
        </w:rPr>
        <w:t xml:space="preserve"> podľa súčasnej právnej úpravy </w:t>
      </w:r>
      <w:r w:rsidR="00987FB6" w:rsidRPr="00987FB6">
        <w:rPr>
          <w:rFonts w:ascii="Times New Roman" w:eastAsia="Calibri" w:hAnsi="Times New Roman" w:cs="Times New Roman"/>
          <w:bCs/>
          <w:iCs/>
          <w:color w:val="000000"/>
          <w:sz w:val="24"/>
          <w:szCs w:val="24"/>
        </w:rPr>
        <w:t>8 % priemernej mesačnej mzdy v hospodárstve Slovenskej republiky vykázanej Štatistickým úradom Slovenskej republiky za kalendárny rok, ktorý dva roky predchádza kalendárnemu roku, v ktorom sa uzatvorila zmluva o starobnom dôchodkovom sporení vrátane jej zmien.</w:t>
      </w:r>
      <w:r w:rsidR="00423428">
        <w:rPr>
          <w:rFonts w:ascii="Times New Roman" w:eastAsia="Calibri" w:hAnsi="Times New Roman" w:cs="Times New Roman"/>
          <w:bCs/>
          <w:iCs/>
          <w:color w:val="000000"/>
          <w:sz w:val="24"/>
          <w:szCs w:val="24"/>
        </w:rPr>
        <w:t xml:space="preserve"> V </w:t>
      </w:r>
      <w:r w:rsidR="003D4123">
        <w:rPr>
          <w:rFonts w:ascii="Times New Roman" w:eastAsia="Calibri" w:hAnsi="Times New Roman" w:cs="Times New Roman"/>
          <w:bCs/>
          <w:iCs/>
          <w:color w:val="000000"/>
          <w:sz w:val="24"/>
          <w:szCs w:val="24"/>
        </w:rPr>
        <w:t>r</w:t>
      </w:r>
      <w:r w:rsidR="00423428">
        <w:rPr>
          <w:rFonts w:ascii="Times New Roman" w:eastAsia="Calibri" w:hAnsi="Times New Roman" w:cs="Times New Roman"/>
          <w:bCs/>
          <w:iCs/>
          <w:color w:val="000000"/>
          <w:sz w:val="24"/>
          <w:szCs w:val="24"/>
        </w:rPr>
        <w:t>oku 2021 dosiahli výdavky DSS v súvislosti s činnosťou sprostredkovateľov</w:t>
      </w:r>
      <w:r w:rsidR="00BF3E5C">
        <w:rPr>
          <w:rFonts w:ascii="Times New Roman" w:eastAsia="Calibri" w:hAnsi="Times New Roman" w:cs="Times New Roman"/>
          <w:bCs/>
          <w:iCs/>
          <w:color w:val="000000"/>
          <w:sz w:val="24"/>
          <w:szCs w:val="24"/>
        </w:rPr>
        <w:t xml:space="preserve"> pri objeme cca 41 000 prestupov</w:t>
      </w:r>
      <w:r w:rsidR="00423428">
        <w:rPr>
          <w:rFonts w:ascii="Times New Roman" w:eastAsia="Calibri" w:hAnsi="Times New Roman" w:cs="Times New Roman"/>
          <w:bCs/>
          <w:iCs/>
          <w:color w:val="000000"/>
          <w:sz w:val="24"/>
          <w:szCs w:val="24"/>
        </w:rPr>
        <w:t xml:space="preserve"> podľa údajov účtovných závierok hodnotu cca 1,8  mil. eur. </w:t>
      </w:r>
      <w:r w:rsidR="00BF3E5C">
        <w:rPr>
          <w:rFonts w:ascii="Times New Roman" w:eastAsia="Calibri" w:hAnsi="Times New Roman" w:cs="Times New Roman"/>
          <w:bCs/>
          <w:iCs/>
          <w:color w:val="000000"/>
          <w:sz w:val="24"/>
          <w:szCs w:val="24"/>
        </w:rPr>
        <w:t>Pri predpoklade zachovania</w:t>
      </w:r>
      <w:r w:rsidR="003D4123">
        <w:rPr>
          <w:rFonts w:ascii="Times New Roman" w:eastAsia="Calibri" w:hAnsi="Times New Roman" w:cs="Times New Roman"/>
          <w:bCs/>
          <w:iCs/>
          <w:color w:val="000000"/>
          <w:sz w:val="24"/>
          <w:szCs w:val="24"/>
        </w:rPr>
        <w:t xml:space="preserve"> rovnakého počtu prestupov sporiteľov očakávame v roku 2023 zníženie výdavkov DSS o cca 2,1 mil. eur. Kumulatívne do roku 2030 predpokladáme zníženie výdavkov DSS o cca 20 mil. eur. </w:t>
      </w:r>
    </w:p>
    <w:p w:rsidR="003D4123" w:rsidRDefault="00AA6CCD" w:rsidP="002B19B7">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Opatrenie 2</w:t>
      </w:r>
      <w:r w:rsidR="002B19B7">
        <w:rPr>
          <w:rFonts w:ascii="Times New Roman" w:eastAsia="Calibri" w:hAnsi="Times New Roman" w:cs="Times New Roman"/>
          <w:b/>
          <w:bCs/>
          <w:i/>
          <w:iCs/>
          <w:color w:val="000000"/>
          <w:sz w:val="24"/>
          <w:szCs w:val="24"/>
          <w:u w:val="single"/>
        </w:rPr>
        <w:t xml:space="preserve"> (IN</w:t>
      </w:r>
      <w:r w:rsidR="002B19B7" w:rsidRPr="000F2E14">
        <w:rPr>
          <w:rFonts w:ascii="Times New Roman" w:eastAsia="Calibri" w:hAnsi="Times New Roman" w:cs="Times New Roman"/>
          <w:b/>
          <w:bCs/>
          <w:i/>
          <w:iCs/>
          <w:color w:val="000000"/>
          <w:sz w:val="24"/>
          <w:szCs w:val="24"/>
          <w:u w:val="single"/>
        </w:rPr>
        <w:t>)-</w:t>
      </w:r>
      <w:r w:rsidR="002B19B7">
        <w:rPr>
          <w:rFonts w:ascii="Times New Roman" w:eastAsia="Calibri" w:hAnsi="Times New Roman" w:cs="Times New Roman"/>
          <w:b/>
          <w:bCs/>
          <w:i/>
          <w:iCs/>
          <w:color w:val="000000"/>
          <w:sz w:val="24"/>
          <w:szCs w:val="24"/>
          <w:u w:val="single"/>
        </w:rPr>
        <w:t xml:space="preserve"> </w:t>
      </w:r>
      <w:r w:rsidR="002B19B7">
        <w:rPr>
          <w:rFonts w:ascii="Times New Roman" w:eastAsia="Calibri" w:hAnsi="Times New Roman" w:cs="Times New Roman"/>
          <w:bCs/>
          <w:iCs/>
          <w:color w:val="000000"/>
          <w:sz w:val="24"/>
          <w:szCs w:val="24"/>
        </w:rPr>
        <w:t xml:space="preserve">V súvislosti s povinnosťou DSS presunúť časť majetku sporiteľov v súlade s predvolenou investičnou stratégiou do </w:t>
      </w:r>
      <w:r w:rsidR="00875667">
        <w:rPr>
          <w:rFonts w:ascii="Times New Roman" w:eastAsia="Calibri" w:hAnsi="Times New Roman" w:cs="Times New Roman"/>
          <w:bCs/>
          <w:iCs/>
          <w:color w:val="000000"/>
          <w:sz w:val="24"/>
          <w:szCs w:val="24"/>
        </w:rPr>
        <w:t>indexových negarantovaných dôchodkových</w:t>
      </w:r>
      <w:r w:rsidR="002B19B7">
        <w:rPr>
          <w:rFonts w:ascii="Times New Roman" w:eastAsia="Calibri" w:hAnsi="Times New Roman" w:cs="Times New Roman"/>
          <w:bCs/>
          <w:iCs/>
          <w:color w:val="000000"/>
          <w:sz w:val="24"/>
          <w:szCs w:val="24"/>
        </w:rPr>
        <w:t xml:space="preserve"> fondov, ako aj v súvislosti s ostatnými regulačnými zmenami predpokladáme na základe odhadov kalkulačky podnikateľského prostredia</w:t>
      </w:r>
      <w:r w:rsidR="005D62A7">
        <w:rPr>
          <w:rFonts w:ascii="Times New Roman" w:eastAsia="Calibri" w:hAnsi="Times New Roman" w:cs="Times New Roman"/>
          <w:bCs/>
          <w:iCs/>
          <w:color w:val="000000"/>
          <w:sz w:val="24"/>
          <w:szCs w:val="24"/>
        </w:rPr>
        <w:t xml:space="preserve"> kumulatívne</w:t>
      </w:r>
      <w:r w:rsidR="002B19B7">
        <w:rPr>
          <w:rFonts w:ascii="Times New Roman" w:eastAsia="Calibri" w:hAnsi="Times New Roman" w:cs="Times New Roman"/>
          <w:bCs/>
          <w:iCs/>
          <w:color w:val="000000"/>
          <w:sz w:val="24"/>
          <w:szCs w:val="24"/>
        </w:rPr>
        <w:t xml:space="preserve"> zvýšenie výdavkov DSS o cca </w:t>
      </w:r>
      <w:r w:rsidR="005D62A7">
        <w:rPr>
          <w:rFonts w:ascii="Times New Roman" w:eastAsia="Calibri" w:hAnsi="Times New Roman" w:cs="Times New Roman"/>
          <w:bCs/>
          <w:iCs/>
          <w:color w:val="000000"/>
          <w:sz w:val="24"/>
          <w:szCs w:val="24"/>
        </w:rPr>
        <w:t>1,6 mil.</w:t>
      </w:r>
      <w:r w:rsidR="002B19B7">
        <w:rPr>
          <w:rFonts w:ascii="Times New Roman" w:eastAsia="Calibri" w:hAnsi="Times New Roman" w:cs="Times New Roman"/>
          <w:bCs/>
          <w:iCs/>
          <w:color w:val="000000"/>
          <w:sz w:val="24"/>
          <w:szCs w:val="24"/>
        </w:rPr>
        <w:t xml:space="preserve"> eur.</w:t>
      </w:r>
      <w:r w:rsidR="005D62A7">
        <w:rPr>
          <w:rFonts w:ascii="Times New Roman" w:eastAsia="Calibri" w:hAnsi="Times New Roman" w:cs="Times New Roman"/>
          <w:bCs/>
          <w:iCs/>
          <w:color w:val="000000"/>
          <w:sz w:val="24"/>
          <w:szCs w:val="24"/>
        </w:rPr>
        <w:t xml:space="preserve"> Odhad vychádza z minulých uskutočnených nákladov DSS v súvislosti s implementáciu opatrení č. 138/2020 Z. z. o informácii o dôchodkoch zo starobného dôchodkového sporenia, opatrenia č. 139/2020 Z. z. </w:t>
      </w:r>
      <w:r w:rsidR="005D62A7" w:rsidRPr="005D62A7">
        <w:rPr>
          <w:rFonts w:ascii="Times New Roman" w:eastAsia="Calibri" w:hAnsi="Times New Roman" w:cs="Times New Roman"/>
          <w:bCs/>
          <w:iCs/>
          <w:color w:val="000000"/>
          <w:sz w:val="24"/>
          <w:szCs w:val="24"/>
        </w:rPr>
        <w:t>ktorým sa ustanovuje obsah, štruktúra, forma, podmienky a spôsob priebežnej aktualizácie a lehoty na zverejnenie kľúčových informácií o dôchodkovom fonde</w:t>
      </w:r>
      <w:r w:rsidR="005D62A7">
        <w:rPr>
          <w:rFonts w:ascii="Times New Roman" w:eastAsia="Calibri" w:hAnsi="Times New Roman" w:cs="Times New Roman"/>
          <w:bCs/>
          <w:iCs/>
          <w:color w:val="000000"/>
          <w:sz w:val="24"/>
          <w:szCs w:val="24"/>
        </w:rPr>
        <w:t xml:space="preserve"> a opatrenia č. 140/2020 Z. z. </w:t>
      </w:r>
      <w:r w:rsidR="005D62A7" w:rsidRPr="005D62A7">
        <w:rPr>
          <w:rFonts w:ascii="Times New Roman" w:eastAsia="Calibri" w:hAnsi="Times New Roman" w:cs="Times New Roman"/>
          <w:bCs/>
          <w:iCs/>
          <w:color w:val="000000"/>
          <w:sz w:val="24"/>
          <w:szCs w:val="24"/>
        </w:rPr>
        <w:t>ktorým sa ustanovuje vzor výpisu z osobného dôchodkového účtu sporiteľa</w:t>
      </w:r>
      <w:r w:rsidR="005D62A7">
        <w:rPr>
          <w:rFonts w:ascii="Times New Roman" w:eastAsia="Calibri" w:hAnsi="Times New Roman" w:cs="Times New Roman"/>
          <w:bCs/>
          <w:iCs/>
          <w:color w:val="000000"/>
          <w:sz w:val="24"/>
          <w:szCs w:val="24"/>
        </w:rPr>
        <w:t xml:space="preserve">, ktoré rovnako vyvolali potrebu zmeny informačných systémov a tlačív DSS.   </w:t>
      </w:r>
      <w:r w:rsidR="002B19B7">
        <w:rPr>
          <w:rFonts w:ascii="Times New Roman" w:eastAsia="Calibri" w:hAnsi="Times New Roman" w:cs="Times New Roman"/>
          <w:bCs/>
          <w:iCs/>
          <w:color w:val="000000"/>
          <w:sz w:val="24"/>
          <w:szCs w:val="24"/>
        </w:rPr>
        <w:t xml:space="preserve"> </w:t>
      </w:r>
    </w:p>
    <w:p w:rsidR="00C75D82" w:rsidRDefault="00C75D82" w:rsidP="004C2912">
      <w:pPr>
        <w:pStyle w:val="NormlB"/>
        <w:rPr>
          <w:rFonts w:eastAsia="Calibri" w:cs="Times New Roman"/>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0B58E0" w:rsidRDefault="000B58E0" w:rsidP="00054C41">
      <w:pPr>
        <w:spacing w:after="0"/>
        <w:jc w:val="both"/>
        <w:rPr>
          <w:rFonts w:ascii="Times New Roman" w:eastAsia="Calibri" w:hAnsi="Times New Roman" w:cs="Times New Roman"/>
          <w:i/>
          <w:sz w:val="24"/>
          <w:szCs w:val="24"/>
        </w:rPr>
      </w:pPr>
    </w:p>
    <w:p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0B58E0" w:rsidRDefault="000B58E0" w:rsidP="00054C41">
      <w:pPr>
        <w:spacing w:after="0"/>
        <w:jc w:val="both"/>
        <w:rPr>
          <w:rFonts w:ascii="Times New Roman" w:eastAsia="Calibri" w:hAnsi="Times New Roman" w:cs="Times New Roman"/>
          <w:i/>
          <w:sz w:val="24"/>
          <w:szCs w:val="24"/>
        </w:rPr>
      </w:pPr>
    </w:p>
    <w:p w:rsidR="007B6158" w:rsidRDefault="00BF47B5" w:rsidP="00EB28D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Ministerstvo práce, sociálnych vecí</w:t>
      </w:r>
      <w:r w:rsidR="00557064">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557064">
        <w:rPr>
          <w:rFonts w:ascii="Times New Roman" w:eastAsia="Calibri" w:hAnsi="Times New Roman" w:cs="Times New Roman"/>
          <w:sz w:val="24"/>
          <w:szCs w:val="24"/>
        </w:rPr>
        <w:t> </w:t>
      </w:r>
      <w:r>
        <w:rPr>
          <w:rFonts w:ascii="Times New Roman" w:eastAsia="Calibri" w:hAnsi="Times New Roman" w:cs="Times New Roman"/>
          <w:sz w:val="24"/>
          <w:szCs w:val="24"/>
        </w:rPr>
        <w:t>rodiny</w:t>
      </w:r>
      <w:r w:rsidR="00557064">
        <w:rPr>
          <w:rFonts w:ascii="Times New Roman" w:eastAsia="Calibri" w:hAnsi="Times New Roman" w:cs="Times New Roman"/>
          <w:sz w:val="24"/>
          <w:szCs w:val="24"/>
        </w:rPr>
        <w:t xml:space="preserve"> (ďalej len „MPSVR SR“) </w:t>
      </w:r>
      <w:r w:rsidRPr="00BF47B5">
        <w:rPr>
          <w:rFonts w:ascii="Times New Roman" w:eastAsia="Calibri" w:hAnsi="Times New Roman" w:cs="Times New Roman"/>
          <w:sz w:val="24"/>
          <w:szCs w:val="24"/>
        </w:rPr>
        <w:t>ako gestor úlohy zverejnilo 15. júna 2021 predbežnú informáciu k novele zákona č. 43/2004 Z. z. a následne zahájilo konzultácie s podnikateľskými subjektmi (</w:t>
      </w:r>
      <w:r w:rsidR="000C5D82">
        <w:rPr>
          <w:rFonts w:ascii="Times New Roman" w:eastAsia="Calibri" w:hAnsi="Times New Roman" w:cs="Times New Roman"/>
          <w:sz w:val="24"/>
          <w:szCs w:val="24"/>
        </w:rPr>
        <w:t>DSS</w:t>
      </w:r>
      <w:r w:rsidRPr="00BF47B5">
        <w:rPr>
          <w:rFonts w:ascii="Times New Roman" w:eastAsia="Calibri" w:hAnsi="Times New Roman" w:cs="Times New Roman"/>
          <w:sz w:val="24"/>
          <w:szCs w:val="24"/>
        </w:rPr>
        <w:t xml:space="preserve"> a poisťovne). Prvá konzultácia sa uskutočnila dňa 12. júla 2021, témou bolo predstavenie základného rámca pre zmeny v zákone, dôvody a ciele predloženia novely zákona.</w:t>
      </w:r>
      <w:r w:rsidR="00EB28D9">
        <w:rPr>
          <w:rFonts w:ascii="Times New Roman" w:eastAsia="Calibri" w:hAnsi="Times New Roman" w:cs="Times New Roman"/>
          <w:sz w:val="24"/>
          <w:szCs w:val="24"/>
        </w:rPr>
        <w:t xml:space="preserve"> P</w:t>
      </w:r>
      <w:r w:rsidR="00EB28D9" w:rsidRPr="00EB28D9">
        <w:rPr>
          <w:rFonts w:ascii="Times New Roman" w:eastAsia="Calibri" w:hAnsi="Times New Roman" w:cs="Times New Roman"/>
          <w:sz w:val="24"/>
          <w:szCs w:val="24"/>
        </w:rPr>
        <w:t xml:space="preserve">o predstavení základných princípov zmien vo výplatnej fáze, v zmysle ktorého sa polovica úspor použije na zakúpenie doživotného dôchodku v budúcnosti a zvyšná polovica úspor sa použije na vyplácanie programového výberu s tým, že jednorazový výber bude možný len pri príliš nízkej výške úspor, </w:t>
      </w:r>
      <w:r w:rsidR="00EB28D9">
        <w:rPr>
          <w:rFonts w:ascii="Times New Roman" w:hAnsi="Times New Roman" w:cs="Times New Roman"/>
          <w:sz w:val="24"/>
          <w:szCs w:val="24"/>
        </w:rPr>
        <w:t xml:space="preserve">Slovenská asociácia poisťovní - </w:t>
      </w:r>
      <w:r w:rsidR="00EB28D9" w:rsidRPr="0028568E">
        <w:rPr>
          <w:rFonts w:ascii="Times New Roman" w:hAnsi="Times New Roman" w:cs="Times New Roman"/>
          <w:sz w:val="24"/>
          <w:szCs w:val="24"/>
        </w:rPr>
        <w:t>SLASPO</w:t>
      </w:r>
      <w:r w:rsidR="00EB28D9" w:rsidRPr="00EB28D9">
        <w:rPr>
          <w:rFonts w:ascii="Times New Roman" w:eastAsia="Calibri" w:hAnsi="Times New Roman" w:cs="Times New Roman"/>
          <w:sz w:val="24"/>
          <w:szCs w:val="24"/>
        </w:rPr>
        <w:t xml:space="preserve"> vyjadrila nesúhlas s navrhovaným nastavením výplatnej fázy z dôvodu zhoršenia </w:t>
      </w:r>
      <w:r w:rsidR="00EB28D9" w:rsidRPr="00EB28D9">
        <w:rPr>
          <w:rFonts w:ascii="Times New Roman" w:eastAsia="Calibri" w:hAnsi="Times New Roman" w:cs="Times New Roman"/>
          <w:sz w:val="24"/>
          <w:szCs w:val="24"/>
        </w:rPr>
        <w:lastRenderedPageBreak/>
        <w:t xml:space="preserve">postavenia poisťovní; uvedeným nastavením podmienok výplaty anuít je tento segment pre poisťovne značne neatraktívny, navyše budú poisťovne znášať aj </w:t>
      </w:r>
      <w:proofErr w:type="spellStart"/>
      <w:r w:rsidR="00EB28D9" w:rsidRPr="00EB28D9">
        <w:rPr>
          <w:rFonts w:ascii="Times New Roman" w:eastAsia="Calibri" w:hAnsi="Times New Roman" w:cs="Times New Roman"/>
          <w:sz w:val="24"/>
          <w:szCs w:val="24"/>
        </w:rPr>
        <w:t>reputačné</w:t>
      </w:r>
      <w:proofErr w:type="spellEnd"/>
      <w:r w:rsidR="00EB28D9" w:rsidRPr="00EB28D9">
        <w:rPr>
          <w:rFonts w:ascii="Times New Roman" w:eastAsia="Calibri" w:hAnsi="Times New Roman" w:cs="Times New Roman"/>
          <w:sz w:val="24"/>
          <w:szCs w:val="24"/>
        </w:rPr>
        <w:t xml:space="preserve"> riziko z dôvodu nízkych dôchodkov (vplyvom vstupných parametrov), SLASPO preto v tejto súvislosti navrhla prediskutovanie uvedenej témy s odborníkmi na danú problematiku (MPSVR SR vyjadrilo súhlas a zdôraznilo, že ide o prvú konzultáciu, kde sa témy diskutujú len rámcovo a jednotlivé oblasti budú vyč</w:t>
      </w:r>
      <w:r w:rsidR="00EB28D9">
        <w:rPr>
          <w:rFonts w:ascii="Times New Roman" w:eastAsia="Calibri" w:hAnsi="Times New Roman" w:cs="Times New Roman"/>
          <w:sz w:val="24"/>
          <w:szCs w:val="24"/>
        </w:rPr>
        <w:t xml:space="preserve">lenené na samostatnú diskusiu). </w:t>
      </w:r>
    </w:p>
    <w:p w:rsidR="007B6158" w:rsidRDefault="00EB28D9" w:rsidP="00EB28D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EB28D9">
        <w:rPr>
          <w:rFonts w:ascii="Times New Roman" w:eastAsia="Calibri" w:hAnsi="Times New Roman" w:cs="Times New Roman"/>
          <w:sz w:val="24"/>
          <w:szCs w:val="24"/>
        </w:rPr>
        <w:t xml:space="preserve">odľa </w:t>
      </w:r>
      <w:r w:rsidRPr="0028568E">
        <w:rPr>
          <w:rFonts w:ascii="Times New Roman" w:hAnsi="Times New Roman" w:cs="Times New Roman"/>
          <w:sz w:val="24"/>
          <w:szCs w:val="24"/>
        </w:rPr>
        <w:t xml:space="preserve">dôchodkových správcovských spoločností (ADSS) </w:t>
      </w:r>
      <w:r w:rsidRPr="00EB28D9">
        <w:rPr>
          <w:rFonts w:ascii="Times New Roman" w:eastAsia="Calibri" w:hAnsi="Times New Roman" w:cs="Times New Roman"/>
          <w:sz w:val="24"/>
          <w:szCs w:val="24"/>
        </w:rPr>
        <w:t>je potrebné klásť dôraz na stabilizáciu a udržateľnosť systému starobného dôchodkového sporenia a v prípade programového výberu na jeho dlhodobé poberanie; v rámci diskusie o tejto téme ADSS zároveň poukázala na problémy súvisiace s podávaním žiadostí o dôchodok a potrebu zapracovania zmien v regulácii, ktoré vyplývajú z aplikačnej praxe a vývoja v sektore (vo vzťahu k modelom fungovania v sektore sprostredkovania).</w:t>
      </w:r>
      <w:r w:rsidR="007B6158">
        <w:rPr>
          <w:rFonts w:ascii="Times New Roman" w:eastAsia="Calibri" w:hAnsi="Times New Roman" w:cs="Times New Roman"/>
          <w:sz w:val="24"/>
          <w:szCs w:val="24"/>
        </w:rPr>
        <w:t xml:space="preserve"> </w:t>
      </w:r>
      <w:r>
        <w:rPr>
          <w:rFonts w:ascii="Times New Roman" w:hAnsi="Times New Roman" w:cs="Times New Roman"/>
          <w:sz w:val="24"/>
          <w:szCs w:val="24"/>
        </w:rPr>
        <w:t>Podľa názoru ADSS je potrebné pri fondoch, ktoré môže DSS vytvárať a spravovať ustanoviť zákonom č. 43/2004 Z. z. len rámce investičnej stratégie, okruh povolených aktív, limity na jednotlivé kategórie aktív a pravidlá obmedzenia a rozloženia rizika, ADSS vyjadrila nesúhlas s tým, aby investičná stratégia bola definovaná referenčnými ukazovateľmi (prípadne inak) zo zákon</w:t>
      </w:r>
      <w:r w:rsidR="007B6158">
        <w:rPr>
          <w:rFonts w:ascii="Times New Roman" w:hAnsi="Times New Roman" w:cs="Times New Roman"/>
          <w:sz w:val="24"/>
          <w:szCs w:val="24"/>
        </w:rPr>
        <w:t>a</w:t>
      </w:r>
      <w:r>
        <w:rPr>
          <w:rFonts w:ascii="Times New Roman" w:hAnsi="Times New Roman" w:cs="Times New Roman"/>
          <w:sz w:val="24"/>
          <w:szCs w:val="24"/>
        </w:rPr>
        <w:t>.</w:t>
      </w:r>
      <w:r w:rsidR="007B6158">
        <w:rPr>
          <w:rFonts w:ascii="Times New Roman" w:hAnsi="Times New Roman" w:cs="Times New Roman"/>
          <w:sz w:val="24"/>
          <w:szCs w:val="24"/>
        </w:rPr>
        <w:t xml:space="preserve"> ADSS je za zachovanie typov a výšky odplát bez ich znižovania.</w:t>
      </w:r>
      <w:r w:rsidR="00BF47B5" w:rsidRPr="00BF47B5">
        <w:rPr>
          <w:rFonts w:ascii="Times New Roman" w:eastAsia="Calibri" w:hAnsi="Times New Roman" w:cs="Times New Roman"/>
          <w:sz w:val="24"/>
          <w:szCs w:val="24"/>
        </w:rPr>
        <w:t xml:space="preserve"> </w:t>
      </w:r>
    </w:p>
    <w:p w:rsidR="00EB28D9" w:rsidRPr="00EB28D9" w:rsidRDefault="00BF47B5" w:rsidP="00EB28D9">
      <w:pPr>
        <w:spacing w:after="0"/>
        <w:jc w:val="both"/>
        <w:rPr>
          <w:rFonts w:ascii="Times New Roman" w:eastAsia="Calibri" w:hAnsi="Times New Roman" w:cs="Times New Roman"/>
          <w:sz w:val="24"/>
          <w:szCs w:val="24"/>
        </w:rPr>
      </w:pPr>
      <w:r w:rsidRPr="00BF47B5">
        <w:rPr>
          <w:rFonts w:ascii="Times New Roman" w:eastAsia="Calibri" w:hAnsi="Times New Roman" w:cs="Times New Roman"/>
          <w:sz w:val="24"/>
          <w:szCs w:val="24"/>
        </w:rPr>
        <w:t xml:space="preserve">Druhá konzultácia sa uskutočnila dňa 10. septembra 2021 aj za účasti zástupcov </w:t>
      </w:r>
      <w:r w:rsidR="00557064">
        <w:rPr>
          <w:rFonts w:ascii="Times New Roman" w:eastAsia="Calibri" w:hAnsi="Times New Roman" w:cs="Times New Roman"/>
          <w:sz w:val="24"/>
          <w:szCs w:val="24"/>
        </w:rPr>
        <w:t>Národnej banky Slovenska</w:t>
      </w:r>
      <w:r w:rsidRPr="00BF47B5">
        <w:rPr>
          <w:rFonts w:ascii="Times New Roman" w:eastAsia="Calibri" w:hAnsi="Times New Roman" w:cs="Times New Roman"/>
          <w:sz w:val="24"/>
          <w:szCs w:val="24"/>
        </w:rPr>
        <w:t>, témami konzultácie boli najmä zavedenie predvolenej investičnej stratégie a dôvody jej zavedenia.</w:t>
      </w:r>
      <w:r w:rsidR="00EB28D9">
        <w:rPr>
          <w:rFonts w:ascii="Times New Roman" w:eastAsia="Calibri" w:hAnsi="Times New Roman" w:cs="Times New Roman"/>
          <w:sz w:val="24"/>
          <w:szCs w:val="24"/>
        </w:rPr>
        <w:t xml:space="preserve"> ADSS súhlasila</w:t>
      </w:r>
      <w:r w:rsidR="00EB28D9" w:rsidRPr="00EB28D9">
        <w:rPr>
          <w:rFonts w:ascii="Times New Roman" w:eastAsia="Calibri" w:hAnsi="Times New Roman" w:cs="Times New Roman"/>
          <w:sz w:val="24"/>
          <w:szCs w:val="24"/>
        </w:rPr>
        <w:t xml:space="preserve"> s nastavením základného rámca predvolenej investičnej stratégie, zásadné výhrady k predloženému scenáru nevyjadrila, zástupcovia však upozornili na potrebu ďalšej diskusie a prehodnotenia návrhu vo vzťahu k</w:t>
      </w:r>
      <w:r w:rsidR="003935E4">
        <w:rPr>
          <w:rFonts w:ascii="Times New Roman" w:eastAsia="Calibri" w:hAnsi="Times New Roman" w:cs="Times New Roman"/>
          <w:sz w:val="24"/>
          <w:szCs w:val="24"/>
        </w:rPr>
        <w:t>:</w:t>
      </w:r>
    </w:p>
    <w:p w:rsidR="00EB28D9" w:rsidRPr="00EB28D9" w:rsidRDefault="00EB28D9" w:rsidP="00EB28D9">
      <w:pPr>
        <w:spacing w:after="0"/>
        <w:jc w:val="both"/>
        <w:rPr>
          <w:rFonts w:ascii="Times New Roman" w:eastAsia="Calibri" w:hAnsi="Times New Roman" w:cs="Times New Roman"/>
          <w:sz w:val="24"/>
          <w:szCs w:val="24"/>
        </w:rPr>
      </w:pPr>
      <w:r w:rsidRPr="00EB28D9">
        <w:rPr>
          <w:rFonts w:ascii="Times New Roman" w:eastAsia="Calibri" w:hAnsi="Times New Roman" w:cs="Times New Roman"/>
          <w:sz w:val="24"/>
          <w:szCs w:val="24"/>
        </w:rPr>
        <w:t xml:space="preserve">- sporiteľom, ktorí budú do predvolenej investičnej stratégie presunutí z dlhopisových garantovaných dôchodkových fondoch (tzv. existujúci sporitelia), </w:t>
      </w:r>
    </w:p>
    <w:p w:rsidR="00EB28D9" w:rsidRPr="00EB28D9" w:rsidRDefault="00EB28D9" w:rsidP="00EB28D9">
      <w:pPr>
        <w:spacing w:after="0"/>
        <w:jc w:val="both"/>
        <w:rPr>
          <w:rFonts w:ascii="Times New Roman" w:eastAsia="Calibri" w:hAnsi="Times New Roman" w:cs="Times New Roman"/>
          <w:sz w:val="24"/>
          <w:szCs w:val="24"/>
        </w:rPr>
      </w:pPr>
      <w:r w:rsidRPr="00EB28D9">
        <w:rPr>
          <w:rFonts w:ascii="Times New Roman" w:eastAsia="Calibri" w:hAnsi="Times New Roman" w:cs="Times New Roman"/>
          <w:sz w:val="24"/>
          <w:szCs w:val="24"/>
        </w:rPr>
        <w:t>- postupu presunu majetku sporiteľa, ktorá je určená na zakúpenie doživotnej anuity počas blokácie nasporenej sumy do dlhopisov na horizonte 10 rokov (s dôrazom na postupné znižovanie akciovej zložky)</w:t>
      </w:r>
      <w:r w:rsidR="003935E4">
        <w:rPr>
          <w:rFonts w:ascii="Times New Roman" w:eastAsia="Calibri" w:hAnsi="Times New Roman" w:cs="Times New Roman"/>
          <w:sz w:val="24"/>
          <w:szCs w:val="24"/>
        </w:rPr>
        <w:t>,</w:t>
      </w:r>
    </w:p>
    <w:p w:rsidR="007B6158" w:rsidRDefault="00EB28D9" w:rsidP="00EB28D9">
      <w:pPr>
        <w:spacing w:after="0"/>
        <w:jc w:val="both"/>
        <w:rPr>
          <w:rFonts w:ascii="Times New Roman" w:eastAsia="Calibri" w:hAnsi="Times New Roman" w:cs="Times New Roman"/>
          <w:sz w:val="24"/>
          <w:szCs w:val="24"/>
        </w:rPr>
      </w:pPr>
      <w:r w:rsidRPr="00EB28D9">
        <w:rPr>
          <w:rFonts w:ascii="Times New Roman" w:eastAsia="Calibri" w:hAnsi="Times New Roman" w:cs="Times New Roman"/>
          <w:sz w:val="24"/>
          <w:szCs w:val="24"/>
        </w:rPr>
        <w:t>- potrebe definovania podmienok pre presun časti majetku sporiteľa, ktorý sa tzv. „vyviazal“ z predvolenej investičnej stratégie, a to najmä v prípadoch, kedy má významný podiel majetku alokovaný v akciách a vstupuje/vstúpi do výplatnej fázy</w:t>
      </w:r>
      <w:r>
        <w:rPr>
          <w:rFonts w:ascii="Times New Roman" w:eastAsia="Calibri" w:hAnsi="Times New Roman" w:cs="Times New Roman"/>
          <w:sz w:val="24"/>
          <w:szCs w:val="24"/>
        </w:rPr>
        <w:t>.</w:t>
      </w:r>
      <w:r w:rsidR="00BF47B5" w:rsidRPr="00BF47B5">
        <w:rPr>
          <w:rFonts w:ascii="Times New Roman" w:eastAsia="Calibri" w:hAnsi="Times New Roman" w:cs="Times New Roman"/>
          <w:sz w:val="24"/>
          <w:szCs w:val="24"/>
        </w:rPr>
        <w:t xml:space="preserve"> </w:t>
      </w:r>
    </w:p>
    <w:p w:rsidR="00EB28D9" w:rsidRPr="00EB28D9" w:rsidRDefault="00BF47B5" w:rsidP="00EB28D9">
      <w:pPr>
        <w:spacing w:after="0"/>
        <w:jc w:val="both"/>
        <w:rPr>
          <w:rFonts w:ascii="Times New Roman" w:eastAsia="Calibri" w:hAnsi="Times New Roman" w:cs="Times New Roman"/>
          <w:sz w:val="24"/>
          <w:szCs w:val="24"/>
        </w:rPr>
      </w:pPr>
      <w:r w:rsidRPr="00BF47B5">
        <w:rPr>
          <w:rFonts w:ascii="Times New Roman" w:eastAsia="Calibri" w:hAnsi="Times New Roman" w:cs="Times New Roman"/>
          <w:sz w:val="24"/>
          <w:szCs w:val="24"/>
        </w:rPr>
        <w:t xml:space="preserve">Tretia konzultácia sa uskutočnila dňa 20. septembra 2021 aj za účasti zástupcov </w:t>
      </w:r>
      <w:r w:rsidR="00557064">
        <w:rPr>
          <w:rFonts w:ascii="Times New Roman" w:eastAsia="Calibri" w:hAnsi="Times New Roman" w:cs="Times New Roman"/>
          <w:sz w:val="24"/>
          <w:szCs w:val="24"/>
        </w:rPr>
        <w:t>Národnej banky Slovenska</w:t>
      </w:r>
      <w:r w:rsidRPr="00BF47B5">
        <w:rPr>
          <w:rFonts w:ascii="Times New Roman" w:eastAsia="Calibri" w:hAnsi="Times New Roman" w:cs="Times New Roman"/>
          <w:sz w:val="24"/>
          <w:szCs w:val="24"/>
        </w:rPr>
        <w:t>, témou konzultácie boli zmeny vo výplatnej fáze</w:t>
      </w:r>
      <w:r w:rsidR="00EB28D9">
        <w:rPr>
          <w:rFonts w:ascii="Times New Roman" w:eastAsia="Calibri" w:hAnsi="Times New Roman" w:cs="Times New Roman"/>
          <w:sz w:val="24"/>
          <w:szCs w:val="24"/>
        </w:rPr>
        <w:t>. ADSS súhlasila</w:t>
      </w:r>
      <w:r w:rsidR="00EB28D9" w:rsidRPr="00EB28D9">
        <w:rPr>
          <w:rFonts w:ascii="Times New Roman" w:eastAsia="Calibri" w:hAnsi="Times New Roman" w:cs="Times New Roman"/>
          <w:sz w:val="24"/>
          <w:szCs w:val="24"/>
        </w:rPr>
        <w:t xml:space="preserve"> s nastavením základného rámca programového výberu, zásadné výhrady k predloženému scenáru nevyjadrila, zástupcovia však upozornili na potrebu ďalšej diskusie vo vzťahu k</w:t>
      </w:r>
      <w:r w:rsidR="003935E4">
        <w:rPr>
          <w:rFonts w:ascii="Times New Roman" w:eastAsia="Calibri" w:hAnsi="Times New Roman" w:cs="Times New Roman"/>
          <w:sz w:val="24"/>
          <w:szCs w:val="24"/>
        </w:rPr>
        <w:t>:</w:t>
      </w:r>
    </w:p>
    <w:p w:rsidR="00EB28D9" w:rsidRPr="00EB28D9" w:rsidRDefault="00EB28D9" w:rsidP="00EB28D9">
      <w:pPr>
        <w:spacing w:after="0"/>
        <w:jc w:val="both"/>
        <w:rPr>
          <w:rFonts w:ascii="Times New Roman" w:eastAsia="Calibri" w:hAnsi="Times New Roman" w:cs="Times New Roman"/>
          <w:sz w:val="24"/>
          <w:szCs w:val="24"/>
        </w:rPr>
      </w:pPr>
      <w:r w:rsidRPr="00EB28D9">
        <w:rPr>
          <w:rFonts w:ascii="Times New Roman" w:eastAsia="Calibri" w:hAnsi="Times New Roman" w:cs="Times New Roman"/>
          <w:sz w:val="24"/>
          <w:szCs w:val="24"/>
        </w:rPr>
        <w:t xml:space="preserve">- množstvu alternatív pre presun majetku, pri ktorých budú rôzne pravidlá na postupné znižovanie akciovej zložky vo výplatnej fáze, </w:t>
      </w:r>
    </w:p>
    <w:p w:rsidR="00054C41" w:rsidRDefault="00EB28D9" w:rsidP="00EB28D9">
      <w:pPr>
        <w:spacing w:after="0"/>
        <w:jc w:val="both"/>
        <w:rPr>
          <w:rFonts w:ascii="Times New Roman" w:eastAsia="Calibri" w:hAnsi="Times New Roman" w:cs="Times New Roman"/>
          <w:sz w:val="24"/>
          <w:szCs w:val="24"/>
        </w:rPr>
      </w:pPr>
      <w:r w:rsidRPr="00EB28D9">
        <w:rPr>
          <w:rFonts w:ascii="Times New Roman" w:eastAsia="Calibri" w:hAnsi="Times New Roman" w:cs="Times New Roman"/>
          <w:sz w:val="24"/>
          <w:szCs w:val="24"/>
        </w:rPr>
        <w:t xml:space="preserve">- technike vyplácania programového výberu – fixná dávka </w:t>
      </w:r>
      <w:proofErr w:type="spellStart"/>
      <w:r w:rsidRPr="00EB28D9">
        <w:rPr>
          <w:rFonts w:ascii="Times New Roman" w:eastAsia="Calibri" w:hAnsi="Times New Roman" w:cs="Times New Roman"/>
          <w:sz w:val="24"/>
          <w:szCs w:val="24"/>
        </w:rPr>
        <w:t>vs</w:t>
      </w:r>
      <w:proofErr w:type="spellEnd"/>
      <w:r w:rsidRPr="00EB28D9">
        <w:rPr>
          <w:rFonts w:ascii="Times New Roman" w:eastAsia="Calibri" w:hAnsi="Times New Roman" w:cs="Times New Roman"/>
          <w:sz w:val="24"/>
          <w:szCs w:val="24"/>
        </w:rPr>
        <w:t>. variabilná dávka na základe počtu dôchodkových jednotiek</w:t>
      </w:r>
      <w:r>
        <w:rPr>
          <w:rFonts w:ascii="Times New Roman" w:eastAsia="Calibri" w:hAnsi="Times New Roman" w:cs="Times New Roman"/>
          <w:sz w:val="24"/>
          <w:szCs w:val="24"/>
        </w:rPr>
        <w:t>.</w:t>
      </w:r>
    </w:p>
    <w:p w:rsidR="00BF47B5" w:rsidRPr="00D8247C" w:rsidRDefault="00BF47B5" w:rsidP="00054C41">
      <w:pPr>
        <w:spacing w:after="0"/>
        <w:jc w:val="both"/>
        <w:rPr>
          <w:rFonts w:ascii="Times New Roman" w:eastAsia="Calibri" w:hAnsi="Times New Roman" w:cs="Times New Roman"/>
          <w:i/>
          <w:sz w:val="24"/>
          <w:szCs w:val="24"/>
        </w:rPr>
      </w:pPr>
    </w:p>
    <w:p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Ovplyvní dostupnosť základných zdrojov (financie, pracovná sila, suroviny, mechanizmy, energie atď.)? </w:t>
      </w:r>
    </w:p>
    <w:p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054C41" w:rsidRPr="00D8247C" w:rsidRDefault="00330BA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3935E4">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054C41" w:rsidRPr="00D8247C" w:rsidRDefault="00330BA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3935E4">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i/>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rsidR="00EA5BD3" w:rsidRDefault="00EA5BD3" w:rsidP="00EA5BD3">
      <w:pPr>
        <w:spacing w:after="0" w:line="254" w:lineRule="auto"/>
        <w:jc w:val="both"/>
        <w:rPr>
          <w:rFonts w:ascii="Times New Roman" w:eastAsia="Calibri" w:hAnsi="Times New Roman" w:cs="Times New Roman"/>
          <w:i/>
          <w:sz w:val="24"/>
          <w:szCs w:val="24"/>
        </w:rPr>
      </w:pPr>
    </w:p>
    <w:p w:rsidR="00033A2D" w:rsidRDefault="00F10E19" w:rsidP="00033A2D">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Vládny návrh </w:t>
      </w:r>
      <w:r w:rsidR="00033A2D">
        <w:rPr>
          <w:rFonts w:ascii="Times New Roman" w:eastAsia="Calibri" w:hAnsi="Times New Roman" w:cs="Times New Roman"/>
          <w:sz w:val="24"/>
          <w:szCs w:val="24"/>
        </w:rPr>
        <w:t xml:space="preserve">zákona predpokladá nasledovné opatrenia, ktoré nezvyšujú byrokratickú záťaž alebo nákladovosť podnikateľského prostredia, ale napriek tomu majú dopad na hospodárenie podnikateľských subjektov:  </w:t>
      </w:r>
    </w:p>
    <w:p w:rsidR="009D000B" w:rsidRDefault="009D000B" w:rsidP="009D000B">
      <w:pPr>
        <w:jc w:val="both"/>
        <w:rPr>
          <w:rFonts w:ascii="Times New Roman" w:eastAsia="Calibri" w:hAnsi="Times New Roman" w:cs="Times New Roman"/>
          <w:bCs/>
          <w:iCs/>
          <w:color w:val="000000"/>
          <w:sz w:val="24"/>
          <w:szCs w:val="24"/>
        </w:rPr>
      </w:pPr>
      <w:r w:rsidRPr="009D000B">
        <w:rPr>
          <w:rFonts w:ascii="Times New Roman" w:eastAsia="Calibri" w:hAnsi="Times New Roman" w:cs="Times New Roman"/>
          <w:b/>
          <w:i/>
          <w:sz w:val="24"/>
          <w:szCs w:val="24"/>
          <w:u w:val="single"/>
        </w:rPr>
        <w:t>Zmena odplát v II. pilieri</w:t>
      </w:r>
      <w:r>
        <w:rPr>
          <w:rFonts w:ascii="Times New Roman" w:eastAsia="Calibri" w:hAnsi="Times New Roman" w:cs="Times New Roman"/>
          <w:b/>
          <w:i/>
          <w:sz w:val="24"/>
          <w:szCs w:val="24"/>
          <w:u w:val="single"/>
        </w:rPr>
        <w:t xml:space="preserve"> - </w:t>
      </w:r>
      <w:r>
        <w:rPr>
          <w:rFonts w:ascii="Times New Roman" w:eastAsia="Calibri" w:hAnsi="Times New Roman" w:cs="Times New Roman"/>
          <w:bCs/>
          <w:iCs/>
          <w:color w:val="000000"/>
          <w:sz w:val="24"/>
          <w:szCs w:val="24"/>
        </w:rPr>
        <w:t xml:space="preserve">DSS nebudú mať nárok na odplatu za </w:t>
      </w:r>
      <w:r w:rsidR="00DA3F2F">
        <w:rPr>
          <w:rFonts w:ascii="Times New Roman" w:eastAsia="Calibri" w:hAnsi="Times New Roman" w:cs="Times New Roman"/>
          <w:bCs/>
          <w:iCs/>
          <w:color w:val="000000"/>
          <w:sz w:val="24"/>
          <w:szCs w:val="24"/>
        </w:rPr>
        <w:t>zhodnotenie majetku v dôchodkovom fonde.</w:t>
      </w:r>
      <w:r>
        <w:rPr>
          <w:rFonts w:ascii="Times New Roman" w:eastAsia="Calibri" w:hAnsi="Times New Roman" w:cs="Times New Roman"/>
          <w:bCs/>
          <w:iCs/>
          <w:color w:val="000000"/>
          <w:sz w:val="24"/>
          <w:szCs w:val="24"/>
        </w:rPr>
        <w:t xml:space="preserve"> Odplata za zhodnotenie dlhodobo tvorí cca 47 % všetkých výnosov DSS, v roku 2021 to však bolo viac ako 66 %. V prípade DSS, ktoré tvoria indexové </w:t>
      </w:r>
      <w:r w:rsidR="00732857">
        <w:rPr>
          <w:rFonts w:ascii="Times New Roman" w:eastAsia="Calibri" w:hAnsi="Times New Roman" w:cs="Times New Roman"/>
          <w:bCs/>
          <w:iCs/>
          <w:color w:val="000000"/>
          <w:sz w:val="24"/>
          <w:szCs w:val="24"/>
        </w:rPr>
        <w:t xml:space="preserve">dôchodkové </w:t>
      </w:r>
      <w:r>
        <w:rPr>
          <w:rFonts w:ascii="Times New Roman" w:eastAsia="Calibri" w:hAnsi="Times New Roman" w:cs="Times New Roman"/>
          <w:bCs/>
          <w:iCs/>
          <w:color w:val="000000"/>
          <w:sz w:val="24"/>
          <w:szCs w:val="24"/>
        </w:rPr>
        <w:t xml:space="preserve">fondy (všetky DSS okrem Allianz-Slovenská </w:t>
      </w:r>
      <w:proofErr w:type="spellStart"/>
      <w:r>
        <w:rPr>
          <w:rFonts w:ascii="Times New Roman" w:eastAsia="Calibri" w:hAnsi="Times New Roman" w:cs="Times New Roman"/>
          <w:bCs/>
          <w:iCs/>
          <w:color w:val="000000"/>
          <w:sz w:val="24"/>
          <w:szCs w:val="24"/>
        </w:rPr>
        <w:t>d.s.s</w:t>
      </w:r>
      <w:proofErr w:type="spellEnd"/>
      <w:r>
        <w:rPr>
          <w:rFonts w:ascii="Times New Roman" w:eastAsia="Calibri" w:hAnsi="Times New Roman" w:cs="Times New Roman"/>
          <w:bCs/>
          <w:iCs/>
          <w:color w:val="000000"/>
          <w:sz w:val="24"/>
          <w:szCs w:val="24"/>
        </w:rPr>
        <w:t xml:space="preserve">., </w:t>
      </w:r>
      <w:proofErr w:type="spellStart"/>
      <w:r>
        <w:rPr>
          <w:rFonts w:ascii="Times New Roman" w:eastAsia="Calibri" w:hAnsi="Times New Roman" w:cs="Times New Roman"/>
          <w:bCs/>
          <w:iCs/>
          <w:color w:val="000000"/>
          <w:sz w:val="24"/>
          <w:szCs w:val="24"/>
        </w:rPr>
        <w:t>a.s</w:t>
      </w:r>
      <w:proofErr w:type="spellEnd"/>
      <w:r>
        <w:rPr>
          <w:rFonts w:ascii="Times New Roman" w:eastAsia="Calibri" w:hAnsi="Times New Roman" w:cs="Times New Roman"/>
          <w:bCs/>
          <w:iCs/>
          <w:color w:val="000000"/>
          <w:sz w:val="24"/>
          <w:szCs w:val="24"/>
        </w:rPr>
        <w:t>.) dosahuje výnos z odplaty za zhodnotenie v pasívnom fonde cca 80 % výnosov z odplaty za zhodnotenie</w:t>
      </w:r>
      <w:r w:rsidR="00732857">
        <w:rPr>
          <w:rFonts w:ascii="Times New Roman" w:eastAsia="Calibri" w:hAnsi="Times New Roman" w:cs="Times New Roman"/>
          <w:bCs/>
          <w:iCs/>
          <w:color w:val="000000"/>
          <w:sz w:val="24"/>
          <w:szCs w:val="24"/>
        </w:rPr>
        <w:t>,</w:t>
      </w:r>
      <w:r>
        <w:rPr>
          <w:rFonts w:ascii="Times New Roman" w:eastAsia="Calibri" w:hAnsi="Times New Roman" w:cs="Times New Roman"/>
          <w:bCs/>
          <w:iCs/>
          <w:color w:val="000000"/>
          <w:sz w:val="24"/>
          <w:szCs w:val="24"/>
        </w:rPr>
        <w:t xml:space="preserve"> a to napriek tomu, že k 31.12.2021 malo časť majetku v indexovom dôchodkovom fonde len cca 21 % sporiteľov. DSS </w:t>
      </w:r>
      <w:r w:rsidR="00732857">
        <w:rPr>
          <w:rFonts w:ascii="Times New Roman" w:eastAsia="Calibri" w:hAnsi="Times New Roman" w:cs="Times New Roman"/>
          <w:bCs/>
          <w:iCs/>
          <w:color w:val="000000"/>
          <w:sz w:val="24"/>
          <w:szCs w:val="24"/>
        </w:rPr>
        <w:t>nebudú mať</w:t>
      </w:r>
      <w:r>
        <w:rPr>
          <w:rFonts w:ascii="Times New Roman" w:eastAsia="Calibri" w:hAnsi="Times New Roman" w:cs="Times New Roman"/>
          <w:bCs/>
          <w:iCs/>
          <w:color w:val="000000"/>
          <w:sz w:val="24"/>
          <w:szCs w:val="24"/>
        </w:rPr>
        <w:t xml:space="preserve"> nárok</w:t>
      </w:r>
      <w:r w:rsidR="00DA3F2F">
        <w:rPr>
          <w:rFonts w:ascii="Times New Roman" w:eastAsia="Calibri" w:hAnsi="Times New Roman" w:cs="Times New Roman"/>
          <w:bCs/>
          <w:iCs/>
          <w:color w:val="000000"/>
          <w:sz w:val="24"/>
          <w:szCs w:val="24"/>
        </w:rPr>
        <w:t xml:space="preserve"> a</w:t>
      </w:r>
      <w:r w:rsidR="00732857">
        <w:rPr>
          <w:rFonts w:ascii="Times New Roman" w:eastAsia="Calibri" w:hAnsi="Times New Roman" w:cs="Times New Roman"/>
          <w:bCs/>
          <w:iCs/>
          <w:color w:val="000000"/>
          <w:sz w:val="24"/>
          <w:szCs w:val="24"/>
        </w:rPr>
        <w:t>ni</w:t>
      </w:r>
      <w:r>
        <w:rPr>
          <w:rFonts w:ascii="Times New Roman" w:eastAsia="Calibri" w:hAnsi="Times New Roman" w:cs="Times New Roman"/>
          <w:bCs/>
          <w:iCs/>
          <w:color w:val="000000"/>
          <w:sz w:val="24"/>
          <w:szCs w:val="24"/>
        </w:rPr>
        <w:t xml:space="preserve"> na odplatu za vedenie osobného dôchodkového účtu vo výške 1 % zo sumy príspevkov pripísaných na účet nepriradených platieb v DSS. </w:t>
      </w:r>
      <w:r w:rsidRPr="009D000B">
        <w:rPr>
          <w:rFonts w:ascii="Times New Roman" w:eastAsia="Calibri" w:hAnsi="Times New Roman" w:cs="Times New Roman"/>
          <w:bCs/>
          <w:iCs/>
          <w:color w:val="000000"/>
          <w:sz w:val="24"/>
          <w:szCs w:val="24"/>
        </w:rPr>
        <w:t xml:space="preserve">Správcom v II. pilieri naopak vzrastie odplata za správu dôchodkového fondu zo súčasnej úrovne 0,3 % na 0,4 % priemernej ročnej predbežnej čistej hodnoty majetku v dôchodkovom fonde. Dlhodobý podiel rušených odplát na výnosoch DSS je cca 57 % (z toho odplata za zhodnotenie cca 47 % a odplata za vedenie osobného dôchodkového účtu cca 10 %). Navrhované zmeny tak znížia výnosy DSS o cca </w:t>
      </w:r>
      <w:r>
        <w:rPr>
          <w:rFonts w:ascii="Times New Roman" w:eastAsia="Calibri" w:hAnsi="Times New Roman" w:cs="Times New Roman"/>
          <w:bCs/>
          <w:iCs/>
          <w:color w:val="000000"/>
          <w:sz w:val="24"/>
          <w:szCs w:val="24"/>
        </w:rPr>
        <w:t>35</w:t>
      </w:r>
      <w:r w:rsidRPr="009D000B">
        <w:rPr>
          <w:rFonts w:ascii="Times New Roman" w:eastAsia="Calibri" w:hAnsi="Times New Roman" w:cs="Times New Roman"/>
          <w:bCs/>
          <w:iCs/>
          <w:color w:val="000000"/>
          <w:sz w:val="24"/>
          <w:szCs w:val="24"/>
        </w:rPr>
        <w:t xml:space="preserve"> %.</w:t>
      </w:r>
    </w:p>
    <w:p w:rsidR="009D000B" w:rsidRDefault="009D000B" w:rsidP="009D000B">
      <w:pPr>
        <w:jc w:val="both"/>
        <w:rPr>
          <w:rFonts w:ascii="Times New Roman" w:eastAsia="Calibri" w:hAnsi="Times New Roman" w:cs="Times New Roman"/>
          <w:bCs/>
          <w:iCs/>
          <w:color w:val="000000"/>
          <w:sz w:val="24"/>
          <w:szCs w:val="24"/>
        </w:rPr>
      </w:pPr>
    </w:p>
    <w:p w:rsidR="005111D6" w:rsidRDefault="00EA5BD3" w:rsidP="00EA5BD3">
      <w:pPr>
        <w:jc w:val="both"/>
        <w:rPr>
          <w:rFonts w:ascii="Times New Roman" w:eastAsia="Calibri" w:hAnsi="Times New Roman" w:cs="Times New Roman"/>
          <w:bCs/>
          <w:iCs/>
          <w:color w:val="000000"/>
          <w:sz w:val="24"/>
          <w:szCs w:val="24"/>
        </w:rPr>
      </w:pPr>
      <w:r w:rsidRPr="00EA5BD3">
        <w:rPr>
          <w:rFonts w:ascii="Times New Roman" w:eastAsia="Calibri" w:hAnsi="Times New Roman" w:cs="Times New Roman"/>
          <w:b/>
          <w:bCs/>
          <w:i/>
          <w:iCs/>
          <w:color w:val="000000"/>
          <w:sz w:val="24"/>
          <w:szCs w:val="24"/>
          <w:u w:val="single"/>
        </w:rPr>
        <w:lastRenderedPageBreak/>
        <w:t xml:space="preserve">Zrušenie odmeny finančnému sprostredkovateľovi </w:t>
      </w:r>
      <w:r w:rsidR="007618CE">
        <w:rPr>
          <w:rFonts w:ascii="Times New Roman" w:eastAsia="Calibri" w:hAnsi="Times New Roman" w:cs="Times New Roman"/>
          <w:b/>
          <w:bCs/>
          <w:i/>
          <w:iCs/>
          <w:color w:val="000000"/>
          <w:sz w:val="24"/>
          <w:szCs w:val="24"/>
          <w:u w:val="single"/>
        </w:rPr>
        <w:t xml:space="preserve">za uzatvorenie „prestupovej“ zmluvy o starobnom dôchodkovom sporení </w:t>
      </w:r>
      <w:r>
        <w:rPr>
          <w:rFonts w:ascii="Times New Roman" w:eastAsia="Calibri" w:hAnsi="Times New Roman" w:cs="Times New Roman"/>
          <w:b/>
          <w:bCs/>
          <w:i/>
          <w:iCs/>
          <w:color w:val="000000"/>
          <w:sz w:val="24"/>
          <w:szCs w:val="24"/>
          <w:u w:val="single"/>
        </w:rPr>
        <w:t xml:space="preserve">- </w:t>
      </w:r>
      <w:r w:rsidRPr="00987FB6">
        <w:rPr>
          <w:rFonts w:ascii="Times New Roman" w:eastAsia="Calibri" w:hAnsi="Times New Roman" w:cs="Times New Roman"/>
          <w:bCs/>
          <w:iCs/>
          <w:color w:val="000000"/>
          <w:sz w:val="24"/>
          <w:szCs w:val="24"/>
        </w:rPr>
        <w:t xml:space="preserve">Výdavky </w:t>
      </w:r>
      <w:r>
        <w:rPr>
          <w:rFonts w:ascii="Times New Roman" w:eastAsia="Calibri" w:hAnsi="Times New Roman" w:cs="Times New Roman"/>
          <w:bCs/>
          <w:iCs/>
          <w:color w:val="000000"/>
          <w:sz w:val="24"/>
          <w:szCs w:val="24"/>
        </w:rPr>
        <w:t>DSS</w:t>
      </w:r>
      <w:r w:rsidRPr="00987FB6">
        <w:rPr>
          <w:rFonts w:ascii="Times New Roman" w:eastAsia="Calibri" w:hAnsi="Times New Roman" w:cs="Times New Roman"/>
          <w:bCs/>
          <w:iCs/>
          <w:color w:val="000000"/>
          <w:sz w:val="24"/>
          <w:szCs w:val="24"/>
        </w:rPr>
        <w:t xml:space="preserve"> a výdavky na uzatvorenie jednej zmluvy o starobnom dôchodkovom sporení vrátane jej zmien a na činnosti s tým súvisiace, nesmú presiahnuť</w:t>
      </w:r>
      <w:r>
        <w:rPr>
          <w:rFonts w:ascii="Times New Roman" w:eastAsia="Calibri" w:hAnsi="Times New Roman" w:cs="Times New Roman"/>
          <w:bCs/>
          <w:iCs/>
          <w:color w:val="000000"/>
          <w:sz w:val="24"/>
          <w:szCs w:val="24"/>
        </w:rPr>
        <w:t xml:space="preserve"> podľa súčasnej právnej úpravy </w:t>
      </w:r>
      <w:r w:rsidRPr="00987FB6">
        <w:rPr>
          <w:rFonts w:ascii="Times New Roman" w:eastAsia="Calibri" w:hAnsi="Times New Roman" w:cs="Times New Roman"/>
          <w:bCs/>
          <w:iCs/>
          <w:color w:val="000000"/>
          <w:sz w:val="24"/>
          <w:szCs w:val="24"/>
        </w:rPr>
        <w:t xml:space="preserve">8 % priemernej mesačnej mzdy v </w:t>
      </w:r>
      <w:r>
        <w:rPr>
          <w:rFonts w:ascii="Times New Roman" w:eastAsia="Calibri" w:hAnsi="Times New Roman" w:cs="Times New Roman"/>
          <w:bCs/>
          <w:iCs/>
          <w:color w:val="000000"/>
          <w:sz w:val="24"/>
          <w:szCs w:val="24"/>
        </w:rPr>
        <w:t> </w:t>
      </w:r>
      <w:r w:rsidRPr="00987FB6">
        <w:rPr>
          <w:rFonts w:ascii="Times New Roman" w:eastAsia="Calibri" w:hAnsi="Times New Roman" w:cs="Times New Roman"/>
          <w:bCs/>
          <w:iCs/>
          <w:color w:val="000000"/>
          <w:sz w:val="24"/>
          <w:szCs w:val="24"/>
        </w:rPr>
        <w:t>hospodárstve Slovenskej republiky vykázanej Štatistickým úradom Slovenskej republiky za kalendárny rok, ktorý dva roky predchádza kalendárnemu roku, v ktorom sa uzatvorila zmluva o starobnom dôchodkovom sporení vrátane jej zmien.</w:t>
      </w:r>
      <w:r>
        <w:rPr>
          <w:rFonts w:ascii="Times New Roman" w:eastAsia="Calibri" w:hAnsi="Times New Roman" w:cs="Times New Roman"/>
          <w:bCs/>
          <w:iCs/>
          <w:color w:val="000000"/>
          <w:sz w:val="24"/>
          <w:szCs w:val="24"/>
        </w:rPr>
        <w:t xml:space="preserve"> V roku 2021 dosiahli výdavky DSS v súvislosti s činnosťou sprostredkovateľov pri objeme cca 41 000 prestupov podľa údajov účtovných závierok hodnotu cca 1,8  mil. eur. Pri predpoklade zachovania rovnakého počtu prestupov sporiteľov očakávame v roku 2023 zníženie výdavkov DSS o cca 2,1 mil. eur. Kumulatívne do roku 2030 predpokladáme zníženie výdavkov DSS o cca 20 mil. eur.</w:t>
      </w:r>
    </w:p>
    <w:p w:rsidR="00EA5BD3" w:rsidRDefault="005111D6" w:rsidP="00EA5BD3">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Uvedené opatrenie bude mať naopak negatívny dopad na</w:t>
      </w:r>
      <w:r w:rsidR="00EA5BD3">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f</w:t>
      </w:r>
      <w:r w:rsidRPr="005111D6">
        <w:rPr>
          <w:rFonts w:ascii="Times New Roman" w:eastAsia="Calibri" w:hAnsi="Times New Roman" w:cs="Times New Roman"/>
          <w:bCs/>
          <w:iCs/>
          <w:color w:val="000000"/>
          <w:sz w:val="24"/>
          <w:szCs w:val="24"/>
        </w:rPr>
        <w:t>inančný</w:t>
      </w:r>
      <w:r>
        <w:rPr>
          <w:rFonts w:ascii="Times New Roman" w:eastAsia="Calibri" w:hAnsi="Times New Roman" w:cs="Times New Roman"/>
          <w:bCs/>
          <w:iCs/>
          <w:color w:val="000000"/>
          <w:sz w:val="24"/>
          <w:szCs w:val="24"/>
        </w:rPr>
        <w:t>ch</w:t>
      </w:r>
      <w:r w:rsidRPr="005111D6">
        <w:rPr>
          <w:rFonts w:ascii="Times New Roman" w:eastAsia="Calibri" w:hAnsi="Times New Roman" w:cs="Times New Roman"/>
          <w:bCs/>
          <w:iCs/>
          <w:color w:val="000000"/>
          <w:sz w:val="24"/>
          <w:szCs w:val="24"/>
        </w:rPr>
        <w:t xml:space="preserve"> agent</w:t>
      </w:r>
      <w:r>
        <w:rPr>
          <w:rFonts w:ascii="Times New Roman" w:eastAsia="Calibri" w:hAnsi="Times New Roman" w:cs="Times New Roman"/>
          <w:bCs/>
          <w:iCs/>
          <w:color w:val="000000"/>
          <w:sz w:val="24"/>
          <w:szCs w:val="24"/>
        </w:rPr>
        <w:t>ov</w:t>
      </w:r>
      <w:r w:rsidRPr="005111D6">
        <w:rPr>
          <w:rFonts w:ascii="Times New Roman" w:eastAsia="Calibri" w:hAnsi="Times New Roman" w:cs="Times New Roman"/>
          <w:bCs/>
          <w:iCs/>
          <w:color w:val="000000"/>
          <w:sz w:val="24"/>
          <w:szCs w:val="24"/>
        </w:rPr>
        <w:t xml:space="preserve"> v sektore starobného dôchodkového sporenia</w:t>
      </w:r>
      <w:r>
        <w:rPr>
          <w:rFonts w:ascii="Times New Roman" w:eastAsia="Calibri" w:hAnsi="Times New Roman" w:cs="Times New Roman"/>
          <w:bCs/>
          <w:iCs/>
          <w:color w:val="000000"/>
          <w:sz w:val="24"/>
          <w:szCs w:val="24"/>
        </w:rPr>
        <w:t xml:space="preserve">, ktorým v dôsledku novej právnej úpravy kumulatívne poklesnú </w:t>
      </w:r>
      <w:r w:rsidR="004D22FD">
        <w:rPr>
          <w:rFonts w:ascii="Times New Roman" w:eastAsia="Calibri" w:hAnsi="Times New Roman" w:cs="Times New Roman"/>
          <w:bCs/>
          <w:iCs/>
          <w:color w:val="000000"/>
          <w:sz w:val="24"/>
          <w:szCs w:val="24"/>
        </w:rPr>
        <w:t>príjmy</w:t>
      </w:r>
      <w:r>
        <w:rPr>
          <w:rFonts w:ascii="Times New Roman" w:eastAsia="Calibri" w:hAnsi="Times New Roman" w:cs="Times New Roman"/>
          <w:bCs/>
          <w:iCs/>
          <w:color w:val="000000"/>
          <w:sz w:val="24"/>
          <w:szCs w:val="24"/>
        </w:rPr>
        <w:t xml:space="preserve"> vo výške zníženia výdavkov DSS kvantifikovaných v predchádzajúcom odseku. </w:t>
      </w:r>
    </w:p>
    <w:p w:rsidR="00EA5BD3" w:rsidRDefault="00EA5BD3" w:rsidP="00EA5BD3">
      <w:pPr>
        <w:jc w:val="both"/>
        <w:rPr>
          <w:rFonts w:ascii="Times New Roman" w:eastAsia="Calibri" w:hAnsi="Times New Roman" w:cs="Times New Roman"/>
          <w:sz w:val="24"/>
          <w:szCs w:val="24"/>
        </w:rPr>
      </w:pPr>
      <w:r w:rsidRPr="00EA5BD3">
        <w:rPr>
          <w:rFonts w:ascii="Times New Roman" w:eastAsia="Calibri" w:hAnsi="Times New Roman" w:cs="Times New Roman"/>
          <w:b/>
          <w:bCs/>
          <w:i/>
          <w:iCs/>
          <w:color w:val="000000"/>
          <w:sz w:val="24"/>
          <w:szCs w:val="24"/>
          <w:u w:val="single"/>
        </w:rPr>
        <w:t xml:space="preserve">Vyššie výnosy z odplaty za správu v dôsledku presunu sporiteľov do výnosnejších dôchodkových fondov </w:t>
      </w:r>
      <w:r>
        <w:rPr>
          <w:rFonts w:ascii="Times New Roman" w:eastAsia="Calibri" w:hAnsi="Times New Roman" w:cs="Times New Roman"/>
          <w:b/>
          <w:bCs/>
          <w:i/>
          <w:iCs/>
          <w:color w:val="000000"/>
          <w:sz w:val="24"/>
          <w:szCs w:val="24"/>
          <w:u w:val="single"/>
        </w:rPr>
        <w:t xml:space="preserve">- </w:t>
      </w:r>
      <w:r>
        <w:rPr>
          <w:rFonts w:ascii="Times New Roman" w:eastAsia="Calibri" w:hAnsi="Times New Roman" w:cs="Times New Roman"/>
          <w:sz w:val="24"/>
          <w:szCs w:val="24"/>
        </w:rPr>
        <w:t xml:space="preserve">Presun časti sporiteľov do predvolenej investičnej stratégie bude mať okrem pozitívneho dopadu na predpokladanú budúcu výšku  dôchodkov sporiteľov pozitívne dopady aj na výnosy DSS. Priemerná ročná výnosnosť dlhopisových garantovaných dôchodkových fondov dosahuje úroveň cca 1,4 %, pričom priemerná výnosnosť indexových </w:t>
      </w:r>
      <w:r w:rsidR="004D22FD">
        <w:rPr>
          <w:rFonts w:ascii="Times New Roman" w:eastAsia="Calibri" w:hAnsi="Times New Roman" w:cs="Times New Roman"/>
          <w:sz w:val="24"/>
          <w:szCs w:val="24"/>
        </w:rPr>
        <w:t xml:space="preserve">dôchodkových </w:t>
      </w:r>
      <w:r>
        <w:rPr>
          <w:rFonts w:ascii="Times New Roman" w:eastAsia="Calibri" w:hAnsi="Times New Roman" w:cs="Times New Roman"/>
          <w:sz w:val="24"/>
          <w:szCs w:val="24"/>
        </w:rPr>
        <w:t xml:space="preserve">fondov je na úrovni cca 10,8 %. Vyšší objem spravovaného majetku zvýši aj výnosy DSS z odplaty za správu, ktoré stúpnu v prvom roku v dôsledku postupného presunu o cca 1 mil. eur. Do roku 2030 však očakávame, že výnosy DSS môžu kumulatívne narásť o cca 50 mil. eur. </w:t>
      </w:r>
    </w:p>
    <w:p w:rsidR="00DA3F2F" w:rsidRDefault="00EA5BD3" w:rsidP="00EA5BD3">
      <w:pPr>
        <w:pStyle w:val="NormlB"/>
      </w:pPr>
      <w:r w:rsidRPr="00EA5BD3">
        <w:rPr>
          <w:rFonts w:eastAsia="Calibri" w:cs="Times New Roman"/>
          <w:b/>
          <w:bCs/>
          <w:i/>
          <w:iCs/>
          <w:color w:val="000000"/>
          <w:szCs w:val="24"/>
          <w:u w:val="single"/>
        </w:rPr>
        <w:t>Úprava výplatnej fázy</w:t>
      </w:r>
      <w:r>
        <w:rPr>
          <w:rFonts w:eastAsia="Calibri" w:cs="Times New Roman"/>
          <w:b/>
          <w:bCs/>
          <w:i/>
          <w:iCs/>
          <w:color w:val="000000"/>
          <w:szCs w:val="24"/>
          <w:u w:val="single"/>
        </w:rPr>
        <w:t xml:space="preserve"> -</w:t>
      </w:r>
      <w:r w:rsidRPr="00EA5BD3">
        <w:rPr>
          <w:rFonts w:eastAsia="Calibri" w:cs="Times New Roman"/>
          <w:sz w:val="20"/>
          <w:szCs w:val="20"/>
        </w:rPr>
        <w:t xml:space="preserve"> </w:t>
      </w:r>
      <w:r>
        <w:rPr>
          <w:rFonts w:eastAsia="Calibri" w:cs="Times New Roman"/>
          <w:szCs w:val="24"/>
        </w:rPr>
        <w:t xml:space="preserve">Podľa </w:t>
      </w:r>
      <w:r w:rsidR="00F10E19">
        <w:rPr>
          <w:rFonts w:eastAsia="Calibri" w:cs="Times New Roman"/>
          <w:szCs w:val="24"/>
        </w:rPr>
        <w:t xml:space="preserve">vládneho </w:t>
      </w:r>
      <w:r>
        <w:rPr>
          <w:rFonts w:eastAsia="Calibri" w:cs="Times New Roman"/>
          <w:szCs w:val="24"/>
        </w:rPr>
        <w:t>návrhu zákona sa s</w:t>
      </w:r>
      <w:r w:rsidRPr="00BF3E5C">
        <w:rPr>
          <w:rFonts w:eastAsia="Calibri" w:cs="Times New Roman"/>
          <w:szCs w:val="24"/>
        </w:rPr>
        <w:t xml:space="preserve">poriteľovi pri odchode do dôchodku z II. </w:t>
      </w:r>
      <w:r>
        <w:rPr>
          <w:rFonts w:eastAsia="Calibri" w:cs="Times New Roman"/>
          <w:szCs w:val="24"/>
        </w:rPr>
        <w:t> </w:t>
      </w:r>
      <w:r w:rsidRPr="00BF3E5C">
        <w:rPr>
          <w:rFonts w:eastAsia="Calibri" w:cs="Times New Roman"/>
          <w:szCs w:val="24"/>
        </w:rPr>
        <w:t xml:space="preserve">piliera (na základe žiadosti po dovŕšení dôchodkového veku, odchode do predčasného starobného dôchodku alebo starobného dôchodku) začne vyplácať programový výber z polovice jeho nasporenej sumy. Obdobie poberania programového </w:t>
      </w:r>
      <w:r w:rsidR="004D22FD">
        <w:rPr>
          <w:rFonts w:eastAsia="Calibri" w:cs="Times New Roman"/>
          <w:szCs w:val="24"/>
        </w:rPr>
        <w:t xml:space="preserve">výberu </w:t>
      </w:r>
      <w:r w:rsidR="00855C7A">
        <w:rPr>
          <w:rFonts w:eastAsia="Calibri" w:cs="Times New Roman"/>
          <w:szCs w:val="24"/>
        </w:rPr>
        <w:t>bude závisieť od vývoja strednej dĺžky života</w:t>
      </w:r>
      <w:r w:rsidRPr="00BF3E5C">
        <w:rPr>
          <w:rFonts w:eastAsia="Calibri" w:cs="Times New Roman"/>
          <w:szCs w:val="24"/>
        </w:rPr>
        <w:t>.</w:t>
      </w:r>
      <w:r>
        <w:rPr>
          <w:rFonts w:eastAsia="Calibri" w:cs="Times New Roman"/>
          <w:szCs w:val="24"/>
        </w:rPr>
        <w:t xml:space="preserve"> </w:t>
      </w:r>
      <w:r>
        <w:t xml:space="preserve">Druhá polovica nasporenej sumy bude naďalej z časti alokovaná aj do akciových investícií v súlade s predvolenou investičnou stratégiou, objem prostriedkov alokovaných v rizikových nástrojoch bude postupne klesať. Takto zhodnocovaná časť majetku bude následne po </w:t>
      </w:r>
      <w:r w:rsidR="00855C7A">
        <w:t>skončení poberania programového</w:t>
      </w:r>
      <w:r w:rsidR="004D22FD">
        <w:t xml:space="preserve"> výberu</w:t>
      </w:r>
      <w:r>
        <w:t xml:space="preserve"> použitá na zakúpenie doživotného dôchodku. Keďže sporitelia budú ešte aj počas </w:t>
      </w:r>
      <w:r w:rsidR="00855C7A">
        <w:t>prvej časti výplatnej fázy</w:t>
      </w:r>
      <w:r>
        <w:t xml:space="preserve"> držať svoje úspory v</w:t>
      </w:r>
      <w:r w:rsidR="004D22FD">
        <w:t> </w:t>
      </w:r>
      <w:r>
        <w:t>DSS</w:t>
      </w:r>
      <w:r w:rsidR="004D22FD">
        <w:t>,</w:t>
      </w:r>
      <w:r>
        <w:t xml:space="preserve"> očakávame, že počet sporite</w:t>
      </w:r>
      <w:r w:rsidR="00DA3F2F">
        <w:t>ľov stúpne do roku 2030 o cca 93</w:t>
      </w:r>
      <w:r>
        <w:t xml:space="preserve"> 000 v porovnaní so scenárom nezmenených politík. </w:t>
      </w:r>
    </w:p>
    <w:p w:rsidR="00EA5BD3" w:rsidRDefault="000C6298" w:rsidP="00EA5BD3">
      <w:pPr>
        <w:pStyle w:val="NormlB"/>
      </w:pPr>
      <w:r>
        <w:t xml:space="preserve">Úprava výplatnej fázy bude mať aj dopad na </w:t>
      </w:r>
      <w:r w:rsidR="005674DA">
        <w:t xml:space="preserve">životné </w:t>
      </w:r>
      <w:r>
        <w:t xml:space="preserve">poisťovne oprávnené ponúkať dôchodky zo systému starobného dôchodkového sporenia (k 1.4.2022 dva podnikateľské subjekty). V roku 2021 </w:t>
      </w:r>
      <w:r w:rsidRPr="000C6298">
        <w:t>bol</w:t>
      </w:r>
      <w:r w:rsidR="009C0DD9">
        <w:t>a</w:t>
      </w:r>
      <w:r w:rsidRPr="000C6298">
        <w:t xml:space="preserve"> na zakúpenie jedného z dôchodkov z II. piliera použitá nasporená suma v</w:t>
      </w:r>
      <w:r w:rsidR="00732857">
        <w:t xml:space="preserve"> celkovom </w:t>
      </w:r>
      <w:r w:rsidRPr="000C6298">
        <w:t>objeme cca 52,5 milióna eur, z</w:t>
      </w:r>
      <w:r w:rsidR="00ED6781">
        <w:t xml:space="preserve"> toho </w:t>
      </w:r>
      <w:r w:rsidRPr="000C6298">
        <w:t>cca 5,6 milióna eur (11 %) bolo určených na zakúpenie jedn</w:t>
      </w:r>
      <w:r w:rsidR="009C0DD9">
        <w:t>ej</w:t>
      </w:r>
      <w:r w:rsidRPr="000C6298">
        <w:t xml:space="preserve"> z doživotných foriem dôchodku</w:t>
      </w:r>
      <w:r>
        <w:t xml:space="preserve"> prostredníctvom jednej zo životných poisťovní. Legislatívna zmena bude znamenať, že nasporená suma bude do životných poisťovní </w:t>
      </w:r>
      <w:r w:rsidR="009C0DD9">
        <w:t>prevedená s odstupom</w:t>
      </w:r>
      <w:r>
        <w:t xml:space="preserve">, teda po </w:t>
      </w:r>
      <w:r w:rsidR="00855C7A">
        <w:t>skončení</w:t>
      </w:r>
      <w:r>
        <w:t xml:space="preserve"> poberania programového výberu. Po uplynutí </w:t>
      </w:r>
      <w:r w:rsidR="009C0DD9">
        <w:t>tohto</w:t>
      </w:r>
      <w:r>
        <w:t xml:space="preserve"> </w:t>
      </w:r>
      <w:r>
        <w:lastRenderedPageBreak/>
        <w:t>obdobia naopak objem prostriedkov určených na zakúpenie doživotného dôchodku</w:t>
      </w:r>
      <w:r w:rsidR="009C0DD9" w:rsidRPr="009C0DD9">
        <w:t xml:space="preserve"> </w:t>
      </w:r>
      <w:r w:rsidR="009C0DD9">
        <w:t>výrazne vzrastie</w:t>
      </w:r>
      <w:r w:rsidR="00ED6781">
        <w:t>,</w:t>
      </w:r>
      <w:r w:rsidR="005674DA">
        <w:t xml:space="preserve"> a to na úroveň 90 - 110 mil. eur v roku 2034 (v závislosti od zhodnotenia). </w:t>
      </w:r>
      <w:r>
        <w:t xml:space="preserve"> </w:t>
      </w:r>
    </w:p>
    <w:p w:rsidR="00EA5BD3" w:rsidRDefault="00EA5BD3" w:rsidP="00EA5BD3">
      <w:pPr>
        <w:pStyle w:val="NormlB"/>
        <w:rPr>
          <w:rFonts w:eastAsia="Calibri" w:cs="Times New Roman"/>
          <w:szCs w:val="24"/>
        </w:rPr>
      </w:pPr>
      <w:r w:rsidRPr="00EA5BD3">
        <w:rPr>
          <w:rFonts w:eastAsia="Calibri" w:cs="Times New Roman"/>
          <w:b/>
          <w:bCs/>
          <w:i/>
          <w:iCs/>
          <w:color w:val="000000"/>
          <w:szCs w:val="24"/>
          <w:u w:val="single"/>
        </w:rPr>
        <w:t xml:space="preserve">Platenie povinných príspevkov do II. piliera aj v období poberania dôchodku formou programového výberu </w:t>
      </w:r>
      <w:r w:rsidR="004D22FD">
        <w:rPr>
          <w:rFonts w:eastAsia="Calibri" w:cs="Times New Roman"/>
          <w:b/>
          <w:bCs/>
          <w:i/>
          <w:iCs/>
          <w:color w:val="000000"/>
          <w:szCs w:val="24"/>
          <w:u w:val="single"/>
        </w:rPr>
        <w:t>–</w:t>
      </w:r>
      <w:r>
        <w:rPr>
          <w:rFonts w:eastAsia="Calibri" w:cs="Times New Roman"/>
          <w:b/>
          <w:bCs/>
          <w:i/>
          <w:iCs/>
          <w:color w:val="000000"/>
          <w:szCs w:val="24"/>
          <w:u w:val="single"/>
        </w:rPr>
        <w:t xml:space="preserve"> </w:t>
      </w:r>
      <w:r w:rsidR="004D22FD">
        <w:rPr>
          <w:rFonts w:eastAsia="Times New Roman" w:cs="Times New Roman"/>
          <w:bCs/>
          <w:szCs w:val="24"/>
          <w:lang w:eastAsia="sk-SK"/>
        </w:rPr>
        <w:t>Zmena pri postupovaní povinných príspevkov do II. piliera</w:t>
      </w:r>
      <w:r w:rsidR="004D22FD" w:rsidRPr="007E4CA4">
        <w:rPr>
          <w:rFonts w:eastAsia="Times New Roman" w:cs="Times New Roman"/>
          <w:bCs/>
          <w:szCs w:val="24"/>
          <w:lang w:eastAsia="sk-SK"/>
        </w:rPr>
        <w:t xml:space="preserve"> aj počas poberania starobného alebo p</w:t>
      </w:r>
      <w:r w:rsidR="004D22FD">
        <w:rPr>
          <w:rFonts w:eastAsia="Times New Roman" w:cs="Times New Roman"/>
          <w:bCs/>
          <w:szCs w:val="24"/>
          <w:lang w:eastAsia="sk-SK"/>
        </w:rPr>
        <w:t xml:space="preserve">redčasného starobného dôchodku z II. piliera </w:t>
      </w:r>
      <w:r w:rsidRPr="004260ED">
        <w:rPr>
          <w:rFonts w:eastAsia="Calibri" w:cs="Times New Roman"/>
          <w:szCs w:val="24"/>
        </w:rPr>
        <w:t xml:space="preserve">má </w:t>
      </w:r>
      <w:r>
        <w:rPr>
          <w:rFonts w:eastAsia="Calibri" w:cs="Times New Roman"/>
          <w:szCs w:val="24"/>
        </w:rPr>
        <w:t>pozitívny</w:t>
      </w:r>
      <w:r w:rsidRPr="004260ED">
        <w:rPr>
          <w:rFonts w:eastAsia="Calibri" w:cs="Times New Roman"/>
          <w:szCs w:val="24"/>
        </w:rPr>
        <w:t xml:space="preserve"> vplyv na </w:t>
      </w:r>
      <w:r>
        <w:rPr>
          <w:rFonts w:eastAsia="Calibri" w:cs="Times New Roman"/>
          <w:szCs w:val="24"/>
        </w:rPr>
        <w:t>objem postúpených príspevkov.</w:t>
      </w:r>
      <w:r w:rsidRPr="004260ED">
        <w:rPr>
          <w:rFonts w:eastAsia="Calibri" w:cs="Times New Roman"/>
          <w:szCs w:val="24"/>
        </w:rPr>
        <w:t xml:space="preserve"> Počet dotknutých osôb odhadujeme v rokoch 2024 až 2030 na úrovni 3,3 tis. až 34,7 tis. </w:t>
      </w:r>
      <w:r>
        <w:rPr>
          <w:rFonts w:eastAsia="Calibri" w:cs="Times New Roman"/>
          <w:szCs w:val="24"/>
        </w:rPr>
        <w:t xml:space="preserve">ekonomicky aktívnych </w:t>
      </w:r>
      <w:r w:rsidRPr="004260ED">
        <w:rPr>
          <w:rFonts w:eastAsia="Calibri" w:cs="Times New Roman"/>
          <w:szCs w:val="24"/>
        </w:rPr>
        <w:t>sporiteľov po dovŕšení dôchodkového veku, ktorí budú poberať programový výber. Priemerný vymeriavací základ u týchto osôb v roku 2021 predstavoval približne 95 % priemernej mzdy v národnom hospodárstve SR</w:t>
      </w:r>
      <w:r>
        <w:rPr>
          <w:rFonts w:eastAsia="Calibri" w:cs="Times New Roman"/>
          <w:szCs w:val="24"/>
        </w:rPr>
        <w:t>, t. j. na úrovni približne 1 15</w:t>
      </w:r>
      <w:r w:rsidRPr="004260ED">
        <w:rPr>
          <w:rFonts w:eastAsia="Calibri" w:cs="Times New Roman"/>
          <w:szCs w:val="24"/>
        </w:rPr>
        <w:t>0 eur v roku 2021.</w:t>
      </w:r>
      <w:r>
        <w:rPr>
          <w:rFonts w:eastAsia="Calibri" w:cs="Times New Roman"/>
          <w:szCs w:val="24"/>
        </w:rPr>
        <w:t xml:space="preserve"> Vyšší objem spravovaného majetku zvýši kumulatívne výnosy DSS medzi rokmi 2024 až 2030 o cca 1 mil. eur</w:t>
      </w:r>
      <w:r w:rsidR="00855C7A">
        <w:rPr>
          <w:rFonts w:eastAsia="Calibri" w:cs="Times New Roman"/>
          <w:szCs w:val="24"/>
        </w:rPr>
        <w:t>.</w:t>
      </w:r>
      <w:r>
        <w:rPr>
          <w:rFonts w:eastAsia="Calibri" w:cs="Times New Roman"/>
          <w:szCs w:val="24"/>
        </w:rPr>
        <w:t xml:space="preserve"> </w:t>
      </w:r>
    </w:p>
    <w:p w:rsidR="00AA6CCD" w:rsidRDefault="00AA6CCD" w:rsidP="00AA6CCD">
      <w:pPr>
        <w:pStyle w:val="NormlB"/>
        <w:rPr>
          <w:rFonts w:eastAsia="Calibri" w:cs="Times New Roman"/>
          <w:szCs w:val="24"/>
        </w:rPr>
      </w:pPr>
      <w:r>
        <w:rPr>
          <w:rFonts w:eastAsia="Calibri" w:cs="Times New Roman"/>
          <w:szCs w:val="24"/>
        </w:rPr>
        <w:t xml:space="preserve">Vplyvy jednotlivých opatrení </w:t>
      </w:r>
      <w:r w:rsidR="00F10E19">
        <w:rPr>
          <w:rFonts w:eastAsia="Calibri" w:cs="Times New Roman"/>
          <w:szCs w:val="24"/>
        </w:rPr>
        <w:t xml:space="preserve">vládneho </w:t>
      </w:r>
      <w:r>
        <w:rPr>
          <w:rFonts w:eastAsia="Calibri" w:cs="Times New Roman"/>
          <w:szCs w:val="24"/>
        </w:rPr>
        <w:t xml:space="preserve">návrhu zákona </w:t>
      </w:r>
      <w:r w:rsidR="004D22FD">
        <w:rPr>
          <w:rFonts w:eastAsia="Calibri" w:cs="Times New Roman"/>
          <w:szCs w:val="24"/>
        </w:rPr>
        <w:t>sa</w:t>
      </w:r>
      <w:r>
        <w:rPr>
          <w:rFonts w:eastAsia="Calibri" w:cs="Times New Roman"/>
          <w:szCs w:val="24"/>
        </w:rPr>
        <w:t xml:space="preserve"> navzájom ovplyvňujú. Zrušenie odplát je charakteristické znižovaním negatívnych </w:t>
      </w:r>
      <w:proofErr w:type="spellStart"/>
      <w:r>
        <w:rPr>
          <w:rFonts w:eastAsia="Calibri" w:cs="Times New Roman"/>
          <w:szCs w:val="24"/>
        </w:rPr>
        <w:t>externalít</w:t>
      </w:r>
      <w:proofErr w:type="spellEnd"/>
      <w:r>
        <w:rPr>
          <w:rFonts w:eastAsia="Calibri" w:cs="Times New Roman"/>
          <w:szCs w:val="24"/>
        </w:rPr>
        <w:t xml:space="preserve"> na sporiteľov v dôsledku povinnosti platenia odplaty za zhodnotenie a nesystémovej odplaty za vedenie osobného dôchodkového účtu. Opatrenie v súvislosti so zrušením odmeny finančnému sprostredkovateľovi zase odstraňuje negatívnu </w:t>
      </w:r>
      <w:proofErr w:type="spellStart"/>
      <w:r>
        <w:rPr>
          <w:rFonts w:eastAsia="Calibri" w:cs="Times New Roman"/>
          <w:szCs w:val="24"/>
        </w:rPr>
        <w:t>externalitu</w:t>
      </w:r>
      <w:proofErr w:type="spellEnd"/>
      <w:r>
        <w:rPr>
          <w:rFonts w:eastAsia="Calibri" w:cs="Times New Roman"/>
          <w:szCs w:val="24"/>
        </w:rPr>
        <w:t xml:space="preserve"> na DSS v súvislosti s nákladmi na získavanie sporiteľov prestupujúcich z konkurenčnej spoločnosti. Presun sporiteľov do predvolenej investičnej stratégie jednorazovo navýši náklady DSS a predstavuje tak zvýšenú administratívnu záťaž DSS v súvislosti s povinnosťou presunu časti sporiteľov do predvolenej investičnej stratégie. </w:t>
      </w:r>
      <w:r w:rsidR="000C5D82">
        <w:rPr>
          <w:rFonts w:eastAsia="Calibri" w:cs="Times New Roman"/>
          <w:szCs w:val="24"/>
        </w:rPr>
        <w:t>Zvýšenie odplaty za správu o 33 % v porovnaní s dnešným stavom čiastočne vykompenzuje zrušenie ostatných odplát. Zvyšné</w:t>
      </w:r>
      <w:r>
        <w:rPr>
          <w:rFonts w:eastAsia="Calibri" w:cs="Times New Roman"/>
          <w:szCs w:val="24"/>
        </w:rPr>
        <w:t xml:space="preserve"> opatrenia pozitívne ovplyvňujú výnosy DSS v dôsledku vyššieho</w:t>
      </w:r>
      <w:r w:rsidR="00A86E49">
        <w:rPr>
          <w:rFonts w:eastAsia="Calibri" w:cs="Times New Roman"/>
          <w:szCs w:val="24"/>
        </w:rPr>
        <w:t xml:space="preserve"> objemu</w:t>
      </w:r>
      <w:r>
        <w:rPr>
          <w:rFonts w:eastAsia="Calibri" w:cs="Times New Roman"/>
          <w:szCs w:val="24"/>
        </w:rPr>
        <w:t xml:space="preserve"> očakávaného spravovaného majetku v II. pilieri v súvislosti so zavedením predvolenej investičnej stratégie a zmenami vo výplatnej fáze.</w:t>
      </w:r>
    </w:p>
    <w:p w:rsidR="001B619B" w:rsidRDefault="001B619B" w:rsidP="00AA6CCD">
      <w:pPr>
        <w:pStyle w:val="NormlB"/>
        <w:rPr>
          <w:rFonts w:eastAsia="Calibri" w:cs="Times New Roman"/>
          <w:b/>
          <w:szCs w:val="24"/>
        </w:rPr>
      </w:pPr>
      <w:r>
        <w:rPr>
          <w:rFonts w:eastAsia="Calibri" w:cs="Times New Roman"/>
          <w:b/>
          <w:szCs w:val="24"/>
        </w:rPr>
        <w:t>Dopady na finančnú stabilitu DSS</w:t>
      </w:r>
    </w:p>
    <w:p w:rsidR="007879B1" w:rsidRDefault="001B619B" w:rsidP="00AA6CCD">
      <w:pPr>
        <w:pStyle w:val="NormlB"/>
        <w:rPr>
          <w:rFonts w:eastAsia="Calibri" w:cs="Times New Roman"/>
          <w:szCs w:val="24"/>
        </w:rPr>
      </w:pPr>
      <w:r>
        <w:rPr>
          <w:rFonts w:eastAsia="Calibri" w:cs="Times New Roman"/>
          <w:szCs w:val="24"/>
        </w:rPr>
        <w:t>Navrhované zmeny do roku 2030 znížia kumulatívne výnosy DSS o cca 35 % v porovnaní so scenárom nezmenených politík. Navrhované zmeny budú znamenať aj navýšenie nákladov DSS, ktoré sa najviac prejaví v prvom roku imple</w:t>
      </w:r>
      <w:r w:rsidR="00A3731E">
        <w:rPr>
          <w:rFonts w:eastAsia="Calibri" w:cs="Times New Roman"/>
          <w:szCs w:val="24"/>
        </w:rPr>
        <w:t>mentácie</w:t>
      </w:r>
      <w:r>
        <w:rPr>
          <w:rFonts w:eastAsia="Calibri" w:cs="Times New Roman"/>
          <w:szCs w:val="24"/>
        </w:rPr>
        <w:t xml:space="preserve"> ustanovení </w:t>
      </w:r>
      <w:r w:rsidR="00F10E19">
        <w:rPr>
          <w:rFonts w:eastAsia="Calibri" w:cs="Times New Roman"/>
          <w:szCs w:val="24"/>
        </w:rPr>
        <w:t xml:space="preserve">vládneho </w:t>
      </w:r>
      <w:r>
        <w:rPr>
          <w:rFonts w:eastAsia="Calibri" w:cs="Times New Roman"/>
          <w:szCs w:val="24"/>
        </w:rPr>
        <w:t>návrhu zákona.</w:t>
      </w:r>
      <w:r w:rsidR="00A3731E">
        <w:rPr>
          <w:rFonts w:eastAsia="Calibri" w:cs="Times New Roman"/>
          <w:szCs w:val="24"/>
        </w:rPr>
        <w:t xml:space="preserve"> Čistá hodnota majetku sporiteľov narastie o viac ako 2,8 mld. eur v porovnaní so scenárom nezmenných politík</w:t>
      </w:r>
      <w:r w:rsidR="00A86E49">
        <w:rPr>
          <w:rFonts w:eastAsia="Calibri" w:cs="Times New Roman"/>
          <w:szCs w:val="24"/>
        </w:rPr>
        <w:t>,</w:t>
      </w:r>
      <w:r w:rsidR="00A3731E">
        <w:rPr>
          <w:rFonts w:eastAsia="Calibri" w:cs="Times New Roman"/>
          <w:szCs w:val="24"/>
        </w:rPr>
        <w:t xml:space="preserve"> a to najmä v dôsledku presunu sporiteľov do výnosnejších investičných stratégií</w:t>
      </w:r>
      <w:r w:rsidR="00247B72">
        <w:rPr>
          <w:rFonts w:eastAsia="Calibri" w:cs="Times New Roman"/>
          <w:szCs w:val="24"/>
        </w:rPr>
        <w:t xml:space="preserve"> a tiež v dôsledku nižších odplát</w:t>
      </w:r>
      <w:r w:rsidR="00A3731E">
        <w:rPr>
          <w:rFonts w:eastAsia="Calibri" w:cs="Times New Roman"/>
          <w:szCs w:val="24"/>
        </w:rPr>
        <w:t>. Stabilita systému bude zabezpečená aj prostredníctvom pravidelného rastu hodnoty transferu povinných príspevkov zo Sociálnej poisťovne, ktorý do roku 2030 narastie o viac ako 94 % v porovnaní so stavom v roku 2021. Tabuľky nižšie sumarizujú základné fundamenty dôležité pre hospodárenie DSS, v prípade scenára nezmenených politík a prognózu vývoja v prípade implementácie jed</w:t>
      </w:r>
      <w:r w:rsidR="00DA3F2F">
        <w:rPr>
          <w:rFonts w:eastAsia="Calibri" w:cs="Times New Roman"/>
          <w:szCs w:val="24"/>
        </w:rPr>
        <w:t xml:space="preserve">notlivých navrhovaných zmien. </w:t>
      </w:r>
    </w:p>
    <w:p w:rsidR="00A65199" w:rsidRDefault="00A65199" w:rsidP="00AA6CCD">
      <w:pPr>
        <w:pStyle w:val="NormlB"/>
        <w:rPr>
          <w:rFonts w:eastAsia="Calibri" w:cs="Times New Roman"/>
          <w:szCs w:val="24"/>
        </w:rPr>
      </w:pPr>
    </w:p>
    <w:p w:rsidR="00A65199" w:rsidRDefault="00A65199" w:rsidP="00AA6CCD">
      <w:pPr>
        <w:pStyle w:val="NormlB"/>
        <w:rPr>
          <w:rFonts w:eastAsia="Calibri" w:cs="Times New Roman"/>
          <w:szCs w:val="24"/>
        </w:rPr>
      </w:pPr>
    </w:p>
    <w:p w:rsidR="00A65199" w:rsidRDefault="00A65199" w:rsidP="00AA6CCD">
      <w:pPr>
        <w:pStyle w:val="NormlB"/>
        <w:rPr>
          <w:rFonts w:eastAsia="Calibri" w:cs="Times New Roman"/>
          <w:szCs w:val="24"/>
        </w:rPr>
      </w:pPr>
    </w:p>
    <w:p w:rsidR="00A65199" w:rsidRDefault="00A65199" w:rsidP="00AA6CCD">
      <w:pPr>
        <w:pStyle w:val="NormlB"/>
        <w:rPr>
          <w:rFonts w:eastAsia="Calibri" w:cs="Times New Roman"/>
          <w:szCs w:val="24"/>
        </w:rPr>
      </w:pPr>
    </w:p>
    <w:p w:rsidR="007B6158" w:rsidRDefault="00DA3F2F" w:rsidP="00EA5BD3">
      <w:pPr>
        <w:pStyle w:val="NormlB"/>
        <w:rPr>
          <w:b/>
        </w:rPr>
      </w:pPr>
      <w:r>
        <w:rPr>
          <w:rFonts w:eastAsia="Calibri" w:cs="Times New Roman"/>
          <w:szCs w:val="24"/>
        </w:rPr>
        <w:lastRenderedPageBreak/>
        <w:t xml:space="preserve"> </w:t>
      </w:r>
      <w:r w:rsidR="00A3731E">
        <w:rPr>
          <w:b/>
        </w:rPr>
        <w:t xml:space="preserve">Tabuľka: Projekcia výnosov a nákladov DSS do roku 2030 v prípade scenára nezmenených politík </w:t>
      </w:r>
    </w:p>
    <w:tbl>
      <w:tblPr>
        <w:tblW w:w="8940" w:type="dxa"/>
        <w:tblInd w:w="-10" w:type="dxa"/>
        <w:tblCellMar>
          <w:left w:w="70" w:type="dxa"/>
          <w:right w:w="70" w:type="dxa"/>
        </w:tblCellMar>
        <w:tblLook w:val="04A0" w:firstRow="1" w:lastRow="0" w:firstColumn="1" w:lastColumn="0" w:noHBand="0" w:noVBand="1"/>
      </w:tblPr>
      <w:tblGrid>
        <w:gridCol w:w="1160"/>
        <w:gridCol w:w="1060"/>
        <w:gridCol w:w="1041"/>
        <w:gridCol w:w="1499"/>
        <w:gridCol w:w="1600"/>
        <w:gridCol w:w="1340"/>
        <w:gridCol w:w="1240"/>
      </w:tblGrid>
      <w:tr w:rsidR="00A3731E" w:rsidRPr="00A3731E" w:rsidTr="007879B1">
        <w:trPr>
          <w:trHeight w:val="990"/>
        </w:trPr>
        <w:tc>
          <w:tcPr>
            <w:tcW w:w="1160" w:type="dxa"/>
            <w:tcBorders>
              <w:top w:val="single" w:sz="8" w:space="0" w:color="auto"/>
              <w:left w:val="single" w:sz="8" w:space="0" w:color="auto"/>
              <w:bottom w:val="single" w:sz="4" w:space="0" w:color="auto"/>
              <w:right w:val="single" w:sz="4" w:space="0" w:color="auto"/>
            </w:tcBorders>
            <w:shd w:val="clear" w:color="000000" w:fill="808080"/>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Rok</w:t>
            </w:r>
          </w:p>
        </w:tc>
        <w:tc>
          <w:tcPr>
            <w:tcW w:w="1060" w:type="dxa"/>
            <w:tcBorders>
              <w:top w:val="single" w:sz="8" w:space="0" w:color="auto"/>
              <w:left w:val="nil"/>
              <w:bottom w:val="single" w:sz="4" w:space="0" w:color="auto"/>
              <w:right w:val="single" w:sz="4" w:space="0" w:color="auto"/>
            </w:tcBorders>
            <w:shd w:val="clear" w:color="000000" w:fill="808080"/>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Počet aktívnych sporiteľov</w:t>
            </w:r>
          </w:p>
        </w:tc>
        <w:tc>
          <w:tcPr>
            <w:tcW w:w="1041" w:type="dxa"/>
            <w:tcBorders>
              <w:top w:val="single" w:sz="8" w:space="0" w:color="auto"/>
              <w:left w:val="nil"/>
              <w:bottom w:val="single" w:sz="4" w:space="0" w:color="auto"/>
              <w:right w:val="single" w:sz="4" w:space="0" w:color="auto"/>
            </w:tcBorders>
            <w:shd w:val="clear" w:color="000000" w:fill="808080"/>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Počet všetkých sporiteľov</w:t>
            </w:r>
          </w:p>
        </w:tc>
        <w:tc>
          <w:tcPr>
            <w:tcW w:w="1499" w:type="dxa"/>
            <w:tcBorders>
              <w:top w:val="single" w:sz="8" w:space="0" w:color="auto"/>
              <w:left w:val="nil"/>
              <w:bottom w:val="single" w:sz="4" w:space="0" w:color="auto"/>
              <w:right w:val="single" w:sz="4" w:space="0" w:color="auto"/>
            </w:tcBorders>
            <w:shd w:val="clear" w:color="000000" w:fill="808080"/>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Povinné príspevky</w:t>
            </w:r>
          </w:p>
        </w:tc>
        <w:tc>
          <w:tcPr>
            <w:tcW w:w="1600" w:type="dxa"/>
            <w:tcBorders>
              <w:top w:val="single" w:sz="8" w:space="0" w:color="auto"/>
              <w:left w:val="nil"/>
              <w:bottom w:val="single" w:sz="4" w:space="0" w:color="auto"/>
              <w:right w:val="single" w:sz="4" w:space="0" w:color="auto"/>
            </w:tcBorders>
            <w:shd w:val="clear" w:color="000000" w:fill="808080"/>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Priemerná              NAV</w:t>
            </w:r>
          </w:p>
        </w:tc>
        <w:tc>
          <w:tcPr>
            <w:tcW w:w="1340" w:type="dxa"/>
            <w:tcBorders>
              <w:top w:val="single" w:sz="8" w:space="0" w:color="auto"/>
              <w:left w:val="nil"/>
              <w:bottom w:val="single" w:sz="4" w:space="0" w:color="auto"/>
              <w:right w:val="single" w:sz="4" w:space="0" w:color="auto"/>
            </w:tcBorders>
            <w:shd w:val="clear" w:color="000000" w:fill="808080"/>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Výnos z odplát</w:t>
            </w:r>
          </w:p>
        </w:tc>
        <w:tc>
          <w:tcPr>
            <w:tcW w:w="1240" w:type="dxa"/>
            <w:tcBorders>
              <w:top w:val="single" w:sz="8" w:space="0" w:color="auto"/>
              <w:left w:val="nil"/>
              <w:bottom w:val="single" w:sz="4" w:space="0" w:color="auto"/>
              <w:right w:val="single" w:sz="8" w:space="0" w:color="auto"/>
            </w:tcBorders>
            <w:shd w:val="clear" w:color="000000" w:fill="808080"/>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Náklady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000000" w:fill="FFE699"/>
            <w:noWrap/>
            <w:vAlign w:val="center"/>
            <w:hideMark/>
          </w:tcPr>
          <w:p w:rsidR="00A3731E" w:rsidRPr="00A3731E" w:rsidRDefault="00A3731E" w:rsidP="00A86E49">
            <w:pPr>
              <w:spacing w:after="0" w:line="240" w:lineRule="auto"/>
              <w:jc w:val="center"/>
              <w:rPr>
                <w:rFonts w:ascii="Times New Roman" w:eastAsia="Times New Roman" w:hAnsi="Times New Roman" w:cs="Times New Roman"/>
                <w:b/>
                <w:bCs/>
                <w:i/>
                <w:iCs/>
                <w:color w:val="000000"/>
                <w:sz w:val="20"/>
                <w:szCs w:val="20"/>
                <w:lang w:eastAsia="sk-SK"/>
              </w:rPr>
            </w:pPr>
            <w:r w:rsidRPr="00A3731E">
              <w:rPr>
                <w:rFonts w:ascii="Times New Roman" w:eastAsia="Times New Roman" w:hAnsi="Times New Roman" w:cs="Times New Roman"/>
                <w:b/>
                <w:bCs/>
                <w:i/>
                <w:iCs/>
                <w:color w:val="000000"/>
                <w:sz w:val="20"/>
                <w:szCs w:val="20"/>
                <w:lang w:eastAsia="sk-SK"/>
              </w:rPr>
              <w:t xml:space="preserve">2019 </w:t>
            </w:r>
            <w:proofErr w:type="spellStart"/>
            <w:r w:rsidRPr="00A3731E">
              <w:rPr>
                <w:rFonts w:ascii="Times New Roman" w:eastAsia="Times New Roman" w:hAnsi="Times New Roman" w:cs="Times New Roman"/>
                <w:b/>
                <w:bCs/>
                <w:i/>
                <w:iCs/>
                <w:color w:val="000000"/>
                <w:sz w:val="20"/>
                <w:szCs w:val="20"/>
                <w:lang w:eastAsia="sk-SK"/>
              </w:rPr>
              <w:t>skut</w:t>
            </w:r>
            <w:proofErr w:type="spellEnd"/>
          </w:p>
        </w:tc>
        <w:tc>
          <w:tcPr>
            <w:tcW w:w="106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1 291 580</w:t>
            </w:r>
          </w:p>
        </w:tc>
        <w:tc>
          <w:tcPr>
            <w:tcW w:w="1041"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1 564 152</w:t>
            </w:r>
          </w:p>
        </w:tc>
        <w:tc>
          <w:tcPr>
            <w:tcW w:w="1499"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737 164 715 €</w:t>
            </w:r>
          </w:p>
        </w:tc>
        <w:tc>
          <w:tcPr>
            <w:tcW w:w="160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8 692 168 318 €</w:t>
            </w:r>
          </w:p>
        </w:tc>
        <w:tc>
          <w:tcPr>
            <w:tcW w:w="134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68 622 348 €</w:t>
            </w:r>
          </w:p>
        </w:tc>
        <w:tc>
          <w:tcPr>
            <w:tcW w:w="1240" w:type="dxa"/>
            <w:tcBorders>
              <w:top w:val="nil"/>
              <w:left w:val="nil"/>
              <w:bottom w:val="single" w:sz="4" w:space="0" w:color="auto"/>
              <w:right w:val="single" w:sz="8"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12 661 000 €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000000" w:fill="FFE699"/>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i/>
                <w:iCs/>
                <w:color w:val="000000"/>
                <w:sz w:val="20"/>
                <w:szCs w:val="20"/>
                <w:lang w:eastAsia="sk-SK"/>
              </w:rPr>
            </w:pPr>
            <w:r w:rsidRPr="00A3731E">
              <w:rPr>
                <w:rFonts w:ascii="Times New Roman" w:eastAsia="Times New Roman" w:hAnsi="Times New Roman" w:cs="Times New Roman"/>
                <w:b/>
                <w:bCs/>
                <w:i/>
                <w:iCs/>
                <w:color w:val="000000"/>
                <w:sz w:val="20"/>
                <w:szCs w:val="20"/>
                <w:lang w:eastAsia="sk-SK"/>
              </w:rPr>
              <w:t xml:space="preserve">2020 </w:t>
            </w:r>
            <w:proofErr w:type="spellStart"/>
            <w:r w:rsidRPr="00A3731E">
              <w:rPr>
                <w:rFonts w:ascii="Times New Roman" w:eastAsia="Times New Roman" w:hAnsi="Times New Roman" w:cs="Times New Roman"/>
                <w:b/>
                <w:bCs/>
                <w:i/>
                <w:iCs/>
                <w:color w:val="000000"/>
                <w:sz w:val="20"/>
                <w:szCs w:val="20"/>
                <w:lang w:eastAsia="sk-SK"/>
              </w:rPr>
              <w:t>skut</w:t>
            </w:r>
            <w:proofErr w:type="spellEnd"/>
          </w:p>
        </w:tc>
        <w:tc>
          <w:tcPr>
            <w:tcW w:w="106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1 307 665</w:t>
            </w:r>
          </w:p>
        </w:tc>
        <w:tc>
          <w:tcPr>
            <w:tcW w:w="1041"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1 626 177</w:t>
            </w:r>
          </w:p>
        </w:tc>
        <w:tc>
          <w:tcPr>
            <w:tcW w:w="1499"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799 577 004 €</w:t>
            </w:r>
          </w:p>
        </w:tc>
        <w:tc>
          <w:tcPr>
            <w:tcW w:w="160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9 830 553 955 €</w:t>
            </w:r>
          </w:p>
        </w:tc>
        <w:tc>
          <w:tcPr>
            <w:tcW w:w="134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58 491 488 €</w:t>
            </w:r>
          </w:p>
        </w:tc>
        <w:tc>
          <w:tcPr>
            <w:tcW w:w="1240" w:type="dxa"/>
            <w:tcBorders>
              <w:top w:val="nil"/>
              <w:left w:val="nil"/>
              <w:bottom w:val="single" w:sz="4" w:space="0" w:color="auto"/>
              <w:right w:val="single" w:sz="8"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14 227 000 €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000000" w:fill="FFE699"/>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i/>
                <w:iCs/>
                <w:color w:val="000000"/>
                <w:sz w:val="20"/>
                <w:szCs w:val="20"/>
                <w:lang w:eastAsia="sk-SK"/>
              </w:rPr>
            </w:pPr>
            <w:r w:rsidRPr="00A3731E">
              <w:rPr>
                <w:rFonts w:ascii="Times New Roman" w:eastAsia="Times New Roman" w:hAnsi="Times New Roman" w:cs="Times New Roman"/>
                <w:b/>
                <w:bCs/>
                <w:i/>
                <w:iCs/>
                <w:color w:val="000000"/>
                <w:sz w:val="20"/>
                <w:szCs w:val="20"/>
                <w:lang w:eastAsia="sk-SK"/>
              </w:rPr>
              <w:t xml:space="preserve">2021 </w:t>
            </w:r>
            <w:proofErr w:type="spellStart"/>
            <w:r w:rsidRPr="00A3731E">
              <w:rPr>
                <w:rFonts w:ascii="Times New Roman" w:eastAsia="Times New Roman" w:hAnsi="Times New Roman" w:cs="Times New Roman"/>
                <w:b/>
                <w:bCs/>
                <w:i/>
                <w:iCs/>
                <w:color w:val="000000"/>
                <w:sz w:val="20"/>
                <w:szCs w:val="20"/>
                <w:lang w:eastAsia="sk-SK"/>
              </w:rPr>
              <w:t>skut</w:t>
            </w:r>
            <w:proofErr w:type="spellEnd"/>
          </w:p>
        </w:tc>
        <w:tc>
          <w:tcPr>
            <w:tcW w:w="106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1 323 365</w:t>
            </w:r>
          </w:p>
        </w:tc>
        <w:tc>
          <w:tcPr>
            <w:tcW w:w="1041"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1 680 220</w:t>
            </w:r>
          </w:p>
        </w:tc>
        <w:tc>
          <w:tcPr>
            <w:tcW w:w="1499"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976 412 329 €</w:t>
            </w:r>
          </w:p>
        </w:tc>
        <w:tc>
          <w:tcPr>
            <w:tcW w:w="160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11 149 234 351 €</w:t>
            </w:r>
          </w:p>
        </w:tc>
        <w:tc>
          <w:tcPr>
            <w:tcW w:w="1340" w:type="dxa"/>
            <w:tcBorders>
              <w:top w:val="nil"/>
              <w:left w:val="nil"/>
              <w:bottom w:val="single" w:sz="4" w:space="0" w:color="auto"/>
              <w:right w:val="single" w:sz="4"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130 045 211 €</w:t>
            </w:r>
          </w:p>
        </w:tc>
        <w:tc>
          <w:tcPr>
            <w:tcW w:w="1240" w:type="dxa"/>
            <w:tcBorders>
              <w:top w:val="nil"/>
              <w:left w:val="nil"/>
              <w:bottom w:val="single" w:sz="4" w:space="0" w:color="auto"/>
              <w:right w:val="single" w:sz="8" w:space="0" w:color="auto"/>
            </w:tcBorders>
            <w:shd w:val="clear" w:color="000000" w:fill="FFE699"/>
            <w:noWrap/>
            <w:vAlign w:val="bottom"/>
            <w:hideMark/>
          </w:tcPr>
          <w:p w:rsidR="00A3731E" w:rsidRPr="00A3731E" w:rsidRDefault="00A3731E" w:rsidP="00A3731E">
            <w:pPr>
              <w:spacing w:after="0" w:line="240" w:lineRule="auto"/>
              <w:jc w:val="center"/>
              <w:rPr>
                <w:rFonts w:ascii="Times New Roman" w:eastAsia="Times New Roman" w:hAnsi="Times New Roman" w:cs="Times New Roman"/>
                <w:i/>
                <w:iCs/>
                <w:color w:val="000000"/>
                <w:sz w:val="20"/>
                <w:szCs w:val="20"/>
                <w:lang w:eastAsia="sk-SK"/>
              </w:rPr>
            </w:pPr>
            <w:r w:rsidRPr="00A3731E">
              <w:rPr>
                <w:rFonts w:ascii="Times New Roman" w:eastAsia="Times New Roman" w:hAnsi="Times New Roman" w:cs="Times New Roman"/>
                <w:i/>
                <w:iCs/>
                <w:color w:val="000000"/>
                <w:sz w:val="20"/>
                <w:szCs w:val="20"/>
                <w:lang w:eastAsia="sk-SK"/>
              </w:rPr>
              <w:t>17 740 000 €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2022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1 348 453</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1 713 804</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1 169 817 561 €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11 792 182 521 €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49 433 160 €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19 551 794 €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2023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1 358 203</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1 739 068</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1 347 736 177 €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13 490 594 622 €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66 103 914 €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21 680 198 €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2024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1 368 358</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1 758 087</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1 432 625 722 €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15 324 403 648 €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102 673 504 €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22 507 755 €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2025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1 368 110</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1 770 061</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1 495 661 254 €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17 275 782 017 €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115 747 740 €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23 589 909 €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2026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1 366 528</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1 775 256</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1 558 048 155 €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19 347 577 378 €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129 628 768 €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24 267 887 €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2027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1 364 648</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1 773 894</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1 619 251 716 €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21 542 187 350 €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144 332 655 €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24 967 010 €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2028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1 362 961</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1 771 054</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1 694 532 792 €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23 877 341 709 €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159 978 189 €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25 687 993 €</w:t>
            </w:r>
          </w:p>
        </w:tc>
      </w:tr>
      <w:tr w:rsidR="00A3731E" w:rsidRPr="00A3731E" w:rsidTr="007879B1">
        <w:trPr>
          <w:trHeight w:val="330"/>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2029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1 361 725</w:t>
            </w:r>
          </w:p>
        </w:tc>
        <w:tc>
          <w:tcPr>
            <w:tcW w:w="1041"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1 765 833</w:t>
            </w:r>
          </w:p>
        </w:tc>
        <w:tc>
          <w:tcPr>
            <w:tcW w:w="1499"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1 773 132 444 €</w:t>
            </w:r>
          </w:p>
        </w:tc>
        <w:tc>
          <w:tcPr>
            <w:tcW w:w="160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26 360 538 541 €</w:t>
            </w:r>
          </w:p>
        </w:tc>
        <w:tc>
          <w:tcPr>
            <w:tcW w:w="1340" w:type="dxa"/>
            <w:tcBorders>
              <w:top w:val="nil"/>
              <w:left w:val="nil"/>
              <w:bottom w:val="single" w:sz="4"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176 615 608 €</w:t>
            </w:r>
          </w:p>
        </w:tc>
        <w:tc>
          <w:tcPr>
            <w:tcW w:w="1240" w:type="dxa"/>
            <w:tcBorders>
              <w:top w:val="nil"/>
              <w:left w:val="nil"/>
              <w:bottom w:val="single" w:sz="4"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26 431 575 €</w:t>
            </w:r>
          </w:p>
        </w:tc>
      </w:tr>
      <w:tr w:rsidR="00A3731E" w:rsidRPr="00A3731E" w:rsidTr="007879B1">
        <w:trPr>
          <w:trHeight w:val="345"/>
        </w:trPr>
        <w:tc>
          <w:tcPr>
            <w:tcW w:w="1160" w:type="dxa"/>
            <w:tcBorders>
              <w:top w:val="nil"/>
              <w:left w:val="single" w:sz="8" w:space="0" w:color="auto"/>
              <w:bottom w:val="single" w:sz="8" w:space="0" w:color="auto"/>
              <w:right w:val="single" w:sz="4" w:space="0" w:color="auto"/>
            </w:tcBorders>
            <w:shd w:val="clear" w:color="auto" w:fill="auto"/>
            <w:noWrap/>
            <w:vAlign w:val="center"/>
            <w:hideMark/>
          </w:tcPr>
          <w:p w:rsidR="00A3731E" w:rsidRPr="00A3731E" w:rsidRDefault="00A3731E" w:rsidP="00A3731E">
            <w:pPr>
              <w:spacing w:after="0" w:line="240" w:lineRule="auto"/>
              <w:jc w:val="center"/>
              <w:rPr>
                <w:rFonts w:ascii="Times New Roman" w:eastAsia="Times New Roman" w:hAnsi="Times New Roman" w:cs="Times New Roman"/>
                <w:b/>
                <w:bCs/>
                <w:color w:val="000000"/>
                <w:sz w:val="20"/>
                <w:szCs w:val="20"/>
                <w:lang w:eastAsia="sk-SK"/>
              </w:rPr>
            </w:pPr>
            <w:r w:rsidRPr="00A3731E">
              <w:rPr>
                <w:rFonts w:ascii="Times New Roman" w:eastAsia="Times New Roman" w:hAnsi="Times New Roman" w:cs="Times New Roman"/>
                <w:b/>
                <w:bCs/>
                <w:color w:val="000000"/>
                <w:sz w:val="20"/>
                <w:szCs w:val="20"/>
                <w:lang w:eastAsia="sk-SK"/>
              </w:rPr>
              <w:t xml:space="preserve">2030 </w:t>
            </w:r>
            <w:proofErr w:type="spellStart"/>
            <w:r w:rsidRPr="00A3731E">
              <w:rPr>
                <w:rFonts w:ascii="Times New Roman" w:eastAsia="Times New Roman" w:hAnsi="Times New Roman" w:cs="Times New Roman"/>
                <w:b/>
                <w:bCs/>
                <w:color w:val="000000"/>
                <w:sz w:val="20"/>
                <w:szCs w:val="20"/>
                <w:lang w:eastAsia="sk-SK"/>
              </w:rPr>
              <w:t>prog</w:t>
            </w:r>
            <w:proofErr w:type="spellEnd"/>
          </w:p>
        </w:tc>
        <w:tc>
          <w:tcPr>
            <w:tcW w:w="1060" w:type="dxa"/>
            <w:tcBorders>
              <w:top w:val="nil"/>
              <w:left w:val="nil"/>
              <w:bottom w:val="single" w:sz="8"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1 366 017</w:t>
            </w:r>
          </w:p>
        </w:tc>
        <w:tc>
          <w:tcPr>
            <w:tcW w:w="1041" w:type="dxa"/>
            <w:tcBorders>
              <w:top w:val="nil"/>
              <w:left w:val="nil"/>
              <w:bottom w:val="single" w:sz="8"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1 757 157</w:t>
            </w:r>
          </w:p>
        </w:tc>
        <w:tc>
          <w:tcPr>
            <w:tcW w:w="1499" w:type="dxa"/>
            <w:tcBorders>
              <w:top w:val="nil"/>
              <w:left w:val="nil"/>
              <w:bottom w:val="single" w:sz="8"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1 852 613 886 €</w:t>
            </w:r>
          </w:p>
        </w:tc>
        <w:tc>
          <w:tcPr>
            <w:tcW w:w="1600" w:type="dxa"/>
            <w:tcBorders>
              <w:top w:val="nil"/>
              <w:left w:val="nil"/>
              <w:bottom w:val="single" w:sz="8"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28 997 062 122 €</w:t>
            </w:r>
          </w:p>
        </w:tc>
        <w:tc>
          <w:tcPr>
            <w:tcW w:w="1340" w:type="dxa"/>
            <w:tcBorders>
              <w:top w:val="nil"/>
              <w:left w:val="nil"/>
              <w:bottom w:val="single" w:sz="8" w:space="0" w:color="auto"/>
              <w:right w:val="single" w:sz="4"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194 280 316 €</w:t>
            </w:r>
          </w:p>
        </w:tc>
        <w:tc>
          <w:tcPr>
            <w:tcW w:w="1240" w:type="dxa"/>
            <w:tcBorders>
              <w:top w:val="nil"/>
              <w:left w:val="nil"/>
              <w:bottom w:val="single" w:sz="8" w:space="0" w:color="auto"/>
              <w:right w:val="single" w:sz="8" w:space="0" w:color="auto"/>
            </w:tcBorders>
            <w:shd w:val="clear" w:color="auto" w:fill="auto"/>
            <w:noWrap/>
            <w:vAlign w:val="bottom"/>
            <w:hideMark/>
          </w:tcPr>
          <w:p w:rsidR="00A3731E" w:rsidRPr="00A3731E" w:rsidRDefault="00A3731E" w:rsidP="00A3731E">
            <w:pPr>
              <w:spacing w:after="0" w:line="240" w:lineRule="auto"/>
              <w:jc w:val="center"/>
              <w:rPr>
                <w:rFonts w:ascii="Times New Roman" w:eastAsia="Times New Roman" w:hAnsi="Times New Roman" w:cs="Times New Roman"/>
                <w:color w:val="000000"/>
                <w:sz w:val="20"/>
                <w:szCs w:val="20"/>
                <w:lang w:eastAsia="sk-SK"/>
              </w:rPr>
            </w:pPr>
            <w:r w:rsidRPr="00A3731E">
              <w:rPr>
                <w:rFonts w:ascii="Times New Roman" w:eastAsia="Times New Roman" w:hAnsi="Times New Roman" w:cs="Times New Roman"/>
                <w:color w:val="000000"/>
                <w:sz w:val="20"/>
                <w:szCs w:val="20"/>
                <w:lang w:eastAsia="sk-SK"/>
              </w:rPr>
              <w:t>27 198 522 €</w:t>
            </w:r>
          </w:p>
        </w:tc>
      </w:tr>
    </w:tbl>
    <w:p w:rsidR="00C832B3" w:rsidRDefault="00C832B3" w:rsidP="007879B1">
      <w:pPr>
        <w:pStyle w:val="NormlB"/>
        <w:rPr>
          <w:b/>
        </w:rPr>
      </w:pPr>
    </w:p>
    <w:p w:rsidR="007879B1" w:rsidRDefault="007879B1" w:rsidP="007879B1">
      <w:pPr>
        <w:pStyle w:val="NormlB"/>
        <w:rPr>
          <w:b/>
        </w:rPr>
      </w:pPr>
      <w:r>
        <w:rPr>
          <w:b/>
        </w:rPr>
        <w:t xml:space="preserve">Tabuľka: Projekcia výnosov a nákladov DSS do roku 2030 po implementácii zmien </w:t>
      </w:r>
      <w:r w:rsidR="00F10E19">
        <w:rPr>
          <w:b/>
        </w:rPr>
        <w:t xml:space="preserve">vládneho </w:t>
      </w:r>
      <w:r>
        <w:rPr>
          <w:b/>
        </w:rPr>
        <w:t xml:space="preserve">návrhu zákona </w:t>
      </w:r>
    </w:p>
    <w:tbl>
      <w:tblPr>
        <w:tblW w:w="8940" w:type="dxa"/>
        <w:tblInd w:w="-10" w:type="dxa"/>
        <w:tblCellMar>
          <w:left w:w="70" w:type="dxa"/>
          <w:right w:w="70" w:type="dxa"/>
        </w:tblCellMar>
        <w:tblLook w:val="04A0" w:firstRow="1" w:lastRow="0" w:firstColumn="1" w:lastColumn="0" w:noHBand="0" w:noVBand="1"/>
      </w:tblPr>
      <w:tblGrid>
        <w:gridCol w:w="1000"/>
        <w:gridCol w:w="1240"/>
        <w:gridCol w:w="1140"/>
        <w:gridCol w:w="1440"/>
        <w:gridCol w:w="1600"/>
        <w:gridCol w:w="1300"/>
        <w:gridCol w:w="1220"/>
      </w:tblGrid>
      <w:tr w:rsidR="007879B1" w:rsidRPr="007879B1" w:rsidTr="007879B1">
        <w:trPr>
          <w:trHeight w:val="990"/>
        </w:trPr>
        <w:tc>
          <w:tcPr>
            <w:tcW w:w="1000" w:type="dxa"/>
            <w:tcBorders>
              <w:top w:val="single" w:sz="8" w:space="0" w:color="auto"/>
              <w:left w:val="single" w:sz="8" w:space="0" w:color="auto"/>
              <w:bottom w:val="single" w:sz="4" w:space="0" w:color="auto"/>
              <w:right w:val="single" w:sz="4" w:space="0" w:color="auto"/>
            </w:tcBorders>
            <w:shd w:val="clear" w:color="000000" w:fill="808080"/>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Rok</w:t>
            </w:r>
          </w:p>
        </w:tc>
        <w:tc>
          <w:tcPr>
            <w:tcW w:w="1240" w:type="dxa"/>
            <w:tcBorders>
              <w:top w:val="single" w:sz="8" w:space="0" w:color="auto"/>
              <w:left w:val="nil"/>
              <w:bottom w:val="single" w:sz="4" w:space="0" w:color="auto"/>
              <w:right w:val="single" w:sz="4" w:space="0" w:color="auto"/>
            </w:tcBorders>
            <w:shd w:val="clear" w:color="000000" w:fill="808080"/>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Počet aktívnych sporiteľov</w:t>
            </w:r>
          </w:p>
        </w:tc>
        <w:tc>
          <w:tcPr>
            <w:tcW w:w="1140" w:type="dxa"/>
            <w:tcBorders>
              <w:top w:val="single" w:sz="8" w:space="0" w:color="auto"/>
              <w:left w:val="nil"/>
              <w:bottom w:val="single" w:sz="4" w:space="0" w:color="auto"/>
              <w:right w:val="single" w:sz="4" w:space="0" w:color="auto"/>
            </w:tcBorders>
            <w:shd w:val="clear" w:color="000000" w:fill="808080"/>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Počet všetkých sporiteľov</w:t>
            </w:r>
          </w:p>
        </w:tc>
        <w:tc>
          <w:tcPr>
            <w:tcW w:w="1440" w:type="dxa"/>
            <w:tcBorders>
              <w:top w:val="single" w:sz="8" w:space="0" w:color="auto"/>
              <w:left w:val="nil"/>
              <w:bottom w:val="single" w:sz="4" w:space="0" w:color="auto"/>
              <w:right w:val="single" w:sz="4" w:space="0" w:color="auto"/>
            </w:tcBorders>
            <w:shd w:val="clear" w:color="000000" w:fill="808080"/>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Povinné príspevky</w:t>
            </w:r>
          </w:p>
        </w:tc>
        <w:tc>
          <w:tcPr>
            <w:tcW w:w="1600" w:type="dxa"/>
            <w:tcBorders>
              <w:top w:val="single" w:sz="8" w:space="0" w:color="auto"/>
              <w:left w:val="nil"/>
              <w:bottom w:val="single" w:sz="4" w:space="0" w:color="auto"/>
              <w:right w:val="single" w:sz="4" w:space="0" w:color="auto"/>
            </w:tcBorders>
            <w:shd w:val="clear" w:color="000000" w:fill="808080"/>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Priemerná              NAV</w:t>
            </w:r>
          </w:p>
        </w:tc>
        <w:tc>
          <w:tcPr>
            <w:tcW w:w="1300" w:type="dxa"/>
            <w:tcBorders>
              <w:top w:val="single" w:sz="8" w:space="0" w:color="auto"/>
              <w:left w:val="nil"/>
              <w:bottom w:val="single" w:sz="4" w:space="0" w:color="auto"/>
              <w:right w:val="single" w:sz="4" w:space="0" w:color="auto"/>
            </w:tcBorders>
            <w:shd w:val="clear" w:color="000000" w:fill="808080"/>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Výnos z odplát</w:t>
            </w:r>
          </w:p>
        </w:tc>
        <w:tc>
          <w:tcPr>
            <w:tcW w:w="1220" w:type="dxa"/>
            <w:tcBorders>
              <w:top w:val="single" w:sz="8" w:space="0" w:color="auto"/>
              <w:left w:val="nil"/>
              <w:bottom w:val="single" w:sz="4" w:space="0" w:color="auto"/>
              <w:right w:val="single" w:sz="8" w:space="0" w:color="auto"/>
            </w:tcBorders>
            <w:shd w:val="clear" w:color="000000" w:fill="808080"/>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Náklady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000000" w:fill="FFE699"/>
            <w:noWrap/>
            <w:vAlign w:val="center"/>
            <w:hideMark/>
          </w:tcPr>
          <w:p w:rsidR="007879B1" w:rsidRPr="007879B1" w:rsidRDefault="007D3C18" w:rsidP="007879B1">
            <w:pPr>
              <w:spacing w:after="0" w:line="240" w:lineRule="auto"/>
              <w:jc w:val="center"/>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 xml:space="preserve">2019 </w:t>
            </w:r>
            <w:proofErr w:type="spellStart"/>
            <w:r>
              <w:rPr>
                <w:rFonts w:ascii="Times New Roman" w:eastAsia="Times New Roman" w:hAnsi="Times New Roman" w:cs="Times New Roman"/>
                <w:b/>
                <w:bCs/>
                <w:i/>
                <w:iCs/>
                <w:color w:val="000000"/>
                <w:sz w:val="20"/>
                <w:szCs w:val="20"/>
                <w:lang w:eastAsia="sk-SK"/>
              </w:rPr>
              <w:t>skut</w:t>
            </w:r>
            <w:proofErr w:type="spellEnd"/>
          </w:p>
        </w:tc>
        <w:tc>
          <w:tcPr>
            <w:tcW w:w="12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1 291 580</w:t>
            </w:r>
          </w:p>
        </w:tc>
        <w:tc>
          <w:tcPr>
            <w:tcW w:w="11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1 564 152</w:t>
            </w:r>
          </w:p>
        </w:tc>
        <w:tc>
          <w:tcPr>
            <w:tcW w:w="14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737 164 715 €</w:t>
            </w:r>
          </w:p>
        </w:tc>
        <w:tc>
          <w:tcPr>
            <w:tcW w:w="160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8 692 168 318 €</w:t>
            </w:r>
          </w:p>
        </w:tc>
        <w:tc>
          <w:tcPr>
            <w:tcW w:w="130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68 622 348 €</w:t>
            </w:r>
          </w:p>
        </w:tc>
        <w:tc>
          <w:tcPr>
            <w:tcW w:w="1220" w:type="dxa"/>
            <w:tcBorders>
              <w:top w:val="nil"/>
              <w:left w:val="nil"/>
              <w:bottom w:val="single" w:sz="4" w:space="0" w:color="auto"/>
              <w:right w:val="single" w:sz="8"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12 661 000 €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000000" w:fill="FFE699"/>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i/>
                <w:iCs/>
                <w:color w:val="000000"/>
                <w:sz w:val="20"/>
                <w:szCs w:val="20"/>
                <w:lang w:eastAsia="sk-SK"/>
              </w:rPr>
            </w:pPr>
            <w:r w:rsidRPr="007879B1">
              <w:rPr>
                <w:rFonts w:ascii="Times New Roman" w:eastAsia="Times New Roman" w:hAnsi="Times New Roman" w:cs="Times New Roman"/>
                <w:b/>
                <w:bCs/>
                <w:i/>
                <w:iCs/>
                <w:color w:val="000000"/>
                <w:sz w:val="20"/>
                <w:szCs w:val="20"/>
                <w:lang w:eastAsia="sk-SK"/>
              </w:rPr>
              <w:t xml:space="preserve">2020 </w:t>
            </w:r>
            <w:proofErr w:type="spellStart"/>
            <w:r w:rsidRPr="007879B1">
              <w:rPr>
                <w:rFonts w:ascii="Times New Roman" w:eastAsia="Times New Roman" w:hAnsi="Times New Roman" w:cs="Times New Roman"/>
                <w:b/>
                <w:bCs/>
                <w:i/>
                <w:iCs/>
                <w:color w:val="000000"/>
                <w:sz w:val="20"/>
                <w:szCs w:val="20"/>
                <w:lang w:eastAsia="sk-SK"/>
              </w:rPr>
              <w:t>skut</w:t>
            </w:r>
            <w:proofErr w:type="spellEnd"/>
          </w:p>
        </w:tc>
        <w:tc>
          <w:tcPr>
            <w:tcW w:w="12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1 307 665</w:t>
            </w:r>
          </w:p>
        </w:tc>
        <w:tc>
          <w:tcPr>
            <w:tcW w:w="11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1 626 177</w:t>
            </w:r>
          </w:p>
        </w:tc>
        <w:tc>
          <w:tcPr>
            <w:tcW w:w="14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799 577 004 €</w:t>
            </w:r>
          </w:p>
        </w:tc>
        <w:tc>
          <w:tcPr>
            <w:tcW w:w="160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9 830 553 955 €</w:t>
            </w:r>
          </w:p>
        </w:tc>
        <w:tc>
          <w:tcPr>
            <w:tcW w:w="130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58 491 488 €</w:t>
            </w:r>
          </w:p>
        </w:tc>
        <w:tc>
          <w:tcPr>
            <w:tcW w:w="1220" w:type="dxa"/>
            <w:tcBorders>
              <w:top w:val="nil"/>
              <w:left w:val="nil"/>
              <w:bottom w:val="single" w:sz="4" w:space="0" w:color="auto"/>
              <w:right w:val="single" w:sz="8"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14 227 000 €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000000" w:fill="FFE699"/>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i/>
                <w:iCs/>
                <w:color w:val="000000"/>
                <w:sz w:val="20"/>
                <w:szCs w:val="20"/>
                <w:lang w:eastAsia="sk-SK"/>
              </w:rPr>
            </w:pPr>
            <w:r w:rsidRPr="007879B1">
              <w:rPr>
                <w:rFonts w:ascii="Times New Roman" w:eastAsia="Times New Roman" w:hAnsi="Times New Roman" w:cs="Times New Roman"/>
                <w:b/>
                <w:bCs/>
                <w:i/>
                <w:iCs/>
                <w:color w:val="000000"/>
                <w:sz w:val="20"/>
                <w:szCs w:val="20"/>
                <w:lang w:eastAsia="sk-SK"/>
              </w:rPr>
              <w:t xml:space="preserve">2021 </w:t>
            </w:r>
            <w:proofErr w:type="spellStart"/>
            <w:r w:rsidRPr="007879B1">
              <w:rPr>
                <w:rFonts w:ascii="Times New Roman" w:eastAsia="Times New Roman" w:hAnsi="Times New Roman" w:cs="Times New Roman"/>
                <w:b/>
                <w:bCs/>
                <w:i/>
                <w:iCs/>
                <w:color w:val="000000"/>
                <w:sz w:val="20"/>
                <w:szCs w:val="20"/>
                <w:lang w:eastAsia="sk-SK"/>
              </w:rPr>
              <w:t>skut</w:t>
            </w:r>
            <w:proofErr w:type="spellEnd"/>
          </w:p>
        </w:tc>
        <w:tc>
          <w:tcPr>
            <w:tcW w:w="12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1 323 365</w:t>
            </w:r>
          </w:p>
        </w:tc>
        <w:tc>
          <w:tcPr>
            <w:tcW w:w="11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1 680 220</w:t>
            </w:r>
          </w:p>
        </w:tc>
        <w:tc>
          <w:tcPr>
            <w:tcW w:w="144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976 412 329 €</w:t>
            </w:r>
          </w:p>
        </w:tc>
        <w:tc>
          <w:tcPr>
            <w:tcW w:w="160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11 149 234 351 €</w:t>
            </w:r>
          </w:p>
        </w:tc>
        <w:tc>
          <w:tcPr>
            <w:tcW w:w="1300" w:type="dxa"/>
            <w:tcBorders>
              <w:top w:val="nil"/>
              <w:left w:val="nil"/>
              <w:bottom w:val="single" w:sz="4" w:space="0" w:color="auto"/>
              <w:right w:val="single" w:sz="4"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130 045 211 €</w:t>
            </w:r>
          </w:p>
        </w:tc>
        <w:tc>
          <w:tcPr>
            <w:tcW w:w="1220" w:type="dxa"/>
            <w:tcBorders>
              <w:top w:val="nil"/>
              <w:left w:val="nil"/>
              <w:bottom w:val="single" w:sz="4" w:space="0" w:color="auto"/>
              <w:right w:val="single" w:sz="8" w:space="0" w:color="auto"/>
            </w:tcBorders>
            <w:shd w:val="clear" w:color="000000" w:fill="FFE699"/>
            <w:noWrap/>
            <w:vAlign w:val="bottom"/>
            <w:hideMark/>
          </w:tcPr>
          <w:p w:rsidR="007879B1" w:rsidRPr="007879B1" w:rsidRDefault="007879B1" w:rsidP="007879B1">
            <w:pPr>
              <w:spacing w:after="0" w:line="240" w:lineRule="auto"/>
              <w:jc w:val="center"/>
              <w:rPr>
                <w:rFonts w:ascii="Times New Roman" w:eastAsia="Times New Roman" w:hAnsi="Times New Roman" w:cs="Times New Roman"/>
                <w:i/>
                <w:iCs/>
                <w:color w:val="000000"/>
                <w:sz w:val="20"/>
                <w:szCs w:val="20"/>
                <w:lang w:eastAsia="sk-SK"/>
              </w:rPr>
            </w:pPr>
            <w:r w:rsidRPr="007879B1">
              <w:rPr>
                <w:rFonts w:ascii="Times New Roman" w:eastAsia="Times New Roman" w:hAnsi="Times New Roman" w:cs="Times New Roman"/>
                <w:i/>
                <w:iCs/>
                <w:color w:val="000000"/>
                <w:sz w:val="20"/>
                <w:szCs w:val="20"/>
                <w:lang w:eastAsia="sk-SK"/>
              </w:rPr>
              <w:t>17 740 000 €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2022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1 348 453</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1 713 804</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1 169 817 561 €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11 792 182 521 €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49 433 160 €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19 551 794 €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2023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1 358 203</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1 739 068</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1 347 736 177 €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13 571 158 813 €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54 284 635 €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23 180 198 €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2024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1 371 653</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1 769 068</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1 434 470 330 €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15 559 386 708 €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62 237 547 €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22 607 755 €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2025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1 372 226</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1 791 323</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1 501 551 456 €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17 761 701 822 €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71 046 807 €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23 799 909 €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2026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1 371 384</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1 808 066</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1 569 036 327 €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20 168 291 199 €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80 673 165 €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24 585 017 €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2027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1 370 211</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1 819 365</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1 636 305 479 €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22 755 632 449 €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91 022 530 €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25 393 734 €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2028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1 369 241</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1 830 275</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1 718 707 280 €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25 547 381 577 €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102 189 526 €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26 226 832 €</w:t>
            </w:r>
          </w:p>
        </w:tc>
      </w:tr>
      <w:tr w:rsidR="007879B1" w:rsidRPr="007879B1" w:rsidTr="007879B1">
        <w:trPr>
          <w:trHeight w:val="33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2029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1 369 085</w:t>
            </w:r>
          </w:p>
        </w:tc>
        <w:tc>
          <w:tcPr>
            <w:tcW w:w="11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1 840 815</w:t>
            </w:r>
          </w:p>
        </w:tc>
        <w:tc>
          <w:tcPr>
            <w:tcW w:w="144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1 805 619 388 €</w:t>
            </w:r>
          </w:p>
        </w:tc>
        <w:tc>
          <w:tcPr>
            <w:tcW w:w="16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28 557 687 743 €</w:t>
            </w:r>
          </w:p>
        </w:tc>
        <w:tc>
          <w:tcPr>
            <w:tcW w:w="1300" w:type="dxa"/>
            <w:tcBorders>
              <w:top w:val="nil"/>
              <w:left w:val="nil"/>
              <w:bottom w:val="single" w:sz="4"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114 230 751 €</w:t>
            </w:r>
          </w:p>
        </w:tc>
        <w:tc>
          <w:tcPr>
            <w:tcW w:w="1220" w:type="dxa"/>
            <w:tcBorders>
              <w:top w:val="nil"/>
              <w:left w:val="nil"/>
              <w:bottom w:val="single" w:sz="4"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27 085 107 €</w:t>
            </w:r>
          </w:p>
        </w:tc>
      </w:tr>
      <w:tr w:rsidR="007879B1" w:rsidRPr="007879B1" w:rsidTr="007879B1">
        <w:trPr>
          <w:trHeight w:val="345"/>
        </w:trPr>
        <w:tc>
          <w:tcPr>
            <w:tcW w:w="1000" w:type="dxa"/>
            <w:tcBorders>
              <w:top w:val="nil"/>
              <w:left w:val="single" w:sz="8" w:space="0" w:color="auto"/>
              <w:bottom w:val="single" w:sz="8" w:space="0" w:color="auto"/>
              <w:right w:val="single" w:sz="4" w:space="0" w:color="auto"/>
            </w:tcBorders>
            <w:shd w:val="clear" w:color="auto" w:fill="auto"/>
            <w:noWrap/>
            <w:vAlign w:val="center"/>
            <w:hideMark/>
          </w:tcPr>
          <w:p w:rsidR="007879B1" w:rsidRPr="007879B1" w:rsidRDefault="007879B1" w:rsidP="007879B1">
            <w:pPr>
              <w:spacing w:after="0" w:line="240" w:lineRule="auto"/>
              <w:jc w:val="center"/>
              <w:rPr>
                <w:rFonts w:ascii="Times New Roman" w:eastAsia="Times New Roman" w:hAnsi="Times New Roman" w:cs="Times New Roman"/>
                <w:b/>
                <w:bCs/>
                <w:color w:val="000000"/>
                <w:sz w:val="20"/>
                <w:szCs w:val="20"/>
                <w:lang w:eastAsia="sk-SK"/>
              </w:rPr>
            </w:pPr>
            <w:r w:rsidRPr="007879B1">
              <w:rPr>
                <w:rFonts w:ascii="Times New Roman" w:eastAsia="Times New Roman" w:hAnsi="Times New Roman" w:cs="Times New Roman"/>
                <w:b/>
                <w:bCs/>
                <w:color w:val="000000"/>
                <w:sz w:val="20"/>
                <w:szCs w:val="20"/>
                <w:lang w:eastAsia="sk-SK"/>
              </w:rPr>
              <w:t xml:space="preserve">2030 </w:t>
            </w:r>
            <w:proofErr w:type="spellStart"/>
            <w:r w:rsidRPr="007879B1">
              <w:rPr>
                <w:rFonts w:ascii="Times New Roman" w:eastAsia="Times New Roman" w:hAnsi="Times New Roman" w:cs="Times New Roman"/>
                <w:b/>
                <w:bCs/>
                <w:color w:val="000000"/>
                <w:sz w:val="20"/>
                <w:szCs w:val="20"/>
                <w:lang w:eastAsia="sk-SK"/>
              </w:rPr>
              <w:t>prog</w:t>
            </w:r>
            <w:proofErr w:type="spellEnd"/>
          </w:p>
        </w:tc>
        <w:tc>
          <w:tcPr>
            <w:tcW w:w="1240" w:type="dxa"/>
            <w:tcBorders>
              <w:top w:val="nil"/>
              <w:left w:val="nil"/>
              <w:bottom w:val="single" w:sz="8"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1 374 920</w:t>
            </w:r>
          </w:p>
        </w:tc>
        <w:tc>
          <w:tcPr>
            <w:tcW w:w="1140" w:type="dxa"/>
            <w:tcBorders>
              <w:top w:val="nil"/>
              <w:left w:val="nil"/>
              <w:bottom w:val="single" w:sz="8"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1 850 760</w:t>
            </w:r>
          </w:p>
        </w:tc>
        <w:tc>
          <w:tcPr>
            <w:tcW w:w="1440" w:type="dxa"/>
            <w:tcBorders>
              <w:top w:val="nil"/>
              <w:left w:val="nil"/>
              <w:bottom w:val="single" w:sz="8"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1 895 066 023 €</w:t>
            </w:r>
          </w:p>
        </w:tc>
        <w:tc>
          <w:tcPr>
            <w:tcW w:w="1600" w:type="dxa"/>
            <w:tcBorders>
              <w:top w:val="nil"/>
              <w:left w:val="nil"/>
              <w:bottom w:val="single" w:sz="8"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31 799 391 531 €</w:t>
            </w:r>
          </w:p>
        </w:tc>
        <w:tc>
          <w:tcPr>
            <w:tcW w:w="1300" w:type="dxa"/>
            <w:tcBorders>
              <w:top w:val="nil"/>
              <w:left w:val="nil"/>
              <w:bottom w:val="single" w:sz="8" w:space="0" w:color="auto"/>
              <w:right w:val="single" w:sz="4"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127 197 566 €</w:t>
            </w:r>
          </w:p>
        </w:tc>
        <w:tc>
          <w:tcPr>
            <w:tcW w:w="1220" w:type="dxa"/>
            <w:tcBorders>
              <w:top w:val="nil"/>
              <w:left w:val="nil"/>
              <w:bottom w:val="single" w:sz="8" w:space="0" w:color="auto"/>
              <w:right w:val="single" w:sz="8" w:space="0" w:color="auto"/>
            </w:tcBorders>
            <w:shd w:val="clear" w:color="auto" w:fill="auto"/>
            <w:noWrap/>
            <w:vAlign w:val="bottom"/>
            <w:hideMark/>
          </w:tcPr>
          <w:p w:rsidR="007879B1" w:rsidRPr="007879B1" w:rsidRDefault="007879B1" w:rsidP="007879B1">
            <w:pPr>
              <w:spacing w:after="0" w:line="240" w:lineRule="auto"/>
              <w:jc w:val="center"/>
              <w:rPr>
                <w:rFonts w:ascii="Times New Roman" w:eastAsia="Times New Roman" w:hAnsi="Times New Roman" w:cs="Times New Roman"/>
                <w:color w:val="000000"/>
                <w:sz w:val="20"/>
                <w:szCs w:val="20"/>
                <w:lang w:eastAsia="sk-SK"/>
              </w:rPr>
            </w:pPr>
            <w:r w:rsidRPr="007879B1">
              <w:rPr>
                <w:rFonts w:ascii="Times New Roman" w:eastAsia="Times New Roman" w:hAnsi="Times New Roman" w:cs="Times New Roman"/>
                <w:color w:val="000000"/>
                <w:sz w:val="20"/>
                <w:szCs w:val="20"/>
                <w:lang w:eastAsia="sk-SK"/>
              </w:rPr>
              <w:t>27 969 386 €</w:t>
            </w:r>
          </w:p>
        </w:tc>
      </w:tr>
    </w:tbl>
    <w:p w:rsidR="007879B1" w:rsidRDefault="007879B1" w:rsidP="00EA5BD3">
      <w:pPr>
        <w:pStyle w:val="NormlB"/>
      </w:pPr>
      <w:r>
        <w:rPr>
          <w:b/>
        </w:rPr>
        <w:t xml:space="preserve">* </w:t>
      </w:r>
      <w:r w:rsidRPr="007879B1">
        <w:t xml:space="preserve">Makroekonomické predpoklady od roku 2022 do roku 2025 vychádzajú z </w:t>
      </w:r>
      <w:proofErr w:type="spellStart"/>
      <w:r w:rsidRPr="007879B1">
        <w:t>makroprognózy</w:t>
      </w:r>
      <w:proofErr w:type="spellEnd"/>
      <w:r w:rsidRPr="007879B1">
        <w:t xml:space="preserve"> Ministerstva financií Slovenskej republiky z júna 2022 a od roku 2026 a neskôr z projekcie pracovnej skupiny Európskej komisie "</w:t>
      </w:r>
      <w:proofErr w:type="spellStart"/>
      <w:r w:rsidRPr="007879B1">
        <w:t>The</w:t>
      </w:r>
      <w:proofErr w:type="spellEnd"/>
      <w:r w:rsidRPr="007879B1">
        <w:t xml:space="preserve"> </w:t>
      </w:r>
      <w:proofErr w:type="spellStart"/>
      <w:r w:rsidRPr="007879B1">
        <w:t>Ageing</w:t>
      </w:r>
      <w:proofErr w:type="spellEnd"/>
      <w:r w:rsidRPr="007879B1">
        <w:t xml:space="preserve"> </w:t>
      </w:r>
      <w:proofErr w:type="spellStart"/>
      <w:r w:rsidRPr="007879B1">
        <w:t>Working</w:t>
      </w:r>
      <w:proofErr w:type="spellEnd"/>
      <w:r w:rsidRPr="007879B1">
        <w:t xml:space="preserve"> Group (AWG)"</w:t>
      </w:r>
    </w:p>
    <w:p w:rsidR="007879B1" w:rsidRDefault="007879B1" w:rsidP="00EA5BD3">
      <w:pPr>
        <w:pStyle w:val="NormlB"/>
      </w:pPr>
      <w:r w:rsidRPr="007879B1">
        <w:lastRenderedPageBreak/>
        <w:t>** P</w:t>
      </w:r>
      <w:r>
        <w:t>r</w:t>
      </w:r>
      <w:r w:rsidRPr="007879B1">
        <w:t>ojekcia predpokladá priemerné čisté zhodnotenie dlhopisových garantovaných fondov na úrovni 1,4 % p.</w:t>
      </w:r>
      <w:r>
        <w:t xml:space="preserve"> </w:t>
      </w:r>
      <w:r w:rsidRPr="007879B1">
        <w:t>a. (resp. po znížen</w:t>
      </w:r>
      <w:r w:rsidR="007D3C18">
        <w:t>í</w:t>
      </w:r>
      <w:r w:rsidRPr="007879B1">
        <w:t xml:space="preserve"> odplát 1,5 % p.</w:t>
      </w:r>
      <w:r>
        <w:t xml:space="preserve"> </w:t>
      </w:r>
      <w:r w:rsidRPr="007879B1">
        <w:t xml:space="preserve">a.) a negarantovaných dôchodkových fondov </w:t>
      </w:r>
      <w:r w:rsidR="007D3C18">
        <w:t xml:space="preserve">na úrovni </w:t>
      </w:r>
      <w:r w:rsidRPr="007879B1">
        <w:t>5,3 % p.</w:t>
      </w:r>
      <w:r>
        <w:t xml:space="preserve"> </w:t>
      </w:r>
      <w:r w:rsidRPr="007879B1">
        <w:t>a. (resp. po znížen</w:t>
      </w:r>
      <w:r w:rsidR="007D3C18">
        <w:t>í</w:t>
      </w:r>
      <w:r w:rsidRPr="007879B1">
        <w:t xml:space="preserve"> odplát 5,7 % p.</w:t>
      </w:r>
      <w:r>
        <w:t xml:space="preserve"> </w:t>
      </w:r>
      <w:r w:rsidRPr="007879B1">
        <w:t>a.)</w:t>
      </w:r>
      <w:r>
        <w:t xml:space="preserve">. </w:t>
      </w:r>
    </w:p>
    <w:p w:rsidR="007879B1" w:rsidRDefault="007879B1" w:rsidP="00EA5BD3">
      <w:pPr>
        <w:pStyle w:val="NormlB"/>
      </w:pPr>
      <w:r w:rsidRPr="007879B1">
        <w:t>*** Výnos z odplát v prípade základného scenára počíta od roku 2024 s úrovňou TER 0,67 % (priemerná úroveň TER v II. pilieri od roku 2013 do 2021) a v prípade alternatívneho scenára s TER 0,4 %</w:t>
      </w:r>
    </w:p>
    <w:p w:rsidR="007879B1" w:rsidRPr="007879B1" w:rsidRDefault="007879B1" w:rsidP="00EA5BD3">
      <w:pPr>
        <w:pStyle w:val="NormlB"/>
      </w:pPr>
      <w:r w:rsidRPr="007879B1">
        <w:t>**** Náklady DSS zohľadňujú administratívne a personálne náklady</w:t>
      </w:r>
    </w:p>
    <w:sectPr w:rsidR="007879B1" w:rsidRPr="007879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BAE" w:rsidRDefault="00330BAE" w:rsidP="00054C41">
      <w:pPr>
        <w:spacing w:after="0" w:line="240" w:lineRule="auto"/>
      </w:pPr>
      <w:r>
        <w:separator/>
      </w:r>
    </w:p>
  </w:endnote>
  <w:endnote w:type="continuationSeparator" w:id="0">
    <w:p w:rsidR="00330BAE" w:rsidRDefault="00330BAE"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3D4123" w:rsidRPr="006045CB" w:rsidRDefault="003D4123"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8609E">
          <w:rPr>
            <w:rFonts w:ascii="Times New Roman" w:hAnsi="Times New Roman" w:cs="Times New Roman"/>
            <w:noProof/>
            <w:sz w:val="24"/>
            <w:szCs w:val="24"/>
          </w:rPr>
          <w:t>9</w:t>
        </w:r>
        <w:r w:rsidRPr="006045CB">
          <w:rPr>
            <w:rFonts w:ascii="Times New Roman" w:hAnsi="Times New Roman" w:cs="Times New Roman"/>
            <w:sz w:val="24"/>
            <w:szCs w:val="24"/>
          </w:rPr>
          <w:fldChar w:fldCharType="end"/>
        </w:r>
      </w:p>
    </w:sdtContent>
  </w:sdt>
  <w:p w:rsidR="003D4123" w:rsidRPr="00FF7125" w:rsidRDefault="003D4123" w:rsidP="00054C41">
    <w:pPr>
      <w:pStyle w:val="Pta"/>
      <w:rPr>
        <w:sz w:val="24"/>
        <w:szCs w:val="24"/>
      </w:rPr>
    </w:pPr>
  </w:p>
  <w:p w:rsidR="003D4123" w:rsidRDefault="003D41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BAE" w:rsidRDefault="00330BAE" w:rsidP="00054C41">
      <w:pPr>
        <w:spacing w:after="0" w:line="240" w:lineRule="auto"/>
      </w:pPr>
      <w:r>
        <w:separator/>
      </w:r>
    </w:p>
  </w:footnote>
  <w:footnote w:type="continuationSeparator" w:id="0">
    <w:p w:rsidR="00330BAE" w:rsidRDefault="00330BAE" w:rsidP="00054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41A1"/>
    <w:rsid w:val="00024DA5"/>
    <w:rsid w:val="00033A2D"/>
    <w:rsid w:val="000340E8"/>
    <w:rsid w:val="000425E7"/>
    <w:rsid w:val="00054C41"/>
    <w:rsid w:val="00057FF3"/>
    <w:rsid w:val="00060DA1"/>
    <w:rsid w:val="0006739B"/>
    <w:rsid w:val="000B58E0"/>
    <w:rsid w:val="000C5D82"/>
    <w:rsid w:val="000C5E9A"/>
    <w:rsid w:val="000C6298"/>
    <w:rsid w:val="000C697E"/>
    <w:rsid w:val="000F2E14"/>
    <w:rsid w:val="000F53AB"/>
    <w:rsid w:val="001073C4"/>
    <w:rsid w:val="00115EDD"/>
    <w:rsid w:val="00121D41"/>
    <w:rsid w:val="00122942"/>
    <w:rsid w:val="00142154"/>
    <w:rsid w:val="00155B74"/>
    <w:rsid w:val="00157E96"/>
    <w:rsid w:val="00172733"/>
    <w:rsid w:val="00172FA1"/>
    <w:rsid w:val="001774B9"/>
    <w:rsid w:val="00192C72"/>
    <w:rsid w:val="001B0E98"/>
    <w:rsid w:val="001B4C03"/>
    <w:rsid w:val="001B619B"/>
    <w:rsid w:val="001B7A92"/>
    <w:rsid w:val="001D1083"/>
    <w:rsid w:val="001D3FA0"/>
    <w:rsid w:val="001D6E62"/>
    <w:rsid w:val="001E1FC0"/>
    <w:rsid w:val="001E53CB"/>
    <w:rsid w:val="001F10EC"/>
    <w:rsid w:val="001F53ED"/>
    <w:rsid w:val="001F6993"/>
    <w:rsid w:val="002072F9"/>
    <w:rsid w:val="00225A83"/>
    <w:rsid w:val="00225B7C"/>
    <w:rsid w:val="00247B72"/>
    <w:rsid w:val="00266B2F"/>
    <w:rsid w:val="0027020F"/>
    <w:rsid w:val="00270EA5"/>
    <w:rsid w:val="0028098B"/>
    <w:rsid w:val="00287D54"/>
    <w:rsid w:val="002B19B7"/>
    <w:rsid w:val="002B7704"/>
    <w:rsid w:val="002D7BAE"/>
    <w:rsid w:val="002F1691"/>
    <w:rsid w:val="00307E76"/>
    <w:rsid w:val="00310D58"/>
    <w:rsid w:val="00330BAE"/>
    <w:rsid w:val="003401A7"/>
    <w:rsid w:val="00340CFD"/>
    <w:rsid w:val="00345883"/>
    <w:rsid w:val="0038255E"/>
    <w:rsid w:val="00391648"/>
    <w:rsid w:val="0039304E"/>
    <w:rsid w:val="003935E4"/>
    <w:rsid w:val="003939DC"/>
    <w:rsid w:val="003943A9"/>
    <w:rsid w:val="003A1B20"/>
    <w:rsid w:val="003D3FBE"/>
    <w:rsid w:val="003D4123"/>
    <w:rsid w:val="003E3C18"/>
    <w:rsid w:val="003E58B8"/>
    <w:rsid w:val="003F06D7"/>
    <w:rsid w:val="004135DC"/>
    <w:rsid w:val="00423428"/>
    <w:rsid w:val="00423BC0"/>
    <w:rsid w:val="004260ED"/>
    <w:rsid w:val="00440FCC"/>
    <w:rsid w:val="00445638"/>
    <w:rsid w:val="00446432"/>
    <w:rsid w:val="00493372"/>
    <w:rsid w:val="004C2912"/>
    <w:rsid w:val="004D20CB"/>
    <w:rsid w:val="004D22FD"/>
    <w:rsid w:val="005111D6"/>
    <w:rsid w:val="0052612C"/>
    <w:rsid w:val="00557064"/>
    <w:rsid w:val="0056464E"/>
    <w:rsid w:val="005674DA"/>
    <w:rsid w:val="00595516"/>
    <w:rsid w:val="005B6A0B"/>
    <w:rsid w:val="005C6F70"/>
    <w:rsid w:val="005D1C9E"/>
    <w:rsid w:val="005D3C08"/>
    <w:rsid w:val="005D62A7"/>
    <w:rsid w:val="005E65C5"/>
    <w:rsid w:val="006061AF"/>
    <w:rsid w:val="0068609E"/>
    <w:rsid w:val="006B010A"/>
    <w:rsid w:val="006C5F90"/>
    <w:rsid w:val="006C7824"/>
    <w:rsid w:val="006D1BF2"/>
    <w:rsid w:val="00701FA4"/>
    <w:rsid w:val="007124C6"/>
    <w:rsid w:val="007259CB"/>
    <w:rsid w:val="007262CE"/>
    <w:rsid w:val="00732857"/>
    <w:rsid w:val="007468BA"/>
    <w:rsid w:val="007618CE"/>
    <w:rsid w:val="00762623"/>
    <w:rsid w:val="0077061E"/>
    <w:rsid w:val="0077106D"/>
    <w:rsid w:val="00776FF2"/>
    <w:rsid w:val="007879B1"/>
    <w:rsid w:val="007941FE"/>
    <w:rsid w:val="00795D15"/>
    <w:rsid w:val="007A75AD"/>
    <w:rsid w:val="007B40FB"/>
    <w:rsid w:val="007B6158"/>
    <w:rsid w:val="007B7E6D"/>
    <w:rsid w:val="007D3C18"/>
    <w:rsid w:val="007E24B2"/>
    <w:rsid w:val="00820C27"/>
    <w:rsid w:val="0082494C"/>
    <w:rsid w:val="0083057A"/>
    <w:rsid w:val="00831BE1"/>
    <w:rsid w:val="00855C7A"/>
    <w:rsid w:val="008634E9"/>
    <w:rsid w:val="00875667"/>
    <w:rsid w:val="008768D2"/>
    <w:rsid w:val="008801B5"/>
    <w:rsid w:val="008B413B"/>
    <w:rsid w:val="008B4AA1"/>
    <w:rsid w:val="008B7D37"/>
    <w:rsid w:val="008C1C71"/>
    <w:rsid w:val="009149B0"/>
    <w:rsid w:val="0092249A"/>
    <w:rsid w:val="009224C3"/>
    <w:rsid w:val="00923C0C"/>
    <w:rsid w:val="009619A5"/>
    <w:rsid w:val="00971FA0"/>
    <w:rsid w:val="00974F4A"/>
    <w:rsid w:val="00987FB6"/>
    <w:rsid w:val="009A4D56"/>
    <w:rsid w:val="009B4D15"/>
    <w:rsid w:val="009C0DD9"/>
    <w:rsid w:val="009D000B"/>
    <w:rsid w:val="009D3D1F"/>
    <w:rsid w:val="009E09F7"/>
    <w:rsid w:val="009E61AE"/>
    <w:rsid w:val="009F03F8"/>
    <w:rsid w:val="00A000DA"/>
    <w:rsid w:val="00A119D4"/>
    <w:rsid w:val="00A1736E"/>
    <w:rsid w:val="00A3731E"/>
    <w:rsid w:val="00A65199"/>
    <w:rsid w:val="00A81F7D"/>
    <w:rsid w:val="00A86E49"/>
    <w:rsid w:val="00AA6CCD"/>
    <w:rsid w:val="00AC23FC"/>
    <w:rsid w:val="00AD3DE9"/>
    <w:rsid w:val="00B05C8D"/>
    <w:rsid w:val="00B13AFF"/>
    <w:rsid w:val="00B473D0"/>
    <w:rsid w:val="00B50521"/>
    <w:rsid w:val="00B56134"/>
    <w:rsid w:val="00B66E33"/>
    <w:rsid w:val="00B8063D"/>
    <w:rsid w:val="00B86C72"/>
    <w:rsid w:val="00BB1179"/>
    <w:rsid w:val="00BB281D"/>
    <w:rsid w:val="00BD0EF7"/>
    <w:rsid w:val="00BD3303"/>
    <w:rsid w:val="00BF3E5C"/>
    <w:rsid w:val="00BF47B5"/>
    <w:rsid w:val="00C21399"/>
    <w:rsid w:val="00C560C4"/>
    <w:rsid w:val="00C6748F"/>
    <w:rsid w:val="00C754BF"/>
    <w:rsid w:val="00C75D82"/>
    <w:rsid w:val="00C77178"/>
    <w:rsid w:val="00C832B3"/>
    <w:rsid w:val="00C8432D"/>
    <w:rsid w:val="00CF211A"/>
    <w:rsid w:val="00D005F2"/>
    <w:rsid w:val="00D0307D"/>
    <w:rsid w:val="00D05823"/>
    <w:rsid w:val="00D20CDD"/>
    <w:rsid w:val="00D221EE"/>
    <w:rsid w:val="00D22F61"/>
    <w:rsid w:val="00D244C2"/>
    <w:rsid w:val="00D631FA"/>
    <w:rsid w:val="00D65AF0"/>
    <w:rsid w:val="00D82356"/>
    <w:rsid w:val="00D84EEE"/>
    <w:rsid w:val="00D90A61"/>
    <w:rsid w:val="00D913F2"/>
    <w:rsid w:val="00D96F81"/>
    <w:rsid w:val="00DA3F2F"/>
    <w:rsid w:val="00DD7711"/>
    <w:rsid w:val="00DE0FE6"/>
    <w:rsid w:val="00DE2103"/>
    <w:rsid w:val="00DF2AE4"/>
    <w:rsid w:val="00E030DA"/>
    <w:rsid w:val="00E26AC4"/>
    <w:rsid w:val="00E36C7A"/>
    <w:rsid w:val="00E46003"/>
    <w:rsid w:val="00E52D59"/>
    <w:rsid w:val="00E55C00"/>
    <w:rsid w:val="00E7693D"/>
    <w:rsid w:val="00E9624B"/>
    <w:rsid w:val="00E96621"/>
    <w:rsid w:val="00EA0A5E"/>
    <w:rsid w:val="00EA5BD3"/>
    <w:rsid w:val="00EB28D9"/>
    <w:rsid w:val="00EB2BEC"/>
    <w:rsid w:val="00EC0704"/>
    <w:rsid w:val="00ED6781"/>
    <w:rsid w:val="00ED6B5D"/>
    <w:rsid w:val="00EE4C99"/>
    <w:rsid w:val="00F10E19"/>
    <w:rsid w:val="00F13453"/>
    <w:rsid w:val="00F42ADA"/>
    <w:rsid w:val="00F536F2"/>
    <w:rsid w:val="00F74FC9"/>
    <w:rsid w:val="00FB07E3"/>
    <w:rsid w:val="00FD3D35"/>
    <w:rsid w:val="00FE5FA2"/>
    <w:rsid w:val="00FF414B"/>
    <w:rsid w:val="00FF4B7A"/>
    <w:rsid w:val="00FF762F"/>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000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NormlB">
    <w:name w:val="Normál (B)"/>
    <w:basedOn w:val="Normlny"/>
    <w:link w:val="NormlBChar"/>
    <w:qFormat/>
    <w:rsid w:val="00BF3E5C"/>
    <w:pPr>
      <w:spacing w:before="120" w:after="120" w:line="276" w:lineRule="auto"/>
      <w:jc w:val="both"/>
    </w:pPr>
    <w:rPr>
      <w:rFonts w:ascii="Times New Roman" w:hAnsi="Times New Roman"/>
      <w:sz w:val="24"/>
    </w:rPr>
  </w:style>
  <w:style w:type="character" w:customStyle="1" w:styleId="NormlBChar">
    <w:name w:val="Normál (B) Char"/>
    <w:basedOn w:val="Predvolenpsmoodseku"/>
    <w:link w:val="NormlB"/>
    <w:rsid w:val="00BF3E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71646">
      <w:bodyDiv w:val="1"/>
      <w:marLeft w:val="0"/>
      <w:marRight w:val="0"/>
      <w:marTop w:val="0"/>
      <w:marBottom w:val="0"/>
      <w:divBdr>
        <w:top w:val="none" w:sz="0" w:space="0" w:color="auto"/>
        <w:left w:val="none" w:sz="0" w:space="0" w:color="auto"/>
        <w:bottom w:val="none" w:sz="0" w:space="0" w:color="auto"/>
        <w:right w:val="none" w:sz="0" w:space="0" w:color="auto"/>
      </w:divBdr>
    </w:div>
    <w:div w:id="262348073">
      <w:bodyDiv w:val="1"/>
      <w:marLeft w:val="0"/>
      <w:marRight w:val="0"/>
      <w:marTop w:val="0"/>
      <w:marBottom w:val="0"/>
      <w:divBdr>
        <w:top w:val="none" w:sz="0" w:space="0" w:color="auto"/>
        <w:left w:val="none" w:sz="0" w:space="0" w:color="auto"/>
        <w:bottom w:val="none" w:sz="0" w:space="0" w:color="auto"/>
        <w:right w:val="none" w:sz="0" w:space="0" w:color="auto"/>
      </w:divBdr>
    </w:div>
    <w:div w:id="382097616">
      <w:bodyDiv w:val="1"/>
      <w:marLeft w:val="0"/>
      <w:marRight w:val="0"/>
      <w:marTop w:val="0"/>
      <w:marBottom w:val="0"/>
      <w:divBdr>
        <w:top w:val="none" w:sz="0" w:space="0" w:color="auto"/>
        <w:left w:val="none" w:sz="0" w:space="0" w:color="auto"/>
        <w:bottom w:val="none" w:sz="0" w:space="0" w:color="auto"/>
        <w:right w:val="none" w:sz="0" w:space="0" w:color="auto"/>
      </w:divBdr>
    </w:div>
    <w:div w:id="717047534">
      <w:bodyDiv w:val="1"/>
      <w:marLeft w:val="0"/>
      <w:marRight w:val="0"/>
      <w:marTop w:val="0"/>
      <w:marBottom w:val="0"/>
      <w:divBdr>
        <w:top w:val="none" w:sz="0" w:space="0" w:color="auto"/>
        <w:left w:val="none" w:sz="0" w:space="0" w:color="auto"/>
        <w:bottom w:val="none" w:sz="0" w:space="0" w:color="auto"/>
        <w:right w:val="none" w:sz="0" w:space="0" w:color="auto"/>
      </w:divBdr>
    </w:div>
    <w:div w:id="787313256">
      <w:bodyDiv w:val="1"/>
      <w:marLeft w:val="0"/>
      <w:marRight w:val="0"/>
      <w:marTop w:val="0"/>
      <w:marBottom w:val="0"/>
      <w:divBdr>
        <w:top w:val="none" w:sz="0" w:space="0" w:color="auto"/>
        <w:left w:val="none" w:sz="0" w:space="0" w:color="auto"/>
        <w:bottom w:val="none" w:sz="0" w:space="0" w:color="auto"/>
        <w:right w:val="none" w:sz="0" w:space="0" w:color="auto"/>
      </w:divBdr>
    </w:div>
    <w:div w:id="921987566">
      <w:bodyDiv w:val="1"/>
      <w:marLeft w:val="0"/>
      <w:marRight w:val="0"/>
      <w:marTop w:val="0"/>
      <w:marBottom w:val="0"/>
      <w:divBdr>
        <w:top w:val="none" w:sz="0" w:space="0" w:color="auto"/>
        <w:left w:val="none" w:sz="0" w:space="0" w:color="auto"/>
        <w:bottom w:val="none" w:sz="0" w:space="0" w:color="auto"/>
        <w:right w:val="none" w:sz="0" w:space="0" w:color="auto"/>
      </w:divBdr>
    </w:div>
    <w:div w:id="955869762">
      <w:bodyDiv w:val="1"/>
      <w:marLeft w:val="0"/>
      <w:marRight w:val="0"/>
      <w:marTop w:val="0"/>
      <w:marBottom w:val="0"/>
      <w:divBdr>
        <w:top w:val="none" w:sz="0" w:space="0" w:color="auto"/>
        <w:left w:val="none" w:sz="0" w:space="0" w:color="auto"/>
        <w:bottom w:val="none" w:sz="0" w:space="0" w:color="auto"/>
        <w:right w:val="none" w:sz="0" w:space="0" w:color="auto"/>
      </w:divBdr>
    </w:div>
    <w:div w:id="1007319423">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74435884">
      <w:bodyDiv w:val="1"/>
      <w:marLeft w:val="0"/>
      <w:marRight w:val="0"/>
      <w:marTop w:val="0"/>
      <w:marBottom w:val="0"/>
      <w:divBdr>
        <w:top w:val="none" w:sz="0" w:space="0" w:color="auto"/>
        <w:left w:val="none" w:sz="0" w:space="0" w:color="auto"/>
        <w:bottom w:val="none" w:sz="0" w:space="0" w:color="auto"/>
        <w:right w:val="none" w:sz="0" w:space="0" w:color="auto"/>
      </w:divBdr>
    </w:div>
    <w:div w:id="1278214694">
      <w:bodyDiv w:val="1"/>
      <w:marLeft w:val="0"/>
      <w:marRight w:val="0"/>
      <w:marTop w:val="0"/>
      <w:marBottom w:val="0"/>
      <w:divBdr>
        <w:top w:val="none" w:sz="0" w:space="0" w:color="auto"/>
        <w:left w:val="none" w:sz="0" w:space="0" w:color="auto"/>
        <w:bottom w:val="none" w:sz="0" w:space="0" w:color="auto"/>
        <w:right w:val="none" w:sz="0" w:space="0" w:color="auto"/>
      </w:divBdr>
    </w:div>
    <w:div w:id="1299842564">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789885124">
      <w:bodyDiv w:val="1"/>
      <w:marLeft w:val="0"/>
      <w:marRight w:val="0"/>
      <w:marTop w:val="0"/>
      <w:marBottom w:val="0"/>
      <w:divBdr>
        <w:top w:val="none" w:sz="0" w:space="0" w:color="auto"/>
        <w:left w:val="none" w:sz="0" w:space="0" w:color="auto"/>
        <w:bottom w:val="none" w:sz="0" w:space="0" w:color="auto"/>
        <w:right w:val="none" w:sz="0" w:space="0" w:color="auto"/>
      </w:divBdr>
    </w:div>
    <w:div w:id="2001077718">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F462E1B-1E7D-4E28-BFA1-07076A4B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3234</Words>
  <Characters>18437</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3</cp:revision>
  <cp:lastPrinted>2022-05-02T07:29:00Z</cp:lastPrinted>
  <dcterms:created xsi:type="dcterms:W3CDTF">2022-08-24T11:30:00Z</dcterms:created>
  <dcterms:modified xsi:type="dcterms:W3CDTF">2022-08-24T11:43:00Z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