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7A50ACBF" w14:textId="77777777" w:rsidTr="00DB36C7">
        <w:trPr>
          <w:trHeight w:val="534"/>
          <w:jc w:val="center"/>
        </w:trPr>
        <w:tc>
          <w:tcPr>
            <w:tcW w:w="5000" w:type="pct"/>
            <w:gridSpan w:val="3"/>
            <w:tcBorders>
              <w:bottom w:val="single" w:sz="4" w:space="0" w:color="auto"/>
            </w:tcBorders>
            <w:shd w:val="clear" w:color="auto" w:fill="808080" w:themeFill="background1" w:themeFillShade="80"/>
          </w:tcPr>
          <w:p w14:paraId="51D0D020"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52CD3EC1"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6ED57DE"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12A8279C" w14:textId="77777777" w:rsidTr="00DB36C7">
        <w:trPr>
          <w:jc w:val="center"/>
        </w:trPr>
        <w:tc>
          <w:tcPr>
            <w:tcW w:w="5000" w:type="pct"/>
            <w:gridSpan w:val="3"/>
            <w:tcBorders>
              <w:bottom w:val="single" w:sz="4" w:space="0" w:color="auto"/>
            </w:tcBorders>
            <w:shd w:val="clear" w:color="auto" w:fill="A6A6A6" w:themeFill="background1" w:themeFillShade="A6"/>
          </w:tcPr>
          <w:p w14:paraId="04001812"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36E422BC" w14:textId="77777777" w:rsidTr="00DB36C7">
        <w:trPr>
          <w:jc w:val="center"/>
        </w:trPr>
        <w:tc>
          <w:tcPr>
            <w:tcW w:w="5000" w:type="pct"/>
            <w:gridSpan w:val="3"/>
            <w:tcBorders>
              <w:bottom w:val="single" w:sz="4" w:space="0" w:color="auto"/>
            </w:tcBorders>
            <w:shd w:val="clear" w:color="auto" w:fill="F2F2F2"/>
          </w:tcPr>
          <w:p w14:paraId="58044092"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362E0405"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1E5D0BA2"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72941B31"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797CBED7" w14:textId="77777777" w:rsidTr="00DB36C7">
        <w:trPr>
          <w:trHeight w:val="170"/>
          <w:jc w:val="center"/>
        </w:trPr>
        <w:tc>
          <w:tcPr>
            <w:tcW w:w="129" w:type="pct"/>
            <w:tcBorders>
              <w:top w:val="single" w:sz="4" w:space="0" w:color="auto"/>
              <w:bottom w:val="single" w:sz="4" w:space="0" w:color="auto"/>
            </w:tcBorders>
            <w:shd w:val="clear" w:color="auto" w:fill="DDDDDD"/>
            <w:vAlign w:val="center"/>
          </w:tcPr>
          <w:p w14:paraId="69154A8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0DA15A1"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1D6F6947" w14:textId="77777777" w:rsidTr="00DB36C7">
        <w:trPr>
          <w:trHeight w:val="759"/>
          <w:jc w:val="center"/>
        </w:trPr>
        <w:tc>
          <w:tcPr>
            <w:tcW w:w="129" w:type="pct"/>
            <w:tcBorders>
              <w:top w:val="single" w:sz="4" w:space="0" w:color="auto"/>
              <w:bottom w:val="single" w:sz="4" w:space="0" w:color="auto"/>
            </w:tcBorders>
            <w:shd w:val="clear" w:color="auto" w:fill="auto"/>
            <w:vAlign w:val="center"/>
          </w:tcPr>
          <w:p w14:paraId="41B239F6" w14:textId="77777777" w:rsidR="002644DE" w:rsidRPr="002644DE" w:rsidRDefault="002644DE" w:rsidP="00886FE8">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D6675F2" w14:textId="77777777" w:rsidR="002644DE" w:rsidRPr="002644DE" w:rsidRDefault="002644DE"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85D2262" w14:textId="6373BD6B" w:rsidR="00AA5F7A" w:rsidRDefault="00F7039E" w:rsidP="00AA5F7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Zavedenie predvolenej investičnej stratégie pre nových a postupne aj pre existujúcich sporiteľov. </w:t>
            </w:r>
            <w:r w:rsidR="00AA5F7A" w:rsidRPr="00256F87">
              <w:rPr>
                <w:rFonts w:ascii="Times New Roman" w:eastAsia="Times New Roman" w:hAnsi="Times New Roman" w:cs="Times New Roman"/>
                <w:sz w:val="20"/>
                <w:szCs w:val="20"/>
                <w:lang w:eastAsia="sk-SK"/>
              </w:rPr>
              <w:t>Predvolená investičná stratégia sa bude vykonávať prostredníctvom</w:t>
            </w:r>
            <w:r w:rsidR="00AA5F7A">
              <w:rPr>
                <w:rFonts w:ascii="Times New Roman" w:eastAsia="Times New Roman" w:hAnsi="Times New Roman" w:cs="Times New Roman"/>
                <w:sz w:val="20"/>
                <w:szCs w:val="20"/>
                <w:lang w:eastAsia="sk-SK"/>
              </w:rPr>
              <w:t xml:space="preserve"> pravidelného znižovania podielu čistej hodnoty majetku v indexovom negarantovanom dôchodkovom </w:t>
            </w:r>
            <w:r w:rsidR="00AA5F7A" w:rsidRPr="0065437F">
              <w:rPr>
                <w:rFonts w:ascii="Times New Roman" w:eastAsia="Times New Roman" w:hAnsi="Times New Roman" w:cs="Times New Roman"/>
                <w:sz w:val="20"/>
                <w:szCs w:val="20"/>
                <w:lang w:eastAsia="sk-SK"/>
              </w:rPr>
              <w:t>fonde od veku 50 rokov o 4 percentuálne body v prospech podielu čistej hodnoty majetku v</w:t>
            </w:r>
            <w:r w:rsidR="00AA5F7A">
              <w:rPr>
                <w:rFonts w:ascii="Times New Roman" w:eastAsia="Times New Roman" w:hAnsi="Times New Roman" w:cs="Times New Roman"/>
                <w:sz w:val="20"/>
                <w:szCs w:val="20"/>
                <w:lang w:eastAsia="sk-SK"/>
              </w:rPr>
              <w:t> dlhopisovom garantovanom dôchodkovom fonde.</w:t>
            </w:r>
          </w:p>
          <w:p w14:paraId="0EC7AE1E" w14:textId="77777777" w:rsidR="002644DE" w:rsidRPr="002644DE" w:rsidRDefault="002644DE" w:rsidP="00DD4647">
            <w:pPr>
              <w:spacing w:after="0" w:line="240" w:lineRule="auto"/>
              <w:contextualSpacing/>
              <w:jc w:val="both"/>
              <w:rPr>
                <w:rFonts w:ascii="Times New Roman" w:eastAsia="Calibri" w:hAnsi="Times New Roman" w:cs="Times New Roman"/>
                <w:sz w:val="20"/>
                <w:szCs w:val="20"/>
                <w:lang w:eastAsia="sk-SK"/>
              </w:rPr>
            </w:pPr>
          </w:p>
        </w:tc>
      </w:tr>
      <w:tr w:rsidR="002644DE" w:rsidRPr="002644DE" w14:paraId="06D13D81" w14:textId="77777777" w:rsidTr="00DB36C7">
        <w:trPr>
          <w:trHeight w:val="397"/>
          <w:jc w:val="center"/>
        </w:trPr>
        <w:tc>
          <w:tcPr>
            <w:tcW w:w="129" w:type="pct"/>
            <w:vMerge w:val="restart"/>
            <w:tcBorders>
              <w:top w:val="single" w:sz="4" w:space="0" w:color="auto"/>
            </w:tcBorders>
            <w:shd w:val="clear" w:color="auto" w:fill="auto"/>
            <w:vAlign w:val="center"/>
          </w:tcPr>
          <w:p w14:paraId="56267AFE" w14:textId="77777777" w:rsidR="002644DE" w:rsidRPr="002644DE" w:rsidRDefault="002644DE"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D4956F0" w14:textId="77777777" w:rsidR="002644DE" w:rsidRPr="002644DE" w:rsidRDefault="002644DE"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19907E9" w14:textId="77777777" w:rsidR="002644DE" w:rsidRPr="002644DE" w:rsidRDefault="00F7039E" w:rsidP="0089310B">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Noví sporitelia </w:t>
            </w:r>
            <w:r w:rsidR="00717D37">
              <w:rPr>
                <w:rFonts w:ascii="Times New Roman" w:eastAsia="Calibri" w:hAnsi="Times New Roman" w:cs="Times New Roman"/>
                <w:i/>
                <w:sz w:val="18"/>
                <w:szCs w:val="20"/>
                <w:lang w:eastAsia="sk-SK"/>
              </w:rPr>
              <w:t>a sporitelia naroden</w:t>
            </w:r>
            <w:r w:rsidR="0089310B">
              <w:rPr>
                <w:rFonts w:ascii="Times New Roman" w:eastAsia="Calibri" w:hAnsi="Times New Roman" w:cs="Times New Roman"/>
                <w:i/>
                <w:sz w:val="18"/>
                <w:szCs w:val="20"/>
                <w:lang w:eastAsia="sk-SK"/>
              </w:rPr>
              <w:t>í</w:t>
            </w:r>
            <w:r w:rsidR="00717D37">
              <w:rPr>
                <w:rFonts w:ascii="Times New Roman" w:eastAsia="Calibri" w:hAnsi="Times New Roman" w:cs="Times New Roman"/>
                <w:i/>
                <w:sz w:val="18"/>
                <w:szCs w:val="20"/>
                <w:lang w:eastAsia="sk-SK"/>
              </w:rPr>
              <w:t xml:space="preserve"> po roku 1968, ktorí majú časť majetku v inom ako v indexovom dôchodkovom fonde. </w:t>
            </w:r>
            <w:r>
              <w:rPr>
                <w:rFonts w:ascii="Times New Roman" w:eastAsia="Calibri" w:hAnsi="Times New Roman" w:cs="Times New Roman"/>
                <w:i/>
                <w:sz w:val="18"/>
                <w:szCs w:val="20"/>
                <w:lang w:eastAsia="sk-SK"/>
              </w:rPr>
              <w:t xml:space="preserve"> </w:t>
            </w:r>
          </w:p>
        </w:tc>
      </w:tr>
      <w:tr w:rsidR="002644DE" w:rsidRPr="002644DE" w14:paraId="7EE72E5F" w14:textId="77777777" w:rsidTr="00DB36C7">
        <w:trPr>
          <w:trHeight w:val="397"/>
          <w:jc w:val="center"/>
        </w:trPr>
        <w:tc>
          <w:tcPr>
            <w:tcW w:w="129" w:type="pct"/>
            <w:vMerge/>
            <w:shd w:val="clear" w:color="auto" w:fill="auto"/>
            <w:vAlign w:val="center"/>
          </w:tcPr>
          <w:p w14:paraId="243138C2" w14:textId="77777777" w:rsidR="002644DE" w:rsidRPr="002644DE" w:rsidRDefault="002644DE"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0F5B3B7A" w14:textId="77777777" w:rsidR="002644DE" w:rsidRPr="002644DE" w:rsidRDefault="00F7039E"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3A05785C" w14:textId="77777777" w:rsidR="002644DE" w:rsidRPr="002644DE" w:rsidRDefault="00717D37" w:rsidP="00886FE8">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Noví </w:t>
            </w:r>
            <w:r w:rsidR="0089310B">
              <w:rPr>
                <w:rFonts w:ascii="Times New Roman" w:eastAsia="Calibri" w:hAnsi="Times New Roman" w:cs="Times New Roman"/>
                <w:i/>
                <w:sz w:val="18"/>
                <w:szCs w:val="20"/>
                <w:lang w:eastAsia="sk-SK"/>
              </w:rPr>
              <w:t>sporitelia a sporitelia narodení</w:t>
            </w:r>
            <w:r>
              <w:rPr>
                <w:rFonts w:ascii="Times New Roman" w:eastAsia="Calibri" w:hAnsi="Times New Roman" w:cs="Times New Roman"/>
                <w:i/>
                <w:sz w:val="18"/>
                <w:szCs w:val="20"/>
                <w:lang w:eastAsia="sk-SK"/>
              </w:rPr>
              <w:t xml:space="preserve"> po roku 1968, ktorí majú časť majetku v inom ako v indexovom dôchodkovom fonde.  </w:t>
            </w:r>
          </w:p>
        </w:tc>
      </w:tr>
      <w:tr w:rsidR="002644DE" w:rsidRPr="002644DE" w14:paraId="3BF698C6" w14:textId="77777777" w:rsidTr="00DB36C7">
        <w:trPr>
          <w:trHeight w:val="454"/>
          <w:jc w:val="center"/>
        </w:trPr>
        <w:tc>
          <w:tcPr>
            <w:tcW w:w="129" w:type="pct"/>
            <w:tcBorders>
              <w:top w:val="dotted" w:sz="4" w:space="0" w:color="auto"/>
            </w:tcBorders>
            <w:shd w:val="clear" w:color="auto" w:fill="F2F2F2"/>
            <w:vAlign w:val="center"/>
          </w:tcPr>
          <w:p w14:paraId="05EAE142" w14:textId="77777777" w:rsidR="002644DE" w:rsidRPr="002644DE" w:rsidRDefault="002644DE"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ED06670" w14:textId="77777777" w:rsidR="002644DE" w:rsidRPr="002644DE" w:rsidRDefault="002644DE" w:rsidP="00886FE8">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24A04A4" w14:textId="77777777" w:rsidTr="00DB36C7">
        <w:trPr>
          <w:trHeight w:val="680"/>
          <w:jc w:val="center"/>
        </w:trPr>
        <w:tc>
          <w:tcPr>
            <w:tcW w:w="129" w:type="pct"/>
            <w:vMerge w:val="restart"/>
            <w:tcBorders>
              <w:top w:val="dotted" w:sz="4" w:space="0" w:color="auto"/>
            </w:tcBorders>
            <w:shd w:val="clear" w:color="auto" w:fill="auto"/>
            <w:vAlign w:val="center"/>
          </w:tcPr>
          <w:p w14:paraId="7E4FC5B5" w14:textId="77777777" w:rsidR="002644DE" w:rsidRPr="002644DE" w:rsidRDefault="002644DE"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560B287" w14:textId="77777777" w:rsidR="002644DE" w:rsidRPr="002644DE" w:rsidRDefault="002644DE" w:rsidP="00886FE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9ADD5F5" w14:textId="77777777" w:rsidR="002644DE" w:rsidRPr="002644DE" w:rsidRDefault="002644DE" w:rsidP="00886FE8">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CF60DF2" w14:textId="2A023F9E" w:rsidR="00C11163" w:rsidRDefault="00F7039E" w:rsidP="00886FE8">
            <w:pPr>
              <w:spacing w:after="0" w:line="240" w:lineRule="auto"/>
              <w:jc w:val="both"/>
              <w:rPr>
                <w:rFonts w:ascii="Times New Roman" w:eastAsia="Calibri" w:hAnsi="Times New Roman" w:cs="Times New Roman"/>
                <w:sz w:val="20"/>
                <w:szCs w:val="20"/>
                <w:lang w:eastAsia="sk-SK"/>
              </w:rPr>
            </w:pPr>
            <w:r w:rsidRPr="00F7039E">
              <w:rPr>
                <w:rFonts w:ascii="Times New Roman" w:eastAsia="Calibri" w:hAnsi="Times New Roman" w:cs="Times New Roman"/>
                <w:sz w:val="20"/>
                <w:szCs w:val="20"/>
                <w:lang w:eastAsia="sk-SK"/>
              </w:rPr>
              <w:t>Z historických údajov vyplýva, že globálne akciové fondy dokážu z dlhodobého pohľadu významne prekonať rast cien v ekonomike a zabezpečiť tak reálny výnos investície. Kvalitné dlhopisové investície naopak dokážu zabezpečiť stabilný výnos a vo väčšine prípadov ochrániť majetok pred trhovými výkyvmi. Správne zvolená investičná stratégia založená na postupnom presune majetku z akciových do dlhopisových investícií dokáže zvýšiť nasporenú sumu, resp. dôchodok sporiteľa</w:t>
            </w:r>
            <w:r>
              <w:rPr>
                <w:rFonts w:ascii="Times New Roman" w:eastAsia="Calibri" w:hAnsi="Times New Roman" w:cs="Times New Roman"/>
                <w:sz w:val="20"/>
                <w:szCs w:val="20"/>
                <w:lang w:eastAsia="sk-SK"/>
              </w:rPr>
              <w:t xml:space="preserve"> po 40 rokoch sporenia</w:t>
            </w:r>
            <w:r w:rsidRPr="00F7039E">
              <w:rPr>
                <w:rFonts w:ascii="Times New Roman" w:eastAsia="Calibri" w:hAnsi="Times New Roman" w:cs="Times New Roman"/>
                <w:sz w:val="20"/>
                <w:szCs w:val="20"/>
                <w:lang w:eastAsia="sk-SK"/>
              </w:rPr>
              <w:t xml:space="preserve"> v priemere o </w:t>
            </w:r>
            <w:r w:rsidR="00717D37">
              <w:rPr>
                <w:rFonts w:ascii="Times New Roman" w:eastAsia="Calibri" w:hAnsi="Times New Roman" w:cs="Times New Roman"/>
                <w:sz w:val="20"/>
                <w:szCs w:val="20"/>
                <w:lang w:eastAsia="sk-SK"/>
              </w:rPr>
              <w:t>50</w:t>
            </w:r>
            <w:r w:rsidRPr="00F7039E">
              <w:rPr>
                <w:rFonts w:ascii="Times New Roman" w:eastAsia="Calibri" w:hAnsi="Times New Roman" w:cs="Times New Roman"/>
                <w:sz w:val="20"/>
                <w:szCs w:val="20"/>
                <w:lang w:eastAsia="sk-SK"/>
              </w:rPr>
              <w:t xml:space="preserve"> % v porovnaní s alternatívnou investičnou stratégiou založenou výlučne na dlhopisových investíciách.</w:t>
            </w:r>
            <w:r w:rsidR="00C11163">
              <w:rPr>
                <w:rFonts w:ascii="Times New Roman" w:eastAsia="Calibri" w:hAnsi="Times New Roman" w:cs="Times New Roman"/>
                <w:sz w:val="20"/>
                <w:szCs w:val="20"/>
                <w:lang w:eastAsia="sk-SK"/>
              </w:rPr>
              <w:t xml:space="preserve"> </w:t>
            </w:r>
            <w:r w:rsidR="00C11163" w:rsidRPr="00C11163">
              <w:rPr>
                <w:rFonts w:ascii="Times New Roman" w:eastAsia="Calibri" w:hAnsi="Times New Roman" w:cs="Times New Roman"/>
                <w:sz w:val="20"/>
                <w:szCs w:val="20"/>
                <w:lang w:eastAsia="sk-SK"/>
              </w:rPr>
              <w:t>Neadekvátne rozloženie úspor sporiteľov má priamy vplyv na výšku nasporenej sumy a teda aj sumu budúceho dôchodku</w:t>
            </w:r>
            <w:r w:rsidR="00C11163">
              <w:rPr>
                <w:rFonts w:ascii="Times New Roman" w:eastAsia="Calibri" w:hAnsi="Times New Roman" w:cs="Times New Roman"/>
                <w:sz w:val="20"/>
                <w:szCs w:val="20"/>
                <w:lang w:eastAsia="sk-SK"/>
              </w:rPr>
              <w:t xml:space="preserve"> existujúcich</w:t>
            </w:r>
            <w:r w:rsidR="00C11163" w:rsidRPr="00C11163">
              <w:rPr>
                <w:rFonts w:ascii="Times New Roman" w:eastAsia="Calibri" w:hAnsi="Times New Roman" w:cs="Times New Roman"/>
                <w:sz w:val="20"/>
                <w:szCs w:val="20"/>
                <w:lang w:eastAsia="sk-SK"/>
              </w:rPr>
              <w:t xml:space="preserve"> sporiteľov. V prípade, ak by boli úspory „neaktívnej“ skupiny sporiteľov v roku 2021 alokované do fondu, ktorý dosiahol priemerné zhodnotenie indexových dôchodkových fondov v roku 2021 (t. j. 27,5 %) a v závislosti od veku postupne presúvané do </w:t>
            </w:r>
            <w:r w:rsidR="00C11163">
              <w:rPr>
                <w:rFonts w:ascii="Times New Roman" w:eastAsia="Calibri" w:hAnsi="Times New Roman" w:cs="Times New Roman"/>
                <w:sz w:val="20"/>
                <w:szCs w:val="20"/>
                <w:lang w:eastAsia="sk-SK"/>
              </w:rPr>
              <w:t>dlhopisového garantovaného dôchodkového fondu</w:t>
            </w:r>
            <w:r w:rsidR="00C11163" w:rsidRPr="00C11163">
              <w:rPr>
                <w:rFonts w:ascii="Times New Roman" w:eastAsia="Calibri" w:hAnsi="Times New Roman" w:cs="Times New Roman"/>
                <w:sz w:val="20"/>
                <w:szCs w:val="20"/>
                <w:lang w:eastAsia="sk-SK"/>
              </w:rPr>
              <w:t>, bola by nasporená suma sledovanej skupiny sporiteľov vyššia o viac ako 1,1 mld. eur. Nasporená suma každého „neaktívneho“ sporiteľa by sa tak zvýšila</w:t>
            </w:r>
            <w:r w:rsidR="00AD4782">
              <w:rPr>
                <w:rFonts w:ascii="Times New Roman" w:eastAsia="Calibri" w:hAnsi="Times New Roman" w:cs="Times New Roman"/>
                <w:sz w:val="20"/>
                <w:szCs w:val="20"/>
                <w:lang w:eastAsia="sk-SK"/>
              </w:rPr>
              <w:t xml:space="preserve"> v roku 2021</w:t>
            </w:r>
            <w:r w:rsidR="00C11163" w:rsidRPr="00C11163">
              <w:rPr>
                <w:rFonts w:ascii="Times New Roman" w:eastAsia="Calibri" w:hAnsi="Times New Roman" w:cs="Times New Roman"/>
                <w:sz w:val="20"/>
                <w:szCs w:val="20"/>
                <w:lang w:eastAsia="sk-SK"/>
              </w:rPr>
              <w:t xml:space="preserve"> v priemere o viac ako 1 594 eur.</w:t>
            </w:r>
            <w:r w:rsidR="00C11163">
              <w:rPr>
                <w:rFonts w:ascii="Times New Roman" w:eastAsia="Calibri" w:hAnsi="Times New Roman" w:cs="Times New Roman"/>
                <w:sz w:val="20"/>
                <w:szCs w:val="20"/>
                <w:lang w:eastAsia="sk-SK"/>
              </w:rPr>
              <w:t xml:space="preserve"> </w:t>
            </w:r>
          </w:p>
          <w:p w14:paraId="2681ACCC" w14:textId="77777777" w:rsidR="00C11163" w:rsidRDefault="00C11163" w:rsidP="00886FE8">
            <w:pPr>
              <w:spacing w:after="0" w:line="240" w:lineRule="auto"/>
              <w:jc w:val="both"/>
              <w:rPr>
                <w:rFonts w:ascii="Times New Roman" w:eastAsia="Calibri" w:hAnsi="Times New Roman" w:cs="Times New Roman"/>
                <w:sz w:val="20"/>
                <w:szCs w:val="20"/>
                <w:lang w:eastAsia="sk-SK"/>
              </w:rPr>
            </w:pPr>
          </w:p>
          <w:p w14:paraId="57CEC435" w14:textId="77777777" w:rsidR="00C11163" w:rsidRPr="002644DE" w:rsidRDefault="00C11163" w:rsidP="0089310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Do II. piliera vstupuje každý rok priemerne 48 000 nových sporiteľov, ktorí pokiaľ sa nerozhodnú inak budú automaticky sporiteľmi v predvolenej investičnej stratégii. Do predvolenej investičnej stratégie sa bude presúvať aj </w:t>
            </w:r>
            <w:r w:rsidR="0089310B">
              <w:rPr>
                <w:rFonts w:ascii="Times New Roman" w:eastAsia="Calibri" w:hAnsi="Times New Roman" w:cs="Times New Roman"/>
                <w:sz w:val="20"/>
                <w:szCs w:val="20"/>
                <w:lang w:eastAsia="sk-SK"/>
              </w:rPr>
              <w:t>väčšina</w:t>
            </w:r>
            <w:r w:rsidR="00717D37">
              <w:rPr>
                <w:rFonts w:ascii="Times New Roman" w:eastAsia="Calibri" w:hAnsi="Times New Roman" w:cs="Times New Roman"/>
                <w:sz w:val="20"/>
                <w:szCs w:val="20"/>
                <w:lang w:eastAsia="sk-SK"/>
              </w:rPr>
              <w:t xml:space="preserve"> existujúcich sporiteľov</w:t>
            </w:r>
            <w:r w:rsidR="00D95849">
              <w:rPr>
                <w:rFonts w:ascii="Times New Roman" w:eastAsia="Calibri" w:hAnsi="Times New Roman" w:cs="Times New Roman"/>
                <w:sz w:val="20"/>
                <w:szCs w:val="20"/>
                <w:lang w:eastAsia="sk-SK"/>
              </w:rPr>
              <w:t xml:space="preserve"> pokiaľ sa nerozhodnú inak</w:t>
            </w:r>
            <w:r w:rsidR="00717D37">
              <w:rPr>
                <w:rFonts w:ascii="Times New Roman" w:eastAsia="Calibri" w:hAnsi="Times New Roman" w:cs="Times New Roman"/>
                <w:sz w:val="20"/>
                <w:szCs w:val="20"/>
                <w:lang w:eastAsia="sk-SK"/>
              </w:rPr>
              <w:t>, konkrétne sporitelia naroden</w:t>
            </w:r>
            <w:r w:rsidR="0089310B">
              <w:rPr>
                <w:rFonts w:ascii="Times New Roman" w:eastAsia="Calibri" w:hAnsi="Times New Roman" w:cs="Times New Roman"/>
                <w:sz w:val="20"/>
                <w:szCs w:val="20"/>
                <w:lang w:eastAsia="sk-SK"/>
              </w:rPr>
              <w:t>í</w:t>
            </w:r>
            <w:r w:rsidR="00717D37">
              <w:rPr>
                <w:rFonts w:ascii="Times New Roman" w:eastAsia="Calibri" w:hAnsi="Times New Roman" w:cs="Times New Roman"/>
                <w:sz w:val="20"/>
                <w:szCs w:val="20"/>
                <w:lang w:eastAsia="sk-SK"/>
              </w:rPr>
              <w:t xml:space="preserve"> po roku 1968, ktorí majú časť majetku v inom ako v indexovom </w:t>
            </w:r>
            <w:r w:rsidR="002B57EE">
              <w:rPr>
                <w:rFonts w:ascii="Times New Roman" w:eastAsia="Calibri" w:hAnsi="Times New Roman" w:cs="Times New Roman"/>
                <w:sz w:val="20"/>
                <w:szCs w:val="20"/>
                <w:lang w:eastAsia="sk-SK"/>
              </w:rPr>
              <w:t xml:space="preserve">dôchodkovom </w:t>
            </w:r>
            <w:r w:rsidR="00717D37">
              <w:rPr>
                <w:rFonts w:ascii="Times New Roman" w:eastAsia="Calibri" w:hAnsi="Times New Roman" w:cs="Times New Roman"/>
                <w:sz w:val="20"/>
                <w:szCs w:val="20"/>
                <w:lang w:eastAsia="sk-SK"/>
              </w:rPr>
              <w:t>fonde.</w:t>
            </w:r>
            <w:r>
              <w:rPr>
                <w:rFonts w:ascii="Times New Roman" w:eastAsia="Calibri" w:hAnsi="Times New Roman" w:cs="Times New Roman"/>
                <w:sz w:val="20"/>
                <w:szCs w:val="20"/>
                <w:lang w:eastAsia="sk-SK"/>
              </w:rPr>
              <w:t xml:space="preserve"> </w:t>
            </w:r>
            <w:r w:rsidR="00717D37">
              <w:rPr>
                <w:rFonts w:ascii="Times New Roman" w:eastAsia="Calibri" w:hAnsi="Times New Roman" w:cs="Times New Roman"/>
                <w:sz w:val="20"/>
                <w:szCs w:val="20"/>
                <w:lang w:eastAsia="sk-SK"/>
              </w:rPr>
              <w:t xml:space="preserve">Podľa </w:t>
            </w:r>
            <w:r>
              <w:rPr>
                <w:rFonts w:ascii="Times New Roman" w:eastAsia="Calibri" w:hAnsi="Times New Roman" w:cs="Times New Roman"/>
                <w:sz w:val="20"/>
                <w:szCs w:val="20"/>
                <w:lang w:eastAsia="sk-SK"/>
              </w:rPr>
              <w:t xml:space="preserve">údajov </w:t>
            </w:r>
            <w:r w:rsidR="00C64236">
              <w:rPr>
                <w:rFonts w:ascii="Times New Roman" w:eastAsia="Calibri" w:hAnsi="Times New Roman" w:cs="Times New Roman"/>
                <w:sz w:val="20"/>
                <w:szCs w:val="20"/>
                <w:lang w:eastAsia="sk-SK"/>
              </w:rPr>
              <w:t>dôchodkových správcovských spoločností</w:t>
            </w:r>
            <w:r>
              <w:rPr>
                <w:rFonts w:ascii="Times New Roman" w:eastAsia="Calibri" w:hAnsi="Times New Roman" w:cs="Times New Roman"/>
                <w:sz w:val="20"/>
                <w:szCs w:val="20"/>
                <w:lang w:eastAsia="sk-SK"/>
              </w:rPr>
              <w:t xml:space="preserve"> do tejto skupiny patrí</w:t>
            </w:r>
            <w:r w:rsidR="00E111C7">
              <w:rPr>
                <w:rFonts w:ascii="Times New Roman" w:eastAsia="Calibri" w:hAnsi="Times New Roman" w:cs="Times New Roman"/>
                <w:sz w:val="20"/>
                <w:szCs w:val="20"/>
                <w:lang w:eastAsia="sk-SK"/>
              </w:rPr>
              <w:t xml:space="preserve"> cca </w:t>
            </w:r>
            <w:r w:rsidR="00717D37">
              <w:rPr>
                <w:rFonts w:ascii="Times New Roman" w:eastAsia="Calibri" w:hAnsi="Times New Roman" w:cs="Times New Roman"/>
                <w:sz w:val="20"/>
                <w:szCs w:val="20"/>
                <w:lang w:eastAsia="sk-SK"/>
              </w:rPr>
              <w:t>1,1 mil.</w:t>
            </w:r>
            <w:r w:rsidRPr="00C11163">
              <w:rPr>
                <w:rFonts w:ascii="Times New Roman" w:eastAsia="Calibri" w:hAnsi="Times New Roman" w:cs="Times New Roman"/>
                <w:sz w:val="20"/>
                <w:szCs w:val="20"/>
                <w:lang w:eastAsia="sk-SK"/>
              </w:rPr>
              <w:t xml:space="preserve"> sporiteľov s</w:t>
            </w:r>
            <w:r>
              <w:rPr>
                <w:rFonts w:ascii="Times New Roman" w:eastAsia="Calibri" w:hAnsi="Times New Roman" w:cs="Times New Roman"/>
                <w:sz w:val="20"/>
                <w:szCs w:val="20"/>
                <w:lang w:eastAsia="sk-SK"/>
              </w:rPr>
              <w:t xml:space="preserve"> celkovou nasporenou sumou cca </w:t>
            </w:r>
            <w:r w:rsidR="00717D37">
              <w:rPr>
                <w:rFonts w:ascii="Times New Roman" w:eastAsia="Calibri" w:hAnsi="Times New Roman" w:cs="Times New Roman"/>
                <w:sz w:val="20"/>
                <w:szCs w:val="20"/>
                <w:lang w:eastAsia="sk-SK"/>
              </w:rPr>
              <w:t xml:space="preserve">5,6 mld. eur. </w:t>
            </w:r>
          </w:p>
        </w:tc>
      </w:tr>
      <w:tr w:rsidR="002644DE" w:rsidRPr="002644DE" w14:paraId="0DDE7A9A" w14:textId="77777777" w:rsidTr="00DB36C7">
        <w:trPr>
          <w:trHeight w:val="680"/>
          <w:jc w:val="center"/>
        </w:trPr>
        <w:tc>
          <w:tcPr>
            <w:tcW w:w="129" w:type="pct"/>
            <w:vMerge/>
            <w:shd w:val="clear" w:color="auto" w:fill="auto"/>
            <w:vAlign w:val="center"/>
          </w:tcPr>
          <w:p w14:paraId="5CA0C3D2" w14:textId="77777777" w:rsidR="002644DE" w:rsidRPr="002644DE" w:rsidRDefault="002644DE"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1E852AA1" w14:textId="77777777" w:rsidR="002644DE" w:rsidRPr="002644DE" w:rsidRDefault="008E0D08"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75C12612" w14:textId="77777777" w:rsidR="00717D37" w:rsidRPr="00717D37" w:rsidRDefault="00717D37" w:rsidP="0089310B">
            <w:pPr>
              <w:spacing w:after="0" w:line="240" w:lineRule="auto"/>
              <w:jc w:val="both"/>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Noví sporitelia a sporitelia naroden</w:t>
            </w:r>
            <w:r w:rsidR="0089310B">
              <w:rPr>
                <w:rFonts w:ascii="Times New Roman" w:eastAsia="Calibri" w:hAnsi="Times New Roman" w:cs="Times New Roman"/>
                <w:i/>
                <w:sz w:val="18"/>
                <w:szCs w:val="20"/>
                <w:lang w:eastAsia="sk-SK"/>
              </w:rPr>
              <w:t>í</w:t>
            </w:r>
            <w:r>
              <w:rPr>
                <w:rFonts w:ascii="Times New Roman" w:eastAsia="Calibri" w:hAnsi="Times New Roman" w:cs="Times New Roman"/>
                <w:i/>
                <w:sz w:val="18"/>
                <w:szCs w:val="20"/>
                <w:lang w:eastAsia="sk-SK"/>
              </w:rPr>
              <w:t xml:space="preserve"> po roku 1968, ktorí majú časť majetku v inom ak</w:t>
            </w:r>
            <w:r w:rsidR="00874E43">
              <w:rPr>
                <w:rFonts w:ascii="Times New Roman" w:eastAsia="Calibri" w:hAnsi="Times New Roman" w:cs="Times New Roman"/>
                <w:i/>
                <w:sz w:val="18"/>
                <w:szCs w:val="20"/>
                <w:lang w:eastAsia="sk-SK"/>
              </w:rPr>
              <w:t>o v indexovom dôchodkovom fonde.</w:t>
            </w:r>
          </w:p>
        </w:tc>
      </w:tr>
      <w:tr w:rsidR="002644DE" w:rsidRPr="002644DE" w14:paraId="234F2FD6" w14:textId="77777777" w:rsidTr="00DB36C7">
        <w:trPr>
          <w:trHeight w:val="397"/>
          <w:jc w:val="center"/>
        </w:trPr>
        <w:tc>
          <w:tcPr>
            <w:tcW w:w="129" w:type="pct"/>
            <w:tcBorders>
              <w:top w:val="dotted" w:sz="4" w:space="0" w:color="auto"/>
            </w:tcBorders>
            <w:shd w:val="clear" w:color="auto" w:fill="auto"/>
            <w:vAlign w:val="center"/>
          </w:tcPr>
          <w:p w14:paraId="2B121560" w14:textId="77777777" w:rsidR="002644DE" w:rsidRPr="002644DE" w:rsidRDefault="002644DE"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FCADCE3" w14:textId="77777777" w:rsidR="002644DE" w:rsidRPr="002644DE" w:rsidRDefault="002644DE"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488E893" w14:textId="77777777" w:rsidR="002644DE" w:rsidRPr="002644DE" w:rsidRDefault="002644DE" w:rsidP="00886FE8">
            <w:pPr>
              <w:spacing w:after="0" w:line="240" w:lineRule="auto"/>
              <w:jc w:val="both"/>
              <w:rPr>
                <w:rFonts w:ascii="Times New Roman" w:eastAsia="Calibri" w:hAnsi="Times New Roman" w:cs="Times New Roman"/>
                <w:sz w:val="20"/>
                <w:szCs w:val="20"/>
                <w:lang w:eastAsia="sk-SK"/>
              </w:rPr>
            </w:pPr>
          </w:p>
        </w:tc>
      </w:tr>
      <w:tr w:rsidR="002C7D36" w:rsidRPr="002644DE" w14:paraId="2B96F4CA" w14:textId="77777777" w:rsidTr="009601B0">
        <w:trPr>
          <w:trHeight w:val="170"/>
          <w:jc w:val="center"/>
        </w:trPr>
        <w:tc>
          <w:tcPr>
            <w:tcW w:w="129" w:type="pct"/>
            <w:tcBorders>
              <w:top w:val="nil"/>
              <w:bottom w:val="single" w:sz="4" w:space="0" w:color="auto"/>
            </w:tcBorders>
            <w:shd w:val="clear" w:color="auto" w:fill="F2F2F2"/>
            <w:vAlign w:val="center"/>
          </w:tcPr>
          <w:p w14:paraId="2FEAF5D1"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63E51AEE" w14:textId="77777777" w:rsidR="002C7D36" w:rsidRPr="002644DE" w:rsidRDefault="002C7D36" w:rsidP="00886FE8">
            <w:pPr>
              <w:spacing w:after="0" w:line="240" w:lineRule="auto"/>
              <w:jc w:val="both"/>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67470BA7" w14:textId="77777777" w:rsidR="002C7D36" w:rsidRPr="002644DE" w:rsidRDefault="002C7D36" w:rsidP="00886FE8">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C7D36" w:rsidRPr="002644DE" w14:paraId="261D02A1" w14:textId="77777777" w:rsidTr="009601B0">
        <w:trPr>
          <w:trHeight w:val="759"/>
          <w:jc w:val="center"/>
        </w:trPr>
        <w:tc>
          <w:tcPr>
            <w:tcW w:w="129" w:type="pct"/>
            <w:tcBorders>
              <w:top w:val="single" w:sz="4" w:space="0" w:color="auto"/>
              <w:bottom w:val="single" w:sz="4" w:space="0" w:color="auto"/>
            </w:tcBorders>
            <w:shd w:val="clear" w:color="auto" w:fill="auto"/>
            <w:vAlign w:val="center"/>
          </w:tcPr>
          <w:p w14:paraId="5939AB2B"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h)</w:t>
            </w:r>
          </w:p>
        </w:tc>
        <w:tc>
          <w:tcPr>
            <w:tcW w:w="1642" w:type="pct"/>
            <w:tcBorders>
              <w:top w:val="single" w:sz="4" w:space="0" w:color="auto"/>
              <w:bottom w:val="single" w:sz="4" w:space="0" w:color="auto"/>
            </w:tcBorders>
            <w:shd w:val="clear" w:color="auto" w:fill="auto"/>
          </w:tcPr>
          <w:p w14:paraId="14687CE5"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78C22BB"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1DC3F3C5" w14:textId="77777777" w:rsidTr="009601B0">
        <w:trPr>
          <w:trHeight w:val="397"/>
          <w:jc w:val="center"/>
        </w:trPr>
        <w:tc>
          <w:tcPr>
            <w:tcW w:w="129" w:type="pct"/>
            <w:vMerge w:val="restart"/>
            <w:tcBorders>
              <w:top w:val="single" w:sz="4" w:space="0" w:color="auto"/>
            </w:tcBorders>
            <w:shd w:val="clear" w:color="auto" w:fill="auto"/>
            <w:vAlign w:val="center"/>
          </w:tcPr>
          <w:p w14:paraId="41FA91C9"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4B7A7CF"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4AD773B" w14:textId="77777777" w:rsidR="002C7D36" w:rsidRPr="002644DE" w:rsidRDefault="002C7D36" w:rsidP="00886FE8">
            <w:pPr>
              <w:spacing w:after="0" w:line="240" w:lineRule="auto"/>
              <w:jc w:val="both"/>
              <w:rPr>
                <w:rFonts w:ascii="Times New Roman" w:eastAsia="Calibri" w:hAnsi="Times New Roman" w:cs="Times New Roman"/>
                <w:i/>
                <w:sz w:val="18"/>
                <w:szCs w:val="20"/>
                <w:lang w:eastAsia="sk-SK"/>
              </w:rPr>
            </w:pPr>
          </w:p>
        </w:tc>
      </w:tr>
      <w:tr w:rsidR="002C7D36" w:rsidRPr="002644DE" w14:paraId="13EC8A40" w14:textId="77777777" w:rsidTr="009601B0">
        <w:trPr>
          <w:trHeight w:val="397"/>
          <w:jc w:val="center"/>
        </w:trPr>
        <w:tc>
          <w:tcPr>
            <w:tcW w:w="129" w:type="pct"/>
            <w:vMerge/>
            <w:shd w:val="clear" w:color="auto" w:fill="auto"/>
            <w:vAlign w:val="center"/>
          </w:tcPr>
          <w:p w14:paraId="016B7E2C"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13D41AE7"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4B18DD3F"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5D71019A" w14:textId="77777777" w:rsidTr="009601B0">
        <w:trPr>
          <w:trHeight w:val="397"/>
          <w:jc w:val="center"/>
        </w:trPr>
        <w:tc>
          <w:tcPr>
            <w:tcW w:w="129" w:type="pct"/>
            <w:tcBorders>
              <w:top w:val="dotted" w:sz="4" w:space="0" w:color="auto"/>
            </w:tcBorders>
            <w:shd w:val="clear" w:color="auto" w:fill="F2F2F2"/>
            <w:vAlign w:val="center"/>
          </w:tcPr>
          <w:p w14:paraId="748078A3" w14:textId="77777777" w:rsidR="002C7D36" w:rsidRPr="002644DE" w:rsidRDefault="002C7D36" w:rsidP="00886FE8">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7FA0F8AD"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C7D36" w:rsidRPr="002644DE" w14:paraId="1EC9FFB7" w14:textId="77777777" w:rsidTr="009601B0">
        <w:trPr>
          <w:trHeight w:val="680"/>
          <w:jc w:val="center"/>
        </w:trPr>
        <w:tc>
          <w:tcPr>
            <w:tcW w:w="129" w:type="pct"/>
            <w:vMerge w:val="restart"/>
            <w:tcBorders>
              <w:top w:val="dotted" w:sz="4" w:space="0" w:color="auto"/>
            </w:tcBorders>
            <w:shd w:val="clear" w:color="auto" w:fill="auto"/>
            <w:vAlign w:val="center"/>
          </w:tcPr>
          <w:p w14:paraId="53575B6B"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95AF5FB" w14:textId="77777777" w:rsidR="002C7D36" w:rsidRPr="002644DE" w:rsidRDefault="002C7D36" w:rsidP="00886FE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19B7D6C" w14:textId="77777777" w:rsidR="002C7D36" w:rsidRPr="002644DE" w:rsidRDefault="002C7D36" w:rsidP="00886FE8">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527468B"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767AAC19" w14:textId="77777777" w:rsidTr="009601B0">
        <w:trPr>
          <w:trHeight w:val="680"/>
          <w:jc w:val="center"/>
        </w:trPr>
        <w:tc>
          <w:tcPr>
            <w:tcW w:w="129" w:type="pct"/>
            <w:vMerge/>
            <w:shd w:val="clear" w:color="auto" w:fill="auto"/>
            <w:vAlign w:val="center"/>
          </w:tcPr>
          <w:p w14:paraId="4663D251"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7E884829"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4D454BD3"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2624C243" w14:textId="77777777" w:rsidTr="009601B0">
        <w:trPr>
          <w:trHeight w:val="350"/>
          <w:jc w:val="center"/>
        </w:trPr>
        <w:tc>
          <w:tcPr>
            <w:tcW w:w="129" w:type="pct"/>
            <w:tcBorders>
              <w:top w:val="dotted" w:sz="4" w:space="0" w:color="auto"/>
              <w:bottom w:val="single" w:sz="4" w:space="0" w:color="auto"/>
            </w:tcBorders>
            <w:shd w:val="clear" w:color="auto" w:fill="auto"/>
            <w:vAlign w:val="center"/>
          </w:tcPr>
          <w:p w14:paraId="5B29421A"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58D9C592"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57D61FC"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DB36C7" w:rsidRPr="002644DE" w14:paraId="5D1EF651" w14:textId="77777777" w:rsidTr="00DB36C7">
        <w:trPr>
          <w:trHeight w:val="170"/>
          <w:jc w:val="center"/>
        </w:trPr>
        <w:tc>
          <w:tcPr>
            <w:tcW w:w="129" w:type="pct"/>
            <w:tcBorders>
              <w:top w:val="single" w:sz="4" w:space="0" w:color="auto"/>
              <w:bottom w:val="single" w:sz="4" w:space="0" w:color="auto"/>
            </w:tcBorders>
            <w:shd w:val="clear" w:color="auto" w:fill="DDDDDD"/>
            <w:vAlign w:val="center"/>
          </w:tcPr>
          <w:p w14:paraId="6B3D4347" w14:textId="77777777" w:rsidR="00DB36C7" w:rsidRPr="002644DE" w:rsidRDefault="00DB36C7"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84AEAD0" w14:textId="77777777" w:rsidR="00DB36C7" w:rsidRPr="002644DE" w:rsidRDefault="00353A0B" w:rsidP="00DA35B9">
            <w:pPr>
              <w:spacing w:after="0" w:line="240" w:lineRule="auto"/>
              <w:jc w:val="center"/>
              <w:rPr>
                <w:rFonts w:ascii="Times New Roman" w:eastAsia="Calibri" w:hAnsi="Times New Roman" w:cs="Times New Roman"/>
                <w:b/>
                <w:sz w:val="20"/>
                <w:szCs w:val="20"/>
                <w:lang w:eastAsia="sk-SK"/>
              </w:rPr>
            </w:pPr>
            <w:r>
              <w:rPr>
                <w:rFonts w:ascii="Times New Roman" w:eastAsia="Calibri" w:hAnsi="Times New Roman" w:cs="Times New Roman"/>
                <w:b/>
                <w:i/>
                <w:sz w:val="20"/>
                <w:szCs w:val="20"/>
                <w:lang w:eastAsia="sk-SK"/>
              </w:rPr>
              <w:t>4.1.1</w:t>
            </w:r>
            <w:r w:rsidR="00DB36C7" w:rsidRPr="002644DE">
              <w:rPr>
                <w:rFonts w:ascii="Times New Roman" w:eastAsia="Calibri" w:hAnsi="Times New Roman" w:cs="Times New Roman"/>
                <w:b/>
                <w:i/>
                <w:sz w:val="20"/>
                <w:szCs w:val="20"/>
                <w:lang w:eastAsia="sk-SK"/>
              </w:rPr>
              <w:t xml:space="preserve"> Pozitívny vplyv</w:t>
            </w:r>
          </w:p>
        </w:tc>
      </w:tr>
      <w:tr w:rsidR="00DB36C7" w:rsidRPr="002644DE" w14:paraId="1073DCB2" w14:textId="77777777" w:rsidTr="00DB36C7">
        <w:trPr>
          <w:trHeight w:val="759"/>
          <w:jc w:val="center"/>
        </w:trPr>
        <w:tc>
          <w:tcPr>
            <w:tcW w:w="129" w:type="pct"/>
            <w:tcBorders>
              <w:top w:val="single" w:sz="4" w:space="0" w:color="auto"/>
              <w:bottom w:val="single" w:sz="4" w:space="0" w:color="auto"/>
            </w:tcBorders>
            <w:shd w:val="clear" w:color="auto" w:fill="auto"/>
            <w:vAlign w:val="center"/>
          </w:tcPr>
          <w:p w14:paraId="07DC6994" w14:textId="77777777" w:rsidR="00DB36C7" w:rsidRPr="002644DE" w:rsidRDefault="00DB36C7" w:rsidP="00886FE8">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2DCB18AD" w14:textId="77777777" w:rsidR="00DB36C7" w:rsidRPr="002644DE" w:rsidRDefault="00DB36C7"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37E6A61" w14:textId="77777777" w:rsidR="00CA3B3B" w:rsidRDefault="00DB36C7" w:rsidP="00886FE8">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Úprava výplatnej fázy v II. pilieri. </w:t>
            </w:r>
          </w:p>
          <w:p w14:paraId="03C3FAA9" w14:textId="77777777" w:rsidR="00DB36C7" w:rsidRPr="002644DE" w:rsidRDefault="00DB36C7" w:rsidP="00D95849">
            <w:pPr>
              <w:spacing w:after="0" w:line="240" w:lineRule="auto"/>
              <w:contextualSpacing/>
              <w:jc w:val="both"/>
              <w:rPr>
                <w:rFonts w:ascii="Times New Roman" w:eastAsia="Calibri" w:hAnsi="Times New Roman" w:cs="Times New Roman"/>
                <w:sz w:val="20"/>
                <w:szCs w:val="20"/>
                <w:lang w:eastAsia="sk-SK"/>
              </w:rPr>
            </w:pPr>
            <w:r w:rsidRPr="00DB36C7">
              <w:rPr>
                <w:rFonts w:ascii="Times New Roman" w:eastAsia="Calibri" w:hAnsi="Times New Roman" w:cs="Times New Roman"/>
                <w:sz w:val="20"/>
                <w:szCs w:val="20"/>
                <w:lang w:eastAsia="sk-SK"/>
              </w:rPr>
              <w:t>Sporiteľovi sa pri odchode do dôchodku z II. piliera (na základe žiadosti po dovŕšení dôchodkového veku, odchode do predčasného starobného dôchodku alebo starobného dôchodku) začne vyplácať programový výber z polovice jeho nasporenej sumy.</w:t>
            </w:r>
            <w:r w:rsidR="00CA3B3B">
              <w:rPr>
                <w:rFonts w:ascii="Times New Roman" w:eastAsia="Calibri" w:hAnsi="Times New Roman" w:cs="Times New Roman"/>
                <w:sz w:val="20"/>
                <w:szCs w:val="20"/>
                <w:lang w:eastAsia="sk-SK"/>
              </w:rPr>
              <w:t xml:space="preserve"> </w:t>
            </w:r>
            <w:r w:rsidR="00D95849">
              <w:rPr>
                <w:rFonts w:ascii="Times New Roman" w:hAnsi="Times New Roman" w:cs="Times New Roman"/>
                <w:sz w:val="20"/>
                <w:szCs w:val="20"/>
              </w:rPr>
              <w:t>P</w:t>
            </w:r>
            <w:r w:rsidR="00D95849" w:rsidRPr="00D95849">
              <w:rPr>
                <w:rFonts w:ascii="Times New Roman" w:hAnsi="Times New Roman" w:cs="Times New Roman"/>
                <w:sz w:val="20"/>
                <w:szCs w:val="20"/>
              </w:rPr>
              <w:t xml:space="preserve">očet mesačných splátok </w:t>
            </w:r>
            <w:r w:rsidR="00D95849">
              <w:rPr>
                <w:rFonts w:ascii="Times New Roman" w:hAnsi="Times New Roman" w:cs="Times New Roman"/>
                <w:sz w:val="20"/>
                <w:szCs w:val="20"/>
              </w:rPr>
              <w:t xml:space="preserve">na účely programového výberu </w:t>
            </w:r>
            <w:r w:rsidR="00D95849" w:rsidRPr="00D95849">
              <w:rPr>
                <w:rFonts w:ascii="Times New Roman" w:hAnsi="Times New Roman" w:cs="Times New Roman"/>
                <w:sz w:val="20"/>
                <w:szCs w:val="20"/>
              </w:rPr>
              <w:t>sa určí ako polovica mediánu hodnôt strednej dĺžky života spoločnej pre mužov a ženy vo veku sporiteľa v čase vydania certifikátu, vykázanej Štatistickým úradom Slovenskej republiky za posledných sedem kalendárnych rokov, ktoré dva roky predchádzajú kalendárnemu roku, v ktorom bol vydaný certifikát</w:t>
            </w:r>
            <w:r w:rsidR="00D95849">
              <w:rPr>
                <w:rFonts w:ascii="Times New Roman" w:hAnsi="Times New Roman" w:cs="Times New Roman"/>
                <w:sz w:val="20"/>
                <w:szCs w:val="20"/>
              </w:rPr>
              <w:t>.</w:t>
            </w:r>
            <w:r w:rsidR="00D95849" w:rsidRPr="00D95849">
              <w:rPr>
                <w:rFonts w:ascii="Times New Roman" w:hAnsi="Times New Roman" w:cs="Times New Roman"/>
                <w:sz w:val="20"/>
                <w:szCs w:val="20"/>
              </w:rPr>
              <w:t xml:space="preserve"> </w:t>
            </w:r>
            <w:r w:rsidR="00CA3B3B" w:rsidRPr="00CA3B3B">
              <w:rPr>
                <w:rFonts w:ascii="Times New Roman" w:eastAsia="Calibri" w:hAnsi="Times New Roman" w:cs="Times New Roman"/>
                <w:sz w:val="20"/>
                <w:szCs w:val="20"/>
                <w:lang w:eastAsia="sk-SK"/>
              </w:rPr>
              <w:t xml:space="preserve">Druhá polovica nasporenej sumy bude naďalej z časti alokovaná aj do akciových investícií v súlade s predvolenou investičnou stratégiou, objem prostriedkov alokovaných v rizikových nástrojoch bude postupne klesať. Takto zhodnocovaná časť majetku bude </w:t>
            </w:r>
            <w:r w:rsidR="00874E43">
              <w:rPr>
                <w:rFonts w:ascii="Times New Roman" w:eastAsia="Calibri" w:hAnsi="Times New Roman" w:cs="Times New Roman"/>
                <w:sz w:val="20"/>
                <w:szCs w:val="20"/>
                <w:lang w:eastAsia="sk-SK"/>
              </w:rPr>
              <w:t xml:space="preserve">po skončení </w:t>
            </w:r>
            <w:r w:rsidR="00CA3B3B" w:rsidRPr="00CA3B3B">
              <w:rPr>
                <w:rFonts w:ascii="Times New Roman" w:eastAsia="Calibri" w:hAnsi="Times New Roman" w:cs="Times New Roman"/>
                <w:sz w:val="20"/>
                <w:szCs w:val="20"/>
                <w:lang w:eastAsia="sk-SK"/>
              </w:rPr>
              <w:t>vyplácania programového výberu použitá na zakúpenie doživotného dôchodku.</w:t>
            </w:r>
          </w:p>
        </w:tc>
      </w:tr>
      <w:tr w:rsidR="00DB36C7" w:rsidRPr="002644DE" w14:paraId="7094FD93" w14:textId="77777777" w:rsidTr="00DB36C7">
        <w:trPr>
          <w:trHeight w:val="397"/>
          <w:jc w:val="center"/>
        </w:trPr>
        <w:tc>
          <w:tcPr>
            <w:tcW w:w="129" w:type="pct"/>
            <w:vMerge w:val="restart"/>
            <w:tcBorders>
              <w:top w:val="single" w:sz="4" w:space="0" w:color="auto"/>
            </w:tcBorders>
            <w:shd w:val="clear" w:color="auto" w:fill="auto"/>
            <w:vAlign w:val="center"/>
          </w:tcPr>
          <w:p w14:paraId="47E64E16" w14:textId="77777777" w:rsidR="00DB36C7" w:rsidRPr="002644DE" w:rsidRDefault="00DB36C7"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94E8F63" w14:textId="77777777" w:rsidR="00DB36C7" w:rsidRPr="002644DE" w:rsidRDefault="00DB36C7"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5DFAA4D" w14:textId="77777777" w:rsidR="00DB36C7" w:rsidRPr="002644DE" w:rsidRDefault="00DB36C7"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Sporitelia, ktorí požiadajú o starobný a predčasný starobný dôchodok z II. pilier</w:t>
            </w:r>
            <w:r w:rsidR="009E6745">
              <w:rPr>
                <w:rFonts w:ascii="Times New Roman" w:eastAsia="Calibri" w:hAnsi="Times New Roman" w:cs="Times New Roman"/>
                <w:i/>
                <w:sz w:val="18"/>
                <w:szCs w:val="20"/>
                <w:lang w:eastAsia="sk-SK"/>
              </w:rPr>
              <w:t>a</w:t>
            </w:r>
            <w:r>
              <w:rPr>
                <w:rFonts w:ascii="Times New Roman" w:eastAsia="Calibri" w:hAnsi="Times New Roman" w:cs="Times New Roman"/>
                <w:i/>
                <w:sz w:val="18"/>
                <w:szCs w:val="20"/>
                <w:lang w:eastAsia="sk-SK"/>
              </w:rPr>
              <w:t xml:space="preserve"> po 31.12.2023.  </w:t>
            </w:r>
          </w:p>
        </w:tc>
      </w:tr>
      <w:tr w:rsidR="00DB36C7" w:rsidRPr="002644DE" w14:paraId="35318240" w14:textId="77777777" w:rsidTr="00DB36C7">
        <w:trPr>
          <w:trHeight w:val="397"/>
          <w:jc w:val="center"/>
        </w:trPr>
        <w:tc>
          <w:tcPr>
            <w:tcW w:w="129" w:type="pct"/>
            <w:vMerge/>
            <w:shd w:val="clear" w:color="auto" w:fill="auto"/>
            <w:vAlign w:val="center"/>
          </w:tcPr>
          <w:p w14:paraId="1ED0D3AF" w14:textId="77777777" w:rsidR="00DB36C7" w:rsidRPr="002644DE" w:rsidRDefault="00DB36C7"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4C55ADFA" w14:textId="77777777" w:rsidR="00DB36C7" w:rsidRPr="002644DE" w:rsidRDefault="00CA3B3B"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0E001BA7" w14:textId="77777777" w:rsidR="00DB36C7" w:rsidRPr="002644DE" w:rsidRDefault="00DB36C7" w:rsidP="00886FE8">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Sporitelia, ktorí požiadajú o starobný a predčasný starobný dôchodok z II. pilier</w:t>
            </w:r>
            <w:r w:rsidR="009E6745">
              <w:rPr>
                <w:rFonts w:ascii="Times New Roman" w:eastAsia="Calibri" w:hAnsi="Times New Roman" w:cs="Times New Roman"/>
                <w:i/>
                <w:sz w:val="18"/>
                <w:szCs w:val="20"/>
                <w:lang w:eastAsia="sk-SK"/>
              </w:rPr>
              <w:t>a</w:t>
            </w:r>
            <w:r>
              <w:rPr>
                <w:rFonts w:ascii="Times New Roman" w:eastAsia="Calibri" w:hAnsi="Times New Roman" w:cs="Times New Roman"/>
                <w:i/>
                <w:sz w:val="18"/>
                <w:szCs w:val="20"/>
                <w:lang w:eastAsia="sk-SK"/>
              </w:rPr>
              <w:t xml:space="preserve"> po 31.12.2023.  </w:t>
            </w:r>
          </w:p>
        </w:tc>
      </w:tr>
      <w:tr w:rsidR="00DB36C7" w:rsidRPr="002644DE" w14:paraId="295BFEAC" w14:textId="77777777" w:rsidTr="00DB36C7">
        <w:trPr>
          <w:trHeight w:val="454"/>
          <w:jc w:val="center"/>
        </w:trPr>
        <w:tc>
          <w:tcPr>
            <w:tcW w:w="129" w:type="pct"/>
            <w:tcBorders>
              <w:top w:val="dotted" w:sz="4" w:space="0" w:color="auto"/>
            </w:tcBorders>
            <w:shd w:val="clear" w:color="auto" w:fill="F2F2F2"/>
            <w:vAlign w:val="center"/>
          </w:tcPr>
          <w:p w14:paraId="475EAE03" w14:textId="77777777" w:rsidR="00DB36C7" w:rsidRPr="002644DE" w:rsidRDefault="00DB36C7"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6467DFD" w14:textId="77777777" w:rsidR="00DB36C7" w:rsidRPr="002644DE" w:rsidRDefault="00DB36C7" w:rsidP="00886FE8">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B36C7" w:rsidRPr="002644DE" w14:paraId="7E58DB82" w14:textId="77777777" w:rsidTr="00DB36C7">
        <w:trPr>
          <w:trHeight w:val="680"/>
          <w:jc w:val="center"/>
        </w:trPr>
        <w:tc>
          <w:tcPr>
            <w:tcW w:w="129" w:type="pct"/>
            <w:tcBorders>
              <w:top w:val="dotted" w:sz="4" w:space="0" w:color="auto"/>
            </w:tcBorders>
            <w:shd w:val="clear" w:color="auto" w:fill="auto"/>
            <w:vAlign w:val="center"/>
          </w:tcPr>
          <w:p w14:paraId="4945C2F5" w14:textId="77777777" w:rsidR="00DB36C7" w:rsidRPr="002644DE" w:rsidRDefault="00DB36C7"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4550CDE" w14:textId="77777777" w:rsidR="00DB36C7" w:rsidRPr="002644DE" w:rsidRDefault="00DB36C7" w:rsidP="00886FE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DDB6EA7" w14:textId="77777777" w:rsidR="00DB36C7" w:rsidRPr="002644DE" w:rsidRDefault="00DB36C7" w:rsidP="00886FE8">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630B385" w14:textId="77777777" w:rsidR="00DB36C7" w:rsidRDefault="00AD4782" w:rsidP="00886FE8">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Úprava</w:t>
            </w:r>
            <w:r w:rsidRPr="00CA3B3B">
              <w:rPr>
                <w:rFonts w:ascii="Times New Roman" w:eastAsia="Calibri" w:hAnsi="Times New Roman" w:cs="Times New Roman"/>
                <w:sz w:val="20"/>
                <w:szCs w:val="20"/>
                <w:lang w:eastAsia="sk-SK"/>
              </w:rPr>
              <w:t xml:space="preserve"> </w:t>
            </w:r>
            <w:r w:rsidR="00CA3B3B" w:rsidRPr="00CA3B3B">
              <w:rPr>
                <w:rFonts w:ascii="Times New Roman" w:eastAsia="Calibri" w:hAnsi="Times New Roman" w:cs="Times New Roman"/>
                <w:sz w:val="20"/>
                <w:szCs w:val="20"/>
                <w:lang w:eastAsia="sk-SK"/>
              </w:rPr>
              <w:t xml:space="preserve">výplatnej fázy umožní sporiteľom participovať na zhodnotení aj v období poberania dôchodku (pri variabilnom programovom výbere aj počas obdobia poberania programového výberu, pri fixnom programovom výbere až pri požiadaní o doživotný dôchodok). Z uvedeného dôvodu nový systém zabezpečí v priemere </w:t>
            </w:r>
            <w:r w:rsidR="00DA35B9">
              <w:rPr>
                <w:rFonts w:ascii="Times New Roman" w:eastAsia="Calibri" w:hAnsi="Times New Roman" w:cs="Times New Roman"/>
                <w:sz w:val="20"/>
                <w:szCs w:val="20"/>
                <w:lang w:eastAsia="sk-SK"/>
              </w:rPr>
              <w:t xml:space="preserve">pre sporiteľa </w:t>
            </w:r>
            <w:r w:rsidR="00CA3B3B" w:rsidRPr="00CA3B3B">
              <w:rPr>
                <w:rFonts w:ascii="Times New Roman" w:eastAsia="Calibri" w:hAnsi="Times New Roman" w:cs="Times New Roman"/>
                <w:sz w:val="20"/>
                <w:szCs w:val="20"/>
                <w:lang w:eastAsia="sk-SK"/>
              </w:rPr>
              <w:t xml:space="preserve">celkový vyšší finančný </w:t>
            </w:r>
            <w:r>
              <w:rPr>
                <w:rFonts w:ascii="Times New Roman" w:eastAsia="Calibri" w:hAnsi="Times New Roman" w:cs="Times New Roman"/>
                <w:sz w:val="20"/>
                <w:szCs w:val="20"/>
                <w:lang w:eastAsia="sk-SK"/>
              </w:rPr>
              <w:t>príjem</w:t>
            </w:r>
            <w:r w:rsidRPr="00CA3B3B">
              <w:rPr>
                <w:rFonts w:ascii="Times New Roman" w:eastAsia="Calibri" w:hAnsi="Times New Roman" w:cs="Times New Roman"/>
                <w:sz w:val="20"/>
                <w:szCs w:val="20"/>
                <w:lang w:eastAsia="sk-SK"/>
              </w:rPr>
              <w:t xml:space="preserve"> </w:t>
            </w:r>
            <w:r w:rsidR="00CA3B3B" w:rsidRPr="00CA3B3B">
              <w:rPr>
                <w:rFonts w:ascii="Times New Roman" w:eastAsia="Calibri" w:hAnsi="Times New Roman" w:cs="Times New Roman"/>
                <w:sz w:val="20"/>
                <w:szCs w:val="20"/>
                <w:lang w:eastAsia="sk-SK"/>
              </w:rPr>
              <w:t>ako súčasný systém výplatnej fázy.</w:t>
            </w:r>
            <w:r w:rsidR="00CA3B3B">
              <w:t xml:space="preserve"> </w:t>
            </w:r>
            <w:r w:rsidR="00CA3B3B" w:rsidRPr="00CA3B3B">
              <w:rPr>
                <w:rFonts w:ascii="Times New Roman" w:eastAsia="Calibri" w:hAnsi="Times New Roman" w:cs="Times New Roman"/>
                <w:sz w:val="20"/>
                <w:szCs w:val="20"/>
                <w:lang w:eastAsia="sk-SK"/>
              </w:rPr>
              <w:t xml:space="preserve">Navrhovaný systém výplatnej fázy zvýši počas 20. rokov poberania dôchodku z II. piliera celkový objem vyplatených dôchodkov v prípade základného scenára o približne 13 % (bez </w:t>
            </w:r>
            <w:r w:rsidR="00CA3B3B">
              <w:rPr>
                <w:rFonts w:ascii="Times New Roman" w:eastAsia="Calibri" w:hAnsi="Times New Roman" w:cs="Times New Roman"/>
                <w:sz w:val="20"/>
                <w:szCs w:val="20"/>
                <w:lang w:eastAsia="sk-SK"/>
              </w:rPr>
              <w:t>predvolenej investičnej stratégie</w:t>
            </w:r>
            <w:r w:rsidR="00CA3B3B" w:rsidRPr="00CA3B3B">
              <w:rPr>
                <w:rFonts w:ascii="Times New Roman" w:eastAsia="Calibri" w:hAnsi="Times New Roman" w:cs="Times New Roman"/>
                <w:sz w:val="20"/>
                <w:szCs w:val="20"/>
                <w:lang w:eastAsia="sk-SK"/>
              </w:rPr>
              <w:t>), resp</w:t>
            </w:r>
            <w:r w:rsidR="00CA3B3B">
              <w:rPr>
                <w:rFonts w:ascii="Times New Roman" w:eastAsia="Calibri" w:hAnsi="Times New Roman" w:cs="Times New Roman"/>
                <w:sz w:val="20"/>
                <w:szCs w:val="20"/>
                <w:lang w:eastAsia="sk-SK"/>
              </w:rPr>
              <w:t>. o 27 % (v prípade predvolenej investičnej stratégie</w:t>
            </w:r>
            <w:r w:rsidR="00CA3B3B" w:rsidRPr="00CA3B3B">
              <w:rPr>
                <w:rFonts w:ascii="Times New Roman" w:eastAsia="Calibri" w:hAnsi="Times New Roman" w:cs="Times New Roman"/>
                <w:sz w:val="20"/>
                <w:szCs w:val="20"/>
                <w:lang w:eastAsia="sk-SK"/>
              </w:rPr>
              <w:t>)</w:t>
            </w:r>
            <w:r w:rsidR="00CA3B3B">
              <w:rPr>
                <w:rFonts w:ascii="Times New Roman" w:eastAsia="Calibri" w:hAnsi="Times New Roman" w:cs="Times New Roman"/>
                <w:sz w:val="20"/>
                <w:szCs w:val="20"/>
                <w:lang w:eastAsia="sk-SK"/>
              </w:rPr>
              <w:t xml:space="preserve"> v porovnaní so scenárom okamžitého poberania doživotného dôchodku. </w:t>
            </w:r>
          </w:p>
          <w:p w14:paraId="1563A74C" w14:textId="3086E73A" w:rsidR="00E111C7" w:rsidRDefault="00E111C7" w:rsidP="00886FE8">
            <w:pPr>
              <w:spacing w:after="0" w:line="240" w:lineRule="auto"/>
              <w:jc w:val="both"/>
              <w:rPr>
                <w:rFonts w:ascii="Times New Roman" w:eastAsia="Calibri" w:hAnsi="Times New Roman" w:cs="Times New Roman"/>
                <w:sz w:val="20"/>
                <w:szCs w:val="20"/>
                <w:lang w:eastAsia="sk-SK"/>
              </w:rPr>
            </w:pPr>
          </w:p>
          <w:p w14:paraId="42617383" w14:textId="24137A92" w:rsidR="00DB4551" w:rsidRDefault="00DB4551" w:rsidP="00886FE8">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Ak by navrhované pravidlá pre určenie obdobia poberania programového výberu boli účinné už v roku 2022 sporiteľ vo veku 60 rokov by poberal programový výber v dĺžke 125 mesiacov a vo veku 70 rokov by poberal programový výber v dĺžke 81 mesiacov.</w:t>
            </w:r>
          </w:p>
          <w:p w14:paraId="1A51EE89" w14:textId="77777777" w:rsidR="00DB4551" w:rsidRDefault="00DB4551" w:rsidP="00886FE8">
            <w:pPr>
              <w:spacing w:after="0" w:line="240" w:lineRule="auto"/>
              <w:jc w:val="both"/>
              <w:rPr>
                <w:rFonts w:ascii="Times New Roman" w:eastAsia="Calibri" w:hAnsi="Times New Roman" w:cs="Times New Roman"/>
                <w:sz w:val="20"/>
                <w:szCs w:val="20"/>
                <w:lang w:eastAsia="sk-SK"/>
              </w:rPr>
            </w:pPr>
          </w:p>
          <w:p w14:paraId="2B15C802" w14:textId="06E3159B" w:rsidR="005C2DA8" w:rsidRDefault="00E111C7" w:rsidP="00886FE8">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Na základe vekovej štruktúry sporiteľov predpokladáme</w:t>
            </w:r>
            <w:r w:rsidR="009601B0">
              <w:rPr>
                <w:rFonts w:ascii="Times New Roman" w:eastAsia="Calibri" w:hAnsi="Times New Roman" w:cs="Times New Roman"/>
                <w:sz w:val="20"/>
                <w:szCs w:val="20"/>
                <w:lang w:eastAsia="sk-SK"/>
              </w:rPr>
              <w:t xml:space="preserve"> každoročný</w:t>
            </w:r>
            <w:r>
              <w:rPr>
                <w:rFonts w:ascii="Times New Roman" w:eastAsia="Calibri" w:hAnsi="Times New Roman" w:cs="Times New Roman"/>
                <w:sz w:val="20"/>
                <w:szCs w:val="20"/>
                <w:lang w:eastAsia="sk-SK"/>
              </w:rPr>
              <w:t xml:space="preserve"> postupný nárast počtu sporiteľov v dôchodkovom veku z úrovne cca 11 000 v roku 2024 až na úroveň viac ako 23 000 v roku 2030. </w:t>
            </w:r>
          </w:p>
          <w:p w14:paraId="50C0977A" w14:textId="77777777" w:rsidR="00C020F5" w:rsidRDefault="00C020F5" w:rsidP="00886FE8">
            <w:pPr>
              <w:spacing w:after="0" w:line="240" w:lineRule="auto"/>
              <w:jc w:val="both"/>
              <w:rPr>
                <w:rFonts w:ascii="Times New Roman" w:eastAsia="Calibri" w:hAnsi="Times New Roman" w:cs="Times New Roman"/>
                <w:sz w:val="20"/>
                <w:szCs w:val="20"/>
                <w:lang w:eastAsia="sk-SK"/>
              </w:rPr>
            </w:pPr>
          </w:p>
          <w:p w14:paraId="7DA6AD72" w14:textId="77777777" w:rsidR="005C2DA8" w:rsidRPr="002644DE" w:rsidRDefault="005C2DA8" w:rsidP="00886FE8">
            <w:pPr>
              <w:spacing w:after="0" w:line="240" w:lineRule="auto"/>
              <w:jc w:val="both"/>
              <w:rPr>
                <w:rFonts w:ascii="Times New Roman" w:eastAsia="Calibri" w:hAnsi="Times New Roman" w:cs="Times New Roman"/>
                <w:sz w:val="20"/>
                <w:szCs w:val="20"/>
                <w:lang w:eastAsia="sk-SK"/>
              </w:rPr>
            </w:pPr>
          </w:p>
        </w:tc>
      </w:tr>
      <w:tr w:rsidR="00DB36C7" w:rsidRPr="002644DE" w14:paraId="55C092A3" w14:textId="77777777" w:rsidTr="00DB36C7">
        <w:trPr>
          <w:trHeight w:val="397"/>
          <w:jc w:val="center"/>
        </w:trPr>
        <w:tc>
          <w:tcPr>
            <w:tcW w:w="129" w:type="pct"/>
            <w:tcBorders>
              <w:top w:val="dotted" w:sz="4" w:space="0" w:color="auto"/>
            </w:tcBorders>
            <w:shd w:val="clear" w:color="auto" w:fill="auto"/>
            <w:vAlign w:val="center"/>
          </w:tcPr>
          <w:p w14:paraId="31E9F60D" w14:textId="77777777" w:rsidR="00DB36C7" w:rsidRPr="002644DE" w:rsidRDefault="00DB36C7"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779112E2" w14:textId="77777777" w:rsidR="00DB36C7" w:rsidRPr="002644DE" w:rsidRDefault="00CA3B3B"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138E50DB" w14:textId="77777777" w:rsidR="00DB36C7" w:rsidRPr="002644DE" w:rsidRDefault="00DB36C7" w:rsidP="00886FE8">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Sporitelia, ktorí požiadajú o starobný a predčasný starobný dôchodok z II. pilier</w:t>
            </w:r>
            <w:r w:rsidR="009E6745">
              <w:rPr>
                <w:rFonts w:ascii="Times New Roman" w:eastAsia="Calibri" w:hAnsi="Times New Roman" w:cs="Times New Roman"/>
                <w:i/>
                <w:sz w:val="18"/>
                <w:szCs w:val="20"/>
                <w:lang w:eastAsia="sk-SK"/>
              </w:rPr>
              <w:t>a</w:t>
            </w:r>
            <w:r>
              <w:rPr>
                <w:rFonts w:ascii="Times New Roman" w:eastAsia="Calibri" w:hAnsi="Times New Roman" w:cs="Times New Roman"/>
                <w:i/>
                <w:sz w:val="18"/>
                <w:szCs w:val="20"/>
                <w:lang w:eastAsia="sk-SK"/>
              </w:rPr>
              <w:t xml:space="preserve"> po 31.12.2023.  </w:t>
            </w:r>
          </w:p>
        </w:tc>
      </w:tr>
      <w:tr w:rsidR="00DB36C7" w:rsidRPr="002644DE" w14:paraId="4809AE3D" w14:textId="77777777" w:rsidTr="00DB36C7">
        <w:trPr>
          <w:trHeight w:val="397"/>
          <w:jc w:val="center"/>
        </w:trPr>
        <w:tc>
          <w:tcPr>
            <w:tcW w:w="129" w:type="pct"/>
            <w:tcBorders>
              <w:top w:val="dotted" w:sz="4" w:space="0" w:color="auto"/>
            </w:tcBorders>
            <w:shd w:val="clear" w:color="auto" w:fill="auto"/>
            <w:vAlign w:val="center"/>
          </w:tcPr>
          <w:p w14:paraId="57C65014" w14:textId="77777777" w:rsidR="00DB36C7" w:rsidRPr="002644DE" w:rsidRDefault="00DB36C7" w:rsidP="00886FE8">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DFAF970" w14:textId="77777777" w:rsidR="00DB36C7" w:rsidRPr="002644DE" w:rsidRDefault="00DB36C7"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0402649" w14:textId="77777777" w:rsidR="00DB36C7" w:rsidRPr="002644DE" w:rsidRDefault="00DB36C7" w:rsidP="00886FE8">
            <w:pPr>
              <w:spacing w:after="0" w:line="240" w:lineRule="auto"/>
              <w:jc w:val="both"/>
              <w:rPr>
                <w:rFonts w:ascii="Times New Roman" w:eastAsia="Calibri" w:hAnsi="Times New Roman" w:cs="Times New Roman"/>
                <w:sz w:val="20"/>
                <w:szCs w:val="20"/>
                <w:lang w:eastAsia="sk-SK"/>
              </w:rPr>
            </w:pPr>
          </w:p>
        </w:tc>
      </w:tr>
      <w:tr w:rsidR="002C7D36" w:rsidRPr="002644DE" w14:paraId="356C5D8E" w14:textId="77777777" w:rsidTr="009601B0">
        <w:trPr>
          <w:trHeight w:val="227"/>
          <w:jc w:val="center"/>
        </w:trPr>
        <w:tc>
          <w:tcPr>
            <w:tcW w:w="129" w:type="pct"/>
            <w:tcBorders>
              <w:top w:val="nil"/>
              <w:bottom w:val="single" w:sz="4" w:space="0" w:color="auto"/>
            </w:tcBorders>
            <w:shd w:val="clear" w:color="auto" w:fill="F2F2F2"/>
            <w:vAlign w:val="center"/>
          </w:tcPr>
          <w:p w14:paraId="366E2D55"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3BCDE12F"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6444909A" w14:textId="77777777" w:rsidR="002C7D36" w:rsidRPr="002644DE" w:rsidRDefault="002C7D36" w:rsidP="00886FE8">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C7D36" w:rsidRPr="002644DE" w14:paraId="3A935340" w14:textId="77777777" w:rsidTr="009601B0">
        <w:trPr>
          <w:trHeight w:val="759"/>
          <w:jc w:val="center"/>
        </w:trPr>
        <w:tc>
          <w:tcPr>
            <w:tcW w:w="129" w:type="pct"/>
            <w:tcBorders>
              <w:top w:val="single" w:sz="4" w:space="0" w:color="auto"/>
              <w:bottom w:val="single" w:sz="4" w:space="0" w:color="auto"/>
            </w:tcBorders>
            <w:shd w:val="clear" w:color="auto" w:fill="auto"/>
            <w:vAlign w:val="center"/>
          </w:tcPr>
          <w:p w14:paraId="194DE2DC"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C04D654"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09F4E80"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06FCD21E" w14:textId="77777777" w:rsidTr="009601B0">
        <w:trPr>
          <w:trHeight w:val="397"/>
          <w:jc w:val="center"/>
        </w:trPr>
        <w:tc>
          <w:tcPr>
            <w:tcW w:w="129" w:type="pct"/>
            <w:vMerge w:val="restart"/>
            <w:tcBorders>
              <w:top w:val="single" w:sz="4" w:space="0" w:color="auto"/>
            </w:tcBorders>
            <w:shd w:val="clear" w:color="auto" w:fill="auto"/>
            <w:vAlign w:val="center"/>
          </w:tcPr>
          <w:p w14:paraId="40ED946B"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563A25D"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A58AD4B" w14:textId="77777777" w:rsidR="002C7D36" w:rsidRPr="002644DE" w:rsidRDefault="002C7D36" w:rsidP="00886FE8">
            <w:pPr>
              <w:spacing w:after="0" w:line="240" w:lineRule="auto"/>
              <w:jc w:val="both"/>
              <w:rPr>
                <w:rFonts w:ascii="Times New Roman" w:eastAsia="Calibri" w:hAnsi="Times New Roman" w:cs="Times New Roman"/>
                <w:i/>
                <w:sz w:val="18"/>
                <w:szCs w:val="20"/>
                <w:lang w:eastAsia="sk-SK"/>
              </w:rPr>
            </w:pPr>
          </w:p>
        </w:tc>
      </w:tr>
      <w:tr w:rsidR="002C7D36" w:rsidRPr="002644DE" w14:paraId="5BDCA70F" w14:textId="77777777" w:rsidTr="009601B0">
        <w:trPr>
          <w:trHeight w:val="397"/>
          <w:jc w:val="center"/>
        </w:trPr>
        <w:tc>
          <w:tcPr>
            <w:tcW w:w="129" w:type="pct"/>
            <w:vMerge/>
            <w:shd w:val="clear" w:color="auto" w:fill="auto"/>
            <w:vAlign w:val="center"/>
          </w:tcPr>
          <w:p w14:paraId="2C158165"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5011D7E2"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5793CAEC"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434877F8" w14:textId="77777777" w:rsidTr="009601B0">
        <w:trPr>
          <w:trHeight w:val="454"/>
          <w:jc w:val="center"/>
        </w:trPr>
        <w:tc>
          <w:tcPr>
            <w:tcW w:w="129" w:type="pct"/>
            <w:tcBorders>
              <w:top w:val="dotted" w:sz="4" w:space="0" w:color="auto"/>
            </w:tcBorders>
            <w:shd w:val="clear" w:color="auto" w:fill="F2F2F2"/>
            <w:vAlign w:val="center"/>
          </w:tcPr>
          <w:p w14:paraId="3B01D6CC" w14:textId="77777777" w:rsidR="002C7D36" w:rsidRPr="002644DE" w:rsidRDefault="002C7D36" w:rsidP="00886FE8">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509A1C9C"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C7D36" w:rsidRPr="002644DE" w14:paraId="27C7F57C" w14:textId="77777777" w:rsidTr="009601B0">
        <w:trPr>
          <w:trHeight w:val="680"/>
          <w:jc w:val="center"/>
        </w:trPr>
        <w:tc>
          <w:tcPr>
            <w:tcW w:w="129" w:type="pct"/>
            <w:vMerge w:val="restart"/>
            <w:tcBorders>
              <w:top w:val="dotted" w:sz="4" w:space="0" w:color="auto"/>
            </w:tcBorders>
            <w:shd w:val="clear" w:color="auto" w:fill="auto"/>
            <w:vAlign w:val="center"/>
          </w:tcPr>
          <w:p w14:paraId="4E2F4321"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62F2142" w14:textId="77777777" w:rsidR="002C7D36" w:rsidRPr="002644DE" w:rsidRDefault="002C7D36" w:rsidP="00886FE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591B9367" w14:textId="77777777" w:rsidR="002C7D36" w:rsidRPr="002644DE" w:rsidRDefault="002C7D36" w:rsidP="00886FE8">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1F2B9A0"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1D44456A" w14:textId="77777777" w:rsidTr="009601B0">
        <w:trPr>
          <w:trHeight w:val="680"/>
          <w:jc w:val="center"/>
        </w:trPr>
        <w:tc>
          <w:tcPr>
            <w:tcW w:w="129" w:type="pct"/>
            <w:vMerge/>
            <w:shd w:val="clear" w:color="auto" w:fill="auto"/>
            <w:vAlign w:val="center"/>
          </w:tcPr>
          <w:p w14:paraId="3D215F07"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4447663C"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0229EBB6"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2C7D36" w:rsidRPr="002644DE" w14:paraId="415F68C3" w14:textId="77777777" w:rsidTr="009601B0">
        <w:trPr>
          <w:trHeight w:val="454"/>
          <w:jc w:val="center"/>
        </w:trPr>
        <w:tc>
          <w:tcPr>
            <w:tcW w:w="129" w:type="pct"/>
            <w:tcBorders>
              <w:top w:val="dotted" w:sz="4" w:space="0" w:color="auto"/>
              <w:bottom w:val="single" w:sz="4" w:space="0" w:color="auto"/>
            </w:tcBorders>
            <w:shd w:val="clear" w:color="auto" w:fill="auto"/>
            <w:vAlign w:val="center"/>
          </w:tcPr>
          <w:p w14:paraId="5F27B200" w14:textId="77777777" w:rsidR="002C7D36" w:rsidRPr="002644DE" w:rsidRDefault="002C7D36" w:rsidP="00886FE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0E48737" w14:textId="77777777" w:rsidR="002C7D36" w:rsidRPr="002644DE" w:rsidRDefault="002C7D36" w:rsidP="00886FE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A23FAF6" w14:textId="77777777" w:rsidR="002C7D36" w:rsidRPr="002644DE" w:rsidRDefault="002C7D36" w:rsidP="00886FE8">
            <w:pPr>
              <w:spacing w:after="0" w:line="240" w:lineRule="auto"/>
              <w:jc w:val="both"/>
              <w:rPr>
                <w:rFonts w:ascii="Times New Roman" w:eastAsia="Calibri" w:hAnsi="Times New Roman" w:cs="Times New Roman"/>
                <w:sz w:val="20"/>
                <w:szCs w:val="20"/>
                <w:lang w:eastAsia="sk-SK"/>
              </w:rPr>
            </w:pPr>
          </w:p>
        </w:tc>
      </w:tr>
      <w:tr w:rsidR="00460120" w:rsidRPr="002644DE" w14:paraId="3ED7A9D6" w14:textId="77777777" w:rsidTr="005F098E">
        <w:trPr>
          <w:trHeight w:val="170"/>
          <w:jc w:val="center"/>
        </w:trPr>
        <w:tc>
          <w:tcPr>
            <w:tcW w:w="129" w:type="pct"/>
            <w:tcBorders>
              <w:top w:val="single" w:sz="4" w:space="0" w:color="auto"/>
              <w:bottom w:val="single" w:sz="4" w:space="0" w:color="auto"/>
            </w:tcBorders>
            <w:shd w:val="clear" w:color="auto" w:fill="DDDDDD"/>
            <w:vAlign w:val="center"/>
          </w:tcPr>
          <w:p w14:paraId="0442DFEE" w14:textId="77777777" w:rsidR="00460120" w:rsidRPr="002644DE" w:rsidRDefault="00460120" w:rsidP="005F098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4954DD5" w14:textId="77777777" w:rsidR="00460120" w:rsidRPr="002644DE" w:rsidRDefault="00460120" w:rsidP="005F098E">
            <w:pPr>
              <w:spacing w:after="0" w:line="240" w:lineRule="auto"/>
              <w:jc w:val="center"/>
              <w:rPr>
                <w:rFonts w:ascii="Times New Roman" w:eastAsia="Calibri" w:hAnsi="Times New Roman" w:cs="Times New Roman"/>
                <w:b/>
                <w:sz w:val="20"/>
                <w:szCs w:val="20"/>
                <w:lang w:eastAsia="sk-SK"/>
              </w:rPr>
            </w:pPr>
            <w:r>
              <w:rPr>
                <w:rFonts w:ascii="Times New Roman" w:eastAsia="Calibri" w:hAnsi="Times New Roman" w:cs="Times New Roman"/>
                <w:b/>
                <w:i/>
                <w:sz w:val="20"/>
                <w:szCs w:val="20"/>
                <w:lang w:eastAsia="sk-SK"/>
              </w:rPr>
              <w:t>4.1.1</w:t>
            </w:r>
            <w:r w:rsidRPr="002644DE">
              <w:rPr>
                <w:rFonts w:ascii="Times New Roman" w:eastAsia="Calibri" w:hAnsi="Times New Roman" w:cs="Times New Roman"/>
                <w:b/>
                <w:i/>
                <w:sz w:val="20"/>
                <w:szCs w:val="20"/>
                <w:lang w:eastAsia="sk-SK"/>
              </w:rPr>
              <w:t xml:space="preserve"> Pozitívny vplyv</w:t>
            </w:r>
          </w:p>
        </w:tc>
      </w:tr>
      <w:tr w:rsidR="00460120" w:rsidRPr="002644DE" w14:paraId="7E77822F" w14:textId="77777777" w:rsidTr="005F098E">
        <w:trPr>
          <w:trHeight w:val="759"/>
          <w:jc w:val="center"/>
        </w:trPr>
        <w:tc>
          <w:tcPr>
            <w:tcW w:w="129" w:type="pct"/>
            <w:tcBorders>
              <w:top w:val="single" w:sz="4" w:space="0" w:color="auto"/>
              <w:bottom w:val="single" w:sz="4" w:space="0" w:color="auto"/>
            </w:tcBorders>
            <w:shd w:val="clear" w:color="auto" w:fill="auto"/>
            <w:vAlign w:val="center"/>
          </w:tcPr>
          <w:p w14:paraId="729B5F31" w14:textId="77777777" w:rsidR="00460120" w:rsidRPr="002644DE" w:rsidRDefault="00460120" w:rsidP="005F098E">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D9FBC95" w14:textId="77777777" w:rsidR="00460120" w:rsidRPr="002644DE" w:rsidRDefault="00460120" w:rsidP="005F098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4127B9F" w14:textId="77777777" w:rsidR="00460120" w:rsidRDefault="005F098E" w:rsidP="005F098E">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Dedenie v II. pilieri v období poberania dôchodku. </w:t>
            </w:r>
          </w:p>
          <w:p w14:paraId="541D2DEB" w14:textId="77777777" w:rsidR="005F098E" w:rsidRPr="002644DE" w:rsidRDefault="00AA44CD" w:rsidP="009E6F65">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Pri súčasnom právnom stave má sporiteľ možnosť poberať doživotný dôchodok </w:t>
            </w:r>
            <w:r w:rsidR="00DA16FC">
              <w:rPr>
                <w:rFonts w:ascii="Times New Roman" w:eastAsia="Calibri" w:hAnsi="Times New Roman" w:cs="Times New Roman"/>
                <w:sz w:val="20"/>
                <w:szCs w:val="20"/>
                <w:lang w:eastAsia="sk-SK"/>
              </w:rPr>
              <w:t>s</w:t>
            </w:r>
            <w:r>
              <w:rPr>
                <w:rFonts w:ascii="Times New Roman" w:eastAsia="Calibri" w:hAnsi="Times New Roman" w:cs="Times New Roman"/>
                <w:sz w:val="20"/>
                <w:szCs w:val="20"/>
                <w:lang w:eastAsia="sk-SK"/>
              </w:rPr>
              <w:t xml:space="preserve"> garanciou vyplatených 84 mesačných súm doživotného </w:t>
            </w:r>
            <w:r w:rsidR="009E6F65">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dôchodku</w:t>
            </w:r>
            <w:r w:rsidR="009E6F65">
              <w:rPr>
                <w:rFonts w:ascii="Times New Roman" w:eastAsia="Calibri" w:hAnsi="Times New Roman" w:cs="Times New Roman"/>
                <w:sz w:val="20"/>
                <w:szCs w:val="20"/>
                <w:lang w:eastAsia="sk-SK"/>
              </w:rPr>
              <w:t xml:space="preserve"> (v prípade úmrtia sporiteľa počas týchto 7 rokov aj jeho pozostalým)</w:t>
            </w:r>
            <w:r>
              <w:rPr>
                <w:rFonts w:ascii="Times New Roman" w:eastAsia="Calibri" w:hAnsi="Times New Roman" w:cs="Times New Roman"/>
                <w:sz w:val="20"/>
                <w:szCs w:val="20"/>
                <w:lang w:eastAsia="sk-SK"/>
              </w:rPr>
              <w:t xml:space="preserve">. </w:t>
            </w:r>
            <w:r w:rsidR="009E6F65">
              <w:rPr>
                <w:rFonts w:ascii="Times New Roman" w:eastAsia="Calibri" w:hAnsi="Times New Roman" w:cs="Times New Roman"/>
                <w:sz w:val="20"/>
                <w:szCs w:val="20"/>
                <w:lang w:eastAsia="sk-SK"/>
              </w:rPr>
              <w:t>Naproti tomu n</w:t>
            </w:r>
            <w:r w:rsidR="00575FA5">
              <w:rPr>
                <w:rFonts w:ascii="Times New Roman" w:eastAsia="Calibri" w:hAnsi="Times New Roman" w:cs="Times New Roman"/>
                <w:sz w:val="20"/>
                <w:szCs w:val="20"/>
                <w:lang w:eastAsia="sk-SK"/>
              </w:rPr>
              <w:t xml:space="preserve">avrhovaná právna úprava </w:t>
            </w:r>
            <w:r w:rsidR="00DA16FC">
              <w:rPr>
                <w:rFonts w:ascii="Times New Roman" w:eastAsia="Calibri" w:hAnsi="Times New Roman" w:cs="Times New Roman"/>
                <w:sz w:val="20"/>
                <w:szCs w:val="20"/>
                <w:lang w:eastAsia="sk-SK"/>
              </w:rPr>
              <w:t xml:space="preserve">umožňuje pozostalým po sporiteľoch dediť celý nevyčerpaný zostatok nasporenej sumy v období poberania starobného alebo predčasného starobného dôchodku </w:t>
            </w:r>
            <w:r w:rsidR="00087D1A">
              <w:rPr>
                <w:rFonts w:ascii="Times New Roman" w:eastAsia="Calibri" w:hAnsi="Times New Roman" w:cs="Times New Roman"/>
                <w:sz w:val="20"/>
                <w:szCs w:val="20"/>
                <w:lang w:eastAsia="sk-SK"/>
              </w:rPr>
              <w:t>formou progr</w:t>
            </w:r>
            <w:r w:rsidR="00874E43">
              <w:rPr>
                <w:rFonts w:ascii="Times New Roman" w:eastAsia="Calibri" w:hAnsi="Times New Roman" w:cs="Times New Roman"/>
                <w:sz w:val="20"/>
                <w:szCs w:val="20"/>
                <w:lang w:eastAsia="sk-SK"/>
              </w:rPr>
              <w:t>amového výberu.</w:t>
            </w:r>
          </w:p>
        </w:tc>
      </w:tr>
      <w:tr w:rsidR="00087D1A" w:rsidRPr="002644DE" w14:paraId="02E7C8CC" w14:textId="77777777" w:rsidTr="005F098E">
        <w:trPr>
          <w:trHeight w:val="397"/>
          <w:jc w:val="center"/>
        </w:trPr>
        <w:tc>
          <w:tcPr>
            <w:tcW w:w="129" w:type="pct"/>
            <w:vMerge w:val="restart"/>
            <w:tcBorders>
              <w:top w:val="single" w:sz="4" w:space="0" w:color="auto"/>
            </w:tcBorders>
            <w:shd w:val="clear" w:color="auto" w:fill="auto"/>
            <w:vAlign w:val="center"/>
          </w:tcPr>
          <w:p w14:paraId="49CA41E8"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F4F2C6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B687F48"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Sporitelia, ktorí požiadajú o starobný a predčasný starobný dôchodok z II. piliera po 31.12.2023.  </w:t>
            </w:r>
          </w:p>
        </w:tc>
      </w:tr>
      <w:tr w:rsidR="00087D1A" w:rsidRPr="002644DE" w14:paraId="2A850709" w14:textId="77777777" w:rsidTr="005F098E">
        <w:trPr>
          <w:trHeight w:val="397"/>
          <w:jc w:val="center"/>
        </w:trPr>
        <w:tc>
          <w:tcPr>
            <w:tcW w:w="129" w:type="pct"/>
            <w:vMerge/>
            <w:shd w:val="clear" w:color="auto" w:fill="auto"/>
            <w:vAlign w:val="center"/>
          </w:tcPr>
          <w:p w14:paraId="110EF335"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0594FB79"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3F7FF273"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Sporitelia, ktorí požiadajú o starobný a predčasný starobný dôchodok z II. piliera po 31.12.2023.  </w:t>
            </w:r>
          </w:p>
        </w:tc>
      </w:tr>
      <w:tr w:rsidR="00087D1A" w:rsidRPr="002644DE" w14:paraId="7036ADC2" w14:textId="77777777" w:rsidTr="005F098E">
        <w:trPr>
          <w:trHeight w:val="454"/>
          <w:jc w:val="center"/>
        </w:trPr>
        <w:tc>
          <w:tcPr>
            <w:tcW w:w="129" w:type="pct"/>
            <w:tcBorders>
              <w:top w:val="dotted" w:sz="4" w:space="0" w:color="auto"/>
            </w:tcBorders>
            <w:shd w:val="clear" w:color="auto" w:fill="F2F2F2"/>
            <w:vAlign w:val="center"/>
          </w:tcPr>
          <w:p w14:paraId="4C6BB544"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5B15D91A"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4416BF13" w14:textId="77777777" w:rsidTr="005F098E">
        <w:trPr>
          <w:trHeight w:val="680"/>
          <w:jc w:val="center"/>
        </w:trPr>
        <w:tc>
          <w:tcPr>
            <w:tcW w:w="129" w:type="pct"/>
            <w:tcBorders>
              <w:top w:val="dotted" w:sz="4" w:space="0" w:color="auto"/>
            </w:tcBorders>
            <w:shd w:val="clear" w:color="auto" w:fill="auto"/>
            <w:vAlign w:val="center"/>
          </w:tcPr>
          <w:p w14:paraId="7CB4DA38"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124822A"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0A26DC9"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25A7A67"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 základe vekovej štruktúry sporiteľov predpokladáme každoročný postupný nárast počtu sporiteľov v dôchodkovom veku z úrovne cca 11 000 v roku 2024 až na úroveň viac ako 23 000 v roku 2030.  </w:t>
            </w:r>
          </w:p>
        </w:tc>
      </w:tr>
      <w:tr w:rsidR="00087D1A" w:rsidRPr="002644DE" w14:paraId="68D2BFF5" w14:textId="77777777" w:rsidTr="005F098E">
        <w:trPr>
          <w:trHeight w:val="397"/>
          <w:jc w:val="center"/>
        </w:trPr>
        <w:tc>
          <w:tcPr>
            <w:tcW w:w="129" w:type="pct"/>
            <w:tcBorders>
              <w:top w:val="dotted" w:sz="4" w:space="0" w:color="auto"/>
            </w:tcBorders>
            <w:shd w:val="clear" w:color="auto" w:fill="auto"/>
            <w:vAlign w:val="center"/>
          </w:tcPr>
          <w:p w14:paraId="37AD06D5"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03EBE56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0BCD94D1"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Sporitelia, ktorí požiadajú o starobný a predčasný starobný dôchodok z II. piliera po 31.12.2023.  </w:t>
            </w:r>
          </w:p>
        </w:tc>
      </w:tr>
      <w:tr w:rsidR="00087D1A" w:rsidRPr="002644DE" w14:paraId="48AC0C2A" w14:textId="77777777" w:rsidTr="005F098E">
        <w:trPr>
          <w:trHeight w:val="397"/>
          <w:jc w:val="center"/>
        </w:trPr>
        <w:tc>
          <w:tcPr>
            <w:tcW w:w="129" w:type="pct"/>
            <w:tcBorders>
              <w:top w:val="dotted" w:sz="4" w:space="0" w:color="auto"/>
            </w:tcBorders>
            <w:shd w:val="clear" w:color="auto" w:fill="auto"/>
            <w:vAlign w:val="center"/>
          </w:tcPr>
          <w:p w14:paraId="781B1662"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2369B86"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3F92923"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7D067E94" w14:textId="77777777" w:rsidTr="005F098E">
        <w:trPr>
          <w:trHeight w:val="227"/>
          <w:jc w:val="center"/>
        </w:trPr>
        <w:tc>
          <w:tcPr>
            <w:tcW w:w="129" w:type="pct"/>
            <w:tcBorders>
              <w:top w:val="nil"/>
              <w:bottom w:val="single" w:sz="4" w:space="0" w:color="auto"/>
            </w:tcBorders>
            <w:shd w:val="clear" w:color="auto" w:fill="F2F2F2"/>
            <w:vAlign w:val="center"/>
          </w:tcPr>
          <w:p w14:paraId="0B5B890B"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51A5200B"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46CB36EA" w14:textId="77777777" w:rsidR="00087D1A" w:rsidRPr="002644DE" w:rsidRDefault="00087D1A" w:rsidP="00087D1A">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087D1A" w:rsidRPr="002644DE" w14:paraId="158F5F12" w14:textId="77777777" w:rsidTr="005F098E">
        <w:trPr>
          <w:trHeight w:val="759"/>
          <w:jc w:val="center"/>
        </w:trPr>
        <w:tc>
          <w:tcPr>
            <w:tcW w:w="129" w:type="pct"/>
            <w:tcBorders>
              <w:top w:val="single" w:sz="4" w:space="0" w:color="auto"/>
              <w:bottom w:val="single" w:sz="4" w:space="0" w:color="auto"/>
            </w:tcBorders>
            <w:shd w:val="clear" w:color="auto" w:fill="auto"/>
            <w:vAlign w:val="center"/>
          </w:tcPr>
          <w:p w14:paraId="7D32F038"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636894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53E6402"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26D2F5A8" w14:textId="77777777" w:rsidTr="005F098E">
        <w:trPr>
          <w:trHeight w:val="397"/>
          <w:jc w:val="center"/>
        </w:trPr>
        <w:tc>
          <w:tcPr>
            <w:tcW w:w="129" w:type="pct"/>
            <w:vMerge w:val="restart"/>
            <w:tcBorders>
              <w:top w:val="single" w:sz="4" w:space="0" w:color="auto"/>
            </w:tcBorders>
            <w:shd w:val="clear" w:color="auto" w:fill="auto"/>
            <w:vAlign w:val="center"/>
          </w:tcPr>
          <w:p w14:paraId="383EEDD0"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613607D9"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0D7EE04" w14:textId="77777777" w:rsidR="00087D1A" w:rsidRPr="002644DE" w:rsidRDefault="00087D1A" w:rsidP="00087D1A">
            <w:pPr>
              <w:spacing w:after="0" w:line="240" w:lineRule="auto"/>
              <w:jc w:val="both"/>
              <w:rPr>
                <w:rFonts w:ascii="Times New Roman" w:eastAsia="Calibri" w:hAnsi="Times New Roman" w:cs="Times New Roman"/>
                <w:i/>
                <w:sz w:val="18"/>
                <w:szCs w:val="20"/>
                <w:lang w:eastAsia="sk-SK"/>
              </w:rPr>
            </w:pPr>
          </w:p>
        </w:tc>
      </w:tr>
      <w:tr w:rsidR="00087D1A" w:rsidRPr="002644DE" w14:paraId="4AECC1D0" w14:textId="77777777" w:rsidTr="005F098E">
        <w:trPr>
          <w:trHeight w:val="397"/>
          <w:jc w:val="center"/>
        </w:trPr>
        <w:tc>
          <w:tcPr>
            <w:tcW w:w="129" w:type="pct"/>
            <w:vMerge/>
            <w:shd w:val="clear" w:color="auto" w:fill="auto"/>
            <w:vAlign w:val="center"/>
          </w:tcPr>
          <w:p w14:paraId="0626FE95"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210157B9"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4B8F1385"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28D5EA06" w14:textId="77777777" w:rsidTr="005F098E">
        <w:trPr>
          <w:trHeight w:val="454"/>
          <w:jc w:val="center"/>
        </w:trPr>
        <w:tc>
          <w:tcPr>
            <w:tcW w:w="129" w:type="pct"/>
            <w:tcBorders>
              <w:top w:val="dotted" w:sz="4" w:space="0" w:color="auto"/>
            </w:tcBorders>
            <w:shd w:val="clear" w:color="auto" w:fill="F2F2F2"/>
            <w:vAlign w:val="center"/>
          </w:tcPr>
          <w:p w14:paraId="77D422FF" w14:textId="77777777" w:rsidR="00087D1A" w:rsidRPr="002644DE" w:rsidRDefault="00087D1A" w:rsidP="00087D1A">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204F9A0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40BEB60E" w14:textId="77777777" w:rsidTr="005F098E">
        <w:trPr>
          <w:trHeight w:val="680"/>
          <w:jc w:val="center"/>
        </w:trPr>
        <w:tc>
          <w:tcPr>
            <w:tcW w:w="129" w:type="pct"/>
            <w:vMerge w:val="restart"/>
            <w:tcBorders>
              <w:top w:val="dotted" w:sz="4" w:space="0" w:color="auto"/>
            </w:tcBorders>
            <w:shd w:val="clear" w:color="auto" w:fill="auto"/>
            <w:vAlign w:val="center"/>
          </w:tcPr>
          <w:p w14:paraId="317FA0FA"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84F6486"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8D02A04"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lastRenderedPageBreak/>
              <w:t>veľkosť skupiny (počet obyvateľov):</w:t>
            </w:r>
          </w:p>
        </w:tc>
        <w:tc>
          <w:tcPr>
            <w:tcW w:w="3229" w:type="pct"/>
            <w:tcBorders>
              <w:top w:val="dotted" w:sz="4" w:space="0" w:color="auto"/>
            </w:tcBorders>
            <w:shd w:val="clear" w:color="auto" w:fill="auto"/>
          </w:tcPr>
          <w:p w14:paraId="14E8C448"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71CD24B9" w14:textId="77777777" w:rsidTr="005F098E">
        <w:trPr>
          <w:trHeight w:val="680"/>
          <w:jc w:val="center"/>
        </w:trPr>
        <w:tc>
          <w:tcPr>
            <w:tcW w:w="129" w:type="pct"/>
            <w:vMerge/>
            <w:shd w:val="clear" w:color="auto" w:fill="auto"/>
            <w:vAlign w:val="center"/>
          </w:tcPr>
          <w:p w14:paraId="6F5AFDE4"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10CB069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57C9BFBA"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76DA8B44" w14:textId="77777777" w:rsidTr="005F098E">
        <w:trPr>
          <w:trHeight w:val="454"/>
          <w:jc w:val="center"/>
        </w:trPr>
        <w:tc>
          <w:tcPr>
            <w:tcW w:w="129" w:type="pct"/>
            <w:tcBorders>
              <w:top w:val="dotted" w:sz="4" w:space="0" w:color="auto"/>
              <w:bottom w:val="single" w:sz="4" w:space="0" w:color="auto"/>
            </w:tcBorders>
            <w:shd w:val="clear" w:color="auto" w:fill="auto"/>
            <w:vAlign w:val="center"/>
          </w:tcPr>
          <w:p w14:paraId="6606CB76"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DB84A41"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12057808"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553FE621" w14:textId="77777777" w:rsidTr="009601B0">
        <w:trPr>
          <w:trHeight w:val="170"/>
          <w:jc w:val="center"/>
        </w:trPr>
        <w:tc>
          <w:tcPr>
            <w:tcW w:w="129" w:type="pct"/>
            <w:tcBorders>
              <w:top w:val="single" w:sz="4" w:space="0" w:color="auto"/>
              <w:bottom w:val="single" w:sz="4" w:space="0" w:color="auto"/>
            </w:tcBorders>
            <w:shd w:val="clear" w:color="auto" w:fill="DDDDDD"/>
            <w:vAlign w:val="center"/>
          </w:tcPr>
          <w:p w14:paraId="391DB108"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31D472A" w14:textId="77777777" w:rsidR="00087D1A" w:rsidRPr="002644DE" w:rsidRDefault="00087D1A" w:rsidP="00087D1A">
            <w:pPr>
              <w:spacing w:after="0" w:line="240" w:lineRule="auto"/>
              <w:jc w:val="center"/>
              <w:rPr>
                <w:rFonts w:ascii="Times New Roman" w:eastAsia="Calibri" w:hAnsi="Times New Roman" w:cs="Times New Roman"/>
                <w:b/>
                <w:sz w:val="20"/>
                <w:szCs w:val="20"/>
                <w:lang w:eastAsia="sk-SK"/>
              </w:rPr>
            </w:pPr>
            <w:r>
              <w:rPr>
                <w:rFonts w:ascii="Times New Roman" w:eastAsia="Calibri" w:hAnsi="Times New Roman" w:cs="Times New Roman"/>
                <w:b/>
                <w:i/>
                <w:sz w:val="20"/>
                <w:szCs w:val="20"/>
                <w:lang w:eastAsia="sk-SK"/>
              </w:rPr>
              <w:t>4.1.1</w:t>
            </w:r>
            <w:r w:rsidRPr="002644DE">
              <w:rPr>
                <w:rFonts w:ascii="Times New Roman" w:eastAsia="Calibri" w:hAnsi="Times New Roman" w:cs="Times New Roman"/>
                <w:b/>
                <w:i/>
                <w:sz w:val="20"/>
                <w:szCs w:val="20"/>
                <w:lang w:eastAsia="sk-SK"/>
              </w:rPr>
              <w:t xml:space="preserve"> Pozitívny vplyv</w:t>
            </w:r>
          </w:p>
        </w:tc>
      </w:tr>
      <w:tr w:rsidR="00087D1A" w:rsidRPr="002644DE" w14:paraId="69317E08" w14:textId="77777777" w:rsidTr="009601B0">
        <w:trPr>
          <w:trHeight w:val="759"/>
          <w:jc w:val="center"/>
        </w:trPr>
        <w:tc>
          <w:tcPr>
            <w:tcW w:w="129" w:type="pct"/>
            <w:tcBorders>
              <w:top w:val="single" w:sz="4" w:space="0" w:color="auto"/>
              <w:bottom w:val="single" w:sz="4" w:space="0" w:color="auto"/>
            </w:tcBorders>
            <w:shd w:val="clear" w:color="auto" w:fill="auto"/>
            <w:vAlign w:val="center"/>
          </w:tcPr>
          <w:p w14:paraId="0F6C71F5" w14:textId="77777777" w:rsidR="00087D1A" w:rsidRPr="002644DE" w:rsidRDefault="00087D1A" w:rsidP="00087D1A">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E5C820B"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B8E422B" w14:textId="77777777" w:rsidR="00087D1A" w:rsidRDefault="001179A4" w:rsidP="00874E43">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Zmena odplát v II. pilieri. </w:t>
            </w:r>
          </w:p>
          <w:p w14:paraId="4DF5C91F" w14:textId="5BFF9752" w:rsidR="005C6218" w:rsidRPr="00DF4028" w:rsidRDefault="005C6218" w:rsidP="00DF4028">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Správcovia dôchodkových fondov podľa navrhovanej právnej úpravy </w:t>
            </w:r>
            <w:r w:rsidRPr="00256F87">
              <w:rPr>
                <w:rFonts w:ascii="Times New Roman" w:eastAsia="Times New Roman" w:hAnsi="Times New Roman" w:cs="Times New Roman"/>
                <w:sz w:val="20"/>
                <w:szCs w:val="20"/>
                <w:lang w:eastAsia="sk-SK"/>
              </w:rPr>
              <w:t>nebudú mať nárok na odplatu za zhodnotenie majetku v dôchodkovom fonde. DSS rovnako stratia nárok na odplatu za vedenie osobného dôchodkového účtu vo výške 1</w:t>
            </w:r>
            <w:r>
              <w:rPr>
                <w:rFonts w:ascii="Times New Roman" w:eastAsia="Times New Roman" w:hAnsi="Times New Roman" w:cs="Times New Roman"/>
                <w:sz w:val="20"/>
                <w:szCs w:val="20"/>
                <w:lang w:eastAsia="sk-SK"/>
              </w:rPr>
              <w:t xml:space="preserve"> </w:t>
            </w:r>
            <w:r w:rsidRPr="00256F87">
              <w:rPr>
                <w:rFonts w:ascii="Times New Roman" w:eastAsia="Times New Roman" w:hAnsi="Times New Roman" w:cs="Times New Roman"/>
                <w:sz w:val="20"/>
                <w:szCs w:val="20"/>
                <w:lang w:eastAsia="sk-SK"/>
              </w:rPr>
              <w:t>% zo sumy príspevkov pripísaných na účet nepriradených platieb pred pripísaním dôchodkových jednotiek na os</w:t>
            </w:r>
            <w:r>
              <w:rPr>
                <w:rFonts w:ascii="Times New Roman" w:eastAsia="Times New Roman" w:hAnsi="Times New Roman" w:cs="Times New Roman"/>
                <w:sz w:val="20"/>
                <w:szCs w:val="20"/>
                <w:lang w:eastAsia="sk-SK"/>
              </w:rPr>
              <w:t xml:space="preserve">obný dôchodkový účet sporiteľa. DSS bude mať naopak nárok na vyššiu odplatu za správu dôchodkového fondu na </w:t>
            </w:r>
            <w:r w:rsidRPr="00F774C2">
              <w:rPr>
                <w:rFonts w:ascii="Times New Roman" w:eastAsia="Times New Roman" w:hAnsi="Times New Roman" w:cs="Times New Roman"/>
                <w:sz w:val="20"/>
                <w:szCs w:val="20"/>
                <w:lang w:eastAsia="sk-SK"/>
              </w:rPr>
              <w:t>úrovni 0,4 % priemernej ročnej</w:t>
            </w:r>
            <w:r>
              <w:rPr>
                <w:rFonts w:ascii="Times New Roman" w:eastAsia="Times New Roman" w:hAnsi="Times New Roman" w:cs="Times New Roman"/>
                <w:sz w:val="20"/>
                <w:szCs w:val="20"/>
                <w:lang w:eastAsia="sk-SK"/>
              </w:rPr>
              <w:t xml:space="preserve"> predbežnej čistej hodnoty majetku v dôchodkovom fonde. </w:t>
            </w:r>
          </w:p>
        </w:tc>
      </w:tr>
      <w:tr w:rsidR="00087D1A" w:rsidRPr="002644DE" w14:paraId="55437909" w14:textId="77777777" w:rsidTr="009601B0">
        <w:trPr>
          <w:trHeight w:val="397"/>
          <w:jc w:val="center"/>
        </w:trPr>
        <w:tc>
          <w:tcPr>
            <w:tcW w:w="129" w:type="pct"/>
            <w:vMerge w:val="restart"/>
            <w:tcBorders>
              <w:top w:val="single" w:sz="4" w:space="0" w:color="auto"/>
            </w:tcBorders>
            <w:shd w:val="clear" w:color="auto" w:fill="auto"/>
            <w:vAlign w:val="center"/>
          </w:tcPr>
          <w:p w14:paraId="2ABCD598"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95AF625"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1A1BFB0" w14:textId="77777777" w:rsidR="00087D1A" w:rsidRPr="002644DE" w:rsidRDefault="00874E43"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Sporitelia.</w:t>
            </w:r>
          </w:p>
        </w:tc>
      </w:tr>
      <w:tr w:rsidR="00087D1A" w:rsidRPr="002644DE" w14:paraId="3B4A1327" w14:textId="77777777" w:rsidTr="009601B0">
        <w:trPr>
          <w:trHeight w:val="397"/>
          <w:jc w:val="center"/>
        </w:trPr>
        <w:tc>
          <w:tcPr>
            <w:tcW w:w="129" w:type="pct"/>
            <w:vMerge/>
            <w:shd w:val="clear" w:color="auto" w:fill="auto"/>
            <w:vAlign w:val="center"/>
          </w:tcPr>
          <w:p w14:paraId="18872DA8"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14EF4247"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9CE52C5" w14:textId="77777777" w:rsidR="00087D1A" w:rsidRPr="002644DE" w:rsidRDefault="00874E43"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 xml:space="preserve">Sporitelia. </w:t>
            </w:r>
          </w:p>
        </w:tc>
      </w:tr>
      <w:tr w:rsidR="00087D1A" w:rsidRPr="002644DE" w14:paraId="1C283E6A" w14:textId="77777777" w:rsidTr="009601B0">
        <w:trPr>
          <w:trHeight w:val="454"/>
          <w:jc w:val="center"/>
        </w:trPr>
        <w:tc>
          <w:tcPr>
            <w:tcW w:w="129" w:type="pct"/>
            <w:tcBorders>
              <w:top w:val="dotted" w:sz="4" w:space="0" w:color="auto"/>
            </w:tcBorders>
            <w:shd w:val="clear" w:color="auto" w:fill="F2F2F2"/>
            <w:vAlign w:val="center"/>
          </w:tcPr>
          <w:p w14:paraId="23CD92DD"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2087FE01"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0689BBAC" w14:textId="77777777" w:rsidTr="009601B0">
        <w:trPr>
          <w:trHeight w:val="680"/>
          <w:jc w:val="center"/>
        </w:trPr>
        <w:tc>
          <w:tcPr>
            <w:tcW w:w="129" w:type="pct"/>
            <w:tcBorders>
              <w:top w:val="dotted" w:sz="4" w:space="0" w:color="auto"/>
            </w:tcBorders>
            <w:shd w:val="clear" w:color="auto" w:fill="auto"/>
            <w:vAlign w:val="center"/>
          </w:tcPr>
          <w:p w14:paraId="4EEF1803"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5790B13"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FAAA587"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09D0CC6" w14:textId="77777777" w:rsidR="001179A4" w:rsidRDefault="00F35C3E"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Najmä v</w:t>
            </w:r>
            <w:r w:rsidR="00087D1A" w:rsidRPr="0089132B">
              <w:rPr>
                <w:rFonts w:ascii="Times New Roman" w:eastAsia="Calibri" w:hAnsi="Times New Roman" w:cs="Times New Roman"/>
                <w:sz w:val="20"/>
                <w:szCs w:val="20"/>
                <w:lang w:eastAsia="sk-SK"/>
              </w:rPr>
              <w:t xml:space="preserve"> dôsledku odplaty za zhodnotenie dosiahli </w:t>
            </w:r>
            <w:r>
              <w:rPr>
                <w:rFonts w:ascii="Times New Roman" w:eastAsia="Calibri" w:hAnsi="Times New Roman" w:cs="Times New Roman"/>
                <w:sz w:val="20"/>
                <w:szCs w:val="20"/>
                <w:lang w:eastAsia="sk-SK"/>
              </w:rPr>
              <w:t>dôchodkové fondy</w:t>
            </w:r>
            <w:r w:rsidR="00087D1A" w:rsidRPr="0089132B">
              <w:rPr>
                <w:rFonts w:ascii="Times New Roman" w:eastAsia="Calibri" w:hAnsi="Times New Roman" w:cs="Times New Roman"/>
                <w:sz w:val="20"/>
                <w:szCs w:val="20"/>
                <w:lang w:eastAsia="sk-SK"/>
              </w:rPr>
              <w:t xml:space="preserve"> v II. pilieri v roku 2021 pomer celkových výdavkov</w:t>
            </w:r>
            <w:r w:rsidR="00087D1A">
              <w:rPr>
                <w:rFonts w:ascii="Times New Roman" w:eastAsia="Calibri" w:hAnsi="Times New Roman" w:cs="Times New Roman"/>
                <w:sz w:val="20"/>
                <w:szCs w:val="20"/>
                <w:lang w:eastAsia="sk-SK"/>
              </w:rPr>
              <w:t xml:space="preserve"> (TER)</w:t>
            </w:r>
            <w:r w:rsidR="004F5350">
              <w:rPr>
                <w:rFonts w:ascii="Times New Roman" w:eastAsia="Calibri" w:hAnsi="Times New Roman" w:cs="Times New Roman"/>
                <w:sz w:val="20"/>
                <w:szCs w:val="20"/>
                <w:lang w:eastAsia="sk-SK"/>
              </w:rPr>
              <w:t xml:space="preserve"> 1,2 % (samotné indexové fondy až cca 3,0 %). </w:t>
            </w:r>
            <w:r w:rsidR="00087D1A" w:rsidRPr="00093755">
              <w:rPr>
                <w:rFonts w:ascii="Times New Roman" w:eastAsia="Calibri" w:hAnsi="Times New Roman" w:cs="Times New Roman"/>
                <w:sz w:val="20"/>
                <w:szCs w:val="20"/>
                <w:lang w:eastAsia="sk-SK"/>
              </w:rPr>
              <w:t xml:space="preserve">Efektívnejším nastavením poplatkovej štruktúry </w:t>
            </w:r>
            <w:r w:rsidR="001179A4">
              <w:rPr>
                <w:rFonts w:ascii="Times New Roman" w:eastAsia="Calibri" w:hAnsi="Times New Roman" w:cs="Times New Roman"/>
                <w:sz w:val="20"/>
                <w:szCs w:val="20"/>
                <w:lang w:eastAsia="sk-SK"/>
              </w:rPr>
              <w:t xml:space="preserve">spojenej zo zrušením odplaty za zhodnotenie majetku v dôchodkovom fonde a odplaty za vedenie osobného dôchodkového účtu a nárastom odplaty za správu dôchodkového fondu </w:t>
            </w:r>
            <w:r w:rsidR="00087D1A" w:rsidRPr="00093755">
              <w:rPr>
                <w:rFonts w:ascii="Times New Roman" w:eastAsia="Calibri" w:hAnsi="Times New Roman" w:cs="Times New Roman"/>
                <w:sz w:val="20"/>
                <w:szCs w:val="20"/>
                <w:lang w:eastAsia="sk-SK"/>
              </w:rPr>
              <w:t>je</w:t>
            </w:r>
            <w:r w:rsidR="00087D1A">
              <w:rPr>
                <w:rFonts w:ascii="Times New Roman" w:eastAsia="Calibri" w:hAnsi="Times New Roman" w:cs="Times New Roman"/>
                <w:sz w:val="20"/>
                <w:szCs w:val="20"/>
                <w:lang w:eastAsia="sk-SK"/>
              </w:rPr>
              <w:t xml:space="preserve"> </w:t>
            </w:r>
            <w:r w:rsidR="00087D1A" w:rsidRPr="00093755">
              <w:rPr>
                <w:rFonts w:ascii="Times New Roman" w:eastAsia="Calibri" w:hAnsi="Times New Roman" w:cs="Times New Roman"/>
                <w:sz w:val="20"/>
                <w:szCs w:val="20"/>
                <w:lang w:eastAsia="sk-SK"/>
              </w:rPr>
              <w:t>možné zvýšiť očakávanú nasporenú sumu</w:t>
            </w:r>
            <w:r w:rsidR="00087D1A">
              <w:rPr>
                <w:rFonts w:ascii="Times New Roman" w:eastAsia="Calibri" w:hAnsi="Times New Roman" w:cs="Times New Roman"/>
                <w:sz w:val="20"/>
                <w:szCs w:val="20"/>
                <w:lang w:eastAsia="sk-SK"/>
              </w:rPr>
              <w:t xml:space="preserve"> sporiteľa</w:t>
            </w:r>
            <w:r w:rsidR="00087D1A" w:rsidRPr="00093755">
              <w:rPr>
                <w:rFonts w:ascii="Times New Roman" w:eastAsia="Calibri" w:hAnsi="Times New Roman" w:cs="Times New Roman"/>
                <w:sz w:val="20"/>
                <w:szCs w:val="20"/>
                <w:lang w:eastAsia="sk-SK"/>
              </w:rPr>
              <w:t xml:space="preserve"> v priemere o</w:t>
            </w:r>
            <w:r w:rsidR="004F5350">
              <w:rPr>
                <w:rFonts w:ascii="Times New Roman" w:eastAsia="Calibri" w:hAnsi="Times New Roman" w:cs="Times New Roman"/>
                <w:sz w:val="20"/>
                <w:szCs w:val="20"/>
                <w:lang w:eastAsia="sk-SK"/>
              </w:rPr>
              <w:t> 10  %.</w:t>
            </w:r>
            <w:r w:rsidR="001179A4">
              <w:rPr>
                <w:rFonts w:ascii="Times New Roman" w:eastAsia="Calibri" w:hAnsi="Times New Roman" w:cs="Times New Roman"/>
                <w:sz w:val="20"/>
                <w:szCs w:val="20"/>
                <w:lang w:eastAsia="sk-SK"/>
              </w:rPr>
              <w:t xml:space="preserve"> </w:t>
            </w:r>
          </w:p>
          <w:p w14:paraId="03FFF4E1" w14:textId="77777777" w:rsidR="00087D1A" w:rsidRDefault="00087D1A" w:rsidP="00087D1A">
            <w:pPr>
              <w:spacing w:after="0" w:line="240" w:lineRule="auto"/>
              <w:jc w:val="both"/>
              <w:rPr>
                <w:rFonts w:ascii="Times New Roman" w:eastAsia="Calibri" w:hAnsi="Times New Roman" w:cs="Times New Roman"/>
                <w:sz w:val="20"/>
                <w:szCs w:val="20"/>
                <w:lang w:eastAsia="sk-SK"/>
              </w:rPr>
            </w:pPr>
          </w:p>
          <w:p w14:paraId="0D621343" w14:textId="77777777" w:rsidR="00087D1A" w:rsidRPr="002644DE" w:rsidRDefault="001179A4"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Zmena vo výške a štruktúre odplát</w:t>
            </w:r>
            <w:r w:rsidR="004F5350">
              <w:rPr>
                <w:rFonts w:ascii="Times New Roman" w:eastAsia="Calibri" w:hAnsi="Times New Roman" w:cs="Times New Roman"/>
                <w:sz w:val="20"/>
                <w:szCs w:val="20"/>
                <w:lang w:eastAsia="sk-SK"/>
              </w:rPr>
              <w:t xml:space="preserve"> bude mať pozitívny dopad na všetkých sporiteľov v II. pilieri; podľa údajov Sociálnej poisťovne dosiahol počet sporiteľov k 30.6.2022 úroveň 1 708 531.  </w:t>
            </w:r>
            <w:r w:rsidR="00087D1A">
              <w:rPr>
                <w:rFonts w:ascii="Times New Roman" w:eastAsia="Calibri" w:hAnsi="Times New Roman" w:cs="Times New Roman"/>
                <w:sz w:val="20"/>
                <w:szCs w:val="20"/>
                <w:lang w:eastAsia="sk-SK"/>
              </w:rPr>
              <w:t xml:space="preserve">  </w:t>
            </w:r>
          </w:p>
        </w:tc>
      </w:tr>
      <w:tr w:rsidR="00087D1A" w:rsidRPr="002644DE" w14:paraId="584A4B9C" w14:textId="77777777" w:rsidTr="009601B0">
        <w:trPr>
          <w:trHeight w:val="397"/>
          <w:jc w:val="center"/>
        </w:trPr>
        <w:tc>
          <w:tcPr>
            <w:tcW w:w="129" w:type="pct"/>
            <w:tcBorders>
              <w:top w:val="dotted" w:sz="4" w:space="0" w:color="auto"/>
            </w:tcBorders>
            <w:shd w:val="clear" w:color="auto" w:fill="auto"/>
            <w:vAlign w:val="center"/>
          </w:tcPr>
          <w:p w14:paraId="6CF17027"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05686AA1"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1CF49AE" w14:textId="77777777" w:rsidR="00087D1A" w:rsidRPr="002644DE" w:rsidRDefault="00874E43"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Sporitelia.</w:t>
            </w:r>
          </w:p>
        </w:tc>
      </w:tr>
      <w:tr w:rsidR="00087D1A" w:rsidRPr="002644DE" w14:paraId="60CF1217" w14:textId="77777777" w:rsidTr="009601B0">
        <w:trPr>
          <w:trHeight w:val="397"/>
          <w:jc w:val="center"/>
        </w:trPr>
        <w:tc>
          <w:tcPr>
            <w:tcW w:w="129" w:type="pct"/>
            <w:tcBorders>
              <w:top w:val="dotted" w:sz="4" w:space="0" w:color="auto"/>
            </w:tcBorders>
            <w:shd w:val="clear" w:color="auto" w:fill="auto"/>
            <w:vAlign w:val="center"/>
          </w:tcPr>
          <w:p w14:paraId="354390BD"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C14802B"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985E5D6"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3314E6B0" w14:textId="77777777" w:rsidTr="009601B0">
        <w:trPr>
          <w:trHeight w:val="170"/>
          <w:jc w:val="center"/>
        </w:trPr>
        <w:tc>
          <w:tcPr>
            <w:tcW w:w="129" w:type="pct"/>
            <w:tcBorders>
              <w:top w:val="nil"/>
              <w:bottom w:val="single" w:sz="4" w:space="0" w:color="auto"/>
            </w:tcBorders>
            <w:shd w:val="clear" w:color="auto" w:fill="F2F2F2"/>
            <w:vAlign w:val="center"/>
          </w:tcPr>
          <w:p w14:paraId="02F5E3E9"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2E35162C" w14:textId="77777777" w:rsidR="00087D1A" w:rsidRPr="002644DE" w:rsidRDefault="00087D1A" w:rsidP="00087D1A">
            <w:pPr>
              <w:spacing w:after="0" w:line="240" w:lineRule="auto"/>
              <w:jc w:val="both"/>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45A05620" w14:textId="77777777" w:rsidR="00087D1A" w:rsidRPr="002644DE" w:rsidRDefault="00087D1A" w:rsidP="00087D1A">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087D1A" w:rsidRPr="002644DE" w14:paraId="2B4B10CB" w14:textId="77777777" w:rsidTr="009601B0">
        <w:trPr>
          <w:trHeight w:val="759"/>
          <w:jc w:val="center"/>
        </w:trPr>
        <w:tc>
          <w:tcPr>
            <w:tcW w:w="129" w:type="pct"/>
            <w:tcBorders>
              <w:top w:val="single" w:sz="4" w:space="0" w:color="auto"/>
              <w:bottom w:val="single" w:sz="4" w:space="0" w:color="auto"/>
            </w:tcBorders>
            <w:shd w:val="clear" w:color="auto" w:fill="auto"/>
            <w:vAlign w:val="center"/>
          </w:tcPr>
          <w:p w14:paraId="43E2B857"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BC6C99B"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4311DA5"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49B78ACF" w14:textId="77777777" w:rsidTr="009601B0">
        <w:trPr>
          <w:trHeight w:val="397"/>
          <w:jc w:val="center"/>
        </w:trPr>
        <w:tc>
          <w:tcPr>
            <w:tcW w:w="129" w:type="pct"/>
            <w:vMerge w:val="restart"/>
            <w:tcBorders>
              <w:top w:val="single" w:sz="4" w:space="0" w:color="auto"/>
            </w:tcBorders>
            <w:shd w:val="clear" w:color="auto" w:fill="auto"/>
            <w:vAlign w:val="center"/>
          </w:tcPr>
          <w:p w14:paraId="79D00B04"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3D439F66"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646EB23" w14:textId="77777777" w:rsidR="00087D1A" w:rsidRPr="002644DE" w:rsidRDefault="00087D1A" w:rsidP="00087D1A">
            <w:pPr>
              <w:spacing w:after="0" w:line="240" w:lineRule="auto"/>
              <w:jc w:val="both"/>
              <w:rPr>
                <w:rFonts w:ascii="Times New Roman" w:eastAsia="Calibri" w:hAnsi="Times New Roman" w:cs="Times New Roman"/>
                <w:i/>
                <w:sz w:val="18"/>
                <w:szCs w:val="20"/>
                <w:lang w:eastAsia="sk-SK"/>
              </w:rPr>
            </w:pPr>
          </w:p>
        </w:tc>
      </w:tr>
      <w:tr w:rsidR="00087D1A" w:rsidRPr="002644DE" w14:paraId="506F4175" w14:textId="77777777" w:rsidTr="009601B0">
        <w:trPr>
          <w:trHeight w:val="397"/>
          <w:jc w:val="center"/>
        </w:trPr>
        <w:tc>
          <w:tcPr>
            <w:tcW w:w="129" w:type="pct"/>
            <w:vMerge/>
            <w:shd w:val="clear" w:color="auto" w:fill="auto"/>
            <w:vAlign w:val="center"/>
          </w:tcPr>
          <w:p w14:paraId="21551306"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57C78F44"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DD0057D"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639E674A" w14:textId="77777777" w:rsidTr="009601B0">
        <w:trPr>
          <w:trHeight w:val="397"/>
          <w:jc w:val="center"/>
        </w:trPr>
        <w:tc>
          <w:tcPr>
            <w:tcW w:w="129" w:type="pct"/>
            <w:tcBorders>
              <w:top w:val="dotted" w:sz="4" w:space="0" w:color="auto"/>
            </w:tcBorders>
            <w:shd w:val="clear" w:color="auto" w:fill="F2F2F2"/>
            <w:vAlign w:val="center"/>
          </w:tcPr>
          <w:p w14:paraId="572F166B" w14:textId="77777777" w:rsidR="00087D1A" w:rsidRPr="002644DE" w:rsidRDefault="00087D1A" w:rsidP="00087D1A">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447BFCC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147353F2" w14:textId="77777777" w:rsidTr="009601B0">
        <w:trPr>
          <w:trHeight w:val="680"/>
          <w:jc w:val="center"/>
        </w:trPr>
        <w:tc>
          <w:tcPr>
            <w:tcW w:w="129" w:type="pct"/>
            <w:vMerge w:val="restart"/>
            <w:tcBorders>
              <w:top w:val="dotted" w:sz="4" w:space="0" w:color="auto"/>
            </w:tcBorders>
            <w:shd w:val="clear" w:color="auto" w:fill="auto"/>
            <w:vAlign w:val="center"/>
          </w:tcPr>
          <w:p w14:paraId="4EED76C5"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6F24B32"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83B78A9"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C90A76A"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7C0698C9" w14:textId="77777777" w:rsidTr="009601B0">
        <w:trPr>
          <w:trHeight w:val="680"/>
          <w:jc w:val="center"/>
        </w:trPr>
        <w:tc>
          <w:tcPr>
            <w:tcW w:w="129" w:type="pct"/>
            <w:vMerge/>
            <w:shd w:val="clear" w:color="auto" w:fill="auto"/>
            <w:vAlign w:val="center"/>
          </w:tcPr>
          <w:p w14:paraId="27681480"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5EE74512"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951A3D2"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270CC7A7" w14:textId="77777777" w:rsidTr="009601B0">
        <w:trPr>
          <w:trHeight w:val="350"/>
          <w:jc w:val="center"/>
        </w:trPr>
        <w:tc>
          <w:tcPr>
            <w:tcW w:w="129" w:type="pct"/>
            <w:tcBorders>
              <w:top w:val="dotted" w:sz="4" w:space="0" w:color="auto"/>
              <w:bottom w:val="single" w:sz="4" w:space="0" w:color="auto"/>
            </w:tcBorders>
            <w:shd w:val="clear" w:color="auto" w:fill="auto"/>
            <w:vAlign w:val="center"/>
          </w:tcPr>
          <w:p w14:paraId="24204DA2"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64F0803"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031B06B" w14:textId="77777777" w:rsidR="00087D1A" w:rsidRDefault="00087D1A" w:rsidP="00087D1A">
            <w:pPr>
              <w:spacing w:after="0" w:line="240" w:lineRule="auto"/>
              <w:jc w:val="both"/>
              <w:rPr>
                <w:rFonts w:ascii="Times New Roman" w:eastAsia="Calibri" w:hAnsi="Times New Roman" w:cs="Times New Roman"/>
                <w:sz w:val="20"/>
                <w:szCs w:val="20"/>
                <w:lang w:eastAsia="sk-SK"/>
              </w:rPr>
            </w:pPr>
          </w:p>
          <w:p w14:paraId="107DB684" w14:textId="77777777" w:rsidR="00C020F5" w:rsidRDefault="00C020F5" w:rsidP="00087D1A">
            <w:pPr>
              <w:spacing w:after="0" w:line="240" w:lineRule="auto"/>
              <w:jc w:val="both"/>
              <w:rPr>
                <w:rFonts w:ascii="Times New Roman" w:eastAsia="Calibri" w:hAnsi="Times New Roman" w:cs="Times New Roman"/>
                <w:sz w:val="20"/>
                <w:szCs w:val="20"/>
                <w:lang w:eastAsia="sk-SK"/>
              </w:rPr>
            </w:pPr>
          </w:p>
          <w:p w14:paraId="6FE3D831" w14:textId="77777777" w:rsidR="00C020F5" w:rsidRDefault="00C020F5" w:rsidP="00087D1A">
            <w:pPr>
              <w:spacing w:after="0" w:line="240" w:lineRule="auto"/>
              <w:jc w:val="both"/>
              <w:rPr>
                <w:rFonts w:ascii="Times New Roman" w:eastAsia="Calibri" w:hAnsi="Times New Roman" w:cs="Times New Roman"/>
                <w:sz w:val="20"/>
                <w:szCs w:val="20"/>
                <w:lang w:eastAsia="sk-SK"/>
              </w:rPr>
            </w:pPr>
          </w:p>
          <w:p w14:paraId="20F30B7F" w14:textId="0E4B0AA3" w:rsidR="00C020F5" w:rsidRPr="002644DE" w:rsidRDefault="00C020F5" w:rsidP="00087D1A">
            <w:pPr>
              <w:spacing w:after="0" w:line="240" w:lineRule="auto"/>
              <w:jc w:val="both"/>
              <w:rPr>
                <w:rFonts w:ascii="Times New Roman" w:eastAsia="Calibri" w:hAnsi="Times New Roman" w:cs="Times New Roman"/>
                <w:sz w:val="20"/>
                <w:szCs w:val="20"/>
                <w:lang w:eastAsia="sk-SK"/>
              </w:rPr>
            </w:pPr>
          </w:p>
        </w:tc>
      </w:tr>
      <w:tr w:rsidR="00270344" w:rsidRPr="002644DE" w14:paraId="747D0BF2" w14:textId="77777777" w:rsidTr="002B57EE">
        <w:trPr>
          <w:trHeight w:val="170"/>
          <w:jc w:val="center"/>
        </w:trPr>
        <w:tc>
          <w:tcPr>
            <w:tcW w:w="129" w:type="pct"/>
            <w:tcBorders>
              <w:top w:val="single" w:sz="4" w:space="0" w:color="auto"/>
              <w:bottom w:val="single" w:sz="4" w:space="0" w:color="auto"/>
            </w:tcBorders>
            <w:shd w:val="clear" w:color="auto" w:fill="DDDDDD"/>
            <w:vAlign w:val="center"/>
          </w:tcPr>
          <w:p w14:paraId="30541435"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a)</w:t>
            </w:r>
          </w:p>
        </w:tc>
        <w:tc>
          <w:tcPr>
            <w:tcW w:w="4871" w:type="pct"/>
            <w:gridSpan w:val="2"/>
            <w:tcBorders>
              <w:top w:val="single" w:sz="4" w:space="0" w:color="auto"/>
              <w:bottom w:val="single" w:sz="4" w:space="0" w:color="auto"/>
            </w:tcBorders>
            <w:shd w:val="clear" w:color="auto" w:fill="DDDDDD"/>
            <w:vAlign w:val="center"/>
          </w:tcPr>
          <w:p w14:paraId="2497F41F" w14:textId="77777777" w:rsidR="00270344" w:rsidRPr="002644DE" w:rsidRDefault="00270344" w:rsidP="002B57E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w:t>
            </w:r>
            <w:r>
              <w:rPr>
                <w:rFonts w:ascii="Times New Roman" w:eastAsia="Calibri" w:hAnsi="Times New Roman" w:cs="Times New Roman"/>
                <w:b/>
                <w:i/>
                <w:sz w:val="20"/>
                <w:szCs w:val="20"/>
                <w:lang w:eastAsia="sk-SK"/>
              </w:rPr>
              <w:t>1</w:t>
            </w:r>
            <w:r w:rsidRPr="002644DE">
              <w:rPr>
                <w:rFonts w:ascii="Times New Roman" w:eastAsia="Calibri" w:hAnsi="Times New Roman" w:cs="Times New Roman"/>
                <w:b/>
                <w:i/>
                <w:sz w:val="20"/>
                <w:szCs w:val="20"/>
                <w:lang w:eastAsia="sk-SK"/>
              </w:rPr>
              <w:t xml:space="preserve"> Pozitívny vplyv</w:t>
            </w:r>
          </w:p>
        </w:tc>
      </w:tr>
      <w:tr w:rsidR="00270344" w:rsidRPr="002644DE" w14:paraId="6202C1AA" w14:textId="77777777" w:rsidTr="002B57EE">
        <w:trPr>
          <w:trHeight w:val="759"/>
          <w:jc w:val="center"/>
        </w:trPr>
        <w:tc>
          <w:tcPr>
            <w:tcW w:w="129" w:type="pct"/>
            <w:tcBorders>
              <w:top w:val="single" w:sz="4" w:space="0" w:color="auto"/>
              <w:bottom w:val="single" w:sz="4" w:space="0" w:color="auto"/>
            </w:tcBorders>
            <w:shd w:val="clear" w:color="auto" w:fill="auto"/>
            <w:vAlign w:val="center"/>
          </w:tcPr>
          <w:p w14:paraId="7C403613" w14:textId="77777777" w:rsidR="00270344" w:rsidRPr="002644DE" w:rsidRDefault="00270344" w:rsidP="002B57EE">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6677E26"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B5F4C67" w14:textId="77777777" w:rsidR="00270344" w:rsidRPr="002644DE" w:rsidRDefault="00C64236" w:rsidP="002B57EE">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Zrušenie povinnosti dôchodkovej správcovskej spoločnosti doplniť majetok do</w:t>
            </w:r>
            <w:r w:rsidR="002B57EE">
              <w:rPr>
                <w:rFonts w:ascii="Times New Roman" w:eastAsia="Calibri" w:hAnsi="Times New Roman" w:cs="Times New Roman"/>
                <w:sz w:val="20"/>
                <w:szCs w:val="20"/>
                <w:lang w:eastAsia="sk-SK"/>
              </w:rPr>
              <w:t xml:space="preserve"> dlhopisového</w:t>
            </w:r>
            <w:r>
              <w:rPr>
                <w:rFonts w:ascii="Times New Roman" w:eastAsia="Calibri" w:hAnsi="Times New Roman" w:cs="Times New Roman"/>
                <w:sz w:val="20"/>
                <w:szCs w:val="20"/>
                <w:lang w:eastAsia="sk-SK"/>
              </w:rPr>
              <w:t xml:space="preserve"> garantovaného dôchodkového fondu a zavedenie individuálnych garancií v dlhopisovom garantovanom dôchodkovom fonde.  </w:t>
            </w:r>
          </w:p>
        </w:tc>
      </w:tr>
      <w:tr w:rsidR="00270344" w:rsidRPr="002644DE" w14:paraId="7BBF6B4E" w14:textId="77777777" w:rsidTr="002B57EE">
        <w:trPr>
          <w:trHeight w:val="397"/>
          <w:jc w:val="center"/>
        </w:trPr>
        <w:tc>
          <w:tcPr>
            <w:tcW w:w="129" w:type="pct"/>
            <w:vMerge w:val="restart"/>
            <w:tcBorders>
              <w:top w:val="single" w:sz="4" w:space="0" w:color="auto"/>
            </w:tcBorders>
            <w:shd w:val="clear" w:color="auto" w:fill="auto"/>
            <w:vAlign w:val="center"/>
          </w:tcPr>
          <w:p w14:paraId="1ECC8415"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6F3CDA2"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2247593"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Sporitelia. </w:t>
            </w:r>
          </w:p>
        </w:tc>
      </w:tr>
      <w:tr w:rsidR="00270344" w:rsidRPr="002644DE" w14:paraId="6F298ACC" w14:textId="77777777" w:rsidTr="002B57EE">
        <w:trPr>
          <w:trHeight w:val="397"/>
          <w:jc w:val="center"/>
        </w:trPr>
        <w:tc>
          <w:tcPr>
            <w:tcW w:w="129" w:type="pct"/>
            <w:vMerge/>
            <w:shd w:val="clear" w:color="auto" w:fill="auto"/>
            <w:vAlign w:val="center"/>
          </w:tcPr>
          <w:p w14:paraId="7984868B"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6C2A8265"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w:t>
            </w:r>
            <w:r w:rsidR="00990598">
              <w:rPr>
                <w:rFonts w:ascii="Times New Roman" w:eastAsia="Calibri" w:hAnsi="Times New Roman" w:cs="Times New Roman"/>
                <w:i/>
                <w:sz w:val="18"/>
                <w:szCs w:val="20"/>
                <w:lang w:eastAsia="sk-SK"/>
              </w:rPr>
              <w:t>skupina č. 3</w:t>
            </w:r>
          </w:p>
        </w:tc>
        <w:tc>
          <w:tcPr>
            <w:tcW w:w="3229" w:type="pct"/>
            <w:tcBorders>
              <w:top w:val="dotted" w:sz="4" w:space="0" w:color="auto"/>
            </w:tcBorders>
            <w:shd w:val="clear" w:color="auto" w:fill="auto"/>
          </w:tcPr>
          <w:p w14:paraId="35D95F4B"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 xml:space="preserve">Sporitelia. </w:t>
            </w:r>
          </w:p>
        </w:tc>
      </w:tr>
      <w:tr w:rsidR="00270344" w:rsidRPr="002644DE" w14:paraId="69B64468" w14:textId="77777777" w:rsidTr="002B57EE">
        <w:trPr>
          <w:trHeight w:val="454"/>
          <w:jc w:val="center"/>
        </w:trPr>
        <w:tc>
          <w:tcPr>
            <w:tcW w:w="129" w:type="pct"/>
            <w:tcBorders>
              <w:top w:val="dotted" w:sz="4" w:space="0" w:color="auto"/>
            </w:tcBorders>
            <w:shd w:val="clear" w:color="auto" w:fill="F2F2F2"/>
            <w:vAlign w:val="center"/>
          </w:tcPr>
          <w:p w14:paraId="27BEAA0C"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588E649A"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70344" w:rsidRPr="002644DE" w14:paraId="20218E68" w14:textId="77777777" w:rsidTr="002B57EE">
        <w:trPr>
          <w:trHeight w:val="680"/>
          <w:jc w:val="center"/>
        </w:trPr>
        <w:tc>
          <w:tcPr>
            <w:tcW w:w="129" w:type="pct"/>
            <w:tcBorders>
              <w:top w:val="dotted" w:sz="4" w:space="0" w:color="auto"/>
            </w:tcBorders>
            <w:shd w:val="clear" w:color="auto" w:fill="auto"/>
            <w:vAlign w:val="center"/>
          </w:tcPr>
          <w:p w14:paraId="106B292B"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A1712DC" w14:textId="77777777" w:rsidR="00270344" w:rsidRPr="002644DE" w:rsidRDefault="00270344" w:rsidP="0027034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23B839F" w14:textId="77777777" w:rsidR="00270344" w:rsidRPr="002644DE" w:rsidRDefault="00270344" w:rsidP="00270344">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03554CA" w14:textId="77777777" w:rsidR="00270344" w:rsidRDefault="00104FA2" w:rsidP="002B57E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Individuálna garancia nominálnej hodnoty prostriedkov bude mať vplyv na každého sporiteľa, ktorý od 1.1.2023 požiada o dôchodok z II. piliera (aspoň časť majetku v dlhopisovom garantovanom dôchodkovom fonde bude mať v čase odchodu do dôchodku každý sporiteľ).</w:t>
            </w:r>
          </w:p>
          <w:p w14:paraId="39027DAF" w14:textId="77777777" w:rsidR="00104FA2" w:rsidRDefault="00104FA2" w:rsidP="002B57EE">
            <w:pPr>
              <w:spacing w:after="0" w:line="240" w:lineRule="auto"/>
              <w:jc w:val="both"/>
              <w:rPr>
                <w:rFonts w:ascii="Times New Roman" w:eastAsia="Calibri" w:hAnsi="Times New Roman" w:cs="Times New Roman"/>
                <w:sz w:val="20"/>
                <w:szCs w:val="20"/>
                <w:lang w:eastAsia="sk-SK"/>
              </w:rPr>
            </w:pPr>
          </w:p>
          <w:p w14:paraId="2F9C742C" w14:textId="77777777" w:rsidR="00104FA2" w:rsidRPr="002644DE" w:rsidRDefault="00104FA2" w:rsidP="002B57E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 základe vekovej štruktúry sporiteľov odhadujeme, že v roku 2023 požiada o dôchodok z II. piliera cca 9,7 tis. sporiteľov. </w:t>
            </w:r>
          </w:p>
        </w:tc>
      </w:tr>
      <w:tr w:rsidR="00270344" w:rsidRPr="002644DE" w14:paraId="3AB43B6E" w14:textId="77777777" w:rsidTr="002B57EE">
        <w:trPr>
          <w:trHeight w:val="397"/>
          <w:jc w:val="center"/>
        </w:trPr>
        <w:tc>
          <w:tcPr>
            <w:tcW w:w="129" w:type="pct"/>
            <w:tcBorders>
              <w:top w:val="dotted" w:sz="4" w:space="0" w:color="auto"/>
            </w:tcBorders>
            <w:shd w:val="clear" w:color="auto" w:fill="auto"/>
            <w:vAlign w:val="center"/>
          </w:tcPr>
          <w:p w14:paraId="4260FE21"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1E02035E" w14:textId="77777777" w:rsidR="00270344" w:rsidRPr="002644DE" w:rsidRDefault="00990598" w:rsidP="002B57EE">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E47FCA6"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Sporitelia.</w:t>
            </w:r>
          </w:p>
        </w:tc>
      </w:tr>
      <w:tr w:rsidR="00270344" w:rsidRPr="002644DE" w14:paraId="31022837" w14:textId="77777777" w:rsidTr="002B57EE">
        <w:trPr>
          <w:trHeight w:val="397"/>
          <w:jc w:val="center"/>
        </w:trPr>
        <w:tc>
          <w:tcPr>
            <w:tcW w:w="129" w:type="pct"/>
            <w:tcBorders>
              <w:top w:val="dotted" w:sz="4" w:space="0" w:color="auto"/>
            </w:tcBorders>
            <w:shd w:val="clear" w:color="auto" w:fill="auto"/>
            <w:vAlign w:val="center"/>
          </w:tcPr>
          <w:p w14:paraId="2F58BD9C"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A6ECA8E"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075DB555"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p>
        </w:tc>
      </w:tr>
      <w:tr w:rsidR="00270344" w:rsidRPr="002644DE" w14:paraId="3D339420" w14:textId="77777777" w:rsidTr="002B57EE">
        <w:trPr>
          <w:trHeight w:val="170"/>
          <w:jc w:val="center"/>
        </w:trPr>
        <w:tc>
          <w:tcPr>
            <w:tcW w:w="129" w:type="pct"/>
            <w:tcBorders>
              <w:top w:val="nil"/>
              <w:bottom w:val="single" w:sz="4" w:space="0" w:color="auto"/>
            </w:tcBorders>
            <w:shd w:val="clear" w:color="auto" w:fill="F2F2F2"/>
            <w:vAlign w:val="center"/>
          </w:tcPr>
          <w:p w14:paraId="3ACD9182"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7B5405A9" w14:textId="77777777" w:rsidR="00270344" w:rsidRPr="002644DE" w:rsidRDefault="00270344" w:rsidP="002B57EE">
            <w:pPr>
              <w:spacing w:after="0" w:line="240" w:lineRule="auto"/>
              <w:jc w:val="both"/>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616A11A3" w14:textId="77777777" w:rsidR="00270344" w:rsidRPr="002644DE" w:rsidRDefault="00270344" w:rsidP="002B57EE">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70344" w:rsidRPr="002644DE" w14:paraId="38B2A1EE" w14:textId="77777777" w:rsidTr="002B57EE">
        <w:trPr>
          <w:trHeight w:val="759"/>
          <w:jc w:val="center"/>
        </w:trPr>
        <w:tc>
          <w:tcPr>
            <w:tcW w:w="129" w:type="pct"/>
            <w:tcBorders>
              <w:top w:val="single" w:sz="4" w:space="0" w:color="auto"/>
              <w:bottom w:val="single" w:sz="4" w:space="0" w:color="auto"/>
            </w:tcBorders>
            <w:shd w:val="clear" w:color="auto" w:fill="auto"/>
            <w:vAlign w:val="center"/>
          </w:tcPr>
          <w:p w14:paraId="7EC65767"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A140B13"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DF986BC"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p>
        </w:tc>
      </w:tr>
      <w:tr w:rsidR="00270344" w:rsidRPr="002644DE" w14:paraId="63E7059B" w14:textId="77777777" w:rsidTr="002B57EE">
        <w:trPr>
          <w:trHeight w:val="397"/>
          <w:jc w:val="center"/>
        </w:trPr>
        <w:tc>
          <w:tcPr>
            <w:tcW w:w="129" w:type="pct"/>
            <w:vMerge w:val="restart"/>
            <w:tcBorders>
              <w:top w:val="single" w:sz="4" w:space="0" w:color="auto"/>
            </w:tcBorders>
            <w:shd w:val="clear" w:color="auto" w:fill="auto"/>
            <w:vAlign w:val="center"/>
          </w:tcPr>
          <w:p w14:paraId="37FAF3D0"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31684FED"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9CEF704" w14:textId="77777777" w:rsidR="00270344" w:rsidRPr="002644DE" w:rsidRDefault="00270344" w:rsidP="002B57EE">
            <w:pPr>
              <w:spacing w:after="0" w:line="240" w:lineRule="auto"/>
              <w:jc w:val="both"/>
              <w:rPr>
                <w:rFonts w:ascii="Times New Roman" w:eastAsia="Calibri" w:hAnsi="Times New Roman" w:cs="Times New Roman"/>
                <w:i/>
                <w:sz w:val="18"/>
                <w:szCs w:val="20"/>
                <w:lang w:eastAsia="sk-SK"/>
              </w:rPr>
            </w:pPr>
          </w:p>
        </w:tc>
      </w:tr>
      <w:tr w:rsidR="00270344" w:rsidRPr="002644DE" w14:paraId="1B687591" w14:textId="77777777" w:rsidTr="002B57EE">
        <w:trPr>
          <w:trHeight w:val="397"/>
          <w:jc w:val="center"/>
        </w:trPr>
        <w:tc>
          <w:tcPr>
            <w:tcW w:w="129" w:type="pct"/>
            <w:vMerge/>
            <w:shd w:val="clear" w:color="auto" w:fill="auto"/>
            <w:vAlign w:val="center"/>
          </w:tcPr>
          <w:p w14:paraId="30CEEB25"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0D1FAA22" w14:textId="77777777" w:rsidR="00270344" w:rsidRPr="002644DE" w:rsidRDefault="001179A4" w:rsidP="002B57EE">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2CE9CF7"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p>
        </w:tc>
      </w:tr>
      <w:tr w:rsidR="00270344" w:rsidRPr="002644DE" w14:paraId="55705550" w14:textId="77777777" w:rsidTr="002B57EE">
        <w:trPr>
          <w:trHeight w:val="397"/>
          <w:jc w:val="center"/>
        </w:trPr>
        <w:tc>
          <w:tcPr>
            <w:tcW w:w="129" w:type="pct"/>
            <w:tcBorders>
              <w:top w:val="dotted" w:sz="4" w:space="0" w:color="auto"/>
            </w:tcBorders>
            <w:shd w:val="clear" w:color="auto" w:fill="F2F2F2"/>
            <w:vAlign w:val="center"/>
          </w:tcPr>
          <w:p w14:paraId="1172FA3E" w14:textId="77777777" w:rsidR="00270344" w:rsidRPr="002644DE" w:rsidRDefault="00270344" w:rsidP="002B57EE">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02F6E9B4"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70344" w:rsidRPr="002644DE" w14:paraId="6C3EFB79" w14:textId="77777777" w:rsidTr="002B57EE">
        <w:trPr>
          <w:trHeight w:val="680"/>
          <w:jc w:val="center"/>
        </w:trPr>
        <w:tc>
          <w:tcPr>
            <w:tcW w:w="129" w:type="pct"/>
            <w:vMerge w:val="restart"/>
            <w:tcBorders>
              <w:top w:val="dotted" w:sz="4" w:space="0" w:color="auto"/>
            </w:tcBorders>
            <w:shd w:val="clear" w:color="auto" w:fill="auto"/>
            <w:vAlign w:val="center"/>
          </w:tcPr>
          <w:p w14:paraId="5185BD5F"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2BED828" w14:textId="77777777" w:rsidR="00270344" w:rsidRPr="002644DE" w:rsidRDefault="00270344" w:rsidP="0027034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E772690" w14:textId="77777777" w:rsidR="00270344" w:rsidRPr="002644DE" w:rsidRDefault="00270344" w:rsidP="00270344">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C0F2658"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p>
        </w:tc>
      </w:tr>
      <w:tr w:rsidR="00270344" w:rsidRPr="002644DE" w14:paraId="5679F56E" w14:textId="77777777" w:rsidTr="002B57EE">
        <w:trPr>
          <w:trHeight w:val="680"/>
          <w:jc w:val="center"/>
        </w:trPr>
        <w:tc>
          <w:tcPr>
            <w:tcW w:w="129" w:type="pct"/>
            <w:vMerge/>
            <w:shd w:val="clear" w:color="auto" w:fill="auto"/>
            <w:vAlign w:val="center"/>
          </w:tcPr>
          <w:p w14:paraId="47423463"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51E0954D" w14:textId="77777777" w:rsidR="00270344" w:rsidRPr="002644DE" w:rsidRDefault="001179A4" w:rsidP="002B57EE">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FCC94EC"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p>
        </w:tc>
      </w:tr>
      <w:tr w:rsidR="00270344" w:rsidRPr="002644DE" w14:paraId="327DDA74" w14:textId="77777777" w:rsidTr="002B57EE">
        <w:trPr>
          <w:trHeight w:val="350"/>
          <w:jc w:val="center"/>
        </w:trPr>
        <w:tc>
          <w:tcPr>
            <w:tcW w:w="129" w:type="pct"/>
            <w:tcBorders>
              <w:top w:val="dotted" w:sz="4" w:space="0" w:color="auto"/>
              <w:bottom w:val="single" w:sz="4" w:space="0" w:color="auto"/>
            </w:tcBorders>
            <w:shd w:val="clear" w:color="auto" w:fill="auto"/>
            <w:vAlign w:val="center"/>
          </w:tcPr>
          <w:p w14:paraId="1FC952AE" w14:textId="77777777" w:rsidR="00270344" w:rsidRPr="002644DE" w:rsidRDefault="00270344" w:rsidP="002B57E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975AF43" w14:textId="77777777" w:rsidR="00270344" w:rsidRPr="002644DE" w:rsidRDefault="00270344" w:rsidP="002B57E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2D14CD9" w14:textId="77777777" w:rsidR="00270344" w:rsidRPr="002644DE" w:rsidRDefault="00270344" w:rsidP="002B57EE">
            <w:pPr>
              <w:spacing w:after="0" w:line="240" w:lineRule="auto"/>
              <w:jc w:val="both"/>
              <w:rPr>
                <w:rFonts w:ascii="Times New Roman" w:eastAsia="Calibri" w:hAnsi="Times New Roman" w:cs="Times New Roman"/>
                <w:sz w:val="20"/>
                <w:szCs w:val="20"/>
                <w:lang w:eastAsia="sk-SK"/>
              </w:rPr>
            </w:pPr>
          </w:p>
        </w:tc>
      </w:tr>
      <w:tr w:rsidR="00087D1A" w:rsidRPr="002644DE" w14:paraId="63814211" w14:textId="77777777" w:rsidTr="009601B0">
        <w:trPr>
          <w:trHeight w:val="170"/>
          <w:jc w:val="center"/>
        </w:trPr>
        <w:tc>
          <w:tcPr>
            <w:tcW w:w="129" w:type="pct"/>
            <w:tcBorders>
              <w:top w:val="single" w:sz="4" w:space="0" w:color="auto"/>
              <w:bottom w:val="single" w:sz="4" w:space="0" w:color="auto"/>
            </w:tcBorders>
            <w:shd w:val="clear" w:color="auto" w:fill="DDDDDD"/>
            <w:vAlign w:val="center"/>
          </w:tcPr>
          <w:p w14:paraId="213261C5"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4DD93F1" w14:textId="77777777" w:rsidR="00087D1A" w:rsidRPr="002644DE" w:rsidRDefault="00087D1A" w:rsidP="00087D1A">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w:t>
            </w:r>
            <w:r>
              <w:rPr>
                <w:rFonts w:ascii="Times New Roman" w:eastAsia="Calibri" w:hAnsi="Times New Roman" w:cs="Times New Roman"/>
                <w:b/>
                <w:i/>
                <w:sz w:val="20"/>
                <w:szCs w:val="20"/>
                <w:lang w:eastAsia="sk-SK"/>
              </w:rPr>
              <w:t>1</w:t>
            </w:r>
            <w:r w:rsidRPr="002644DE">
              <w:rPr>
                <w:rFonts w:ascii="Times New Roman" w:eastAsia="Calibri" w:hAnsi="Times New Roman" w:cs="Times New Roman"/>
                <w:b/>
                <w:i/>
                <w:sz w:val="20"/>
                <w:szCs w:val="20"/>
                <w:lang w:eastAsia="sk-SK"/>
              </w:rPr>
              <w:t xml:space="preserve"> Pozitívny vplyv</w:t>
            </w:r>
          </w:p>
        </w:tc>
      </w:tr>
      <w:tr w:rsidR="00087D1A" w:rsidRPr="002644DE" w14:paraId="7EF178BA" w14:textId="77777777" w:rsidTr="009601B0">
        <w:trPr>
          <w:trHeight w:val="759"/>
          <w:jc w:val="center"/>
        </w:trPr>
        <w:tc>
          <w:tcPr>
            <w:tcW w:w="129" w:type="pct"/>
            <w:tcBorders>
              <w:top w:val="single" w:sz="4" w:space="0" w:color="auto"/>
              <w:bottom w:val="single" w:sz="4" w:space="0" w:color="auto"/>
            </w:tcBorders>
            <w:shd w:val="clear" w:color="auto" w:fill="auto"/>
            <w:vAlign w:val="center"/>
          </w:tcPr>
          <w:p w14:paraId="70D064E2" w14:textId="77777777" w:rsidR="00087D1A" w:rsidRPr="002644DE" w:rsidRDefault="00087D1A" w:rsidP="00087D1A">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05BB22B9"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72FC6FB" w14:textId="77777777" w:rsidR="00087D1A" w:rsidRPr="002644DE" w:rsidRDefault="00087D1A" w:rsidP="00087D1A">
            <w:pPr>
              <w:spacing w:after="0" w:line="240" w:lineRule="auto"/>
              <w:contextualSpacing/>
              <w:jc w:val="both"/>
              <w:rPr>
                <w:rFonts w:ascii="Times New Roman" w:eastAsia="Calibri" w:hAnsi="Times New Roman" w:cs="Times New Roman"/>
                <w:sz w:val="20"/>
                <w:szCs w:val="20"/>
                <w:lang w:eastAsia="sk-SK"/>
              </w:rPr>
            </w:pPr>
            <w:r w:rsidRPr="007062BF">
              <w:rPr>
                <w:rFonts w:ascii="Times New Roman" w:eastAsia="Calibri" w:hAnsi="Times New Roman" w:cs="Times New Roman"/>
                <w:sz w:val="20"/>
                <w:szCs w:val="20"/>
                <w:lang w:eastAsia="sk-SK"/>
              </w:rPr>
              <w:t>Platenie a odvádzanie povinných príspevkov na starobné dôchodkové sporenie v prípade sporiteľov, ktorým sa vypláca dôchodok zo starobného dôchodkového sporenia a ktorí vykonávajú činnosť zakladajúcu dôchodkové poistenie</w:t>
            </w:r>
            <w:r>
              <w:rPr>
                <w:rFonts w:ascii="Times New Roman" w:eastAsia="Calibri" w:hAnsi="Times New Roman" w:cs="Times New Roman"/>
                <w:sz w:val="20"/>
                <w:szCs w:val="20"/>
                <w:lang w:eastAsia="sk-SK"/>
              </w:rPr>
              <w:t xml:space="preserve">. </w:t>
            </w:r>
          </w:p>
        </w:tc>
      </w:tr>
      <w:tr w:rsidR="00087D1A" w:rsidRPr="002644DE" w14:paraId="5AE97EF0" w14:textId="77777777" w:rsidTr="009601B0">
        <w:trPr>
          <w:trHeight w:val="397"/>
          <w:jc w:val="center"/>
        </w:trPr>
        <w:tc>
          <w:tcPr>
            <w:tcW w:w="129" w:type="pct"/>
            <w:vMerge w:val="restart"/>
            <w:tcBorders>
              <w:top w:val="single" w:sz="4" w:space="0" w:color="auto"/>
            </w:tcBorders>
            <w:shd w:val="clear" w:color="auto" w:fill="auto"/>
            <w:vAlign w:val="center"/>
          </w:tcPr>
          <w:p w14:paraId="10B166FE"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0C8D5A6"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3B8FDB3"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7062BF">
              <w:rPr>
                <w:rFonts w:ascii="Times New Roman" w:eastAsia="Calibri" w:hAnsi="Times New Roman" w:cs="Times New Roman"/>
                <w:i/>
                <w:sz w:val="20"/>
                <w:szCs w:val="20"/>
                <w:lang w:eastAsia="sk-SK"/>
              </w:rPr>
              <w:t>Sporitelia, ktorí požiadajú o starobný a predčasný starobný dôchodo</w:t>
            </w:r>
            <w:r>
              <w:rPr>
                <w:rFonts w:ascii="Times New Roman" w:eastAsia="Calibri" w:hAnsi="Times New Roman" w:cs="Times New Roman"/>
                <w:i/>
                <w:sz w:val="20"/>
                <w:szCs w:val="20"/>
                <w:lang w:eastAsia="sk-SK"/>
              </w:rPr>
              <w:t xml:space="preserve">k z II. piliera po 31.12.2023 a budú naďalej dôchodkovo poistení. </w:t>
            </w:r>
          </w:p>
        </w:tc>
      </w:tr>
      <w:tr w:rsidR="00087D1A" w:rsidRPr="002644DE" w14:paraId="65F16E35" w14:textId="77777777" w:rsidTr="009601B0">
        <w:trPr>
          <w:trHeight w:val="397"/>
          <w:jc w:val="center"/>
        </w:trPr>
        <w:tc>
          <w:tcPr>
            <w:tcW w:w="129" w:type="pct"/>
            <w:vMerge/>
            <w:shd w:val="clear" w:color="auto" w:fill="auto"/>
            <w:vAlign w:val="center"/>
          </w:tcPr>
          <w:p w14:paraId="4AB7AA65"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0310C7C0"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4</w:t>
            </w:r>
          </w:p>
        </w:tc>
        <w:tc>
          <w:tcPr>
            <w:tcW w:w="3229" w:type="pct"/>
            <w:tcBorders>
              <w:top w:val="dotted" w:sz="4" w:space="0" w:color="auto"/>
            </w:tcBorders>
            <w:shd w:val="clear" w:color="auto" w:fill="auto"/>
          </w:tcPr>
          <w:p w14:paraId="35CBC92C"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7062BF">
              <w:rPr>
                <w:rFonts w:ascii="Times New Roman" w:eastAsia="Calibri" w:hAnsi="Times New Roman" w:cs="Times New Roman"/>
                <w:i/>
                <w:sz w:val="20"/>
                <w:szCs w:val="20"/>
                <w:lang w:eastAsia="sk-SK"/>
              </w:rPr>
              <w:t>Sporitelia, ktorí požiadajú o starobný a predčasný starobný dôchodo</w:t>
            </w:r>
            <w:r>
              <w:rPr>
                <w:rFonts w:ascii="Times New Roman" w:eastAsia="Calibri" w:hAnsi="Times New Roman" w:cs="Times New Roman"/>
                <w:i/>
                <w:sz w:val="20"/>
                <w:szCs w:val="20"/>
                <w:lang w:eastAsia="sk-SK"/>
              </w:rPr>
              <w:t>k z II. piliera po 31.12.2023 a budú naďalej dôchodkovo poistení.</w:t>
            </w:r>
          </w:p>
        </w:tc>
      </w:tr>
      <w:tr w:rsidR="00087D1A" w:rsidRPr="002644DE" w14:paraId="0FCB5AEA" w14:textId="77777777" w:rsidTr="009601B0">
        <w:trPr>
          <w:trHeight w:val="454"/>
          <w:jc w:val="center"/>
        </w:trPr>
        <w:tc>
          <w:tcPr>
            <w:tcW w:w="129" w:type="pct"/>
            <w:tcBorders>
              <w:top w:val="dotted" w:sz="4" w:space="0" w:color="auto"/>
            </w:tcBorders>
            <w:shd w:val="clear" w:color="auto" w:fill="F2F2F2"/>
            <w:vAlign w:val="center"/>
          </w:tcPr>
          <w:p w14:paraId="7A1DD432"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65628669"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7254379F" w14:textId="77777777" w:rsidTr="009601B0">
        <w:trPr>
          <w:trHeight w:val="680"/>
          <w:jc w:val="center"/>
        </w:trPr>
        <w:tc>
          <w:tcPr>
            <w:tcW w:w="129" w:type="pct"/>
            <w:tcBorders>
              <w:top w:val="dotted" w:sz="4" w:space="0" w:color="auto"/>
            </w:tcBorders>
            <w:shd w:val="clear" w:color="auto" w:fill="auto"/>
            <w:vAlign w:val="center"/>
          </w:tcPr>
          <w:p w14:paraId="076B84A6"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2CC8C47"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C2E4D92"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762A258" w14:textId="77777777" w:rsidR="00087D1A" w:rsidRDefault="00087D1A"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Navrhované opatrenie umožní navýšiť nasporenú sumu sporiteľov v II. pilieri kumulatívne medzi rokmi 2024 až 2030 o viac ako 128 mil. eur. </w:t>
            </w:r>
          </w:p>
          <w:p w14:paraId="7DFAEEAB" w14:textId="77777777" w:rsidR="00087D1A" w:rsidRDefault="00087D1A" w:rsidP="00087D1A">
            <w:pPr>
              <w:spacing w:after="0" w:line="240" w:lineRule="auto"/>
              <w:jc w:val="both"/>
              <w:rPr>
                <w:rFonts w:ascii="Times New Roman" w:eastAsia="Calibri" w:hAnsi="Times New Roman" w:cs="Times New Roman"/>
                <w:sz w:val="20"/>
                <w:szCs w:val="20"/>
                <w:lang w:eastAsia="sk-SK"/>
              </w:rPr>
            </w:pPr>
          </w:p>
          <w:p w14:paraId="1EA31B1F"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D556C1">
              <w:rPr>
                <w:rFonts w:ascii="Times New Roman" w:eastAsia="Calibri" w:hAnsi="Times New Roman" w:cs="Times New Roman"/>
                <w:sz w:val="20"/>
                <w:szCs w:val="20"/>
                <w:lang w:eastAsia="sk-SK"/>
              </w:rPr>
              <w:t xml:space="preserve">Počet dotknutých osôb odhadujeme v rokoch 2024 až 2030 na úrovni 3,3 </w:t>
            </w:r>
            <w:r>
              <w:rPr>
                <w:rFonts w:ascii="Times New Roman" w:eastAsia="Calibri" w:hAnsi="Times New Roman" w:cs="Times New Roman"/>
                <w:sz w:val="20"/>
                <w:szCs w:val="20"/>
                <w:lang w:eastAsia="sk-SK"/>
              </w:rPr>
              <w:t> </w:t>
            </w:r>
            <w:r w:rsidRPr="00D556C1">
              <w:rPr>
                <w:rFonts w:ascii="Times New Roman" w:eastAsia="Calibri" w:hAnsi="Times New Roman" w:cs="Times New Roman"/>
                <w:sz w:val="20"/>
                <w:szCs w:val="20"/>
                <w:lang w:eastAsia="sk-SK"/>
              </w:rPr>
              <w:t xml:space="preserve">tis. až 34,7 tis. </w:t>
            </w:r>
            <w:r>
              <w:rPr>
                <w:rFonts w:ascii="Times New Roman" w:eastAsia="Calibri" w:hAnsi="Times New Roman" w:cs="Times New Roman"/>
                <w:sz w:val="20"/>
                <w:szCs w:val="20"/>
                <w:lang w:eastAsia="sk-SK"/>
              </w:rPr>
              <w:t xml:space="preserve">ekonomicky aktívnych </w:t>
            </w:r>
            <w:r w:rsidRPr="00D556C1">
              <w:rPr>
                <w:rFonts w:ascii="Times New Roman" w:eastAsia="Calibri" w:hAnsi="Times New Roman" w:cs="Times New Roman"/>
                <w:sz w:val="20"/>
                <w:szCs w:val="20"/>
                <w:lang w:eastAsia="sk-SK"/>
              </w:rPr>
              <w:t xml:space="preserve">sporiteľov po dovŕšení dôchodkového veku, ktorí budú poberať programový výber. </w:t>
            </w:r>
            <w:r>
              <w:rPr>
                <w:rFonts w:ascii="Times New Roman" w:eastAsia="Calibri" w:hAnsi="Times New Roman" w:cs="Times New Roman"/>
                <w:sz w:val="20"/>
                <w:szCs w:val="20"/>
                <w:lang w:eastAsia="sk-SK"/>
              </w:rPr>
              <w:t xml:space="preserve"> </w:t>
            </w:r>
          </w:p>
        </w:tc>
      </w:tr>
      <w:tr w:rsidR="00087D1A" w:rsidRPr="002644DE" w14:paraId="3AE4F902" w14:textId="77777777" w:rsidTr="009601B0">
        <w:trPr>
          <w:trHeight w:val="397"/>
          <w:jc w:val="center"/>
        </w:trPr>
        <w:tc>
          <w:tcPr>
            <w:tcW w:w="129" w:type="pct"/>
            <w:tcBorders>
              <w:top w:val="dotted" w:sz="4" w:space="0" w:color="auto"/>
            </w:tcBorders>
            <w:shd w:val="clear" w:color="auto" w:fill="auto"/>
            <w:vAlign w:val="center"/>
          </w:tcPr>
          <w:p w14:paraId="23E6B3EB"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6490FA3D"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4</w:t>
            </w:r>
          </w:p>
        </w:tc>
        <w:tc>
          <w:tcPr>
            <w:tcW w:w="3229" w:type="pct"/>
            <w:tcBorders>
              <w:top w:val="dotted" w:sz="4" w:space="0" w:color="auto"/>
            </w:tcBorders>
            <w:shd w:val="clear" w:color="auto" w:fill="auto"/>
          </w:tcPr>
          <w:p w14:paraId="28DCD505"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7062BF">
              <w:rPr>
                <w:rFonts w:ascii="Times New Roman" w:eastAsia="Calibri" w:hAnsi="Times New Roman" w:cs="Times New Roman"/>
                <w:i/>
                <w:sz w:val="20"/>
                <w:szCs w:val="20"/>
                <w:lang w:eastAsia="sk-SK"/>
              </w:rPr>
              <w:t>Sporitelia, ktorí požiadajú o starobný a predčasný starobný dôchodo</w:t>
            </w:r>
            <w:r>
              <w:rPr>
                <w:rFonts w:ascii="Times New Roman" w:eastAsia="Calibri" w:hAnsi="Times New Roman" w:cs="Times New Roman"/>
                <w:i/>
                <w:sz w:val="20"/>
                <w:szCs w:val="20"/>
                <w:lang w:eastAsia="sk-SK"/>
              </w:rPr>
              <w:t>k z II. piliera po 31.12.2023 a budú naďalej dôchodkovo poistení.</w:t>
            </w:r>
          </w:p>
        </w:tc>
      </w:tr>
      <w:tr w:rsidR="00087D1A" w:rsidRPr="002644DE" w14:paraId="2D4EE7AF" w14:textId="77777777" w:rsidTr="009601B0">
        <w:trPr>
          <w:trHeight w:val="397"/>
          <w:jc w:val="center"/>
        </w:trPr>
        <w:tc>
          <w:tcPr>
            <w:tcW w:w="129" w:type="pct"/>
            <w:tcBorders>
              <w:top w:val="dotted" w:sz="4" w:space="0" w:color="auto"/>
            </w:tcBorders>
            <w:shd w:val="clear" w:color="auto" w:fill="auto"/>
            <w:vAlign w:val="center"/>
          </w:tcPr>
          <w:p w14:paraId="7D31938B"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1F6492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0627C80"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5EFD82CD" w14:textId="77777777" w:rsidTr="009601B0">
        <w:trPr>
          <w:trHeight w:val="170"/>
          <w:jc w:val="center"/>
        </w:trPr>
        <w:tc>
          <w:tcPr>
            <w:tcW w:w="129" w:type="pct"/>
            <w:tcBorders>
              <w:top w:val="nil"/>
              <w:bottom w:val="single" w:sz="4" w:space="0" w:color="auto"/>
            </w:tcBorders>
            <w:shd w:val="clear" w:color="auto" w:fill="F2F2F2"/>
            <w:vAlign w:val="center"/>
          </w:tcPr>
          <w:p w14:paraId="471AEC5B"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g)</w:t>
            </w:r>
          </w:p>
        </w:tc>
        <w:tc>
          <w:tcPr>
            <w:tcW w:w="4871" w:type="pct"/>
            <w:gridSpan w:val="2"/>
            <w:tcBorders>
              <w:top w:val="nil"/>
              <w:bottom w:val="single" w:sz="4" w:space="0" w:color="auto"/>
            </w:tcBorders>
            <w:shd w:val="clear" w:color="auto" w:fill="F2F2F2"/>
            <w:vAlign w:val="center"/>
          </w:tcPr>
          <w:p w14:paraId="6EEA3958" w14:textId="77777777" w:rsidR="00087D1A" w:rsidRPr="002644DE" w:rsidRDefault="00087D1A" w:rsidP="00087D1A">
            <w:pPr>
              <w:spacing w:after="0" w:line="240" w:lineRule="auto"/>
              <w:jc w:val="both"/>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2AA6E074" w14:textId="77777777" w:rsidR="00087D1A" w:rsidRPr="002644DE" w:rsidRDefault="00087D1A" w:rsidP="00087D1A">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087D1A" w:rsidRPr="002644DE" w14:paraId="08E7F7A3" w14:textId="77777777" w:rsidTr="009601B0">
        <w:trPr>
          <w:trHeight w:val="759"/>
          <w:jc w:val="center"/>
        </w:trPr>
        <w:tc>
          <w:tcPr>
            <w:tcW w:w="129" w:type="pct"/>
            <w:tcBorders>
              <w:top w:val="single" w:sz="4" w:space="0" w:color="auto"/>
              <w:bottom w:val="single" w:sz="4" w:space="0" w:color="auto"/>
            </w:tcBorders>
            <w:shd w:val="clear" w:color="auto" w:fill="auto"/>
            <w:vAlign w:val="center"/>
          </w:tcPr>
          <w:p w14:paraId="3E8FE94F"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31F658B0"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2B51B5F"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4C7B0935" w14:textId="77777777" w:rsidTr="009601B0">
        <w:trPr>
          <w:trHeight w:val="397"/>
          <w:jc w:val="center"/>
        </w:trPr>
        <w:tc>
          <w:tcPr>
            <w:tcW w:w="129" w:type="pct"/>
            <w:vMerge w:val="restart"/>
            <w:tcBorders>
              <w:top w:val="single" w:sz="4" w:space="0" w:color="auto"/>
            </w:tcBorders>
            <w:shd w:val="clear" w:color="auto" w:fill="auto"/>
            <w:vAlign w:val="center"/>
          </w:tcPr>
          <w:p w14:paraId="4613DFD0"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37DFFDD"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3CD77D6" w14:textId="77777777" w:rsidR="00087D1A" w:rsidRPr="002644DE" w:rsidRDefault="00087D1A" w:rsidP="00087D1A">
            <w:pPr>
              <w:spacing w:after="0" w:line="240" w:lineRule="auto"/>
              <w:jc w:val="both"/>
              <w:rPr>
                <w:rFonts w:ascii="Times New Roman" w:eastAsia="Calibri" w:hAnsi="Times New Roman" w:cs="Times New Roman"/>
                <w:i/>
                <w:sz w:val="18"/>
                <w:szCs w:val="20"/>
                <w:lang w:eastAsia="sk-SK"/>
              </w:rPr>
            </w:pPr>
          </w:p>
        </w:tc>
      </w:tr>
      <w:tr w:rsidR="00087D1A" w:rsidRPr="002644DE" w14:paraId="0C3AF8B3" w14:textId="77777777" w:rsidTr="009601B0">
        <w:trPr>
          <w:trHeight w:val="397"/>
          <w:jc w:val="center"/>
        </w:trPr>
        <w:tc>
          <w:tcPr>
            <w:tcW w:w="129" w:type="pct"/>
            <w:vMerge/>
            <w:shd w:val="clear" w:color="auto" w:fill="auto"/>
            <w:vAlign w:val="center"/>
          </w:tcPr>
          <w:p w14:paraId="271D2680"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245AB3B9"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4</w:t>
            </w:r>
          </w:p>
        </w:tc>
        <w:tc>
          <w:tcPr>
            <w:tcW w:w="3229" w:type="pct"/>
            <w:tcBorders>
              <w:top w:val="dotted" w:sz="4" w:space="0" w:color="auto"/>
            </w:tcBorders>
            <w:shd w:val="clear" w:color="auto" w:fill="auto"/>
          </w:tcPr>
          <w:p w14:paraId="46AD9507"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587188C5" w14:textId="77777777" w:rsidTr="009601B0">
        <w:trPr>
          <w:trHeight w:val="397"/>
          <w:jc w:val="center"/>
        </w:trPr>
        <w:tc>
          <w:tcPr>
            <w:tcW w:w="129" w:type="pct"/>
            <w:tcBorders>
              <w:top w:val="dotted" w:sz="4" w:space="0" w:color="auto"/>
            </w:tcBorders>
            <w:shd w:val="clear" w:color="auto" w:fill="F2F2F2"/>
            <w:vAlign w:val="center"/>
          </w:tcPr>
          <w:p w14:paraId="4D63A59F" w14:textId="77777777" w:rsidR="00087D1A" w:rsidRPr="002644DE" w:rsidRDefault="00087D1A" w:rsidP="00087D1A">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02D5A041"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29DB6DED" w14:textId="77777777" w:rsidTr="009601B0">
        <w:trPr>
          <w:trHeight w:val="680"/>
          <w:jc w:val="center"/>
        </w:trPr>
        <w:tc>
          <w:tcPr>
            <w:tcW w:w="129" w:type="pct"/>
            <w:vMerge w:val="restart"/>
            <w:tcBorders>
              <w:top w:val="dotted" w:sz="4" w:space="0" w:color="auto"/>
            </w:tcBorders>
            <w:shd w:val="clear" w:color="auto" w:fill="auto"/>
            <w:vAlign w:val="center"/>
          </w:tcPr>
          <w:p w14:paraId="1698DF63"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1BEA013"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090FBAD8"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B7F9DF4"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104518D1" w14:textId="77777777" w:rsidTr="009601B0">
        <w:trPr>
          <w:trHeight w:val="680"/>
          <w:jc w:val="center"/>
        </w:trPr>
        <w:tc>
          <w:tcPr>
            <w:tcW w:w="129" w:type="pct"/>
            <w:vMerge/>
            <w:shd w:val="clear" w:color="auto" w:fill="auto"/>
            <w:vAlign w:val="center"/>
          </w:tcPr>
          <w:p w14:paraId="6214F4E9"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59048A5A"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4</w:t>
            </w:r>
          </w:p>
        </w:tc>
        <w:tc>
          <w:tcPr>
            <w:tcW w:w="3229" w:type="pct"/>
            <w:tcBorders>
              <w:top w:val="dotted" w:sz="4" w:space="0" w:color="auto"/>
            </w:tcBorders>
            <w:shd w:val="clear" w:color="auto" w:fill="auto"/>
          </w:tcPr>
          <w:p w14:paraId="1E3C7444"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5B35422B" w14:textId="77777777" w:rsidTr="009601B0">
        <w:trPr>
          <w:trHeight w:val="350"/>
          <w:jc w:val="center"/>
        </w:trPr>
        <w:tc>
          <w:tcPr>
            <w:tcW w:w="129" w:type="pct"/>
            <w:tcBorders>
              <w:top w:val="dotted" w:sz="4" w:space="0" w:color="auto"/>
              <w:bottom w:val="single" w:sz="4" w:space="0" w:color="auto"/>
            </w:tcBorders>
            <w:shd w:val="clear" w:color="auto" w:fill="auto"/>
            <w:vAlign w:val="center"/>
          </w:tcPr>
          <w:p w14:paraId="45D5C1AC"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473C2B8"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801E183"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09B8001D" w14:textId="77777777" w:rsidTr="009601B0">
        <w:trPr>
          <w:trHeight w:val="170"/>
          <w:jc w:val="center"/>
        </w:trPr>
        <w:tc>
          <w:tcPr>
            <w:tcW w:w="129" w:type="pct"/>
            <w:tcBorders>
              <w:top w:val="single" w:sz="4" w:space="0" w:color="auto"/>
              <w:bottom w:val="single" w:sz="4" w:space="0" w:color="auto"/>
            </w:tcBorders>
            <w:shd w:val="clear" w:color="auto" w:fill="DDDDDD"/>
            <w:vAlign w:val="center"/>
          </w:tcPr>
          <w:p w14:paraId="253854D3"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D1AD706" w14:textId="77777777" w:rsidR="00087D1A" w:rsidRPr="002644DE" w:rsidRDefault="00087D1A" w:rsidP="00087D1A">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w:t>
            </w:r>
            <w:r>
              <w:rPr>
                <w:rFonts w:ascii="Times New Roman" w:eastAsia="Calibri" w:hAnsi="Times New Roman" w:cs="Times New Roman"/>
                <w:b/>
                <w:i/>
                <w:sz w:val="20"/>
                <w:szCs w:val="20"/>
                <w:lang w:eastAsia="sk-SK"/>
              </w:rPr>
              <w:t>1</w:t>
            </w:r>
            <w:r w:rsidRPr="002644DE">
              <w:rPr>
                <w:rFonts w:ascii="Times New Roman" w:eastAsia="Calibri" w:hAnsi="Times New Roman" w:cs="Times New Roman"/>
                <w:b/>
                <w:i/>
                <w:sz w:val="20"/>
                <w:szCs w:val="20"/>
                <w:lang w:eastAsia="sk-SK"/>
              </w:rPr>
              <w:t xml:space="preserve"> Pozitívny vplyv</w:t>
            </w:r>
          </w:p>
        </w:tc>
      </w:tr>
      <w:tr w:rsidR="00087D1A" w:rsidRPr="002644DE" w14:paraId="3B4BF0A8" w14:textId="77777777" w:rsidTr="009601B0">
        <w:trPr>
          <w:trHeight w:val="759"/>
          <w:jc w:val="center"/>
        </w:trPr>
        <w:tc>
          <w:tcPr>
            <w:tcW w:w="129" w:type="pct"/>
            <w:tcBorders>
              <w:top w:val="single" w:sz="4" w:space="0" w:color="auto"/>
              <w:bottom w:val="single" w:sz="4" w:space="0" w:color="auto"/>
            </w:tcBorders>
            <w:shd w:val="clear" w:color="auto" w:fill="auto"/>
            <w:vAlign w:val="center"/>
          </w:tcPr>
          <w:p w14:paraId="72E9009E" w14:textId="77777777" w:rsidR="00087D1A" w:rsidRPr="002644DE" w:rsidRDefault="00087D1A" w:rsidP="00087D1A">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FC9B46B"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81B5300" w14:textId="77777777" w:rsidR="00087D1A" w:rsidRPr="002644DE" w:rsidRDefault="00087D1A" w:rsidP="00087D1A">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Zrušenie povinnosti získania akceptačného listu vydávaného Sociálnou poisťovňou pri prestupe sporiteľa do inej dôchodkovej správcovskej spoločnosti. </w:t>
            </w:r>
          </w:p>
        </w:tc>
      </w:tr>
      <w:tr w:rsidR="00087D1A" w:rsidRPr="002644DE" w14:paraId="3464A765" w14:textId="77777777" w:rsidTr="009601B0">
        <w:trPr>
          <w:trHeight w:val="397"/>
          <w:jc w:val="center"/>
        </w:trPr>
        <w:tc>
          <w:tcPr>
            <w:tcW w:w="129" w:type="pct"/>
            <w:vMerge w:val="restart"/>
            <w:tcBorders>
              <w:top w:val="single" w:sz="4" w:space="0" w:color="auto"/>
            </w:tcBorders>
            <w:shd w:val="clear" w:color="auto" w:fill="auto"/>
            <w:vAlign w:val="center"/>
          </w:tcPr>
          <w:p w14:paraId="6B5C25B6"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91F984D"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C228C13"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7062BF">
              <w:rPr>
                <w:rFonts w:ascii="Times New Roman" w:eastAsia="Calibri" w:hAnsi="Times New Roman" w:cs="Times New Roman"/>
                <w:i/>
                <w:sz w:val="20"/>
                <w:szCs w:val="20"/>
                <w:lang w:eastAsia="sk-SK"/>
              </w:rPr>
              <w:t xml:space="preserve">Sporitelia, ktorí </w:t>
            </w:r>
            <w:r>
              <w:rPr>
                <w:rFonts w:ascii="Times New Roman" w:eastAsia="Calibri" w:hAnsi="Times New Roman" w:cs="Times New Roman"/>
                <w:i/>
                <w:sz w:val="20"/>
                <w:szCs w:val="20"/>
                <w:lang w:eastAsia="sk-SK"/>
              </w:rPr>
              <w:t xml:space="preserve">prestupujú do inej dôchodkovej správcovskej spoločnosti.  </w:t>
            </w:r>
          </w:p>
        </w:tc>
      </w:tr>
      <w:tr w:rsidR="00087D1A" w:rsidRPr="002644DE" w14:paraId="67501236" w14:textId="77777777" w:rsidTr="009601B0">
        <w:trPr>
          <w:trHeight w:val="397"/>
          <w:jc w:val="center"/>
        </w:trPr>
        <w:tc>
          <w:tcPr>
            <w:tcW w:w="129" w:type="pct"/>
            <w:vMerge/>
            <w:shd w:val="clear" w:color="auto" w:fill="auto"/>
            <w:vAlign w:val="center"/>
          </w:tcPr>
          <w:p w14:paraId="14769626"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246AFC15"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5</w:t>
            </w:r>
          </w:p>
        </w:tc>
        <w:tc>
          <w:tcPr>
            <w:tcW w:w="3229" w:type="pct"/>
            <w:tcBorders>
              <w:top w:val="dotted" w:sz="4" w:space="0" w:color="auto"/>
            </w:tcBorders>
            <w:shd w:val="clear" w:color="auto" w:fill="auto"/>
          </w:tcPr>
          <w:p w14:paraId="37558806"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7062BF">
              <w:rPr>
                <w:rFonts w:ascii="Times New Roman" w:eastAsia="Calibri" w:hAnsi="Times New Roman" w:cs="Times New Roman"/>
                <w:i/>
                <w:sz w:val="20"/>
                <w:szCs w:val="20"/>
                <w:lang w:eastAsia="sk-SK"/>
              </w:rPr>
              <w:t xml:space="preserve">Sporitelia, ktorí </w:t>
            </w:r>
            <w:r>
              <w:rPr>
                <w:rFonts w:ascii="Times New Roman" w:eastAsia="Calibri" w:hAnsi="Times New Roman" w:cs="Times New Roman"/>
                <w:i/>
                <w:sz w:val="20"/>
                <w:szCs w:val="20"/>
                <w:lang w:eastAsia="sk-SK"/>
              </w:rPr>
              <w:t xml:space="preserve">prestupujú do inej dôchodkovej správcovskej spoločnosti.  </w:t>
            </w:r>
          </w:p>
        </w:tc>
      </w:tr>
      <w:tr w:rsidR="00087D1A" w:rsidRPr="002644DE" w14:paraId="7261C0B1" w14:textId="77777777" w:rsidTr="009601B0">
        <w:trPr>
          <w:trHeight w:val="454"/>
          <w:jc w:val="center"/>
        </w:trPr>
        <w:tc>
          <w:tcPr>
            <w:tcW w:w="129" w:type="pct"/>
            <w:tcBorders>
              <w:top w:val="dotted" w:sz="4" w:space="0" w:color="auto"/>
            </w:tcBorders>
            <w:shd w:val="clear" w:color="auto" w:fill="F2F2F2"/>
            <w:vAlign w:val="center"/>
          </w:tcPr>
          <w:p w14:paraId="05D79F20"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3C004B9E"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5C5BF066" w14:textId="77777777" w:rsidTr="009601B0">
        <w:trPr>
          <w:trHeight w:val="680"/>
          <w:jc w:val="center"/>
        </w:trPr>
        <w:tc>
          <w:tcPr>
            <w:tcW w:w="129" w:type="pct"/>
            <w:tcBorders>
              <w:top w:val="dotted" w:sz="4" w:space="0" w:color="auto"/>
            </w:tcBorders>
            <w:shd w:val="clear" w:color="auto" w:fill="auto"/>
            <w:vAlign w:val="center"/>
          </w:tcPr>
          <w:p w14:paraId="2B2A2D67"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C1C9FDD"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12D93C9"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C8B7032"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Medzi rokmi 2005 až 2021 zmenilo dôchodkovú správcovskú spoločnosť priemerne ročne cca 26 000 sporiteľov. Po odstránení administratívnej a finančnej prekážky možno očakávať zvýšený počet prestupov, ktorý by mal byť ale obmedzený zrušením možnosti</w:t>
            </w:r>
            <w:r w:rsidRPr="00B75121">
              <w:rPr>
                <w:rFonts w:ascii="Times New Roman" w:eastAsia="Calibri" w:hAnsi="Times New Roman" w:cs="Times New Roman"/>
                <w:sz w:val="20"/>
                <w:szCs w:val="20"/>
                <w:lang w:eastAsia="sk-SK"/>
              </w:rPr>
              <w:t xml:space="preserve"> vyplácať províziu finančnému sprostredkovateľovi za získanie klienta od inej dôchodkovej správcovskej spoločnosti</w:t>
            </w:r>
            <w:r>
              <w:rPr>
                <w:rFonts w:ascii="Times New Roman" w:eastAsia="Calibri" w:hAnsi="Times New Roman" w:cs="Times New Roman"/>
                <w:sz w:val="20"/>
                <w:szCs w:val="20"/>
                <w:lang w:eastAsia="sk-SK"/>
              </w:rPr>
              <w:t xml:space="preserve">. </w:t>
            </w:r>
          </w:p>
        </w:tc>
      </w:tr>
      <w:tr w:rsidR="00087D1A" w:rsidRPr="002644DE" w14:paraId="7F663D47" w14:textId="77777777" w:rsidTr="009601B0">
        <w:trPr>
          <w:trHeight w:val="397"/>
          <w:jc w:val="center"/>
        </w:trPr>
        <w:tc>
          <w:tcPr>
            <w:tcW w:w="129" w:type="pct"/>
            <w:tcBorders>
              <w:top w:val="dotted" w:sz="4" w:space="0" w:color="auto"/>
            </w:tcBorders>
            <w:shd w:val="clear" w:color="auto" w:fill="auto"/>
            <w:vAlign w:val="center"/>
          </w:tcPr>
          <w:p w14:paraId="4E2268C6"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191A471A"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5</w:t>
            </w:r>
          </w:p>
        </w:tc>
        <w:tc>
          <w:tcPr>
            <w:tcW w:w="3229" w:type="pct"/>
            <w:tcBorders>
              <w:top w:val="dotted" w:sz="4" w:space="0" w:color="auto"/>
            </w:tcBorders>
            <w:shd w:val="clear" w:color="auto" w:fill="auto"/>
          </w:tcPr>
          <w:p w14:paraId="20267BC0"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7062BF">
              <w:rPr>
                <w:rFonts w:ascii="Times New Roman" w:eastAsia="Calibri" w:hAnsi="Times New Roman" w:cs="Times New Roman"/>
                <w:i/>
                <w:sz w:val="20"/>
                <w:szCs w:val="20"/>
                <w:lang w:eastAsia="sk-SK"/>
              </w:rPr>
              <w:t xml:space="preserve">Sporitelia, ktorí </w:t>
            </w:r>
            <w:r>
              <w:rPr>
                <w:rFonts w:ascii="Times New Roman" w:eastAsia="Calibri" w:hAnsi="Times New Roman" w:cs="Times New Roman"/>
                <w:i/>
                <w:sz w:val="20"/>
                <w:szCs w:val="20"/>
                <w:lang w:eastAsia="sk-SK"/>
              </w:rPr>
              <w:t xml:space="preserve">prestupujú do inej dôchodkovej správcovskej spoločnosti.  </w:t>
            </w:r>
          </w:p>
        </w:tc>
      </w:tr>
      <w:tr w:rsidR="00087D1A" w:rsidRPr="002644DE" w14:paraId="05FD4CC8" w14:textId="77777777" w:rsidTr="009601B0">
        <w:trPr>
          <w:trHeight w:val="397"/>
          <w:jc w:val="center"/>
        </w:trPr>
        <w:tc>
          <w:tcPr>
            <w:tcW w:w="129" w:type="pct"/>
            <w:tcBorders>
              <w:top w:val="dotted" w:sz="4" w:space="0" w:color="auto"/>
            </w:tcBorders>
            <w:shd w:val="clear" w:color="auto" w:fill="auto"/>
            <w:vAlign w:val="center"/>
          </w:tcPr>
          <w:p w14:paraId="1049C668"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94D2FC3"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12E3D95"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07B3ACFD" w14:textId="77777777" w:rsidTr="00DB36C7">
        <w:trPr>
          <w:trHeight w:val="170"/>
          <w:jc w:val="center"/>
        </w:trPr>
        <w:tc>
          <w:tcPr>
            <w:tcW w:w="129" w:type="pct"/>
            <w:tcBorders>
              <w:top w:val="nil"/>
              <w:bottom w:val="single" w:sz="4" w:space="0" w:color="auto"/>
            </w:tcBorders>
            <w:shd w:val="clear" w:color="auto" w:fill="F2F2F2"/>
            <w:vAlign w:val="center"/>
          </w:tcPr>
          <w:p w14:paraId="61774B5A"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3892AC77" w14:textId="77777777" w:rsidR="00087D1A" w:rsidRPr="002644DE" w:rsidRDefault="00087D1A" w:rsidP="00087D1A">
            <w:pPr>
              <w:spacing w:after="0" w:line="240" w:lineRule="auto"/>
              <w:jc w:val="both"/>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6DEF12DD" w14:textId="77777777" w:rsidR="00087D1A" w:rsidRPr="002644DE" w:rsidRDefault="00087D1A" w:rsidP="00087D1A">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087D1A" w:rsidRPr="002644DE" w14:paraId="49E9F217" w14:textId="77777777" w:rsidTr="00DB36C7">
        <w:trPr>
          <w:trHeight w:val="759"/>
          <w:jc w:val="center"/>
        </w:trPr>
        <w:tc>
          <w:tcPr>
            <w:tcW w:w="129" w:type="pct"/>
            <w:tcBorders>
              <w:top w:val="single" w:sz="4" w:space="0" w:color="auto"/>
              <w:bottom w:val="single" w:sz="4" w:space="0" w:color="auto"/>
            </w:tcBorders>
            <w:shd w:val="clear" w:color="auto" w:fill="auto"/>
            <w:vAlign w:val="center"/>
          </w:tcPr>
          <w:p w14:paraId="13000D67"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40ED155"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7816419"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137BBBD5" w14:textId="77777777" w:rsidTr="00DB36C7">
        <w:trPr>
          <w:trHeight w:val="397"/>
          <w:jc w:val="center"/>
        </w:trPr>
        <w:tc>
          <w:tcPr>
            <w:tcW w:w="129" w:type="pct"/>
            <w:vMerge w:val="restart"/>
            <w:tcBorders>
              <w:top w:val="single" w:sz="4" w:space="0" w:color="auto"/>
            </w:tcBorders>
            <w:shd w:val="clear" w:color="auto" w:fill="auto"/>
            <w:vAlign w:val="center"/>
          </w:tcPr>
          <w:p w14:paraId="2EF9427C"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2B7858A1"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2ECDA33" w14:textId="77777777" w:rsidR="00087D1A" w:rsidRPr="002644DE" w:rsidRDefault="00087D1A" w:rsidP="00087D1A">
            <w:pPr>
              <w:spacing w:after="0" w:line="240" w:lineRule="auto"/>
              <w:jc w:val="both"/>
              <w:rPr>
                <w:rFonts w:ascii="Times New Roman" w:eastAsia="Calibri" w:hAnsi="Times New Roman" w:cs="Times New Roman"/>
                <w:i/>
                <w:sz w:val="18"/>
                <w:szCs w:val="20"/>
                <w:lang w:eastAsia="sk-SK"/>
              </w:rPr>
            </w:pPr>
          </w:p>
        </w:tc>
      </w:tr>
      <w:tr w:rsidR="00087D1A" w:rsidRPr="002644DE" w14:paraId="4D25D4E5" w14:textId="77777777" w:rsidTr="00DB36C7">
        <w:trPr>
          <w:trHeight w:val="397"/>
          <w:jc w:val="center"/>
        </w:trPr>
        <w:tc>
          <w:tcPr>
            <w:tcW w:w="129" w:type="pct"/>
            <w:vMerge/>
            <w:shd w:val="clear" w:color="auto" w:fill="auto"/>
            <w:vAlign w:val="center"/>
          </w:tcPr>
          <w:p w14:paraId="0CE1A409"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475EB5F3"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5</w:t>
            </w:r>
          </w:p>
        </w:tc>
        <w:tc>
          <w:tcPr>
            <w:tcW w:w="3229" w:type="pct"/>
            <w:tcBorders>
              <w:top w:val="dotted" w:sz="4" w:space="0" w:color="auto"/>
            </w:tcBorders>
            <w:shd w:val="clear" w:color="auto" w:fill="auto"/>
          </w:tcPr>
          <w:p w14:paraId="17770C76"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37E1005A" w14:textId="77777777" w:rsidTr="00DB36C7">
        <w:trPr>
          <w:trHeight w:val="397"/>
          <w:jc w:val="center"/>
        </w:trPr>
        <w:tc>
          <w:tcPr>
            <w:tcW w:w="129" w:type="pct"/>
            <w:tcBorders>
              <w:top w:val="dotted" w:sz="4" w:space="0" w:color="auto"/>
            </w:tcBorders>
            <w:shd w:val="clear" w:color="auto" w:fill="F2F2F2"/>
            <w:vAlign w:val="center"/>
          </w:tcPr>
          <w:p w14:paraId="3F6540B7" w14:textId="77777777" w:rsidR="00087D1A" w:rsidRPr="002644DE" w:rsidRDefault="00087D1A" w:rsidP="00087D1A">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2A70790F"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4533EAEA" w14:textId="77777777" w:rsidTr="00DB36C7">
        <w:trPr>
          <w:trHeight w:val="680"/>
          <w:jc w:val="center"/>
        </w:trPr>
        <w:tc>
          <w:tcPr>
            <w:tcW w:w="129" w:type="pct"/>
            <w:vMerge w:val="restart"/>
            <w:tcBorders>
              <w:top w:val="dotted" w:sz="4" w:space="0" w:color="auto"/>
            </w:tcBorders>
            <w:shd w:val="clear" w:color="auto" w:fill="auto"/>
            <w:vAlign w:val="center"/>
          </w:tcPr>
          <w:p w14:paraId="4DD7569C"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9227750"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A480D55"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934447A"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587F6E1F" w14:textId="77777777" w:rsidTr="00DB36C7">
        <w:trPr>
          <w:trHeight w:val="680"/>
          <w:jc w:val="center"/>
        </w:trPr>
        <w:tc>
          <w:tcPr>
            <w:tcW w:w="129" w:type="pct"/>
            <w:vMerge/>
            <w:shd w:val="clear" w:color="auto" w:fill="auto"/>
            <w:vAlign w:val="center"/>
          </w:tcPr>
          <w:p w14:paraId="73C7F0BE"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586B8BC7"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5</w:t>
            </w:r>
          </w:p>
        </w:tc>
        <w:tc>
          <w:tcPr>
            <w:tcW w:w="3229" w:type="pct"/>
            <w:tcBorders>
              <w:top w:val="dotted" w:sz="4" w:space="0" w:color="auto"/>
            </w:tcBorders>
            <w:shd w:val="clear" w:color="auto" w:fill="auto"/>
          </w:tcPr>
          <w:p w14:paraId="30DE3AB8"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08E93806" w14:textId="77777777" w:rsidTr="00DB36C7">
        <w:trPr>
          <w:trHeight w:val="350"/>
          <w:jc w:val="center"/>
        </w:trPr>
        <w:tc>
          <w:tcPr>
            <w:tcW w:w="129" w:type="pct"/>
            <w:tcBorders>
              <w:top w:val="dotted" w:sz="4" w:space="0" w:color="auto"/>
              <w:bottom w:val="single" w:sz="4" w:space="0" w:color="auto"/>
            </w:tcBorders>
            <w:shd w:val="clear" w:color="auto" w:fill="auto"/>
            <w:vAlign w:val="center"/>
          </w:tcPr>
          <w:p w14:paraId="2BB08DD4"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F3DCD71"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91C2860" w14:textId="77777777" w:rsidR="00087D1A" w:rsidRDefault="00087D1A" w:rsidP="00087D1A">
            <w:pPr>
              <w:spacing w:after="0" w:line="240" w:lineRule="auto"/>
              <w:jc w:val="both"/>
              <w:rPr>
                <w:rFonts w:ascii="Times New Roman" w:eastAsia="Calibri" w:hAnsi="Times New Roman" w:cs="Times New Roman"/>
                <w:sz w:val="20"/>
                <w:szCs w:val="20"/>
                <w:lang w:eastAsia="sk-SK"/>
              </w:rPr>
            </w:pPr>
          </w:p>
          <w:p w14:paraId="2A116072" w14:textId="77777777" w:rsidR="00C020F5" w:rsidRDefault="00C020F5" w:rsidP="00087D1A">
            <w:pPr>
              <w:spacing w:after="0" w:line="240" w:lineRule="auto"/>
              <w:jc w:val="both"/>
              <w:rPr>
                <w:rFonts w:ascii="Times New Roman" w:eastAsia="Calibri" w:hAnsi="Times New Roman" w:cs="Times New Roman"/>
                <w:sz w:val="20"/>
                <w:szCs w:val="20"/>
                <w:lang w:eastAsia="sk-SK"/>
              </w:rPr>
            </w:pPr>
          </w:p>
          <w:p w14:paraId="70FF3034" w14:textId="56F25771" w:rsidR="00C020F5" w:rsidRPr="002644DE" w:rsidRDefault="00C020F5" w:rsidP="00087D1A">
            <w:pPr>
              <w:spacing w:after="0" w:line="240" w:lineRule="auto"/>
              <w:jc w:val="both"/>
              <w:rPr>
                <w:rFonts w:ascii="Times New Roman" w:eastAsia="Calibri" w:hAnsi="Times New Roman" w:cs="Times New Roman"/>
                <w:sz w:val="20"/>
                <w:szCs w:val="20"/>
                <w:lang w:eastAsia="sk-SK"/>
              </w:rPr>
            </w:pPr>
            <w:bookmarkStart w:id="0" w:name="_GoBack"/>
            <w:bookmarkEnd w:id="0"/>
          </w:p>
        </w:tc>
      </w:tr>
      <w:tr w:rsidR="00087D1A" w:rsidRPr="002644DE" w14:paraId="63021EAF" w14:textId="77777777" w:rsidTr="00DB36C7">
        <w:trPr>
          <w:trHeight w:val="170"/>
          <w:jc w:val="center"/>
        </w:trPr>
        <w:tc>
          <w:tcPr>
            <w:tcW w:w="129" w:type="pct"/>
            <w:tcBorders>
              <w:top w:val="single" w:sz="4" w:space="0" w:color="auto"/>
              <w:bottom w:val="single" w:sz="4" w:space="0" w:color="auto"/>
            </w:tcBorders>
            <w:shd w:val="clear" w:color="auto" w:fill="DDDDDD"/>
            <w:vAlign w:val="center"/>
          </w:tcPr>
          <w:p w14:paraId="7616FED7"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a)</w:t>
            </w:r>
          </w:p>
        </w:tc>
        <w:tc>
          <w:tcPr>
            <w:tcW w:w="4871" w:type="pct"/>
            <w:gridSpan w:val="2"/>
            <w:tcBorders>
              <w:top w:val="single" w:sz="4" w:space="0" w:color="auto"/>
              <w:bottom w:val="single" w:sz="4" w:space="0" w:color="auto"/>
            </w:tcBorders>
            <w:shd w:val="clear" w:color="auto" w:fill="DDDDDD"/>
            <w:vAlign w:val="center"/>
          </w:tcPr>
          <w:p w14:paraId="6B3B74F0" w14:textId="77777777" w:rsidR="00087D1A" w:rsidRPr="002644DE" w:rsidRDefault="00087D1A" w:rsidP="00087D1A">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087D1A" w:rsidRPr="002644DE" w14:paraId="0C9BF7B6" w14:textId="77777777" w:rsidTr="00DB36C7">
        <w:trPr>
          <w:trHeight w:val="759"/>
          <w:jc w:val="center"/>
        </w:trPr>
        <w:tc>
          <w:tcPr>
            <w:tcW w:w="129" w:type="pct"/>
            <w:tcBorders>
              <w:top w:val="single" w:sz="4" w:space="0" w:color="auto"/>
              <w:bottom w:val="single" w:sz="4" w:space="0" w:color="auto"/>
            </w:tcBorders>
            <w:shd w:val="clear" w:color="auto" w:fill="auto"/>
            <w:vAlign w:val="center"/>
          </w:tcPr>
          <w:p w14:paraId="63601762" w14:textId="77777777" w:rsidR="00087D1A" w:rsidRPr="002644DE" w:rsidRDefault="00087D1A" w:rsidP="00087D1A">
            <w:pPr>
              <w:spacing w:after="0" w:line="240" w:lineRule="auto"/>
              <w:contextualSpacing/>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786DF572" w14:textId="77777777" w:rsidR="00087D1A" w:rsidRPr="002644DE" w:rsidRDefault="00087D1A" w:rsidP="00087D1A">
            <w:pPr>
              <w:spacing w:after="0" w:line="240" w:lineRule="auto"/>
              <w:ind w:left="360"/>
              <w:contextualSpacing/>
              <w:jc w:val="both"/>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2D6E175E"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73833BD9" w14:textId="77777777" w:rsidR="00087D1A" w:rsidRPr="002644DE" w:rsidRDefault="00D9382D" w:rsidP="002B57EE">
            <w:pPr>
              <w:spacing w:after="0" w:line="240" w:lineRule="auto"/>
              <w:ind w:left="1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Sporiteľ </w:t>
            </w:r>
            <w:r w:rsidR="000620F0">
              <w:rPr>
                <w:rFonts w:ascii="Times New Roman" w:eastAsia="Calibri" w:hAnsi="Times New Roman" w:cs="Times New Roman"/>
                <w:sz w:val="20"/>
                <w:szCs w:val="20"/>
                <w:lang w:eastAsia="sk-SK"/>
              </w:rPr>
              <w:t xml:space="preserve">nemôže prestúpiť do inej dôchodkovej správcovskej spoločnosti v období kratšom ako jeden rok odo dňa </w:t>
            </w:r>
            <w:r w:rsidR="002B57EE">
              <w:rPr>
                <w:rFonts w:ascii="Times New Roman" w:eastAsia="Calibri" w:hAnsi="Times New Roman" w:cs="Times New Roman"/>
                <w:sz w:val="20"/>
                <w:szCs w:val="20"/>
                <w:lang w:eastAsia="sk-SK"/>
              </w:rPr>
              <w:t>vzniku prvej účasti sporiteľa na</w:t>
            </w:r>
            <w:r w:rsidR="000620F0">
              <w:rPr>
                <w:rFonts w:ascii="Times New Roman" w:eastAsia="Calibri" w:hAnsi="Times New Roman" w:cs="Times New Roman"/>
                <w:sz w:val="20"/>
                <w:szCs w:val="20"/>
                <w:lang w:eastAsia="sk-SK"/>
              </w:rPr>
              <w:t xml:space="preserve"> starobnom dôchodkovom sporení. </w:t>
            </w:r>
            <w:r w:rsidR="000620F0" w:rsidRPr="000620F0">
              <w:rPr>
                <w:rFonts w:ascii="Times New Roman" w:eastAsia="Calibri" w:hAnsi="Times New Roman" w:cs="Times New Roman"/>
                <w:sz w:val="20"/>
                <w:szCs w:val="20"/>
                <w:lang w:eastAsia="sk-SK"/>
              </w:rPr>
              <w:t>Sporiteľ</w:t>
            </w:r>
            <w:r w:rsidR="000620F0">
              <w:rPr>
                <w:rFonts w:ascii="Times New Roman" w:eastAsia="Calibri" w:hAnsi="Times New Roman" w:cs="Times New Roman"/>
                <w:sz w:val="20"/>
                <w:szCs w:val="20"/>
                <w:lang w:eastAsia="sk-SK"/>
              </w:rPr>
              <w:t xml:space="preserve"> tiež</w:t>
            </w:r>
            <w:r w:rsidR="000620F0" w:rsidRPr="000620F0">
              <w:rPr>
                <w:rFonts w:ascii="Times New Roman" w:eastAsia="Calibri" w:hAnsi="Times New Roman" w:cs="Times New Roman"/>
                <w:sz w:val="20"/>
                <w:szCs w:val="20"/>
                <w:lang w:eastAsia="sk-SK"/>
              </w:rPr>
              <w:t xml:space="preserve"> </w:t>
            </w:r>
            <w:r w:rsidR="000620F0">
              <w:rPr>
                <w:rFonts w:ascii="Times New Roman" w:eastAsia="Calibri" w:hAnsi="Times New Roman" w:cs="Times New Roman"/>
                <w:sz w:val="20"/>
                <w:szCs w:val="20"/>
                <w:lang w:eastAsia="sk-SK"/>
              </w:rPr>
              <w:t>ne</w:t>
            </w:r>
            <w:r w:rsidR="000620F0" w:rsidRPr="000620F0">
              <w:rPr>
                <w:rFonts w:ascii="Times New Roman" w:eastAsia="Calibri" w:hAnsi="Times New Roman" w:cs="Times New Roman"/>
                <w:sz w:val="20"/>
                <w:szCs w:val="20"/>
                <w:lang w:eastAsia="sk-SK"/>
              </w:rPr>
              <w:t xml:space="preserve">môže prestúpiť z dôchodkovej správcovskej spoločnosti do inej dôchodkovej správcovskej spoločnosti, </w:t>
            </w:r>
            <w:r w:rsidR="000620F0">
              <w:rPr>
                <w:rFonts w:ascii="Times New Roman" w:eastAsia="Calibri" w:hAnsi="Times New Roman" w:cs="Times New Roman"/>
                <w:sz w:val="20"/>
                <w:szCs w:val="20"/>
                <w:lang w:eastAsia="sk-SK"/>
              </w:rPr>
              <w:t>skôr ako</w:t>
            </w:r>
            <w:r w:rsidR="000620F0" w:rsidRPr="000620F0">
              <w:rPr>
                <w:rFonts w:ascii="Times New Roman" w:eastAsia="Calibri" w:hAnsi="Times New Roman" w:cs="Times New Roman"/>
                <w:sz w:val="20"/>
                <w:szCs w:val="20"/>
                <w:lang w:eastAsia="sk-SK"/>
              </w:rPr>
              <w:t xml:space="preserve"> po uplynutí šiestich mesiacov odo dňa </w:t>
            </w:r>
            <w:r w:rsidR="002B57EE">
              <w:rPr>
                <w:rFonts w:ascii="Times New Roman" w:eastAsia="Calibri" w:hAnsi="Times New Roman" w:cs="Times New Roman"/>
                <w:sz w:val="20"/>
                <w:szCs w:val="20"/>
                <w:lang w:eastAsia="sk-SK"/>
              </w:rPr>
              <w:t>posledného prestupu</w:t>
            </w:r>
            <w:r w:rsidR="00F92867">
              <w:rPr>
                <w:rFonts w:ascii="Times New Roman" w:eastAsia="Calibri" w:hAnsi="Times New Roman" w:cs="Times New Roman"/>
                <w:sz w:val="20"/>
                <w:szCs w:val="20"/>
                <w:lang w:eastAsia="sk-SK"/>
              </w:rPr>
              <w:t>.</w:t>
            </w:r>
          </w:p>
        </w:tc>
      </w:tr>
      <w:tr w:rsidR="00087D1A" w:rsidRPr="002644DE" w14:paraId="4D3F6220" w14:textId="77777777" w:rsidTr="00DB36C7">
        <w:trPr>
          <w:trHeight w:val="397"/>
          <w:jc w:val="center"/>
        </w:trPr>
        <w:tc>
          <w:tcPr>
            <w:tcW w:w="129" w:type="pct"/>
            <w:vMerge w:val="restart"/>
            <w:tcBorders>
              <w:top w:val="single" w:sz="4" w:space="0" w:color="auto"/>
            </w:tcBorders>
            <w:shd w:val="clear" w:color="auto" w:fill="auto"/>
            <w:vAlign w:val="center"/>
          </w:tcPr>
          <w:p w14:paraId="567AA89A"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AA31195"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1CE661B7" w14:textId="77777777" w:rsidR="00087D1A" w:rsidRPr="002644DE" w:rsidRDefault="00D9382D" w:rsidP="00087D1A">
            <w:pPr>
              <w:spacing w:after="0" w:line="240" w:lineRule="auto"/>
              <w:jc w:val="both"/>
              <w:rPr>
                <w:rFonts w:ascii="Times New Roman" w:eastAsia="Calibri" w:hAnsi="Times New Roman" w:cs="Times New Roman"/>
                <w:i/>
                <w:sz w:val="20"/>
                <w:szCs w:val="20"/>
                <w:lang w:eastAsia="sk-SK"/>
              </w:rPr>
            </w:pPr>
            <w:r w:rsidRPr="007062BF">
              <w:rPr>
                <w:rFonts w:ascii="Times New Roman" w:eastAsia="Calibri" w:hAnsi="Times New Roman" w:cs="Times New Roman"/>
                <w:i/>
                <w:sz w:val="20"/>
                <w:szCs w:val="20"/>
                <w:lang w:eastAsia="sk-SK"/>
              </w:rPr>
              <w:t xml:space="preserve">Sporitelia, ktorí </w:t>
            </w:r>
            <w:r>
              <w:rPr>
                <w:rFonts w:ascii="Times New Roman" w:eastAsia="Calibri" w:hAnsi="Times New Roman" w:cs="Times New Roman"/>
                <w:i/>
                <w:sz w:val="20"/>
                <w:szCs w:val="20"/>
                <w:lang w:eastAsia="sk-SK"/>
              </w:rPr>
              <w:t>prestupujú do inej dôchodkovej správcovskej spoločnosti.</w:t>
            </w:r>
          </w:p>
        </w:tc>
      </w:tr>
      <w:tr w:rsidR="00087D1A" w:rsidRPr="002644DE" w14:paraId="09EFD22F" w14:textId="77777777" w:rsidTr="00DB36C7">
        <w:trPr>
          <w:trHeight w:val="397"/>
          <w:jc w:val="center"/>
        </w:trPr>
        <w:tc>
          <w:tcPr>
            <w:tcW w:w="129" w:type="pct"/>
            <w:vMerge/>
            <w:tcBorders>
              <w:bottom w:val="single" w:sz="4" w:space="0" w:color="auto"/>
            </w:tcBorders>
            <w:shd w:val="clear" w:color="auto" w:fill="auto"/>
            <w:vAlign w:val="center"/>
          </w:tcPr>
          <w:p w14:paraId="13A44BC1"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20FAF4B2" w14:textId="77777777" w:rsidR="00087D1A" w:rsidRPr="002644DE" w:rsidRDefault="00087D1A" w:rsidP="00D9382D">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1179A4">
              <w:rPr>
                <w:rFonts w:ascii="Times New Roman" w:eastAsia="Calibri" w:hAnsi="Times New Roman" w:cs="Times New Roman"/>
                <w:i/>
                <w:sz w:val="18"/>
                <w:szCs w:val="20"/>
                <w:lang w:eastAsia="sk-SK"/>
              </w:rPr>
              <w:t>5</w:t>
            </w:r>
          </w:p>
        </w:tc>
        <w:tc>
          <w:tcPr>
            <w:tcW w:w="3229" w:type="pct"/>
            <w:tcBorders>
              <w:top w:val="dotted" w:sz="4" w:space="0" w:color="auto"/>
              <w:bottom w:val="single" w:sz="4" w:space="0" w:color="auto"/>
            </w:tcBorders>
            <w:shd w:val="clear" w:color="auto" w:fill="auto"/>
          </w:tcPr>
          <w:p w14:paraId="568A1260" w14:textId="77777777" w:rsidR="00087D1A" w:rsidRPr="002644DE" w:rsidRDefault="00D9382D" w:rsidP="00087D1A">
            <w:pPr>
              <w:spacing w:after="0" w:line="240" w:lineRule="auto"/>
              <w:jc w:val="both"/>
              <w:rPr>
                <w:rFonts w:ascii="Times New Roman" w:eastAsia="Calibri" w:hAnsi="Times New Roman" w:cs="Times New Roman"/>
                <w:sz w:val="20"/>
                <w:szCs w:val="20"/>
                <w:lang w:eastAsia="sk-SK"/>
              </w:rPr>
            </w:pPr>
            <w:r w:rsidRPr="007062BF">
              <w:rPr>
                <w:rFonts w:ascii="Times New Roman" w:eastAsia="Calibri" w:hAnsi="Times New Roman" w:cs="Times New Roman"/>
                <w:i/>
                <w:sz w:val="20"/>
                <w:szCs w:val="20"/>
                <w:lang w:eastAsia="sk-SK"/>
              </w:rPr>
              <w:t xml:space="preserve">Sporitelia, ktorí </w:t>
            </w:r>
            <w:r>
              <w:rPr>
                <w:rFonts w:ascii="Times New Roman" w:eastAsia="Calibri" w:hAnsi="Times New Roman" w:cs="Times New Roman"/>
                <w:i/>
                <w:sz w:val="20"/>
                <w:szCs w:val="20"/>
                <w:lang w:eastAsia="sk-SK"/>
              </w:rPr>
              <w:t>prestupujú do inej dôchodkovej správcovskej spoločnosti.</w:t>
            </w:r>
          </w:p>
        </w:tc>
      </w:tr>
      <w:tr w:rsidR="00087D1A" w:rsidRPr="002644DE" w14:paraId="308C0433" w14:textId="77777777" w:rsidTr="00DB36C7">
        <w:trPr>
          <w:trHeight w:val="397"/>
          <w:jc w:val="center"/>
        </w:trPr>
        <w:tc>
          <w:tcPr>
            <w:tcW w:w="129" w:type="pct"/>
            <w:tcBorders>
              <w:top w:val="single" w:sz="4" w:space="0" w:color="auto"/>
            </w:tcBorders>
            <w:shd w:val="clear" w:color="auto" w:fill="F2F2F2"/>
            <w:vAlign w:val="center"/>
          </w:tcPr>
          <w:p w14:paraId="505EF85D"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666AF6D4"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4BAB3C53" w14:textId="77777777" w:rsidTr="00DB36C7">
        <w:trPr>
          <w:trHeight w:val="680"/>
          <w:jc w:val="center"/>
        </w:trPr>
        <w:tc>
          <w:tcPr>
            <w:tcW w:w="129" w:type="pct"/>
            <w:vMerge w:val="restart"/>
            <w:tcBorders>
              <w:top w:val="dotted" w:sz="4" w:space="0" w:color="auto"/>
            </w:tcBorders>
            <w:shd w:val="clear" w:color="auto" w:fill="auto"/>
            <w:vAlign w:val="center"/>
          </w:tcPr>
          <w:p w14:paraId="0689E28F"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2C54D1B"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62BF7C0"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FCC4CCE" w14:textId="77777777" w:rsidR="00087D1A" w:rsidRPr="002644DE" w:rsidRDefault="000620F0" w:rsidP="00087D1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Medzi rokmi 2005 až 2021 zmenilo dôchodkovú správcovskú spoločnosť priemerne ročne cca 26 000 sporiteľov.</w:t>
            </w:r>
          </w:p>
        </w:tc>
      </w:tr>
      <w:tr w:rsidR="00087D1A" w:rsidRPr="002644DE" w14:paraId="1034B705" w14:textId="77777777" w:rsidTr="00DB36C7">
        <w:trPr>
          <w:trHeight w:val="680"/>
          <w:jc w:val="center"/>
        </w:trPr>
        <w:tc>
          <w:tcPr>
            <w:tcW w:w="129" w:type="pct"/>
            <w:vMerge/>
            <w:shd w:val="clear" w:color="auto" w:fill="auto"/>
            <w:vAlign w:val="center"/>
          </w:tcPr>
          <w:p w14:paraId="03360C8E"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4B8C533D" w14:textId="77777777" w:rsidR="00087D1A" w:rsidRPr="002644DE" w:rsidRDefault="00087D1A" w:rsidP="00D9382D">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1179A4">
              <w:rPr>
                <w:rFonts w:ascii="Times New Roman" w:eastAsia="Calibri" w:hAnsi="Times New Roman" w:cs="Times New Roman"/>
                <w:i/>
                <w:sz w:val="18"/>
                <w:szCs w:val="20"/>
                <w:lang w:eastAsia="sk-SK"/>
              </w:rPr>
              <w:t>5</w:t>
            </w:r>
          </w:p>
        </w:tc>
        <w:tc>
          <w:tcPr>
            <w:tcW w:w="3229" w:type="pct"/>
            <w:tcBorders>
              <w:top w:val="dotted" w:sz="4" w:space="0" w:color="auto"/>
            </w:tcBorders>
            <w:shd w:val="clear" w:color="auto" w:fill="auto"/>
          </w:tcPr>
          <w:p w14:paraId="61623915" w14:textId="77777777" w:rsidR="00087D1A" w:rsidRPr="002644DE" w:rsidRDefault="00D9382D" w:rsidP="00087D1A">
            <w:pPr>
              <w:spacing w:after="0" w:line="240" w:lineRule="auto"/>
              <w:jc w:val="both"/>
              <w:rPr>
                <w:rFonts w:ascii="Times New Roman" w:eastAsia="Calibri" w:hAnsi="Times New Roman" w:cs="Times New Roman"/>
                <w:sz w:val="20"/>
                <w:szCs w:val="20"/>
                <w:lang w:eastAsia="sk-SK"/>
              </w:rPr>
            </w:pPr>
            <w:r w:rsidRPr="007062BF">
              <w:rPr>
                <w:rFonts w:ascii="Times New Roman" w:eastAsia="Calibri" w:hAnsi="Times New Roman" w:cs="Times New Roman"/>
                <w:i/>
                <w:sz w:val="20"/>
                <w:szCs w:val="20"/>
                <w:lang w:eastAsia="sk-SK"/>
              </w:rPr>
              <w:t xml:space="preserve">Sporitelia, ktorí </w:t>
            </w:r>
            <w:r>
              <w:rPr>
                <w:rFonts w:ascii="Times New Roman" w:eastAsia="Calibri" w:hAnsi="Times New Roman" w:cs="Times New Roman"/>
                <w:i/>
                <w:sz w:val="20"/>
                <w:szCs w:val="20"/>
                <w:lang w:eastAsia="sk-SK"/>
              </w:rPr>
              <w:t>prestupujú do inej dôchodkovej správcovskej spoločnosti.</w:t>
            </w:r>
          </w:p>
        </w:tc>
      </w:tr>
      <w:tr w:rsidR="00087D1A" w:rsidRPr="002644DE" w14:paraId="7C548736" w14:textId="77777777" w:rsidTr="00DB36C7">
        <w:trPr>
          <w:trHeight w:val="397"/>
          <w:jc w:val="center"/>
        </w:trPr>
        <w:tc>
          <w:tcPr>
            <w:tcW w:w="129" w:type="pct"/>
            <w:tcBorders>
              <w:top w:val="dotted" w:sz="4" w:space="0" w:color="auto"/>
            </w:tcBorders>
            <w:shd w:val="clear" w:color="auto" w:fill="auto"/>
            <w:vAlign w:val="center"/>
          </w:tcPr>
          <w:p w14:paraId="515DECDE"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B54E761"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33D28D7"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19840906" w14:textId="77777777" w:rsidTr="00DB36C7">
        <w:trPr>
          <w:trHeight w:val="227"/>
          <w:jc w:val="center"/>
        </w:trPr>
        <w:tc>
          <w:tcPr>
            <w:tcW w:w="129" w:type="pct"/>
            <w:tcBorders>
              <w:top w:val="nil"/>
              <w:bottom w:val="single" w:sz="4" w:space="0" w:color="auto"/>
            </w:tcBorders>
            <w:shd w:val="clear" w:color="auto" w:fill="F2F2F2"/>
            <w:vAlign w:val="center"/>
          </w:tcPr>
          <w:p w14:paraId="51D40AEB"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EB3AD37"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5E08FAA2" w14:textId="77777777" w:rsidR="00087D1A" w:rsidRPr="002644DE" w:rsidRDefault="00087D1A" w:rsidP="00087D1A">
            <w:pPr>
              <w:spacing w:after="0" w:line="240" w:lineRule="auto"/>
              <w:jc w:val="both"/>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087D1A" w:rsidRPr="002644DE" w14:paraId="09903C09" w14:textId="77777777" w:rsidTr="00DB36C7">
        <w:trPr>
          <w:trHeight w:val="759"/>
          <w:jc w:val="center"/>
        </w:trPr>
        <w:tc>
          <w:tcPr>
            <w:tcW w:w="129" w:type="pct"/>
            <w:tcBorders>
              <w:top w:val="single" w:sz="4" w:space="0" w:color="auto"/>
              <w:bottom w:val="single" w:sz="4" w:space="0" w:color="auto"/>
            </w:tcBorders>
            <w:shd w:val="clear" w:color="auto" w:fill="auto"/>
            <w:vAlign w:val="center"/>
          </w:tcPr>
          <w:p w14:paraId="795ADB6E"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DA10A44"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6139D8F"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41DE8066" w14:textId="77777777" w:rsidTr="00DB36C7">
        <w:trPr>
          <w:trHeight w:val="397"/>
          <w:jc w:val="center"/>
        </w:trPr>
        <w:tc>
          <w:tcPr>
            <w:tcW w:w="129" w:type="pct"/>
            <w:vMerge w:val="restart"/>
            <w:tcBorders>
              <w:top w:val="single" w:sz="4" w:space="0" w:color="auto"/>
            </w:tcBorders>
            <w:shd w:val="clear" w:color="auto" w:fill="auto"/>
            <w:vAlign w:val="center"/>
          </w:tcPr>
          <w:p w14:paraId="7D5BEAE0"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A4E89C3"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207D761" w14:textId="77777777" w:rsidR="00087D1A" w:rsidRPr="002644DE" w:rsidRDefault="00087D1A" w:rsidP="00087D1A">
            <w:pPr>
              <w:spacing w:after="0" w:line="240" w:lineRule="auto"/>
              <w:jc w:val="both"/>
              <w:rPr>
                <w:rFonts w:ascii="Times New Roman" w:eastAsia="Calibri" w:hAnsi="Times New Roman" w:cs="Times New Roman"/>
                <w:i/>
                <w:sz w:val="18"/>
                <w:szCs w:val="20"/>
                <w:lang w:eastAsia="sk-SK"/>
              </w:rPr>
            </w:pPr>
          </w:p>
        </w:tc>
      </w:tr>
      <w:tr w:rsidR="00087D1A" w:rsidRPr="002644DE" w14:paraId="65AD5D76" w14:textId="77777777" w:rsidTr="00DB36C7">
        <w:trPr>
          <w:trHeight w:val="397"/>
          <w:jc w:val="center"/>
        </w:trPr>
        <w:tc>
          <w:tcPr>
            <w:tcW w:w="129" w:type="pct"/>
            <w:vMerge/>
            <w:shd w:val="clear" w:color="auto" w:fill="auto"/>
            <w:vAlign w:val="center"/>
          </w:tcPr>
          <w:p w14:paraId="0FF0B2EE"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200D2131"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1179A4">
              <w:rPr>
                <w:rFonts w:ascii="Times New Roman" w:eastAsia="Calibri" w:hAnsi="Times New Roman" w:cs="Times New Roman"/>
                <w:i/>
                <w:sz w:val="18"/>
                <w:szCs w:val="20"/>
                <w:lang w:eastAsia="sk-SK"/>
              </w:rPr>
              <w:t>5</w:t>
            </w:r>
          </w:p>
        </w:tc>
        <w:tc>
          <w:tcPr>
            <w:tcW w:w="3229" w:type="pct"/>
            <w:tcBorders>
              <w:top w:val="dotted" w:sz="4" w:space="0" w:color="auto"/>
            </w:tcBorders>
            <w:shd w:val="clear" w:color="auto" w:fill="auto"/>
          </w:tcPr>
          <w:p w14:paraId="32BF0847"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3EFEA1AA" w14:textId="77777777" w:rsidTr="00DB36C7">
        <w:trPr>
          <w:trHeight w:val="454"/>
          <w:jc w:val="center"/>
        </w:trPr>
        <w:tc>
          <w:tcPr>
            <w:tcW w:w="129" w:type="pct"/>
            <w:tcBorders>
              <w:top w:val="dotted" w:sz="4" w:space="0" w:color="auto"/>
            </w:tcBorders>
            <w:shd w:val="clear" w:color="auto" w:fill="F2F2F2"/>
            <w:vAlign w:val="center"/>
          </w:tcPr>
          <w:p w14:paraId="46E7779F" w14:textId="77777777" w:rsidR="00087D1A" w:rsidRPr="002644DE" w:rsidRDefault="00087D1A" w:rsidP="00087D1A">
            <w:pPr>
              <w:spacing w:after="0" w:line="240" w:lineRule="auto"/>
              <w:jc w:val="both"/>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38E4DCFD"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7D1A" w:rsidRPr="002644DE" w14:paraId="419C876B" w14:textId="77777777" w:rsidTr="00DB36C7">
        <w:trPr>
          <w:trHeight w:val="680"/>
          <w:jc w:val="center"/>
        </w:trPr>
        <w:tc>
          <w:tcPr>
            <w:tcW w:w="129" w:type="pct"/>
            <w:vMerge w:val="restart"/>
            <w:tcBorders>
              <w:top w:val="dotted" w:sz="4" w:space="0" w:color="auto"/>
            </w:tcBorders>
            <w:shd w:val="clear" w:color="auto" w:fill="auto"/>
            <w:vAlign w:val="center"/>
          </w:tcPr>
          <w:p w14:paraId="498CC2BC"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817872E"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9A9C43A" w14:textId="77777777" w:rsidR="00087D1A" w:rsidRPr="002644DE" w:rsidRDefault="00087D1A" w:rsidP="00087D1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0D9E115"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5F601CB0" w14:textId="77777777" w:rsidTr="00DB36C7">
        <w:trPr>
          <w:trHeight w:val="680"/>
          <w:jc w:val="center"/>
        </w:trPr>
        <w:tc>
          <w:tcPr>
            <w:tcW w:w="129" w:type="pct"/>
            <w:vMerge/>
            <w:shd w:val="clear" w:color="auto" w:fill="auto"/>
            <w:vAlign w:val="center"/>
          </w:tcPr>
          <w:p w14:paraId="2D03F4D5"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p>
        </w:tc>
        <w:tc>
          <w:tcPr>
            <w:tcW w:w="1642" w:type="pct"/>
            <w:shd w:val="clear" w:color="auto" w:fill="auto"/>
          </w:tcPr>
          <w:p w14:paraId="0BD44FF8" w14:textId="77777777" w:rsidR="00087D1A" w:rsidRPr="002644DE" w:rsidRDefault="001179A4" w:rsidP="00087D1A">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5</w:t>
            </w:r>
          </w:p>
        </w:tc>
        <w:tc>
          <w:tcPr>
            <w:tcW w:w="3229" w:type="pct"/>
            <w:tcBorders>
              <w:top w:val="dotted" w:sz="4" w:space="0" w:color="auto"/>
            </w:tcBorders>
            <w:shd w:val="clear" w:color="auto" w:fill="auto"/>
          </w:tcPr>
          <w:p w14:paraId="6B0CA699"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r w:rsidR="00087D1A" w:rsidRPr="002644DE" w14:paraId="2CD5DAAA" w14:textId="77777777" w:rsidTr="00DB36C7">
        <w:trPr>
          <w:trHeight w:val="454"/>
          <w:jc w:val="center"/>
        </w:trPr>
        <w:tc>
          <w:tcPr>
            <w:tcW w:w="129" w:type="pct"/>
            <w:tcBorders>
              <w:top w:val="dotted" w:sz="4" w:space="0" w:color="auto"/>
              <w:bottom w:val="single" w:sz="4" w:space="0" w:color="auto"/>
            </w:tcBorders>
            <w:shd w:val="clear" w:color="auto" w:fill="auto"/>
            <w:vAlign w:val="center"/>
          </w:tcPr>
          <w:p w14:paraId="0539755E" w14:textId="77777777" w:rsidR="00087D1A" w:rsidRPr="002644DE" w:rsidRDefault="00087D1A" w:rsidP="00087D1A">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8583A12" w14:textId="77777777" w:rsidR="00087D1A" w:rsidRPr="002644DE" w:rsidRDefault="00087D1A" w:rsidP="00087D1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BB86A61" w14:textId="77777777" w:rsidR="00087D1A" w:rsidRPr="002644DE" w:rsidRDefault="00087D1A" w:rsidP="00087D1A">
            <w:pPr>
              <w:spacing w:after="0" w:line="240" w:lineRule="auto"/>
              <w:jc w:val="both"/>
              <w:rPr>
                <w:rFonts w:ascii="Times New Roman" w:eastAsia="Calibri" w:hAnsi="Times New Roman" w:cs="Times New Roman"/>
                <w:sz w:val="20"/>
                <w:szCs w:val="20"/>
                <w:lang w:eastAsia="sk-SK"/>
              </w:rPr>
            </w:pPr>
          </w:p>
        </w:tc>
      </w:tr>
    </w:tbl>
    <w:p w14:paraId="233273EA" w14:textId="77777777" w:rsidR="002644DE" w:rsidRPr="002644DE" w:rsidRDefault="002644DE" w:rsidP="00886FE8">
      <w:pPr>
        <w:jc w:val="both"/>
      </w:pPr>
      <w:r w:rsidRPr="002644DE">
        <w:br w:type="page"/>
      </w:r>
    </w:p>
    <w:p w14:paraId="6195AEC6" w14:textId="77777777" w:rsidR="002644DE" w:rsidRPr="002644DE" w:rsidRDefault="002644DE" w:rsidP="002644DE">
      <w:pPr>
        <w:sectPr w:rsidR="002644DE" w:rsidRPr="002644DE" w:rsidSect="00DB36C7">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3D4A6FBC" w14:textId="77777777" w:rsidTr="00DB36C7">
        <w:trPr>
          <w:trHeight w:val="339"/>
          <w:jc w:val="center"/>
        </w:trPr>
        <w:tc>
          <w:tcPr>
            <w:tcW w:w="4998" w:type="pct"/>
            <w:gridSpan w:val="4"/>
            <w:tcBorders>
              <w:bottom w:val="single" w:sz="4" w:space="0" w:color="auto"/>
            </w:tcBorders>
            <w:shd w:val="clear" w:color="auto" w:fill="D9D9D9"/>
          </w:tcPr>
          <w:p w14:paraId="465EC8CE"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05AA3FE4" w14:textId="77777777" w:rsidTr="00DB36C7">
        <w:trPr>
          <w:trHeight w:val="290"/>
          <w:jc w:val="center"/>
        </w:trPr>
        <w:tc>
          <w:tcPr>
            <w:tcW w:w="4998" w:type="pct"/>
            <w:gridSpan w:val="4"/>
            <w:tcBorders>
              <w:bottom w:val="single" w:sz="4" w:space="0" w:color="auto"/>
            </w:tcBorders>
            <w:shd w:val="clear" w:color="auto" w:fill="F2F2F2"/>
            <w:vAlign w:val="center"/>
          </w:tcPr>
          <w:p w14:paraId="6BAD6486"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75F651BA"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79C299D7" w14:textId="77777777" w:rsidTr="00DB36C7">
        <w:tblPrEx>
          <w:tblBorders>
            <w:top w:val="none" w:sz="0" w:space="0" w:color="auto"/>
            <w:bottom w:val="none" w:sz="0" w:space="0" w:color="auto"/>
          </w:tblBorders>
        </w:tblPrEx>
        <w:trPr>
          <w:trHeight w:val="557"/>
          <w:jc w:val="center"/>
        </w:trPr>
        <w:tc>
          <w:tcPr>
            <w:tcW w:w="180" w:type="pct"/>
            <w:shd w:val="clear" w:color="auto" w:fill="auto"/>
            <w:vAlign w:val="center"/>
          </w:tcPr>
          <w:p w14:paraId="6F61AFE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11A6BD04"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44ADF2A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04202D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5F73278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FC1305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167D3C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5733EA7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7DB665B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968135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08B9C00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590794F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12EAC73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53E82ECA"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0D57D79F" w14:textId="1B59EBDA" w:rsidR="002644DE" w:rsidRDefault="00A5585C" w:rsidP="00CC352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Hlavné zmeny v</w:t>
            </w:r>
            <w:r w:rsidR="00DF30E0">
              <w:rPr>
                <w:rFonts w:ascii="Times New Roman" w:eastAsia="Calibri" w:hAnsi="Times New Roman" w:cs="Times New Roman"/>
                <w:sz w:val="20"/>
                <w:szCs w:val="20"/>
                <w:lang w:eastAsia="sk-SK"/>
              </w:rPr>
              <w:t>o vládnom</w:t>
            </w:r>
            <w:r>
              <w:rPr>
                <w:rFonts w:ascii="Times New Roman" w:eastAsia="Calibri" w:hAnsi="Times New Roman" w:cs="Times New Roman"/>
                <w:sz w:val="20"/>
                <w:szCs w:val="20"/>
                <w:lang w:eastAsia="sk-SK"/>
              </w:rPr>
              <w:t xml:space="preserve"> návrhu zákona </w:t>
            </w:r>
            <w:r w:rsidR="005F197B">
              <w:rPr>
                <w:rFonts w:ascii="Times New Roman" w:eastAsia="Calibri" w:hAnsi="Times New Roman" w:cs="Times New Roman"/>
                <w:sz w:val="20"/>
                <w:szCs w:val="20"/>
                <w:lang w:eastAsia="sk-SK"/>
              </w:rPr>
              <w:t>reflektujú nasledovné problémy:</w:t>
            </w:r>
          </w:p>
          <w:p w14:paraId="7DF7B93D" w14:textId="77777777" w:rsidR="00A5585C" w:rsidRPr="00A5585C" w:rsidRDefault="00A5585C" w:rsidP="00CC352D">
            <w:pPr>
              <w:pStyle w:val="Odsekzoznamu"/>
              <w:numPr>
                <w:ilvl w:val="0"/>
                <w:numId w:val="15"/>
              </w:numPr>
              <w:jc w:val="both"/>
              <w:rPr>
                <w:rFonts w:ascii="Times New Roman" w:eastAsia="Times New Roman" w:hAnsi="Times New Roman" w:cs="Times New Roman"/>
                <w:sz w:val="20"/>
                <w:szCs w:val="20"/>
                <w:lang w:eastAsia="sk-SK"/>
              </w:rPr>
            </w:pPr>
            <w:r w:rsidRPr="00A5585C">
              <w:rPr>
                <w:rFonts w:ascii="Times New Roman" w:eastAsia="Times New Roman" w:hAnsi="Times New Roman" w:cs="Times New Roman"/>
                <w:sz w:val="20"/>
                <w:szCs w:val="20"/>
                <w:lang w:eastAsia="sk-SK"/>
              </w:rPr>
              <w:t>Suboptimálne rozloženie</w:t>
            </w:r>
            <w:r w:rsidR="00F07371">
              <w:rPr>
                <w:rFonts w:ascii="Times New Roman" w:eastAsia="Times New Roman" w:hAnsi="Times New Roman" w:cs="Times New Roman"/>
                <w:sz w:val="20"/>
                <w:szCs w:val="20"/>
                <w:lang w:eastAsia="sk-SK"/>
              </w:rPr>
              <w:t xml:space="preserve"> úspor sporiteľov v II. pilieri</w:t>
            </w:r>
            <w:r w:rsidR="00311279">
              <w:rPr>
                <w:rFonts w:ascii="Times New Roman" w:eastAsia="Times New Roman" w:hAnsi="Times New Roman" w:cs="Times New Roman"/>
                <w:sz w:val="20"/>
                <w:szCs w:val="20"/>
                <w:lang w:eastAsia="sk-SK"/>
              </w:rPr>
              <w:t>.</w:t>
            </w:r>
          </w:p>
          <w:p w14:paraId="238A4822" w14:textId="77777777" w:rsidR="00A5585C" w:rsidRPr="00A5585C" w:rsidRDefault="00A5585C" w:rsidP="00CC352D">
            <w:pPr>
              <w:pStyle w:val="Odsekzoznamu"/>
              <w:numPr>
                <w:ilvl w:val="0"/>
                <w:numId w:val="15"/>
              </w:numPr>
              <w:jc w:val="both"/>
              <w:rPr>
                <w:rFonts w:ascii="Times New Roman" w:eastAsia="Times New Roman" w:hAnsi="Times New Roman" w:cs="Times New Roman"/>
                <w:sz w:val="20"/>
                <w:szCs w:val="20"/>
                <w:lang w:eastAsia="sk-SK"/>
              </w:rPr>
            </w:pPr>
            <w:r w:rsidRPr="00A5585C">
              <w:rPr>
                <w:rFonts w:ascii="Times New Roman" w:eastAsia="Times New Roman" w:hAnsi="Times New Roman" w:cs="Times New Roman"/>
                <w:sz w:val="20"/>
                <w:szCs w:val="20"/>
                <w:lang w:eastAsia="sk-SK"/>
              </w:rPr>
              <w:t>Neefektívne využitie naakumulovaných zdrojov vo výplatnej fáze</w:t>
            </w:r>
            <w:r w:rsidR="00311279">
              <w:rPr>
                <w:rFonts w:ascii="Times New Roman" w:eastAsia="Times New Roman" w:hAnsi="Times New Roman" w:cs="Times New Roman"/>
                <w:sz w:val="20"/>
                <w:szCs w:val="20"/>
                <w:lang w:eastAsia="sk-SK"/>
              </w:rPr>
              <w:t>.</w:t>
            </w:r>
          </w:p>
          <w:p w14:paraId="0AFDF448" w14:textId="77777777" w:rsidR="00A5585C" w:rsidRDefault="00F07371" w:rsidP="00CC352D">
            <w:pPr>
              <w:pStyle w:val="Odsekzoznamu"/>
              <w:numPr>
                <w:ilvl w:val="0"/>
                <w:numId w:val="1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Odplaty</w:t>
            </w:r>
            <w:r w:rsidR="00311279">
              <w:rPr>
                <w:rFonts w:ascii="Times New Roman" w:eastAsia="Times New Roman" w:hAnsi="Times New Roman" w:cs="Times New Roman"/>
                <w:sz w:val="20"/>
                <w:szCs w:val="20"/>
                <w:lang w:eastAsia="sk-SK"/>
              </w:rPr>
              <w:t>.</w:t>
            </w:r>
          </w:p>
          <w:p w14:paraId="4B911CE9" w14:textId="77777777" w:rsidR="00F07371" w:rsidRPr="00A5585C" w:rsidRDefault="00F07371" w:rsidP="00CC352D">
            <w:pPr>
              <w:pStyle w:val="Odsekzoznamu"/>
              <w:numPr>
                <w:ilvl w:val="0"/>
                <w:numId w:val="1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Povinnosť dôchodkovej správcovskej spoločnosti doplniť majetok v dlhopisovom garantovanom dôchodkovom fonde</w:t>
            </w:r>
            <w:r w:rsidR="00311279">
              <w:rPr>
                <w:rFonts w:ascii="Times New Roman" w:eastAsia="Times New Roman" w:hAnsi="Times New Roman" w:cs="Times New Roman"/>
                <w:sz w:val="20"/>
                <w:szCs w:val="20"/>
                <w:lang w:eastAsia="sk-SK"/>
              </w:rPr>
              <w:t>.</w:t>
            </w:r>
          </w:p>
          <w:p w14:paraId="190EFDAC" w14:textId="77777777" w:rsidR="00311279" w:rsidRDefault="00DB49B7" w:rsidP="00CC352D">
            <w:pPr>
              <w:pStyle w:val="Odsekzoznamu"/>
              <w:numPr>
                <w:ilvl w:val="0"/>
                <w:numId w:val="15"/>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Nemožnosť p</w:t>
            </w:r>
            <w:r w:rsidR="00A5585C" w:rsidRPr="00A5585C">
              <w:rPr>
                <w:rFonts w:ascii="Times New Roman" w:eastAsia="Times New Roman" w:hAnsi="Times New Roman" w:cs="Times New Roman"/>
                <w:sz w:val="20"/>
                <w:szCs w:val="20"/>
                <w:lang w:eastAsia="sk-SK"/>
              </w:rPr>
              <w:t>lateni</w:t>
            </w:r>
            <w:r>
              <w:rPr>
                <w:rFonts w:ascii="Times New Roman" w:eastAsia="Times New Roman" w:hAnsi="Times New Roman" w:cs="Times New Roman"/>
                <w:sz w:val="20"/>
                <w:szCs w:val="20"/>
                <w:lang w:eastAsia="sk-SK"/>
              </w:rPr>
              <w:t>a</w:t>
            </w:r>
            <w:r w:rsidR="00A5585C" w:rsidRPr="00A5585C">
              <w:rPr>
                <w:rFonts w:ascii="Times New Roman" w:eastAsia="Times New Roman" w:hAnsi="Times New Roman" w:cs="Times New Roman"/>
                <w:sz w:val="20"/>
                <w:szCs w:val="20"/>
                <w:lang w:eastAsia="sk-SK"/>
              </w:rPr>
              <w:t xml:space="preserve"> a odvádzani</w:t>
            </w:r>
            <w:r>
              <w:rPr>
                <w:rFonts w:ascii="Times New Roman" w:eastAsia="Times New Roman" w:hAnsi="Times New Roman" w:cs="Times New Roman"/>
                <w:sz w:val="20"/>
                <w:szCs w:val="20"/>
                <w:lang w:eastAsia="sk-SK"/>
              </w:rPr>
              <w:t>a</w:t>
            </w:r>
            <w:r w:rsidR="00A5585C" w:rsidRPr="00A5585C">
              <w:rPr>
                <w:rFonts w:ascii="Times New Roman" w:eastAsia="Times New Roman" w:hAnsi="Times New Roman" w:cs="Times New Roman"/>
                <w:sz w:val="20"/>
                <w:szCs w:val="20"/>
                <w:lang w:eastAsia="sk-SK"/>
              </w:rPr>
              <w:t xml:space="preserve"> povinných príspevkov na starobné dôchodkové sporenie v prípade sporiteľov, ktorým sa vypláca dôchodok zo starobného dôchodkového sporenia a ktorí vykonávajú činnosť zakladajúcu dôchodkové poistenie</w:t>
            </w:r>
            <w:r w:rsidR="00311279">
              <w:rPr>
                <w:rFonts w:ascii="Times New Roman" w:eastAsia="Times New Roman" w:hAnsi="Times New Roman" w:cs="Times New Roman"/>
                <w:sz w:val="20"/>
                <w:szCs w:val="20"/>
                <w:lang w:eastAsia="sk-SK"/>
              </w:rPr>
              <w:t>.</w:t>
            </w:r>
          </w:p>
          <w:p w14:paraId="6F267FF4" w14:textId="77777777" w:rsidR="00A5585C" w:rsidRPr="00A5585C" w:rsidRDefault="00311279" w:rsidP="00311279">
            <w:pPr>
              <w:pStyle w:val="Odsekzoznamu"/>
              <w:numPr>
                <w:ilvl w:val="0"/>
                <w:numId w:val="15"/>
              </w:numPr>
              <w:jc w:val="both"/>
              <w:rPr>
                <w:rFonts w:ascii="Times New Roman" w:eastAsia="Times New Roman" w:hAnsi="Times New Roman" w:cs="Times New Roman"/>
                <w:sz w:val="20"/>
                <w:szCs w:val="20"/>
                <w:lang w:eastAsia="sk-SK"/>
              </w:rPr>
            </w:pPr>
            <w:r w:rsidRPr="00311279">
              <w:rPr>
                <w:rFonts w:ascii="Times New Roman" w:eastAsia="Times New Roman" w:hAnsi="Times New Roman" w:cs="Times New Roman"/>
                <w:sz w:val="20"/>
                <w:szCs w:val="20"/>
                <w:lang w:eastAsia="sk-SK"/>
              </w:rPr>
              <w:t>Vydávanie akceptačných listov Sociálnou poisťovňou</w:t>
            </w:r>
            <w:r>
              <w:rPr>
                <w:rFonts w:ascii="Times New Roman" w:eastAsia="Times New Roman" w:hAnsi="Times New Roman" w:cs="Times New Roman"/>
                <w:sz w:val="20"/>
                <w:szCs w:val="20"/>
                <w:lang w:eastAsia="sk-SK"/>
              </w:rPr>
              <w:t>.</w:t>
            </w:r>
          </w:p>
          <w:p w14:paraId="3307B6FE" w14:textId="77777777" w:rsidR="00311279" w:rsidRDefault="00311279" w:rsidP="00311279">
            <w:pPr>
              <w:spacing w:after="0" w:line="240" w:lineRule="auto"/>
              <w:jc w:val="both"/>
              <w:rPr>
                <w:rFonts w:ascii="Times New Roman" w:eastAsia="Calibri" w:hAnsi="Times New Roman" w:cs="Times New Roman"/>
                <w:sz w:val="20"/>
                <w:szCs w:val="20"/>
                <w:lang w:eastAsia="sk-SK"/>
              </w:rPr>
            </w:pPr>
            <w:r w:rsidRPr="00256F87">
              <w:rPr>
                <w:rFonts w:ascii="Times New Roman" w:eastAsia="Times New Roman" w:hAnsi="Times New Roman" w:cs="Times New Roman"/>
                <w:sz w:val="20"/>
                <w:szCs w:val="20"/>
                <w:lang w:eastAsia="sk-SK"/>
              </w:rPr>
              <w:t xml:space="preserve">Predvolená investičná stratégia bude okrem nových sporiteľov aplikovaná aj na </w:t>
            </w:r>
            <w:r w:rsidR="00990598">
              <w:rPr>
                <w:rFonts w:ascii="Times New Roman" w:eastAsia="Times New Roman" w:hAnsi="Times New Roman" w:cs="Times New Roman"/>
                <w:sz w:val="20"/>
                <w:szCs w:val="20"/>
                <w:lang w:eastAsia="sk-SK"/>
              </w:rPr>
              <w:t>väčšinu</w:t>
            </w:r>
            <w:r w:rsidRPr="00256F87">
              <w:rPr>
                <w:rFonts w:ascii="Times New Roman" w:eastAsia="Times New Roman" w:hAnsi="Times New Roman" w:cs="Times New Roman"/>
                <w:sz w:val="20"/>
                <w:szCs w:val="20"/>
                <w:lang w:eastAsia="sk-SK"/>
              </w:rPr>
              <w:t xml:space="preserve"> existujúcich, konkrétne na</w:t>
            </w:r>
            <w:r>
              <w:rPr>
                <w:rFonts w:ascii="Times New Roman" w:eastAsia="Times New Roman" w:hAnsi="Times New Roman" w:cs="Times New Roman"/>
                <w:sz w:val="20"/>
                <w:szCs w:val="20"/>
                <w:lang w:eastAsia="sk-SK"/>
              </w:rPr>
              <w:t xml:space="preserve"> sporiteľov narodených po roku 1968.</w:t>
            </w:r>
            <w:r w:rsidRPr="00256F87">
              <w:rPr>
                <w:rFonts w:ascii="Times New Roman" w:eastAsia="Times New Roman" w:hAnsi="Times New Roman" w:cs="Times New Roman"/>
                <w:sz w:val="20"/>
                <w:szCs w:val="20"/>
                <w:lang w:eastAsia="sk-SK"/>
              </w:rPr>
              <w:t xml:space="preserve"> </w:t>
            </w:r>
            <w:r>
              <w:rPr>
                <w:rFonts w:ascii="Times New Roman" w:eastAsia="Calibri" w:hAnsi="Times New Roman" w:cs="Times New Roman"/>
                <w:sz w:val="20"/>
                <w:szCs w:val="20"/>
                <w:lang w:eastAsia="sk-SK"/>
              </w:rPr>
              <w:t>Podľa údajov dôchodkových správcovských spoločností do tejto skupiny patrí cca 1,1 mil.</w:t>
            </w:r>
            <w:r w:rsidRPr="00C11163">
              <w:rPr>
                <w:rFonts w:ascii="Times New Roman" w:eastAsia="Calibri" w:hAnsi="Times New Roman" w:cs="Times New Roman"/>
                <w:sz w:val="20"/>
                <w:szCs w:val="20"/>
                <w:lang w:eastAsia="sk-SK"/>
              </w:rPr>
              <w:t xml:space="preserve"> sporiteľov s</w:t>
            </w:r>
            <w:r>
              <w:rPr>
                <w:rFonts w:ascii="Times New Roman" w:eastAsia="Calibri" w:hAnsi="Times New Roman" w:cs="Times New Roman"/>
                <w:sz w:val="20"/>
                <w:szCs w:val="20"/>
                <w:lang w:eastAsia="sk-SK"/>
              </w:rPr>
              <w:t xml:space="preserve"> celkovou nasporenou sumou cca 5,6 mld. eur. </w:t>
            </w:r>
          </w:p>
          <w:p w14:paraId="4A03F1C9" w14:textId="77777777" w:rsidR="00311279" w:rsidRDefault="00311279" w:rsidP="00CC352D">
            <w:pPr>
              <w:spacing w:after="0" w:line="240" w:lineRule="auto"/>
              <w:jc w:val="both"/>
              <w:rPr>
                <w:rFonts w:ascii="Times New Roman" w:eastAsia="Calibri" w:hAnsi="Times New Roman" w:cs="Times New Roman"/>
                <w:sz w:val="20"/>
                <w:szCs w:val="20"/>
                <w:lang w:eastAsia="sk-SK"/>
              </w:rPr>
            </w:pPr>
          </w:p>
          <w:p w14:paraId="145F78C0" w14:textId="77777777" w:rsidR="005F197B" w:rsidRDefault="005F197B" w:rsidP="00CC352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 základe vekovej štruktúry sporiteľov predpokladáme každoročný postupný nárast počtu sporiteľov v dôchodkovom veku, ktorí budú čerpať dôchodok z II. piliera z úrovne cca </w:t>
            </w:r>
            <w:r w:rsidR="00F07371">
              <w:rPr>
                <w:rFonts w:ascii="Times New Roman" w:eastAsia="Calibri" w:hAnsi="Times New Roman" w:cs="Times New Roman"/>
                <w:sz w:val="20"/>
                <w:szCs w:val="20"/>
                <w:lang w:eastAsia="sk-SK"/>
              </w:rPr>
              <w:t>9,7 tis.</w:t>
            </w:r>
            <w:r>
              <w:rPr>
                <w:rFonts w:ascii="Times New Roman" w:eastAsia="Calibri" w:hAnsi="Times New Roman" w:cs="Times New Roman"/>
                <w:sz w:val="20"/>
                <w:szCs w:val="20"/>
                <w:lang w:eastAsia="sk-SK"/>
              </w:rPr>
              <w:t xml:space="preserve"> v roku 202</w:t>
            </w:r>
            <w:r w:rsidR="00990598">
              <w:rPr>
                <w:rFonts w:ascii="Times New Roman" w:eastAsia="Calibri" w:hAnsi="Times New Roman" w:cs="Times New Roman"/>
                <w:sz w:val="20"/>
                <w:szCs w:val="20"/>
                <w:lang w:eastAsia="sk-SK"/>
              </w:rPr>
              <w:t>3</w:t>
            </w:r>
            <w:r>
              <w:rPr>
                <w:rFonts w:ascii="Times New Roman" w:eastAsia="Calibri" w:hAnsi="Times New Roman" w:cs="Times New Roman"/>
                <w:sz w:val="20"/>
                <w:szCs w:val="20"/>
                <w:lang w:eastAsia="sk-SK"/>
              </w:rPr>
              <w:t xml:space="preserve"> až na úroveň viac</w:t>
            </w:r>
            <w:r w:rsidR="00F07371">
              <w:rPr>
                <w:rFonts w:ascii="Times New Roman" w:eastAsia="Calibri" w:hAnsi="Times New Roman" w:cs="Times New Roman"/>
                <w:sz w:val="20"/>
                <w:szCs w:val="20"/>
                <w:lang w:eastAsia="sk-SK"/>
              </w:rPr>
              <w:t xml:space="preserve"> ako 23 tis.</w:t>
            </w:r>
            <w:r>
              <w:rPr>
                <w:rFonts w:ascii="Times New Roman" w:eastAsia="Calibri" w:hAnsi="Times New Roman" w:cs="Times New Roman"/>
                <w:sz w:val="20"/>
                <w:szCs w:val="20"/>
                <w:lang w:eastAsia="sk-SK"/>
              </w:rPr>
              <w:t xml:space="preserve"> v roku 2030. </w:t>
            </w:r>
          </w:p>
          <w:p w14:paraId="2DA8113A" w14:textId="77777777" w:rsidR="00F07371" w:rsidRDefault="00F07371" w:rsidP="00CC352D">
            <w:pPr>
              <w:spacing w:after="0" w:line="240" w:lineRule="auto"/>
              <w:jc w:val="both"/>
              <w:rPr>
                <w:rFonts w:ascii="Times New Roman" w:eastAsia="Calibri" w:hAnsi="Times New Roman" w:cs="Times New Roman"/>
                <w:sz w:val="20"/>
                <w:szCs w:val="20"/>
                <w:lang w:eastAsia="sk-SK"/>
              </w:rPr>
            </w:pPr>
          </w:p>
          <w:p w14:paraId="23A9AFBF" w14:textId="77777777" w:rsidR="00544476" w:rsidRDefault="00700490" w:rsidP="00CC352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Zmena vo výške a štruktúre odplát bude mať pozitívny dopad na všetkých sporiteľov v II. pilieri; podľa údajov Sociálnej poisťovne dosiahol počet sporiteľov k 30.6.2022 úroveň 1 708 531.    </w:t>
            </w:r>
          </w:p>
          <w:p w14:paraId="3FC7E56A" w14:textId="77777777" w:rsidR="00700490" w:rsidRDefault="00700490" w:rsidP="00CC352D">
            <w:pPr>
              <w:spacing w:after="0" w:line="240" w:lineRule="auto"/>
              <w:jc w:val="both"/>
              <w:rPr>
                <w:rFonts w:ascii="Times New Roman" w:eastAsia="Calibri" w:hAnsi="Times New Roman" w:cs="Times New Roman"/>
                <w:sz w:val="20"/>
                <w:szCs w:val="20"/>
                <w:lang w:eastAsia="sk-SK"/>
              </w:rPr>
            </w:pPr>
          </w:p>
          <w:p w14:paraId="72B8E1BB" w14:textId="77777777" w:rsidR="00544476" w:rsidRDefault="00544476" w:rsidP="00544476">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Individuálna garancia nominálnej hodnoty prostriedkov bude mať vplyv na každého sporiteľa, ktorý od 1.1.2023 požiada o dôchodok z II. piliera; v roku 2023 cca 9,7 tis. sporiteľov.</w:t>
            </w:r>
          </w:p>
          <w:p w14:paraId="39B8B50D" w14:textId="77777777" w:rsidR="00F07371" w:rsidRPr="005F197B" w:rsidRDefault="00F07371" w:rsidP="00CC352D">
            <w:pPr>
              <w:spacing w:after="0" w:line="240" w:lineRule="auto"/>
              <w:jc w:val="both"/>
              <w:rPr>
                <w:rFonts w:ascii="Times New Roman" w:eastAsia="Calibri" w:hAnsi="Times New Roman" w:cs="Times New Roman"/>
                <w:sz w:val="20"/>
                <w:szCs w:val="20"/>
                <w:lang w:eastAsia="sk-SK"/>
              </w:rPr>
            </w:pPr>
          </w:p>
          <w:p w14:paraId="7E067FC5" w14:textId="77777777" w:rsidR="00990598" w:rsidRDefault="005F197B" w:rsidP="00CC352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Platenie príspevkov do II. piliera aj v období poberania starobného a predčasného starobného dôchodku bude mať vplyv na cca 3,3 tis. sporiteľov v roku 2024</w:t>
            </w:r>
            <w:r w:rsidR="007F24F9">
              <w:rPr>
                <w:rFonts w:ascii="Times New Roman" w:eastAsia="Calibri" w:hAnsi="Times New Roman" w:cs="Times New Roman"/>
                <w:sz w:val="20"/>
                <w:szCs w:val="20"/>
                <w:lang w:eastAsia="sk-SK"/>
              </w:rPr>
              <w:t xml:space="preserve"> až cca 34,7 tis. sporiteľov v roku 2030. </w:t>
            </w:r>
            <w:r>
              <w:rPr>
                <w:rFonts w:ascii="Times New Roman" w:eastAsia="Calibri" w:hAnsi="Times New Roman" w:cs="Times New Roman"/>
                <w:sz w:val="20"/>
                <w:szCs w:val="20"/>
                <w:lang w:eastAsia="sk-SK"/>
              </w:rPr>
              <w:t xml:space="preserve"> </w:t>
            </w:r>
          </w:p>
          <w:p w14:paraId="5A60B6C7" w14:textId="77777777" w:rsidR="00311279" w:rsidRDefault="00311279" w:rsidP="00CC352D">
            <w:pPr>
              <w:spacing w:after="0" w:line="240" w:lineRule="auto"/>
              <w:jc w:val="both"/>
              <w:rPr>
                <w:rFonts w:ascii="Times New Roman" w:eastAsia="Calibri" w:hAnsi="Times New Roman" w:cs="Times New Roman"/>
                <w:sz w:val="20"/>
                <w:szCs w:val="20"/>
                <w:lang w:eastAsia="sk-SK"/>
              </w:rPr>
            </w:pPr>
          </w:p>
          <w:p w14:paraId="4B50E734" w14:textId="77777777" w:rsidR="00A5585C" w:rsidRPr="00A5585C" w:rsidRDefault="00311279" w:rsidP="00D81669">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Povinnosť získania akceptačného listu vydávaného Sociálnou poisťovňou pri prestupe sporiteľa do inej dôchodkovej správcovskej</w:t>
            </w:r>
            <w:r w:rsidR="002C0EE8">
              <w:rPr>
                <w:rFonts w:ascii="Times New Roman" w:eastAsia="Calibri" w:hAnsi="Times New Roman" w:cs="Times New Roman"/>
                <w:sz w:val="20"/>
                <w:szCs w:val="20"/>
                <w:lang w:eastAsia="sk-SK"/>
              </w:rPr>
              <w:t xml:space="preserve"> spoločnosti</w:t>
            </w:r>
            <w:r w:rsidR="00D81669">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 xml:space="preserve"> </w:t>
            </w:r>
            <w:r w:rsidR="00D81669">
              <w:rPr>
                <w:rFonts w:ascii="Times New Roman" w:eastAsia="Calibri" w:hAnsi="Times New Roman" w:cs="Times New Roman"/>
                <w:sz w:val="20"/>
                <w:szCs w:val="20"/>
                <w:lang w:eastAsia="sk-SK"/>
              </w:rPr>
              <w:t xml:space="preserve">Medzi rokmi 2005 až 2021 zmenilo dôchodkovú správcovskú spoločnosť priemerne ročne cca 26 000 sporiteľov. </w:t>
            </w:r>
          </w:p>
        </w:tc>
      </w:tr>
      <w:tr w:rsidR="002644DE" w:rsidRPr="002644DE" w14:paraId="19F7E013" w14:textId="77777777" w:rsidTr="00DB36C7">
        <w:trPr>
          <w:jc w:val="center"/>
        </w:trPr>
        <w:tc>
          <w:tcPr>
            <w:tcW w:w="180" w:type="pct"/>
            <w:tcBorders>
              <w:bottom w:val="single" w:sz="4" w:space="0" w:color="auto"/>
            </w:tcBorders>
            <w:shd w:val="clear" w:color="auto" w:fill="F2F2F2"/>
            <w:vAlign w:val="center"/>
          </w:tcPr>
          <w:p w14:paraId="3994D926"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1E5B4D0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FA64D7F"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22037A57" w14:textId="77777777" w:rsidTr="00DB36C7">
        <w:tblPrEx>
          <w:tblBorders>
            <w:top w:val="none" w:sz="0" w:space="0" w:color="auto"/>
          </w:tblBorders>
        </w:tblPrEx>
        <w:trPr>
          <w:trHeight w:val="677"/>
          <w:jc w:val="center"/>
        </w:trPr>
        <w:tc>
          <w:tcPr>
            <w:tcW w:w="179" w:type="pct"/>
            <w:shd w:val="clear" w:color="auto" w:fill="auto"/>
            <w:vAlign w:val="center"/>
          </w:tcPr>
          <w:p w14:paraId="555BF1B2"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43542DBA"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0F6B204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BC1DFE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nezamestnaní, najmä dlhodobo nezamestnaní, mladí nezamestnaní a nezamestnaní nad 50 rokov,</w:t>
            </w:r>
          </w:p>
          <w:p w14:paraId="77B70C1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4457952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6F0238C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434855C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490F6AF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6F875DF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372DD86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74D4B0E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1E92751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73A1D208" w14:textId="77777777" w:rsidR="002644DE" w:rsidRPr="002644DE" w:rsidRDefault="00A5585C"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lastRenderedPageBreak/>
              <w:t xml:space="preserve">Bez vplyvu. </w:t>
            </w:r>
          </w:p>
        </w:tc>
      </w:tr>
    </w:tbl>
    <w:p w14:paraId="7A7911C6" w14:textId="77777777" w:rsidR="002644DE" w:rsidRPr="002644DE" w:rsidRDefault="002644DE" w:rsidP="002644DE">
      <w:pPr>
        <w:sectPr w:rsidR="002644DE" w:rsidRPr="002644DE" w:rsidSect="00DB36C7">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2F62F60D" w14:textId="77777777" w:rsidTr="00DB36C7">
        <w:trPr>
          <w:jc w:val="center"/>
        </w:trPr>
        <w:tc>
          <w:tcPr>
            <w:tcW w:w="5000" w:type="pct"/>
            <w:gridSpan w:val="3"/>
            <w:shd w:val="clear" w:color="auto" w:fill="D9D9D9"/>
          </w:tcPr>
          <w:p w14:paraId="11ABE5A6"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0A95C994"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6BFC4598" w14:textId="77777777" w:rsidTr="00DB36C7">
        <w:trPr>
          <w:jc w:val="center"/>
        </w:trPr>
        <w:tc>
          <w:tcPr>
            <w:tcW w:w="132" w:type="pct"/>
            <w:tcBorders>
              <w:bottom w:val="single" w:sz="4" w:space="0" w:color="auto"/>
            </w:tcBorders>
            <w:shd w:val="clear" w:color="auto" w:fill="F2F2F2"/>
            <w:vAlign w:val="center"/>
          </w:tcPr>
          <w:p w14:paraId="02862EE9"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70C2607B"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7428D76B" w14:textId="77777777" w:rsidTr="00DB36C7">
        <w:trPr>
          <w:trHeight w:val="928"/>
          <w:jc w:val="center"/>
        </w:trPr>
        <w:tc>
          <w:tcPr>
            <w:tcW w:w="132" w:type="pct"/>
            <w:tcBorders>
              <w:top w:val="nil"/>
              <w:bottom w:val="nil"/>
            </w:tcBorders>
            <w:shd w:val="clear" w:color="auto" w:fill="auto"/>
          </w:tcPr>
          <w:p w14:paraId="4806D32D" w14:textId="77777777" w:rsidR="002644DE" w:rsidRPr="002644DE" w:rsidRDefault="002644DE" w:rsidP="002644DE">
            <w:pPr>
              <w:spacing w:after="0" w:line="240" w:lineRule="auto"/>
              <w:rPr>
                <w:rFonts w:ascii="Times New Roman" w:eastAsia="Calibri" w:hAnsi="Times New Roman" w:cs="Times New Roman"/>
                <w:sz w:val="20"/>
              </w:rPr>
            </w:pPr>
          </w:p>
          <w:p w14:paraId="48E04209" w14:textId="77777777" w:rsidR="002644DE" w:rsidRPr="002644DE" w:rsidRDefault="002644DE" w:rsidP="002644DE">
            <w:pPr>
              <w:spacing w:after="0" w:line="240" w:lineRule="auto"/>
              <w:rPr>
                <w:rFonts w:ascii="Times New Roman" w:eastAsia="Calibri" w:hAnsi="Times New Roman" w:cs="Times New Roman"/>
                <w:i/>
                <w:sz w:val="20"/>
              </w:rPr>
            </w:pPr>
          </w:p>
          <w:p w14:paraId="5E522132" w14:textId="77777777" w:rsidR="002644DE" w:rsidRPr="002644DE" w:rsidRDefault="002644DE" w:rsidP="002644DE">
            <w:pPr>
              <w:spacing w:after="0" w:line="240" w:lineRule="auto"/>
              <w:rPr>
                <w:rFonts w:ascii="Times New Roman" w:eastAsia="Calibri" w:hAnsi="Times New Roman" w:cs="Times New Roman"/>
                <w:i/>
                <w:sz w:val="20"/>
              </w:rPr>
            </w:pPr>
          </w:p>
          <w:p w14:paraId="0FD05169"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45CFDF3E" w14:textId="77777777" w:rsidR="002644DE" w:rsidRPr="002644DE" w:rsidRDefault="002644DE" w:rsidP="002644DE">
            <w:pPr>
              <w:spacing w:after="0" w:line="240" w:lineRule="auto"/>
              <w:rPr>
                <w:rFonts w:ascii="Times New Roman" w:eastAsia="Calibri" w:hAnsi="Times New Roman" w:cs="Times New Roman"/>
                <w:i/>
                <w:sz w:val="20"/>
              </w:rPr>
            </w:pPr>
          </w:p>
          <w:p w14:paraId="52B42CE8" w14:textId="77777777" w:rsidR="002644DE" w:rsidRPr="002644DE" w:rsidRDefault="002644DE" w:rsidP="002644DE">
            <w:pPr>
              <w:spacing w:after="0" w:line="240" w:lineRule="auto"/>
              <w:rPr>
                <w:rFonts w:ascii="Times New Roman" w:eastAsia="Calibri" w:hAnsi="Times New Roman" w:cs="Times New Roman"/>
                <w:i/>
                <w:sz w:val="20"/>
              </w:rPr>
            </w:pPr>
          </w:p>
          <w:p w14:paraId="652BA2E3"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5614B9CD" w14:textId="77777777" w:rsidR="002644DE" w:rsidRPr="001D356C" w:rsidRDefault="001D356C"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 xml:space="preserve">Bez vplyvu. </w:t>
            </w:r>
          </w:p>
        </w:tc>
      </w:tr>
      <w:tr w:rsidR="002644DE" w:rsidRPr="002644DE" w14:paraId="42B9DBA1" w14:textId="77777777" w:rsidTr="00DB36C7">
        <w:trPr>
          <w:trHeight w:val="345"/>
          <w:jc w:val="center"/>
        </w:trPr>
        <w:tc>
          <w:tcPr>
            <w:tcW w:w="132" w:type="pct"/>
            <w:tcBorders>
              <w:bottom w:val="single" w:sz="4" w:space="0" w:color="auto"/>
            </w:tcBorders>
            <w:shd w:val="clear" w:color="auto" w:fill="F2F2F2"/>
            <w:vAlign w:val="center"/>
          </w:tcPr>
          <w:p w14:paraId="5DDD1DE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06D20942"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41607429" w14:textId="77777777" w:rsidTr="00DB36C7">
        <w:tblPrEx>
          <w:tblBorders>
            <w:top w:val="none" w:sz="0" w:space="0" w:color="auto"/>
            <w:bottom w:val="none" w:sz="0" w:space="0" w:color="auto"/>
          </w:tblBorders>
        </w:tblPrEx>
        <w:trPr>
          <w:trHeight w:val="372"/>
          <w:jc w:val="center"/>
        </w:trPr>
        <w:tc>
          <w:tcPr>
            <w:tcW w:w="132" w:type="pct"/>
            <w:shd w:val="clear" w:color="auto" w:fill="auto"/>
            <w:vAlign w:val="center"/>
          </w:tcPr>
          <w:p w14:paraId="6F2B813C"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7309BB2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575DB7C9" w14:textId="77777777" w:rsidR="002644DE" w:rsidRPr="002644DE" w:rsidRDefault="001D356C"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14:paraId="72B3C6C8" w14:textId="77777777" w:rsidTr="00DB36C7">
        <w:tblPrEx>
          <w:tblBorders>
            <w:top w:val="none" w:sz="0" w:space="0" w:color="auto"/>
            <w:bottom w:val="none" w:sz="0" w:space="0" w:color="auto"/>
          </w:tblBorders>
        </w:tblPrEx>
        <w:trPr>
          <w:trHeight w:val="371"/>
          <w:jc w:val="center"/>
        </w:trPr>
        <w:tc>
          <w:tcPr>
            <w:tcW w:w="132" w:type="pct"/>
            <w:shd w:val="clear" w:color="auto" w:fill="auto"/>
            <w:vAlign w:val="center"/>
          </w:tcPr>
          <w:p w14:paraId="2C55101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5656982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53189FB5" w14:textId="77777777" w:rsidR="002644DE" w:rsidRPr="002644DE" w:rsidRDefault="001D356C"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14:paraId="16F48CA1" w14:textId="77777777" w:rsidTr="00DB36C7">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75DDD34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5A00197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50DF05F6" w14:textId="77777777" w:rsidR="002644DE" w:rsidRPr="002644DE" w:rsidRDefault="001D356C"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14:paraId="503D6093" w14:textId="77777777" w:rsidTr="00DB36C7">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3EC3C34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728070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5A2C899"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60F677D0"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6A5F456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63F7186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970DF6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1A37F33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6F79B18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A9BBB1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33654CBB" w14:textId="77777777" w:rsidR="002644DE" w:rsidRPr="002644DE" w:rsidRDefault="001D356C"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bl>
    <w:p w14:paraId="5DAEBB8C"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DB36C7">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6501A266" w14:textId="77777777" w:rsidTr="00DB36C7">
        <w:trPr>
          <w:jc w:val="center"/>
        </w:trPr>
        <w:tc>
          <w:tcPr>
            <w:tcW w:w="5000" w:type="pct"/>
            <w:gridSpan w:val="3"/>
            <w:shd w:val="clear" w:color="auto" w:fill="D9D9D9"/>
          </w:tcPr>
          <w:p w14:paraId="135DC307"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0F0F9CDE"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11F33B91" w14:textId="77777777" w:rsidTr="00DB36C7">
        <w:trPr>
          <w:trHeight w:val="287"/>
          <w:jc w:val="center"/>
        </w:trPr>
        <w:tc>
          <w:tcPr>
            <w:tcW w:w="129" w:type="pct"/>
            <w:tcBorders>
              <w:top w:val="nil"/>
              <w:bottom w:val="single" w:sz="4" w:space="0" w:color="auto"/>
            </w:tcBorders>
            <w:shd w:val="clear" w:color="auto" w:fill="F2F2F2"/>
            <w:vAlign w:val="center"/>
          </w:tcPr>
          <w:p w14:paraId="0AC0144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05D68684"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64FFACD" w14:textId="77777777" w:rsidTr="00DB36C7">
        <w:trPr>
          <w:trHeight w:val="567"/>
          <w:jc w:val="center"/>
        </w:trPr>
        <w:tc>
          <w:tcPr>
            <w:tcW w:w="129" w:type="pct"/>
            <w:tcBorders>
              <w:top w:val="nil"/>
              <w:bottom w:val="single" w:sz="4" w:space="0" w:color="auto"/>
            </w:tcBorders>
            <w:shd w:val="clear" w:color="auto" w:fill="FFFFFF"/>
            <w:vAlign w:val="center"/>
          </w:tcPr>
          <w:p w14:paraId="3B40D35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40F863C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1418CBD2" w14:textId="77777777" w:rsidR="002644DE" w:rsidRPr="002644DE" w:rsidRDefault="001D3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267CFCD2" w14:textId="77777777" w:rsidTr="00DB36C7">
        <w:trPr>
          <w:trHeight w:val="270"/>
          <w:jc w:val="center"/>
        </w:trPr>
        <w:tc>
          <w:tcPr>
            <w:tcW w:w="129" w:type="pct"/>
            <w:tcBorders>
              <w:bottom w:val="single" w:sz="4" w:space="0" w:color="auto"/>
            </w:tcBorders>
            <w:shd w:val="clear" w:color="auto" w:fill="F2F2F2"/>
            <w:vAlign w:val="center"/>
          </w:tcPr>
          <w:p w14:paraId="1555573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05FF195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5D0B7907" w14:textId="77777777" w:rsidTr="00DB36C7">
        <w:trPr>
          <w:trHeight w:val="454"/>
          <w:jc w:val="center"/>
        </w:trPr>
        <w:tc>
          <w:tcPr>
            <w:tcW w:w="129" w:type="pct"/>
            <w:tcBorders>
              <w:bottom w:val="single" w:sz="4" w:space="0" w:color="auto"/>
            </w:tcBorders>
            <w:shd w:val="clear" w:color="auto" w:fill="FFFFFF"/>
            <w:vAlign w:val="center"/>
          </w:tcPr>
          <w:p w14:paraId="23FBDDA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10742A7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538CD670" w14:textId="77777777" w:rsidR="002644DE" w:rsidRPr="002644DE" w:rsidRDefault="001D3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248F088B" w14:textId="77777777" w:rsidTr="00DB36C7">
        <w:trPr>
          <w:trHeight w:val="248"/>
          <w:jc w:val="center"/>
        </w:trPr>
        <w:tc>
          <w:tcPr>
            <w:tcW w:w="129" w:type="pct"/>
            <w:tcBorders>
              <w:bottom w:val="single" w:sz="4" w:space="0" w:color="auto"/>
            </w:tcBorders>
            <w:shd w:val="clear" w:color="auto" w:fill="F2F2F2"/>
            <w:vAlign w:val="center"/>
          </w:tcPr>
          <w:p w14:paraId="1C2EE26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4DB1441E"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422EA356" w14:textId="77777777" w:rsidTr="00DB36C7">
        <w:trPr>
          <w:trHeight w:val="209"/>
          <w:jc w:val="center"/>
        </w:trPr>
        <w:tc>
          <w:tcPr>
            <w:tcW w:w="129" w:type="pct"/>
            <w:tcBorders>
              <w:bottom w:val="single" w:sz="4" w:space="0" w:color="auto"/>
            </w:tcBorders>
            <w:shd w:val="clear" w:color="auto" w:fill="FFFFFF"/>
            <w:vAlign w:val="center"/>
          </w:tcPr>
          <w:p w14:paraId="1E47879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928EC6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20197EF" w14:textId="77777777" w:rsidR="002644DE" w:rsidRPr="002644DE" w:rsidRDefault="001D3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24F3221C" w14:textId="77777777" w:rsidTr="00DB36C7">
        <w:trPr>
          <w:trHeight w:val="208"/>
          <w:jc w:val="center"/>
        </w:trPr>
        <w:tc>
          <w:tcPr>
            <w:tcW w:w="129" w:type="pct"/>
            <w:tcBorders>
              <w:bottom w:val="single" w:sz="4" w:space="0" w:color="auto"/>
            </w:tcBorders>
            <w:shd w:val="clear" w:color="auto" w:fill="F2F2F2"/>
            <w:vAlign w:val="center"/>
          </w:tcPr>
          <w:p w14:paraId="123CE94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45CEADE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4954D80E" w14:textId="77777777" w:rsidTr="00DB36C7">
        <w:trPr>
          <w:trHeight w:val="794"/>
          <w:jc w:val="center"/>
        </w:trPr>
        <w:tc>
          <w:tcPr>
            <w:tcW w:w="129" w:type="pct"/>
            <w:tcBorders>
              <w:bottom w:val="single" w:sz="4" w:space="0" w:color="auto"/>
            </w:tcBorders>
            <w:shd w:val="clear" w:color="auto" w:fill="FFFFFF"/>
            <w:vAlign w:val="center"/>
          </w:tcPr>
          <w:p w14:paraId="1E704AD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4F2E1B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04C9B5EC" w14:textId="77777777" w:rsidR="002644DE" w:rsidRPr="002644DE" w:rsidRDefault="001D3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54D1F678" w14:textId="77777777" w:rsidTr="00DB36C7">
        <w:trPr>
          <w:trHeight w:val="324"/>
          <w:jc w:val="center"/>
        </w:trPr>
        <w:tc>
          <w:tcPr>
            <w:tcW w:w="129" w:type="pct"/>
            <w:tcBorders>
              <w:bottom w:val="single" w:sz="4" w:space="0" w:color="auto"/>
            </w:tcBorders>
            <w:shd w:val="clear" w:color="auto" w:fill="F2F2F2"/>
            <w:vAlign w:val="center"/>
          </w:tcPr>
          <w:p w14:paraId="56F1693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65DBABF"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2A8AC5D7" w14:textId="77777777" w:rsidTr="00DB36C7">
        <w:trPr>
          <w:trHeight w:val="216"/>
          <w:jc w:val="center"/>
        </w:trPr>
        <w:tc>
          <w:tcPr>
            <w:tcW w:w="129" w:type="pct"/>
            <w:tcBorders>
              <w:bottom w:val="single" w:sz="4" w:space="0" w:color="auto"/>
            </w:tcBorders>
            <w:shd w:val="clear" w:color="auto" w:fill="FFFFFF"/>
            <w:vAlign w:val="center"/>
          </w:tcPr>
          <w:p w14:paraId="15E9459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311E9BB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7E47FB90" w14:textId="77777777" w:rsidR="002644DE" w:rsidRPr="002644DE" w:rsidRDefault="001D3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2C38B73F" w14:textId="77777777" w:rsidTr="00DB36C7">
        <w:trPr>
          <w:trHeight w:val="219"/>
          <w:jc w:val="center"/>
        </w:trPr>
        <w:tc>
          <w:tcPr>
            <w:tcW w:w="129" w:type="pct"/>
            <w:tcBorders>
              <w:bottom w:val="single" w:sz="4" w:space="0" w:color="auto"/>
            </w:tcBorders>
            <w:shd w:val="clear" w:color="auto" w:fill="F2F2F2"/>
            <w:vAlign w:val="center"/>
          </w:tcPr>
          <w:p w14:paraId="28D48CC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7D2915DD"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2003B45D" w14:textId="77777777" w:rsidTr="00DB36C7">
        <w:trPr>
          <w:trHeight w:val="497"/>
          <w:jc w:val="center"/>
        </w:trPr>
        <w:tc>
          <w:tcPr>
            <w:tcW w:w="129" w:type="pct"/>
            <w:tcBorders>
              <w:bottom w:val="single" w:sz="4" w:space="0" w:color="auto"/>
            </w:tcBorders>
            <w:shd w:val="clear" w:color="auto" w:fill="FFFFFF"/>
            <w:vAlign w:val="center"/>
          </w:tcPr>
          <w:p w14:paraId="16DABE6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60C68EE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C6594A1" w14:textId="77777777" w:rsidR="002644DE" w:rsidRPr="002644DE" w:rsidRDefault="001D356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14:paraId="492B1F63" w14:textId="77777777" w:rsidR="00DB36C7" w:rsidRDefault="00DB36C7" w:rsidP="007563EE">
      <w:pPr>
        <w:spacing w:after="0" w:line="240" w:lineRule="auto"/>
        <w:jc w:val="center"/>
        <w:outlineLvl w:val="0"/>
      </w:pPr>
    </w:p>
    <w:sectPr w:rsidR="00DB36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7919" w14:textId="77777777" w:rsidR="00176980" w:rsidRDefault="00176980" w:rsidP="002644DE">
      <w:pPr>
        <w:spacing w:after="0" w:line="240" w:lineRule="auto"/>
      </w:pPr>
      <w:r>
        <w:separator/>
      </w:r>
    </w:p>
  </w:endnote>
  <w:endnote w:type="continuationSeparator" w:id="0">
    <w:p w14:paraId="33FDC171" w14:textId="77777777" w:rsidR="00176980" w:rsidRDefault="00176980"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6E7A63F5" w14:textId="53B96175" w:rsidR="002336B0" w:rsidRPr="001D6749" w:rsidRDefault="002336B0">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020F5">
          <w:rPr>
            <w:rFonts w:ascii="Times New Roman" w:hAnsi="Times New Roman" w:cs="Times New Roman"/>
            <w:noProof/>
          </w:rPr>
          <w:t>7</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662D4E03" w14:textId="56D1DD29" w:rsidR="002336B0" w:rsidRPr="001D6749" w:rsidRDefault="002336B0">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020F5">
          <w:rPr>
            <w:rFonts w:ascii="Times New Roman" w:hAnsi="Times New Roman" w:cs="Times New Roman"/>
            <w:noProof/>
          </w:rPr>
          <w:t>11</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4BAEE" w14:textId="77777777" w:rsidR="00176980" w:rsidRDefault="00176980" w:rsidP="002644DE">
      <w:pPr>
        <w:spacing w:after="0" w:line="240" w:lineRule="auto"/>
      </w:pPr>
      <w:r>
        <w:separator/>
      </w:r>
    </w:p>
  </w:footnote>
  <w:footnote w:type="continuationSeparator" w:id="0">
    <w:p w14:paraId="47AF28D9" w14:textId="77777777" w:rsidR="00176980" w:rsidRDefault="00176980"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4DB5" w14:textId="77777777" w:rsidR="002336B0" w:rsidRPr="00433C47" w:rsidRDefault="002336B0"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C3800A0"/>
    <w:multiLevelType w:val="hybridMultilevel"/>
    <w:tmpl w:val="7422B4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D12825"/>
    <w:multiLevelType w:val="hybridMultilevel"/>
    <w:tmpl w:val="AB3A61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3"/>
  </w:num>
  <w:num w:numId="5">
    <w:abstractNumId w:val="9"/>
  </w:num>
  <w:num w:numId="6">
    <w:abstractNumId w:val="10"/>
  </w:num>
  <w:num w:numId="7">
    <w:abstractNumId w:val="5"/>
  </w:num>
  <w:num w:numId="8">
    <w:abstractNumId w:val="8"/>
  </w:num>
  <w:num w:numId="9">
    <w:abstractNumId w:val="7"/>
  </w:num>
  <w:num w:numId="10">
    <w:abstractNumId w:val="0"/>
  </w:num>
  <w:num w:numId="11">
    <w:abstractNumId w:val="11"/>
  </w:num>
  <w:num w:numId="12">
    <w:abstractNumId w:val="12"/>
  </w:num>
  <w:num w:numId="13">
    <w:abstractNumId w:val="1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540C"/>
    <w:rsid w:val="00060EEC"/>
    <w:rsid w:val="000620F0"/>
    <w:rsid w:val="00065CB0"/>
    <w:rsid w:val="00087D1A"/>
    <w:rsid w:val="00093755"/>
    <w:rsid w:val="000E4A47"/>
    <w:rsid w:val="00104FA2"/>
    <w:rsid w:val="001179A4"/>
    <w:rsid w:val="00176980"/>
    <w:rsid w:val="001950B5"/>
    <w:rsid w:val="001D356C"/>
    <w:rsid w:val="001E15B7"/>
    <w:rsid w:val="001F3412"/>
    <w:rsid w:val="002336B0"/>
    <w:rsid w:val="002644DE"/>
    <w:rsid w:val="00270344"/>
    <w:rsid w:val="00272571"/>
    <w:rsid w:val="00284021"/>
    <w:rsid w:val="002A7700"/>
    <w:rsid w:val="002B40D5"/>
    <w:rsid w:val="002B4777"/>
    <w:rsid w:val="002B57EE"/>
    <w:rsid w:val="002C0EE8"/>
    <w:rsid w:val="002C5DA8"/>
    <w:rsid w:val="002C7D36"/>
    <w:rsid w:val="002D1B6C"/>
    <w:rsid w:val="00305898"/>
    <w:rsid w:val="00311279"/>
    <w:rsid w:val="00353A0B"/>
    <w:rsid w:val="00382021"/>
    <w:rsid w:val="003A7F73"/>
    <w:rsid w:val="003B0D0E"/>
    <w:rsid w:val="003B57ED"/>
    <w:rsid w:val="0040256B"/>
    <w:rsid w:val="00422316"/>
    <w:rsid w:val="004247C0"/>
    <w:rsid w:val="00433C47"/>
    <w:rsid w:val="0044175A"/>
    <w:rsid w:val="00460120"/>
    <w:rsid w:val="00470697"/>
    <w:rsid w:val="00474EE8"/>
    <w:rsid w:val="004F5350"/>
    <w:rsid w:val="00504CF9"/>
    <w:rsid w:val="00544476"/>
    <w:rsid w:val="00575FA5"/>
    <w:rsid w:val="005C024C"/>
    <w:rsid w:val="005C2DA8"/>
    <w:rsid w:val="005C30A5"/>
    <w:rsid w:val="005C5B69"/>
    <w:rsid w:val="005C6218"/>
    <w:rsid w:val="005D1C37"/>
    <w:rsid w:val="005D2F14"/>
    <w:rsid w:val="005D6FDC"/>
    <w:rsid w:val="005F098E"/>
    <w:rsid w:val="005F197B"/>
    <w:rsid w:val="005F48A0"/>
    <w:rsid w:val="00633A4B"/>
    <w:rsid w:val="00634D3D"/>
    <w:rsid w:val="00636449"/>
    <w:rsid w:val="006F7B3C"/>
    <w:rsid w:val="00700490"/>
    <w:rsid w:val="007062BF"/>
    <w:rsid w:val="00717D37"/>
    <w:rsid w:val="007563EE"/>
    <w:rsid w:val="0077235A"/>
    <w:rsid w:val="007A3679"/>
    <w:rsid w:val="007A7AA5"/>
    <w:rsid w:val="007E57E7"/>
    <w:rsid w:val="007F24F9"/>
    <w:rsid w:val="007F5786"/>
    <w:rsid w:val="007F6319"/>
    <w:rsid w:val="00835D94"/>
    <w:rsid w:val="00836468"/>
    <w:rsid w:val="00861079"/>
    <w:rsid w:val="00874E43"/>
    <w:rsid w:val="008801B5"/>
    <w:rsid w:val="00886FE8"/>
    <w:rsid w:val="00890CFA"/>
    <w:rsid w:val="0089132B"/>
    <w:rsid w:val="0089310B"/>
    <w:rsid w:val="008B09A9"/>
    <w:rsid w:val="008D304D"/>
    <w:rsid w:val="008E0D08"/>
    <w:rsid w:val="0091450E"/>
    <w:rsid w:val="00924BC5"/>
    <w:rsid w:val="0095188C"/>
    <w:rsid w:val="009601B0"/>
    <w:rsid w:val="00971F01"/>
    <w:rsid w:val="009743FE"/>
    <w:rsid w:val="00990598"/>
    <w:rsid w:val="009A19F7"/>
    <w:rsid w:val="009E09F7"/>
    <w:rsid w:val="009E3FC9"/>
    <w:rsid w:val="009E6745"/>
    <w:rsid w:val="009E6F65"/>
    <w:rsid w:val="00A248BB"/>
    <w:rsid w:val="00A5585C"/>
    <w:rsid w:val="00A95C1C"/>
    <w:rsid w:val="00AA0AE0"/>
    <w:rsid w:val="00AA335D"/>
    <w:rsid w:val="00AA44CD"/>
    <w:rsid w:val="00AA5F7A"/>
    <w:rsid w:val="00AB6359"/>
    <w:rsid w:val="00AB7D59"/>
    <w:rsid w:val="00AC1EB4"/>
    <w:rsid w:val="00AD4782"/>
    <w:rsid w:val="00B75121"/>
    <w:rsid w:val="00BD141A"/>
    <w:rsid w:val="00C020F5"/>
    <w:rsid w:val="00C11163"/>
    <w:rsid w:val="00C64236"/>
    <w:rsid w:val="00C664FF"/>
    <w:rsid w:val="00CA3B3B"/>
    <w:rsid w:val="00CC352D"/>
    <w:rsid w:val="00CE5F65"/>
    <w:rsid w:val="00CF1662"/>
    <w:rsid w:val="00D556C1"/>
    <w:rsid w:val="00D81669"/>
    <w:rsid w:val="00D90BF7"/>
    <w:rsid w:val="00D9382D"/>
    <w:rsid w:val="00D95849"/>
    <w:rsid w:val="00DA16FC"/>
    <w:rsid w:val="00DA35B9"/>
    <w:rsid w:val="00DB36C7"/>
    <w:rsid w:val="00DB4551"/>
    <w:rsid w:val="00DB49B7"/>
    <w:rsid w:val="00DC21F3"/>
    <w:rsid w:val="00DD3CE8"/>
    <w:rsid w:val="00DD4647"/>
    <w:rsid w:val="00DF30E0"/>
    <w:rsid w:val="00DF4028"/>
    <w:rsid w:val="00E111C7"/>
    <w:rsid w:val="00E5276B"/>
    <w:rsid w:val="00E90992"/>
    <w:rsid w:val="00ED2426"/>
    <w:rsid w:val="00ED76C6"/>
    <w:rsid w:val="00EE37F3"/>
    <w:rsid w:val="00F07371"/>
    <w:rsid w:val="00F15D7F"/>
    <w:rsid w:val="00F33C07"/>
    <w:rsid w:val="00F35C3E"/>
    <w:rsid w:val="00F467A7"/>
    <w:rsid w:val="00F47B95"/>
    <w:rsid w:val="00F7039E"/>
    <w:rsid w:val="00F92867"/>
    <w:rsid w:val="00FD53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7183"/>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44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A5585C"/>
    <w:pPr>
      <w:ind w:left="720"/>
      <w:contextualSpacing/>
    </w:pPr>
  </w:style>
  <w:style w:type="paragraph" w:styleId="Textbubliny">
    <w:name w:val="Balloon Text"/>
    <w:basedOn w:val="Normlny"/>
    <w:link w:val="TextbublinyChar"/>
    <w:uiPriority w:val="99"/>
    <w:semiHidden/>
    <w:unhideWhenUsed/>
    <w:rsid w:val="00886F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6FE8"/>
    <w:rPr>
      <w:rFonts w:ascii="Segoe UI" w:hAnsi="Segoe UI" w:cs="Segoe UI"/>
      <w:sz w:val="18"/>
      <w:szCs w:val="18"/>
    </w:rPr>
  </w:style>
  <w:style w:type="character" w:styleId="Odkaznakomentr">
    <w:name w:val="annotation reference"/>
    <w:basedOn w:val="Predvolenpsmoodseku"/>
    <w:uiPriority w:val="99"/>
    <w:semiHidden/>
    <w:unhideWhenUsed/>
    <w:rsid w:val="00E90992"/>
    <w:rPr>
      <w:sz w:val="16"/>
      <w:szCs w:val="16"/>
    </w:rPr>
  </w:style>
  <w:style w:type="paragraph" w:styleId="Textkomentra">
    <w:name w:val="annotation text"/>
    <w:basedOn w:val="Normlny"/>
    <w:link w:val="TextkomentraChar"/>
    <w:uiPriority w:val="99"/>
    <w:semiHidden/>
    <w:unhideWhenUsed/>
    <w:rsid w:val="00E90992"/>
    <w:pPr>
      <w:spacing w:line="240" w:lineRule="auto"/>
    </w:pPr>
    <w:rPr>
      <w:sz w:val="20"/>
      <w:szCs w:val="20"/>
    </w:rPr>
  </w:style>
  <w:style w:type="character" w:customStyle="1" w:styleId="TextkomentraChar">
    <w:name w:val="Text komentára Char"/>
    <w:basedOn w:val="Predvolenpsmoodseku"/>
    <w:link w:val="Textkomentra"/>
    <w:uiPriority w:val="99"/>
    <w:semiHidden/>
    <w:rsid w:val="00E90992"/>
    <w:rPr>
      <w:sz w:val="20"/>
      <w:szCs w:val="20"/>
    </w:rPr>
  </w:style>
  <w:style w:type="paragraph" w:styleId="Predmetkomentra">
    <w:name w:val="annotation subject"/>
    <w:basedOn w:val="Textkomentra"/>
    <w:next w:val="Textkomentra"/>
    <w:link w:val="PredmetkomentraChar"/>
    <w:uiPriority w:val="99"/>
    <w:semiHidden/>
    <w:unhideWhenUsed/>
    <w:rsid w:val="00E90992"/>
    <w:rPr>
      <w:b/>
      <w:bCs/>
    </w:rPr>
  </w:style>
  <w:style w:type="character" w:customStyle="1" w:styleId="PredmetkomentraChar">
    <w:name w:val="Predmet komentára Char"/>
    <w:basedOn w:val="TextkomentraChar"/>
    <w:link w:val="Predmetkomentra"/>
    <w:uiPriority w:val="99"/>
    <w:semiHidden/>
    <w:rsid w:val="00E90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7FC112C-DE96-4CFA-BAE9-6865BDF7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4772</Words>
  <Characters>27202</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3</cp:revision>
  <cp:lastPrinted>2022-05-02T07:30:00Z</cp:lastPrinted>
  <dcterms:created xsi:type="dcterms:W3CDTF">2022-08-24T11:29:00Z</dcterms:created>
  <dcterms:modified xsi:type="dcterms:W3CDTF">2022-08-24T11:46:00Z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