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3DB1"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6A2167A5"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6551E903" w14:textId="77777777" w:rsidTr="000800FC">
        <w:tc>
          <w:tcPr>
            <w:tcW w:w="9180" w:type="dxa"/>
            <w:gridSpan w:val="11"/>
            <w:tcBorders>
              <w:bottom w:val="single" w:sz="4" w:space="0" w:color="FFFFFF"/>
            </w:tcBorders>
            <w:shd w:val="clear" w:color="auto" w:fill="E2E2E2"/>
          </w:tcPr>
          <w:p w14:paraId="1E92159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478AB326" w14:textId="77777777" w:rsidTr="000800FC">
        <w:tc>
          <w:tcPr>
            <w:tcW w:w="9180" w:type="dxa"/>
            <w:gridSpan w:val="11"/>
            <w:tcBorders>
              <w:bottom w:val="single" w:sz="4" w:space="0" w:color="FFFFFF"/>
            </w:tcBorders>
            <w:shd w:val="clear" w:color="auto" w:fill="E2E2E2"/>
          </w:tcPr>
          <w:p w14:paraId="1264FEAB"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4EFF27B8" w14:textId="77777777" w:rsidTr="000800FC">
        <w:tc>
          <w:tcPr>
            <w:tcW w:w="9180" w:type="dxa"/>
            <w:gridSpan w:val="11"/>
            <w:tcBorders>
              <w:top w:val="single" w:sz="4" w:space="0" w:color="FFFFFF"/>
              <w:bottom w:val="single" w:sz="4" w:space="0" w:color="auto"/>
            </w:tcBorders>
          </w:tcPr>
          <w:p w14:paraId="2F078828" w14:textId="7D1ACB69" w:rsidR="001B23B7" w:rsidRPr="00B043B4" w:rsidRDefault="000F19DD" w:rsidP="000F19D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Pr="00523661">
              <w:rPr>
                <w:rFonts w:ascii="Times New Roman" w:eastAsia="Times New Roman" w:hAnsi="Times New Roman" w:cs="Times New Roman"/>
                <w:sz w:val="20"/>
                <w:szCs w:val="20"/>
                <w:lang w:eastAsia="sk-SK"/>
              </w:rPr>
              <w:t xml:space="preserve">ávrh </w:t>
            </w:r>
            <w:r w:rsidR="00523661" w:rsidRPr="00523661">
              <w:rPr>
                <w:rFonts w:ascii="Times New Roman" w:eastAsia="Times New Roman" w:hAnsi="Times New Roman" w:cs="Times New Roman"/>
                <w:sz w:val="20"/>
                <w:szCs w:val="20"/>
                <w:lang w:eastAsia="sk-SK"/>
              </w:rPr>
              <w:t>zákona, ktorým sa mení a dopĺňa zákon č. 43/2004 Z. z. o starobnom dôchodkovom sporení a o zmene a doplnení niektorých zákonov v znení neskorších predpisov a ktorým sa men</w:t>
            </w:r>
            <w:r w:rsidR="00EF17FD">
              <w:rPr>
                <w:rFonts w:ascii="Times New Roman" w:eastAsia="Times New Roman" w:hAnsi="Times New Roman" w:cs="Times New Roman"/>
                <w:sz w:val="20"/>
                <w:szCs w:val="20"/>
                <w:lang w:eastAsia="sk-SK"/>
              </w:rPr>
              <w:t>ia a dopĺňajú niektoré zákony</w:t>
            </w:r>
          </w:p>
        </w:tc>
      </w:tr>
      <w:tr w:rsidR="001B23B7" w:rsidRPr="00B043B4" w14:paraId="7827246F"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2DA398BC"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4719349B"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10ADA2C0" w14:textId="1E1D774C" w:rsidR="001B23B7" w:rsidRPr="00B043B4" w:rsidRDefault="003B0A00"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Ministerstvo práce, sociálnych vecí a rodiny Slovenskej republiky </w:t>
            </w:r>
          </w:p>
          <w:p w14:paraId="70494CE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3AD345F7"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D03F8C0"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C6A9A72"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0B3BFD5"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4654A9E8" w14:textId="77777777" w:rsidTr="000800FC">
        <w:tc>
          <w:tcPr>
            <w:tcW w:w="4212" w:type="dxa"/>
            <w:gridSpan w:val="2"/>
            <w:vMerge/>
            <w:tcBorders>
              <w:top w:val="nil"/>
              <w:left w:val="single" w:sz="4" w:space="0" w:color="auto"/>
              <w:bottom w:val="single" w:sz="4" w:space="0" w:color="FFFFFF"/>
            </w:tcBorders>
            <w:shd w:val="clear" w:color="auto" w:fill="E2E2E2"/>
          </w:tcPr>
          <w:p w14:paraId="562FEAAC"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74AAF71" w14:textId="77777777" w:rsidR="001B23B7" w:rsidRPr="00B043B4" w:rsidRDefault="00523661"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7392531"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224EAD62" w14:textId="77777777" w:rsidTr="000800FC">
        <w:tc>
          <w:tcPr>
            <w:tcW w:w="4212" w:type="dxa"/>
            <w:gridSpan w:val="2"/>
            <w:vMerge/>
            <w:tcBorders>
              <w:top w:val="nil"/>
              <w:left w:val="single" w:sz="4" w:space="0" w:color="auto"/>
              <w:bottom w:val="single" w:sz="4" w:space="0" w:color="auto"/>
            </w:tcBorders>
            <w:shd w:val="clear" w:color="auto" w:fill="E2E2E2"/>
          </w:tcPr>
          <w:p w14:paraId="390712B5"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F657308"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1FAEC79"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4402A666"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3F5E50C2"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204CF93F"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339065B3"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4B67FF5"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85798DE" w14:textId="77777777" w:rsidR="001B23B7" w:rsidRPr="009F29D8" w:rsidRDefault="0034420B" w:rsidP="000800FC">
            <w:pPr>
              <w:rPr>
                <w:rFonts w:ascii="Times New Roman" w:eastAsia="Times New Roman" w:hAnsi="Times New Roman" w:cs="Times New Roman"/>
                <w:i/>
                <w:sz w:val="20"/>
                <w:szCs w:val="20"/>
                <w:lang w:eastAsia="sk-SK"/>
              </w:rPr>
            </w:pPr>
            <w:r w:rsidRPr="009F29D8">
              <w:rPr>
                <w:rFonts w:ascii="Times New Roman" w:eastAsia="Times New Roman" w:hAnsi="Times New Roman" w:cs="Times New Roman"/>
                <w:i/>
                <w:sz w:val="20"/>
                <w:szCs w:val="20"/>
                <w:lang w:eastAsia="sk-SK"/>
              </w:rPr>
              <w:t>19</w:t>
            </w:r>
            <w:r w:rsidR="00523661" w:rsidRPr="009F29D8">
              <w:rPr>
                <w:rFonts w:ascii="Times New Roman" w:eastAsia="Times New Roman" w:hAnsi="Times New Roman" w:cs="Times New Roman"/>
                <w:i/>
                <w:sz w:val="20"/>
                <w:szCs w:val="20"/>
                <w:lang w:eastAsia="sk-SK"/>
              </w:rPr>
              <w:t>.4.2022 – 27.4.2022</w:t>
            </w:r>
          </w:p>
        </w:tc>
      </w:tr>
      <w:tr w:rsidR="001B23B7" w:rsidRPr="00B043B4" w14:paraId="5E1B2D34"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59A50D4"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C1BB5D3" w14:textId="014AE141" w:rsidR="001B23B7" w:rsidRPr="009F29D8" w:rsidRDefault="00523661" w:rsidP="000800FC">
            <w:pPr>
              <w:rPr>
                <w:rFonts w:ascii="Times New Roman" w:eastAsia="Times New Roman" w:hAnsi="Times New Roman" w:cs="Times New Roman"/>
                <w:i/>
                <w:sz w:val="20"/>
                <w:szCs w:val="20"/>
                <w:lang w:eastAsia="sk-SK"/>
              </w:rPr>
            </w:pPr>
            <w:r w:rsidRPr="009F29D8">
              <w:rPr>
                <w:rFonts w:ascii="Times New Roman" w:eastAsia="Times New Roman" w:hAnsi="Times New Roman" w:cs="Times New Roman"/>
                <w:i/>
                <w:sz w:val="20"/>
                <w:szCs w:val="20"/>
                <w:lang w:eastAsia="sk-SK"/>
              </w:rPr>
              <w:t>2.</w:t>
            </w:r>
            <w:r w:rsidR="00B10781">
              <w:rPr>
                <w:rFonts w:ascii="Times New Roman" w:eastAsia="Times New Roman" w:hAnsi="Times New Roman" w:cs="Times New Roman"/>
                <w:i/>
                <w:sz w:val="20"/>
                <w:szCs w:val="20"/>
                <w:lang w:eastAsia="sk-SK"/>
              </w:rPr>
              <w:t>5</w:t>
            </w:r>
            <w:r w:rsidRPr="009F29D8">
              <w:rPr>
                <w:rFonts w:ascii="Times New Roman" w:eastAsia="Times New Roman" w:hAnsi="Times New Roman" w:cs="Times New Roman"/>
                <w:i/>
                <w:sz w:val="20"/>
                <w:szCs w:val="20"/>
                <w:lang w:eastAsia="sk-SK"/>
              </w:rPr>
              <w:t xml:space="preserve">.2022 – </w:t>
            </w:r>
            <w:r w:rsidR="00B10781">
              <w:rPr>
                <w:rFonts w:ascii="Times New Roman" w:eastAsia="Times New Roman" w:hAnsi="Times New Roman" w:cs="Times New Roman"/>
                <w:i/>
                <w:sz w:val="20"/>
                <w:szCs w:val="20"/>
                <w:lang w:eastAsia="sk-SK"/>
              </w:rPr>
              <w:t>20</w:t>
            </w:r>
            <w:r w:rsidRPr="009F29D8">
              <w:rPr>
                <w:rFonts w:ascii="Times New Roman" w:eastAsia="Times New Roman" w:hAnsi="Times New Roman" w:cs="Times New Roman"/>
                <w:i/>
                <w:sz w:val="20"/>
                <w:szCs w:val="20"/>
                <w:lang w:eastAsia="sk-SK"/>
              </w:rPr>
              <w:t>.5.2022</w:t>
            </w:r>
          </w:p>
        </w:tc>
      </w:tr>
      <w:tr w:rsidR="001B23B7" w:rsidRPr="00B043B4" w14:paraId="1F9669CF"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3A1FDA7"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88CE0BD" w14:textId="13E59B93" w:rsidR="001B23B7" w:rsidRPr="00B043B4" w:rsidRDefault="004C5E06">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2.8.2022 – 8.8.2022</w:t>
            </w:r>
          </w:p>
        </w:tc>
      </w:tr>
      <w:tr w:rsidR="001B23B7" w:rsidRPr="00B043B4" w14:paraId="685CEC38"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865F80C"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AE9DA00" w14:textId="66E871B2" w:rsidR="001B23B7" w:rsidRPr="00B043B4" w:rsidRDefault="00D50A86"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August 2022</w:t>
            </w:r>
          </w:p>
        </w:tc>
      </w:tr>
      <w:tr w:rsidR="001B23B7" w:rsidRPr="00B043B4" w14:paraId="38F705D3" w14:textId="77777777" w:rsidTr="000800FC">
        <w:tc>
          <w:tcPr>
            <w:tcW w:w="9180" w:type="dxa"/>
            <w:gridSpan w:val="11"/>
            <w:tcBorders>
              <w:top w:val="single" w:sz="4" w:space="0" w:color="auto"/>
              <w:left w:val="nil"/>
              <w:bottom w:val="single" w:sz="4" w:space="0" w:color="auto"/>
              <w:right w:val="nil"/>
            </w:tcBorders>
            <w:shd w:val="clear" w:color="auto" w:fill="FFFFFF"/>
          </w:tcPr>
          <w:p w14:paraId="4FDEFF5A"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654B748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7A7393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0B10666A"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AC1849B" w14:textId="77777777" w:rsidR="00D261E5" w:rsidRPr="00256F87" w:rsidRDefault="00D261E5" w:rsidP="00FD05EC">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Suboptimálne rozloženie úspor sporiteľov v II. pilieri</w:t>
            </w:r>
          </w:p>
          <w:p w14:paraId="0D08FEEF" w14:textId="747579C4" w:rsidR="00FD05EC" w:rsidRPr="00256F87" w:rsidRDefault="00133041" w:rsidP="00FD05EC">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V roku 2013 sa na základe zákona č. 252/2012 Z. z. ktorým sa mení a dopĺňa zákon č. 461/2003 Z. z. o sociálnom poistení v znení neskorších predpisov a ktorým sa menia a dopĺňajú niektoré zákony </w:t>
            </w:r>
            <w:r w:rsidR="00CF3D26" w:rsidRPr="00CF3D26">
              <w:rPr>
                <w:rFonts w:ascii="Times New Roman" w:eastAsia="Times New Roman" w:hAnsi="Times New Roman" w:cs="Times New Roman"/>
                <w:color w:val="000000" w:themeColor="text1"/>
                <w:sz w:val="20"/>
                <w:szCs w:val="20"/>
                <w:lang w:eastAsia="sk-SK"/>
              </w:rPr>
              <w:t xml:space="preserve">(vrátane zákona č. </w:t>
            </w:r>
            <w:hyperlink r:id="rId8" w:tooltip="Odkaz na predpis alebo ustanovenie" w:history="1">
              <w:r w:rsidR="00CF3D26" w:rsidRPr="00CF3D26">
                <w:rPr>
                  <w:rStyle w:val="Hypertextovprepojenie"/>
                  <w:rFonts w:ascii="Times New Roman" w:hAnsi="Times New Roman" w:cs="Times New Roman"/>
                  <w:i/>
                  <w:iCs/>
                  <w:color w:val="000000" w:themeColor="text1"/>
                  <w:sz w:val="20"/>
                  <w:szCs w:val="20"/>
                  <w:u w:val="none"/>
                  <w:shd w:val="clear" w:color="auto" w:fill="FFFFFF"/>
                </w:rPr>
                <w:t>43/2004 Z. z.</w:t>
              </w:r>
            </w:hyperlink>
            <w:r w:rsidR="00CF3D26" w:rsidRPr="00CF3D26">
              <w:rPr>
                <w:rFonts w:ascii="Times New Roman" w:hAnsi="Times New Roman" w:cs="Times New Roman"/>
                <w:color w:val="000000" w:themeColor="text1"/>
                <w:sz w:val="20"/>
                <w:szCs w:val="20"/>
                <w:shd w:val="clear" w:color="auto" w:fill="FFFFFF"/>
              </w:rPr>
              <w:t> o</w:t>
            </w:r>
            <w:r w:rsidR="00CF3D26" w:rsidRPr="00CF3D26">
              <w:rPr>
                <w:rFonts w:ascii="Times New Roman" w:eastAsia="Times New Roman" w:hAnsi="Times New Roman" w:cs="Times New Roman"/>
                <w:color w:val="000000" w:themeColor="text1"/>
                <w:sz w:val="20"/>
                <w:szCs w:val="20"/>
                <w:lang w:eastAsia="sk-SK"/>
              </w:rPr>
              <w:t xml:space="preserve"> </w:t>
            </w:r>
            <w:r w:rsidR="00CF3D26" w:rsidRPr="00CF3D26">
              <w:rPr>
                <w:rFonts w:ascii="Times New Roman" w:hAnsi="Times New Roman" w:cs="Times New Roman"/>
                <w:color w:val="000000" w:themeColor="text1"/>
                <w:sz w:val="20"/>
                <w:szCs w:val="20"/>
                <w:shd w:val="clear" w:color="auto" w:fill="FFFFFF"/>
              </w:rPr>
              <w:t>starobnom dôchodkovom sporení a o zmene a doplnení niektorých zákonov v znení neskorších predpisov</w:t>
            </w:r>
            <w:r w:rsidR="00CF3D26" w:rsidRPr="00CF3D26">
              <w:rPr>
                <w:rFonts w:ascii="Times New Roman" w:eastAsia="Times New Roman" w:hAnsi="Times New Roman" w:cs="Times New Roman"/>
                <w:color w:val="000000" w:themeColor="text1"/>
                <w:sz w:val="20"/>
                <w:szCs w:val="20"/>
                <w:lang w:eastAsia="sk-SK"/>
              </w:rPr>
              <w:t xml:space="preserve">) </w:t>
            </w:r>
            <w:r w:rsidR="00EF17FD" w:rsidRPr="00256F87">
              <w:rPr>
                <w:rFonts w:ascii="Times New Roman" w:eastAsia="Times New Roman" w:hAnsi="Times New Roman" w:cs="Times New Roman"/>
                <w:sz w:val="20"/>
                <w:szCs w:val="20"/>
                <w:lang w:eastAsia="sk-SK"/>
              </w:rPr>
              <w:t>stal</w:t>
            </w:r>
            <w:r w:rsidR="00EF17FD">
              <w:rPr>
                <w:rFonts w:ascii="Times New Roman" w:eastAsia="Times New Roman" w:hAnsi="Times New Roman" w:cs="Times New Roman"/>
                <w:sz w:val="20"/>
                <w:szCs w:val="20"/>
                <w:lang w:eastAsia="sk-SK"/>
              </w:rPr>
              <w:t>o</w:t>
            </w:r>
            <w:r w:rsidR="00EF17FD" w:rsidRPr="00256F87">
              <w:rPr>
                <w:rFonts w:ascii="Times New Roman" w:eastAsia="Times New Roman" w:hAnsi="Times New Roman" w:cs="Times New Roman"/>
                <w:sz w:val="20"/>
                <w:szCs w:val="20"/>
                <w:lang w:eastAsia="sk-SK"/>
              </w:rPr>
              <w:t xml:space="preserve"> približne 1,13 milióna sporiteľov </w:t>
            </w:r>
            <w:r w:rsidR="00EF17FD">
              <w:rPr>
                <w:rFonts w:ascii="Times New Roman" w:eastAsia="Times New Roman" w:hAnsi="Times New Roman" w:cs="Times New Roman"/>
                <w:sz w:val="20"/>
                <w:szCs w:val="20"/>
                <w:lang w:eastAsia="sk-SK"/>
              </w:rPr>
              <w:t xml:space="preserve">sporiteľmi </w:t>
            </w:r>
            <w:r w:rsidRPr="00256F87">
              <w:rPr>
                <w:rFonts w:ascii="Times New Roman" w:eastAsia="Times New Roman" w:hAnsi="Times New Roman" w:cs="Times New Roman"/>
                <w:sz w:val="20"/>
                <w:szCs w:val="20"/>
                <w:lang w:eastAsia="sk-SK"/>
              </w:rPr>
              <w:t xml:space="preserve">v dlhopisovom garantovanom dôchodkovom fonde </w:t>
            </w:r>
            <w:r w:rsidR="00EF17FD" w:rsidRPr="00256F87">
              <w:rPr>
                <w:rFonts w:ascii="Times New Roman" w:eastAsia="Times New Roman" w:hAnsi="Times New Roman" w:cs="Times New Roman"/>
                <w:sz w:val="20"/>
                <w:szCs w:val="20"/>
                <w:lang w:eastAsia="sk-SK"/>
              </w:rPr>
              <w:t>(nedoručili vyhlásenie dôchodkovej správcovskej spoločnosti)</w:t>
            </w:r>
            <w:r w:rsidRPr="00256F87">
              <w:rPr>
                <w:rFonts w:ascii="Times New Roman" w:eastAsia="Times New Roman" w:hAnsi="Times New Roman" w:cs="Times New Roman"/>
                <w:sz w:val="20"/>
                <w:szCs w:val="20"/>
                <w:lang w:eastAsia="sk-SK"/>
              </w:rPr>
              <w:t xml:space="preserve">. </w:t>
            </w:r>
            <w:r w:rsidR="000E57CA" w:rsidRPr="00256F87">
              <w:rPr>
                <w:rFonts w:ascii="Times New Roman" w:eastAsia="Times New Roman" w:hAnsi="Times New Roman" w:cs="Times New Roman"/>
                <w:sz w:val="20"/>
                <w:szCs w:val="20"/>
                <w:lang w:eastAsia="sk-SK"/>
              </w:rPr>
              <w:t xml:space="preserve">V II. pilieri bolo ku koncu roka 2021 stále približne 706 000 sporiteľov, ktorí od dátumu administratívneho presunu do </w:t>
            </w:r>
            <w:r w:rsidR="00FD05EC" w:rsidRPr="00256F87">
              <w:rPr>
                <w:rFonts w:ascii="Times New Roman" w:eastAsia="Times New Roman" w:hAnsi="Times New Roman" w:cs="Times New Roman"/>
                <w:sz w:val="20"/>
                <w:szCs w:val="20"/>
                <w:lang w:eastAsia="sk-SK"/>
              </w:rPr>
              <w:t>dlhopisových garantovaných dôchodkových fondov (ďalej len „</w:t>
            </w:r>
            <w:r w:rsidR="000E57CA" w:rsidRPr="00256F87">
              <w:rPr>
                <w:rFonts w:ascii="Times New Roman" w:eastAsia="Times New Roman" w:hAnsi="Times New Roman" w:cs="Times New Roman"/>
                <w:sz w:val="20"/>
                <w:szCs w:val="20"/>
                <w:lang w:eastAsia="sk-SK"/>
              </w:rPr>
              <w:t>DGDF</w:t>
            </w:r>
            <w:r w:rsidR="00FD05EC" w:rsidRPr="00256F87">
              <w:rPr>
                <w:rFonts w:ascii="Times New Roman" w:eastAsia="Times New Roman" w:hAnsi="Times New Roman" w:cs="Times New Roman"/>
                <w:sz w:val="20"/>
                <w:szCs w:val="20"/>
                <w:lang w:eastAsia="sk-SK"/>
              </w:rPr>
              <w:t>“)</w:t>
            </w:r>
            <w:r w:rsidR="000E57CA" w:rsidRPr="00256F87">
              <w:rPr>
                <w:rFonts w:ascii="Times New Roman" w:eastAsia="Times New Roman" w:hAnsi="Times New Roman" w:cs="Times New Roman"/>
                <w:sz w:val="20"/>
                <w:szCs w:val="20"/>
                <w:lang w:eastAsia="sk-SK"/>
              </w:rPr>
              <w:t xml:space="preserve"> v roku 2013 nevykonali žiadn</w:t>
            </w:r>
            <w:r w:rsidR="00EB10D5">
              <w:rPr>
                <w:rFonts w:ascii="Times New Roman" w:eastAsia="Times New Roman" w:hAnsi="Times New Roman" w:cs="Times New Roman"/>
                <w:sz w:val="20"/>
                <w:szCs w:val="20"/>
                <w:lang w:eastAsia="sk-SK"/>
              </w:rPr>
              <w:t>e</w:t>
            </w:r>
            <w:r w:rsidR="000E57CA" w:rsidRPr="00256F87">
              <w:rPr>
                <w:rFonts w:ascii="Times New Roman" w:eastAsia="Times New Roman" w:hAnsi="Times New Roman" w:cs="Times New Roman"/>
                <w:sz w:val="20"/>
                <w:szCs w:val="20"/>
                <w:lang w:eastAsia="sk-SK"/>
              </w:rPr>
              <w:t xml:space="preserve"> aktívne rozhodnutie (neprestúpili do iného dôchodkového fondu spravovaného tou istou alebo inou dôchodkovou správcovskou spoločnosťou a ani nezmenili percentuálne rozloženie nových príspevkov). </w:t>
            </w:r>
            <w:r w:rsidRPr="00256F87">
              <w:rPr>
                <w:rFonts w:ascii="Times New Roman" w:eastAsia="Times New Roman" w:hAnsi="Times New Roman" w:cs="Times New Roman"/>
                <w:sz w:val="20"/>
                <w:szCs w:val="20"/>
                <w:lang w:eastAsia="sk-SK"/>
              </w:rPr>
              <w:t>Ku koncu roka 2021 bolo v II. pilieri celkovo 1 680 220 sporiteľov</w:t>
            </w:r>
            <w:r w:rsidR="00124185">
              <w:rPr>
                <w:rFonts w:ascii="Times New Roman" w:eastAsia="Times New Roman" w:hAnsi="Times New Roman" w:cs="Times New Roman"/>
                <w:sz w:val="20"/>
                <w:szCs w:val="20"/>
                <w:lang w:eastAsia="sk-SK"/>
              </w:rPr>
              <w:t>, z toho viac ako 1,1 mil. malo celý majetok alebo jeho časť alokovaný do DGDF</w:t>
            </w:r>
            <w:r w:rsidR="00FD05EC" w:rsidRPr="00256F87">
              <w:rPr>
                <w:rFonts w:ascii="Times New Roman" w:eastAsia="Times New Roman" w:hAnsi="Times New Roman" w:cs="Times New Roman"/>
                <w:sz w:val="20"/>
                <w:szCs w:val="20"/>
                <w:lang w:eastAsia="sk-SK"/>
              </w:rPr>
              <w:t>.</w:t>
            </w:r>
            <w:r w:rsidR="000D47CB">
              <w:rPr>
                <w:rFonts w:ascii="Times New Roman" w:eastAsia="Times New Roman" w:hAnsi="Times New Roman" w:cs="Times New Roman"/>
                <w:sz w:val="20"/>
                <w:szCs w:val="20"/>
                <w:lang w:eastAsia="sk-SK"/>
              </w:rPr>
              <w:t xml:space="preserve"> Vzhľadom na skutočnosť, že priemerné zhodnotenie DGDF dosahovalo medzi rokmi 2012 až 2021 úroveň cca 1,4 %, pričom priemerné zhodnotenie indexových </w:t>
            </w:r>
            <w:r w:rsidR="00EF17FD">
              <w:rPr>
                <w:rFonts w:ascii="Times New Roman" w:eastAsia="Times New Roman" w:hAnsi="Times New Roman" w:cs="Times New Roman"/>
                <w:sz w:val="20"/>
                <w:szCs w:val="20"/>
                <w:lang w:eastAsia="sk-SK"/>
              </w:rPr>
              <w:t xml:space="preserve">dôchodkových </w:t>
            </w:r>
            <w:r w:rsidR="000D47CB">
              <w:rPr>
                <w:rFonts w:ascii="Times New Roman" w:eastAsia="Times New Roman" w:hAnsi="Times New Roman" w:cs="Times New Roman"/>
                <w:sz w:val="20"/>
                <w:szCs w:val="20"/>
                <w:lang w:eastAsia="sk-SK"/>
              </w:rPr>
              <w:t>fondov bolo v rovnakom období na úrovni cca 10,8 %</w:t>
            </w:r>
            <w:r w:rsidR="00384DD6">
              <w:rPr>
                <w:rFonts w:ascii="Times New Roman" w:eastAsia="Times New Roman" w:hAnsi="Times New Roman" w:cs="Times New Roman"/>
                <w:sz w:val="20"/>
                <w:szCs w:val="20"/>
                <w:lang w:eastAsia="sk-SK"/>
              </w:rPr>
              <w:t>, n</w:t>
            </w:r>
            <w:r w:rsidR="000D47CB">
              <w:rPr>
                <w:rFonts w:ascii="Times New Roman" w:eastAsia="Times New Roman" w:hAnsi="Times New Roman" w:cs="Times New Roman"/>
                <w:sz w:val="20"/>
                <w:szCs w:val="20"/>
                <w:lang w:eastAsia="sk-SK"/>
              </w:rPr>
              <w:t>eadekvátnym rozložením úspor sa sporitelia vystavujú riziku nízkeho dôchodku v</w:t>
            </w:r>
            <w:r w:rsidR="00384DD6">
              <w:rPr>
                <w:rFonts w:ascii="Times New Roman" w:eastAsia="Times New Roman" w:hAnsi="Times New Roman" w:cs="Times New Roman"/>
                <w:sz w:val="20"/>
                <w:szCs w:val="20"/>
                <w:lang w:eastAsia="sk-SK"/>
              </w:rPr>
              <w:t> </w:t>
            </w:r>
            <w:r w:rsidR="000D47CB">
              <w:rPr>
                <w:rFonts w:ascii="Times New Roman" w:eastAsia="Times New Roman" w:hAnsi="Times New Roman" w:cs="Times New Roman"/>
                <w:sz w:val="20"/>
                <w:szCs w:val="20"/>
                <w:lang w:eastAsia="sk-SK"/>
              </w:rPr>
              <w:t>budúcnosti</w:t>
            </w:r>
            <w:r w:rsidR="00384DD6">
              <w:rPr>
                <w:rFonts w:ascii="Times New Roman" w:eastAsia="Times New Roman" w:hAnsi="Times New Roman" w:cs="Times New Roman"/>
                <w:sz w:val="20"/>
                <w:szCs w:val="20"/>
                <w:lang w:eastAsia="sk-SK"/>
              </w:rPr>
              <w:t xml:space="preserve"> </w:t>
            </w:r>
            <w:r w:rsidR="00EC6E85">
              <w:rPr>
                <w:rFonts w:ascii="Times New Roman" w:eastAsia="Times New Roman" w:hAnsi="Times New Roman" w:cs="Times New Roman"/>
                <w:sz w:val="20"/>
                <w:szCs w:val="20"/>
                <w:lang w:eastAsia="sk-SK"/>
              </w:rPr>
              <w:t xml:space="preserve">spojenému </w:t>
            </w:r>
            <w:r w:rsidR="00384DD6">
              <w:rPr>
                <w:rFonts w:ascii="Times New Roman" w:eastAsia="Times New Roman" w:hAnsi="Times New Roman" w:cs="Times New Roman"/>
                <w:sz w:val="20"/>
                <w:szCs w:val="20"/>
                <w:lang w:eastAsia="sk-SK"/>
              </w:rPr>
              <w:t>s vysokými nákladmi obetovaných príležitostí menej výnosnej investičnej stratégie.</w:t>
            </w:r>
            <w:r w:rsidR="000D47CB">
              <w:rPr>
                <w:rFonts w:ascii="Times New Roman" w:eastAsia="Times New Roman" w:hAnsi="Times New Roman" w:cs="Times New Roman"/>
                <w:sz w:val="20"/>
                <w:szCs w:val="20"/>
                <w:lang w:eastAsia="sk-SK"/>
              </w:rPr>
              <w:t xml:space="preserve">  </w:t>
            </w:r>
          </w:p>
          <w:p w14:paraId="2D28DB63" w14:textId="77777777" w:rsidR="00D261E5" w:rsidRPr="00256F87" w:rsidRDefault="00D261E5" w:rsidP="00FD05EC">
            <w:pPr>
              <w:jc w:val="both"/>
              <w:rPr>
                <w:rFonts w:ascii="Times New Roman" w:eastAsia="Times New Roman" w:hAnsi="Times New Roman" w:cs="Times New Roman"/>
                <w:sz w:val="20"/>
                <w:szCs w:val="20"/>
                <w:lang w:eastAsia="sk-SK"/>
              </w:rPr>
            </w:pPr>
          </w:p>
          <w:p w14:paraId="13752029" w14:textId="77777777" w:rsidR="00D261E5" w:rsidRPr="00256F87" w:rsidRDefault="00D261E5" w:rsidP="00FD05EC">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Neefektívne využitie naakumulovaných  zdrojov vo výplatnej fáze</w:t>
            </w:r>
          </w:p>
          <w:p w14:paraId="0F5F8B68" w14:textId="5E24F5C8" w:rsidR="00CE7AF8" w:rsidRPr="00256F87" w:rsidRDefault="00FD05EC" w:rsidP="00FD05EC">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Prevládajúca forma výplaty dôchodku z II. piliera </w:t>
            </w:r>
            <w:r w:rsidR="00384DD6">
              <w:rPr>
                <w:rFonts w:ascii="Times New Roman" w:eastAsia="Times New Roman" w:hAnsi="Times New Roman" w:cs="Times New Roman"/>
                <w:sz w:val="20"/>
                <w:szCs w:val="20"/>
                <w:lang w:eastAsia="sk-SK"/>
              </w:rPr>
              <w:t>je</w:t>
            </w:r>
            <w:r w:rsidR="00384DD6" w:rsidRPr="00256F87">
              <w:rPr>
                <w:rFonts w:ascii="Times New Roman" w:eastAsia="Times New Roman" w:hAnsi="Times New Roman" w:cs="Times New Roman"/>
                <w:sz w:val="20"/>
                <w:szCs w:val="20"/>
                <w:lang w:eastAsia="sk-SK"/>
              </w:rPr>
              <w:t xml:space="preserve"> </w:t>
            </w:r>
            <w:r w:rsidRPr="00256F87">
              <w:rPr>
                <w:rFonts w:ascii="Times New Roman" w:eastAsia="Times New Roman" w:hAnsi="Times New Roman" w:cs="Times New Roman"/>
                <w:sz w:val="20"/>
                <w:szCs w:val="20"/>
                <w:lang w:eastAsia="sk-SK"/>
              </w:rPr>
              <w:t>programový výber z celej nasporenej sumy. Túto možnosť výplaty dôchodku</w:t>
            </w:r>
            <w:r w:rsidR="00384DD6">
              <w:rPr>
                <w:rFonts w:ascii="Times New Roman" w:eastAsia="Times New Roman" w:hAnsi="Times New Roman" w:cs="Times New Roman"/>
                <w:sz w:val="20"/>
                <w:szCs w:val="20"/>
                <w:lang w:eastAsia="sk-SK"/>
              </w:rPr>
              <w:t xml:space="preserve"> v roku 2021</w:t>
            </w:r>
            <w:r w:rsidRPr="00256F87">
              <w:rPr>
                <w:rFonts w:ascii="Times New Roman" w:eastAsia="Times New Roman" w:hAnsi="Times New Roman" w:cs="Times New Roman"/>
                <w:sz w:val="20"/>
                <w:szCs w:val="20"/>
                <w:lang w:eastAsia="sk-SK"/>
              </w:rPr>
              <w:t xml:space="preserve"> využilo 3 196 sporiteľov (cca 62 % z celkového počtu poberateľov). Ďalších 112 sporiteľov akceptovalo ponuku na poberanie programového výberu spolu s doživotným dôchodkom. Celkovo </w:t>
            </w:r>
            <w:r w:rsidR="00EC6E85" w:rsidRPr="00256F87">
              <w:rPr>
                <w:rFonts w:ascii="Times New Roman" w:eastAsia="Times New Roman" w:hAnsi="Times New Roman" w:cs="Times New Roman"/>
                <w:sz w:val="20"/>
                <w:szCs w:val="20"/>
                <w:lang w:eastAsia="sk-SK"/>
              </w:rPr>
              <w:t>bol</w:t>
            </w:r>
            <w:r w:rsidR="00EC6E85">
              <w:rPr>
                <w:rFonts w:ascii="Times New Roman" w:eastAsia="Times New Roman" w:hAnsi="Times New Roman" w:cs="Times New Roman"/>
                <w:sz w:val="20"/>
                <w:szCs w:val="20"/>
                <w:lang w:eastAsia="sk-SK"/>
              </w:rPr>
              <w:t>a</w:t>
            </w:r>
            <w:r w:rsidR="00EC6E85" w:rsidRPr="00256F87">
              <w:rPr>
                <w:rFonts w:ascii="Times New Roman" w:eastAsia="Times New Roman" w:hAnsi="Times New Roman" w:cs="Times New Roman"/>
                <w:sz w:val="20"/>
                <w:szCs w:val="20"/>
                <w:lang w:eastAsia="sk-SK"/>
              </w:rPr>
              <w:t xml:space="preserve"> </w:t>
            </w:r>
            <w:r w:rsidRPr="00256F87">
              <w:rPr>
                <w:rFonts w:ascii="Times New Roman" w:eastAsia="Times New Roman" w:hAnsi="Times New Roman" w:cs="Times New Roman"/>
                <w:sz w:val="20"/>
                <w:szCs w:val="20"/>
                <w:lang w:eastAsia="sk-SK"/>
              </w:rPr>
              <w:t>na zakúpenie jedného z dôchodkov z II. piliera použitá nasporená suma v objeme cca 52,5 milióna eur, z toho 44,3 milióna eur (84 %) bolo spotrebovaných na jednorazový programový výber; cca 5,6 milióna eur (</w:t>
            </w:r>
            <w:r w:rsidR="00EC6E85" w:rsidRPr="00256F87">
              <w:rPr>
                <w:rFonts w:ascii="Times New Roman" w:eastAsia="Times New Roman" w:hAnsi="Times New Roman" w:cs="Times New Roman"/>
                <w:sz w:val="20"/>
                <w:szCs w:val="20"/>
                <w:lang w:eastAsia="sk-SK"/>
              </w:rPr>
              <w:t>11</w:t>
            </w:r>
            <w:r w:rsidR="00EC6E85">
              <w:rPr>
                <w:rFonts w:ascii="Times New Roman" w:eastAsia="Times New Roman" w:hAnsi="Times New Roman" w:cs="Times New Roman"/>
                <w:sz w:val="20"/>
                <w:szCs w:val="20"/>
                <w:lang w:eastAsia="sk-SK"/>
              </w:rPr>
              <w:t> </w:t>
            </w:r>
            <w:r w:rsidRPr="00256F87">
              <w:rPr>
                <w:rFonts w:ascii="Times New Roman" w:eastAsia="Times New Roman" w:hAnsi="Times New Roman" w:cs="Times New Roman"/>
                <w:sz w:val="20"/>
                <w:szCs w:val="20"/>
                <w:lang w:eastAsia="sk-SK"/>
              </w:rPr>
              <w:t>%) bolo určených na zakúpenie jedného z doživotných foriem dôchodku a cca 2,6 milióna eur (5 %) bolo určených na vyplácanie dôchodku programovým výberom maximálne vo výške mediánu.</w:t>
            </w:r>
          </w:p>
          <w:p w14:paraId="291960F6" w14:textId="2397F2E8" w:rsidR="00D261E5" w:rsidRPr="00256F87" w:rsidRDefault="00D261E5" w:rsidP="00FD05EC">
            <w:pPr>
              <w:jc w:val="both"/>
              <w:rPr>
                <w:rFonts w:ascii="Times New Roman" w:eastAsia="Times New Roman" w:hAnsi="Times New Roman" w:cs="Times New Roman"/>
                <w:sz w:val="20"/>
                <w:szCs w:val="20"/>
                <w:lang w:eastAsia="sk-SK"/>
              </w:rPr>
            </w:pPr>
          </w:p>
          <w:p w14:paraId="4DA97D21" w14:textId="77777777" w:rsidR="00D261E5" w:rsidRPr="00256F87" w:rsidRDefault="00FB3B0E" w:rsidP="00FD05EC">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u w:val="single"/>
                <w:lang w:eastAsia="sk-SK"/>
              </w:rPr>
              <w:t>Odplaty</w:t>
            </w:r>
            <w:r w:rsidR="00D9600B" w:rsidRPr="00256F87">
              <w:rPr>
                <w:rFonts w:ascii="Times New Roman" w:eastAsia="Times New Roman" w:hAnsi="Times New Roman" w:cs="Times New Roman"/>
                <w:sz w:val="20"/>
                <w:szCs w:val="20"/>
                <w:u w:val="single"/>
                <w:lang w:eastAsia="sk-SK"/>
              </w:rPr>
              <w:t xml:space="preserve"> </w:t>
            </w:r>
          </w:p>
          <w:p w14:paraId="66EBB1F1" w14:textId="41DFBD9C" w:rsidR="00D50A86" w:rsidRDefault="003C14AC" w:rsidP="00BC68B9">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OECD vo svojej publikácii Pension at a Glance 2019 porovnávala pomer celkových </w:t>
            </w:r>
            <w:r w:rsidR="00CF098B">
              <w:rPr>
                <w:rFonts w:ascii="Times New Roman" w:eastAsia="Times New Roman" w:hAnsi="Times New Roman" w:cs="Times New Roman"/>
                <w:sz w:val="20"/>
                <w:szCs w:val="20"/>
                <w:lang w:eastAsia="sk-SK"/>
              </w:rPr>
              <w:t>nákladov</w:t>
            </w:r>
            <w:r w:rsidRPr="00256F87">
              <w:rPr>
                <w:rFonts w:ascii="Times New Roman" w:eastAsia="Times New Roman" w:hAnsi="Times New Roman" w:cs="Times New Roman"/>
                <w:sz w:val="20"/>
                <w:szCs w:val="20"/>
                <w:lang w:eastAsia="sk-SK"/>
              </w:rPr>
              <w:t xml:space="preserve"> dôchodkových fondov vo vybraných krajinách. Do celkového porovnania boli zaradené všetky dôchodkové fondy bez ohľadu na typ dôchodkovej schémy. Pomer celkových </w:t>
            </w:r>
            <w:r w:rsidR="00CF098B">
              <w:rPr>
                <w:rFonts w:ascii="Times New Roman" w:eastAsia="Times New Roman" w:hAnsi="Times New Roman" w:cs="Times New Roman"/>
                <w:sz w:val="20"/>
                <w:szCs w:val="20"/>
                <w:lang w:eastAsia="sk-SK"/>
              </w:rPr>
              <w:t>nákladov</w:t>
            </w:r>
            <w:r w:rsidRPr="00256F87">
              <w:rPr>
                <w:rFonts w:ascii="Times New Roman" w:eastAsia="Times New Roman" w:hAnsi="Times New Roman" w:cs="Times New Roman"/>
                <w:sz w:val="20"/>
                <w:szCs w:val="20"/>
                <w:lang w:eastAsia="sk-SK"/>
              </w:rPr>
              <w:t xml:space="preserve"> sa pohybuje v intervale od 2,01 % (Turecko) až do </w:t>
            </w:r>
            <w:r w:rsidR="001708C1">
              <w:rPr>
                <w:rFonts w:ascii="Times New Roman" w:eastAsia="Times New Roman" w:hAnsi="Times New Roman" w:cs="Times New Roman"/>
                <w:sz w:val="20"/>
                <w:szCs w:val="20"/>
                <w:lang w:eastAsia="sk-SK"/>
              </w:rPr>
              <w:t>0,</w:t>
            </w:r>
            <w:r w:rsidR="00EC6E85" w:rsidRPr="00256F87">
              <w:rPr>
                <w:rFonts w:ascii="Times New Roman" w:eastAsia="Times New Roman" w:hAnsi="Times New Roman" w:cs="Times New Roman"/>
                <w:sz w:val="20"/>
                <w:szCs w:val="20"/>
                <w:lang w:eastAsia="sk-SK"/>
              </w:rPr>
              <w:t>45</w:t>
            </w:r>
            <w:r w:rsidR="00EC6E85">
              <w:rPr>
                <w:rFonts w:ascii="Times New Roman" w:eastAsia="Times New Roman" w:hAnsi="Times New Roman" w:cs="Times New Roman"/>
                <w:sz w:val="20"/>
                <w:szCs w:val="20"/>
                <w:lang w:eastAsia="sk-SK"/>
              </w:rPr>
              <w:t> </w:t>
            </w:r>
            <w:r w:rsidRPr="00256F87">
              <w:rPr>
                <w:rFonts w:ascii="Times New Roman" w:eastAsia="Times New Roman" w:hAnsi="Times New Roman" w:cs="Times New Roman"/>
                <w:sz w:val="20"/>
                <w:szCs w:val="20"/>
                <w:lang w:eastAsia="sk-SK"/>
              </w:rPr>
              <w:t xml:space="preserve">% (Austrália). Priemerná výška celkových nákladov medzi skúmanými krajinami dosiahla úroveň približne 0,8 % a na Slovensku približne 0,63 %. Hodnota ukazovateľa za II. pilier dosiahla hodnotu 0,55 %. </w:t>
            </w:r>
            <w:r w:rsidR="00F265BA" w:rsidRPr="00256F87">
              <w:rPr>
                <w:rFonts w:ascii="Times New Roman" w:eastAsia="Times New Roman" w:hAnsi="Times New Roman" w:cs="Times New Roman"/>
                <w:sz w:val="20"/>
                <w:szCs w:val="20"/>
                <w:lang w:eastAsia="sk-SK"/>
              </w:rPr>
              <w:t>Uvedené tvrdenie však neplatí pre pasívne riadené „indexové“</w:t>
            </w:r>
            <w:r w:rsidR="006C78D9">
              <w:rPr>
                <w:rFonts w:ascii="Times New Roman" w:eastAsia="Times New Roman" w:hAnsi="Times New Roman" w:cs="Times New Roman"/>
                <w:sz w:val="20"/>
                <w:szCs w:val="20"/>
                <w:lang w:eastAsia="sk-SK"/>
              </w:rPr>
              <w:t xml:space="preserve"> dôchodkové</w:t>
            </w:r>
            <w:r w:rsidR="00F265BA" w:rsidRPr="00256F87">
              <w:rPr>
                <w:rFonts w:ascii="Times New Roman" w:eastAsia="Times New Roman" w:hAnsi="Times New Roman" w:cs="Times New Roman"/>
                <w:sz w:val="20"/>
                <w:szCs w:val="20"/>
                <w:lang w:eastAsia="sk-SK"/>
              </w:rPr>
              <w:t xml:space="preserve"> fondy. </w:t>
            </w:r>
            <w:r w:rsidR="00D27B38" w:rsidRPr="00256F87">
              <w:rPr>
                <w:rFonts w:ascii="Times New Roman" w:eastAsia="Times New Roman" w:hAnsi="Times New Roman" w:cs="Times New Roman"/>
                <w:sz w:val="20"/>
                <w:szCs w:val="20"/>
                <w:lang w:eastAsia="sk-SK"/>
              </w:rPr>
              <w:t>Najmä v dôsledku odplaty za zhodnotenie dosiahli indexové</w:t>
            </w:r>
            <w:r w:rsidR="006C78D9">
              <w:rPr>
                <w:rFonts w:ascii="Times New Roman" w:eastAsia="Times New Roman" w:hAnsi="Times New Roman" w:cs="Times New Roman"/>
                <w:sz w:val="20"/>
                <w:szCs w:val="20"/>
                <w:lang w:eastAsia="sk-SK"/>
              </w:rPr>
              <w:t xml:space="preserve"> dôchodkové</w:t>
            </w:r>
            <w:r w:rsidR="00D27B38" w:rsidRPr="00256F87">
              <w:rPr>
                <w:rFonts w:ascii="Times New Roman" w:eastAsia="Times New Roman" w:hAnsi="Times New Roman" w:cs="Times New Roman"/>
                <w:sz w:val="20"/>
                <w:szCs w:val="20"/>
                <w:lang w:eastAsia="sk-SK"/>
              </w:rPr>
              <w:t xml:space="preserve"> fondy v II. pilieri</w:t>
            </w:r>
            <w:r w:rsidR="00BC68B9" w:rsidRPr="00256F87">
              <w:rPr>
                <w:rFonts w:ascii="Times New Roman" w:eastAsia="Times New Roman" w:hAnsi="Times New Roman" w:cs="Times New Roman"/>
                <w:sz w:val="20"/>
                <w:szCs w:val="20"/>
                <w:lang w:eastAsia="sk-SK"/>
              </w:rPr>
              <w:t xml:space="preserve"> v roku 2021</w:t>
            </w:r>
            <w:r w:rsidR="00D27B38" w:rsidRPr="00256F87">
              <w:rPr>
                <w:rFonts w:ascii="Times New Roman" w:eastAsia="Times New Roman" w:hAnsi="Times New Roman" w:cs="Times New Roman"/>
                <w:sz w:val="20"/>
                <w:szCs w:val="20"/>
                <w:lang w:eastAsia="sk-SK"/>
              </w:rPr>
              <w:t xml:space="preserve"> pomer celkových </w:t>
            </w:r>
            <w:r w:rsidR="00CF098B">
              <w:rPr>
                <w:rFonts w:ascii="Times New Roman" w:eastAsia="Times New Roman" w:hAnsi="Times New Roman" w:cs="Times New Roman"/>
                <w:sz w:val="20"/>
                <w:szCs w:val="20"/>
                <w:lang w:eastAsia="sk-SK"/>
              </w:rPr>
              <w:t>nákladov</w:t>
            </w:r>
            <w:r w:rsidR="00D27B38" w:rsidRPr="00256F87">
              <w:rPr>
                <w:rFonts w:ascii="Times New Roman" w:eastAsia="Times New Roman" w:hAnsi="Times New Roman" w:cs="Times New Roman"/>
                <w:sz w:val="20"/>
                <w:szCs w:val="20"/>
                <w:lang w:eastAsia="sk-SK"/>
              </w:rPr>
              <w:t xml:space="preserve"> až 3,0 %, čo</w:t>
            </w:r>
            <w:r w:rsidR="00BC68B9" w:rsidRPr="00256F87">
              <w:rPr>
                <w:rFonts w:ascii="Times New Roman" w:eastAsia="Times New Roman" w:hAnsi="Times New Roman" w:cs="Times New Roman"/>
                <w:sz w:val="20"/>
                <w:szCs w:val="20"/>
                <w:lang w:eastAsia="sk-SK"/>
              </w:rPr>
              <w:t xml:space="preserve"> navýšilo priemernú nákladovosť sektora vyjadrenú prostredníctvom ukazovateľa celkových </w:t>
            </w:r>
            <w:r w:rsidR="00CF098B">
              <w:rPr>
                <w:rFonts w:ascii="Times New Roman" w:eastAsia="Times New Roman" w:hAnsi="Times New Roman" w:cs="Times New Roman"/>
                <w:sz w:val="20"/>
                <w:szCs w:val="20"/>
                <w:lang w:eastAsia="sk-SK"/>
              </w:rPr>
              <w:t>nákladov</w:t>
            </w:r>
            <w:r w:rsidR="00384DD6">
              <w:rPr>
                <w:rFonts w:ascii="Times New Roman" w:eastAsia="Times New Roman" w:hAnsi="Times New Roman" w:cs="Times New Roman"/>
                <w:sz w:val="20"/>
                <w:szCs w:val="20"/>
                <w:lang w:eastAsia="sk-SK"/>
              </w:rPr>
              <w:t xml:space="preserve"> v roku </w:t>
            </w:r>
            <w:r w:rsidR="00384DD6">
              <w:rPr>
                <w:rFonts w:ascii="Times New Roman" w:eastAsia="Times New Roman" w:hAnsi="Times New Roman" w:cs="Times New Roman"/>
                <w:sz w:val="20"/>
                <w:szCs w:val="20"/>
                <w:lang w:eastAsia="sk-SK"/>
              </w:rPr>
              <w:lastRenderedPageBreak/>
              <w:t>2021</w:t>
            </w:r>
            <w:r w:rsidR="00BC68B9" w:rsidRPr="00256F87">
              <w:rPr>
                <w:rFonts w:ascii="Times New Roman" w:eastAsia="Times New Roman" w:hAnsi="Times New Roman" w:cs="Times New Roman"/>
                <w:sz w:val="20"/>
                <w:szCs w:val="20"/>
                <w:lang w:eastAsia="sk-SK"/>
              </w:rPr>
              <w:t xml:space="preserve"> na hodnotu 1,2 %. </w:t>
            </w:r>
            <w:r w:rsidR="00EC6E85" w:rsidRPr="00256F87">
              <w:rPr>
                <w:rFonts w:ascii="Times New Roman" w:eastAsia="Times New Roman" w:hAnsi="Times New Roman" w:cs="Times New Roman"/>
                <w:sz w:val="20"/>
                <w:szCs w:val="20"/>
                <w:lang w:eastAsia="sk-SK"/>
              </w:rPr>
              <w:t>Vysok</w:t>
            </w:r>
            <w:r w:rsidR="00EC6E85">
              <w:rPr>
                <w:rFonts w:ascii="Times New Roman" w:eastAsia="Times New Roman" w:hAnsi="Times New Roman" w:cs="Times New Roman"/>
                <w:sz w:val="20"/>
                <w:szCs w:val="20"/>
                <w:lang w:eastAsia="sk-SK"/>
              </w:rPr>
              <w:t>ú</w:t>
            </w:r>
            <w:r w:rsidR="00EC6E85" w:rsidRPr="00256F87">
              <w:rPr>
                <w:rFonts w:ascii="Times New Roman" w:eastAsia="Times New Roman" w:hAnsi="Times New Roman" w:cs="Times New Roman"/>
                <w:sz w:val="20"/>
                <w:szCs w:val="20"/>
                <w:lang w:eastAsia="sk-SK"/>
              </w:rPr>
              <w:t xml:space="preserve"> expozíci</w:t>
            </w:r>
            <w:r w:rsidR="00EC6E85">
              <w:rPr>
                <w:rFonts w:ascii="Times New Roman" w:eastAsia="Times New Roman" w:hAnsi="Times New Roman" w:cs="Times New Roman"/>
                <w:sz w:val="20"/>
                <w:szCs w:val="20"/>
                <w:lang w:eastAsia="sk-SK"/>
              </w:rPr>
              <w:t>u</w:t>
            </w:r>
            <w:r w:rsidR="00EC6E85" w:rsidRPr="00256F87">
              <w:rPr>
                <w:rFonts w:ascii="Times New Roman" w:eastAsia="Times New Roman" w:hAnsi="Times New Roman" w:cs="Times New Roman"/>
                <w:sz w:val="20"/>
                <w:szCs w:val="20"/>
                <w:lang w:eastAsia="sk-SK"/>
              </w:rPr>
              <w:t xml:space="preserve"> </w:t>
            </w:r>
            <w:r w:rsidR="00BC68B9" w:rsidRPr="00256F87">
              <w:rPr>
                <w:rFonts w:ascii="Times New Roman" w:eastAsia="Times New Roman" w:hAnsi="Times New Roman" w:cs="Times New Roman"/>
                <w:sz w:val="20"/>
                <w:szCs w:val="20"/>
                <w:lang w:eastAsia="sk-SK"/>
              </w:rPr>
              <w:t xml:space="preserve">odplaty za zhodnotenie na celkových odplatách dokumentujú aj finančné ukazovatele dôchodkových správcovských spoločností. </w:t>
            </w:r>
            <w:r w:rsidR="00CE7AF8" w:rsidRPr="00256F87">
              <w:rPr>
                <w:rFonts w:ascii="Times New Roman" w:eastAsia="Times New Roman" w:hAnsi="Times New Roman" w:cs="Times New Roman"/>
                <w:sz w:val="20"/>
                <w:szCs w:val="20"/>
                <w:lang w:eastAsia="sk-SK"/>
              </w:rPr>
              <w:t xml:space="preserve">Celkové výnosy z odplát a provízií dôchodkových správcovských spoločností dosiahli v roku 2021 úroveň cca 130 mil. eur. Výnosy z odplaty za zhodnotenie boli cca 86,9 mil. eur a predstavovali tak viac ako 67 </w:t>
            </w:r>
            <w:r w:rsidR="00BC68B9" w:rsidRPr="00256F87">
              <w:rPr>
                <w:rFonts w:ascii="Times New Roman" w:eastAsia="Times New Roman" w:hAnsi="Times New Roman" w:cs="Times New Roman"/>
                <w:sz w:val="20"/>
                <w:szCs w:val="20"/>
                <w:lang w:eastAsia="sk-SK"/>
              </w:rPr>
              <w:t> </w:t>
            </w:r>
            <w:r w:rsidR="00CE7AF8" w:rsidRPr="00256F87">
              <w:rPr>
                <w:rFonts w:ascii="Times New Roman" w:eastAsia="Times New Roman" w:hAnsi="Times New Roman" w:cs="Times New Roman"/>
                <w:sz w:val="20"/>
                <w:szCs w:val="20"/>
                <w:lang w:eastAsia="sk-SK"/>
              </w:rPr>
              <w:t>% z celkových výnosov DSS. V prípade DSS, ktoré vytvárali dôchodkový fond, ktorého investičn</w:t>
            </w:r>
            <w:r w:rsidR="006C78D9">
              <w:rPr>
                <w:rFonts w:ascii="Times New Roman" w:eastAsia="Times New Roman" w:hAnsi="Times New Roman" w:cs="Times New Roman"/>
                <w:sz w:val="20"/>
                <w:szCs w:val="20"/>
                <w:lang w:eastAsia="sk-SK"/>
              </w:rPr>
              <w:t>ou stratégiou</w:t>
            </w:r>
            <w:r w:rsidR="00CE7AF8" w:rsidRPr="00256F87">
              <w:rPr>
                <w:rFonts w:ascii="Times New Roman" w:eastAsia="Times New Roman" w:hAnsi="Times New Roman" w:cs="Times New Roman"/>
                <w:sz w:val="20"/>
                <w:szCs w:val="20"/>
                <w:lang w:eastAsia="sk-SK"/>
              </w:rPr>
              <w:t xml:space="preserve"> je podľa štatútu kopírovanie zloženia finančného indexu (všetky DSS okrem Allianz – Slovenská d.s.s, a.s.)</w:t>
            </w:r>
            <w:r w:rsidR="006C78D9">
              <w:rPr>
                <w:rFonts w:ascii="Times New Roman" w:eastAsia="Times New Roman" w:hAnsi="Times New Roman" w:cs="Times New Roman"/>
                <w:sz w:val="20"/>
                <w:szCs w:val="20"/>
                <w:lang w:eastAsia="sk-SK"/>
              </w:rPr>
              <w:t>,</w:t>
            </w:r>
            <w:r w:rsidR="00CE7AF8" w:rsidRPr="00256F87">
              <w:rPr>
                <w:rFonts w:ascii="Times New Roman" w:eastAsia="Times New Roman" w:hAnsi="Times New Roman" w:cs="Times New Roman"/>
                <w:sz w:val="20"/>
                <w:szCs w:val="20"/>
                <w:lang w:eastAsia="sk-SK"/>
              </w:rPr>
              <w:t xml:space="preserve"> dosiahol podiel výnosu z odplaty za zhodnotenie </w:t>
            </w:r>
            <w:r w:rsidR="00AC7B9C" w:rsidRPr="00256F87">
              <w:rPr>
                <w:rFonts w:ascii="Times New Roman" w:eastAsia="Times New Roman" w:hAnsi="Times New Roman" w:cs="Times New Roman"/>
                <w:sz w:val="20"/>
                <w:szCs w:val="20"/>
                <w:lang w:eastAsia="sk-SK"/>
              </w:rPr>
              <w:t xml:space="preserve">na celkových výnosov z uvedenej odplaty cca 80%. </w:t>
            </w:r>
            <w:r w:rsidR="00BC68B9" w:rsidRPr="00256F87">
              <w:rPr>
                <w:rFonts w:ascii="Times New Roman" w:eastAsia="Times New Roman" w:hAnsi="Times New Roman" w:cs="Times New Roman"/>
                <w:sz w:val="20"/>
                <w:szCs w:val="20"/>
                <w:lang w:eastAsia="sk-SK"/>
              </w:rPr>
              <w:t xml:space="preserve">To znamená, že aj keď samotné indexové </w:t>
            </w:r>
            <w:r w:rsidR="006C78D9">
              <w:rPr>
                <w:rFonts w:ascii="Times New Roman" w:eastAsia="Times New Roman" w:hAnsi="Times New Roman" w:cs="Times New Roman"/>
                <w:sz w:val="20"/>
                <w:szCs w:val="20"/>
                <w:lang w:eastAsia="sk-SK"/>
              </w:rPr>
              <w:t xml:space="preserve">dôchodkové </w:t>
            </w:r>
            <w:r w:rsidR="00BC68B9" w:rsidRPr="00256F87">
              <w:rPr>
                <w:rFonts w:ascii="Times New Roman" w:eastAsia="Times New Roman" w:hAnsi="Times New Roman" w:cs="Times New Roman"/>
                <w:sz w:val="20"/>
                <w:szCs w:val="20"/>
                <w:lang w:eastAsia="sk-SK"/>
              </w:rPr>
              <w:t>fondy tvoria len cca 21 % čistej hodnoty majetku sporiteľov v II. pilieri, na výnosoch z odplát sa podieľajú viac ako 46</w:t>
            </w:r>
            <w:r w:rsidR="006C78D9">
              <w:rPr>
                <w:rFonts w:ascii="Times New Roman" w:eastAsia="Times New Roman" w:hAnsi="Times New Roman" w:cs="Times New Roman"/>
                <w:sz w:val="20"/>
                <w:szCs w:val="20"/>
                <w:lang w:eastAsia="sk-SK"/>
              </w:rPr>
              <w:t> </w:t>
            </w:r>
            <w:r w:rsidR="00BC68B9" w:rsidRPr="00256F87">
              <w:rPr>
                <w:rFonts w:ascii="Times New Roman" w:eastAsia="Times New Roman" w:hAnsi="Times New Roman" w:cs="Times New Roman"/>
                <w:sz w:val="20"/>
                <w:szCs w:val="20"/>
                <w:lang w:eastAsia="sk-SK"/>
              </w:rPr>
              <w:t>%.</w:t>
            </w:r>
          </w:p>
          <w:p w14:paraId="41C57A49" w14:textId="77777777" w:rsidR="00D50A86" w:rsidRDefault="00D50A86" w:rsidP="00BC68B9">
            <w:pPr>
              <w:jc w:val="both"/>
              <w:rPr>
                <w:rFonts w:ascii="Times New Roman" w:eastAsia="Times New Roman" w:hAnsi="Times New Roman" w:cs="Times New Roman"/>
                <w:sz w:val="20"/>
                <w:szCs w:val="20"/>
                <w:lang w:eastAsia="sk-SK"/>
              </w:rPr>
            </w:pPr>
          </w:p>
          <w:p w14:paraId="3B84E48A" w14:textId="3B529C22" w:rsidR="00D50A86" w:rsidRDefault="004110A5" w:rsidP="00BC68B9">
            <w:pPr>
              <w:jc w:val="both"/>
              <w:rPr>
                <w:rFonts w:ascii="Times New Roman" w:eastAsia="Times New Roman" w:hAnsi="Times New Roman" w:cs="Times New Roman"/>
                <w:sz w:val="20"/>
                <w:szCs w:val="20"/>
                <w:u w:val="single"/>
                <w:lang w:eastAsia="sk-SK"/>
              </w:rPr>
            </w:pPr>
            <w:r w:rsidRPr="00204FDC">
              <w:rPr>
                <w:rFonts w:ascii="Times New Roman" w:eastAsia="Times New Roman" w:hAnsi="Times New Roman" w:cs="Times New Roman"/>
                <w:sz w:val="20"/>
                <w:szCs w:val="20"/>
                <w:u w:val="single"/>
                <w:lang w:eastAsia="sk-SK"/>
              </w:rPr>
              <w:t>Povinnosť DSS</w:t>
            </w:r>
            <w:r w:rsidR="00D50A86" w:rsidRPr="00204FDC">
              <w:rPr>
                <w:rFonts w:ascii="Times New Roman" w:eastAsia="Times New Roman" w:hAnsi="Times New Roman" w:cs="Times New Roman"/>
                <w:sz w:val="20"/>
                <w:szCs w:val="20"/>
                <w:u w:val="single"/>
                <w:lang w:eastAsia="sk-SK"/>
              </w:rPr>
              <w:t xml:space="preserve"> doplniť majetok v </w:t>
            </w:r>
            <w:r w:rsidR="00481D1B" w:rsidRPr="00204FDC">
              <w:rPr>
                <w:rFonts w:ascii="Times New Roman" w:eastAsia="Times New Roman" w:hAnsi="Times New Roman" w:cs="Times New Roman"/>
                <w:sz w:val="20"/>
                <w:szCs w:val="20"/>
                <w:u w:val="single"/>
                <w:lang w:eastAsia="sk-SK"/>
              </w:rPr>
              <w:t>DGDF</w:t>
            </w:r>
          </w:p>
          <w:p w14:paraId="7A324AEE" w14:textId="6B87434C" w:rsidR="00FD05EC" w:rsidRPr="003B0A00" w:rsidRDefault="00D50A86" w:rsidP="00BC68B9">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lang w:eastAsia="sk-SK"/>
              </w:rPr>
              <w:t xml:space="preserve">Podľa </w:t>
            </w:r>
            <w:r>
              <w:rPr>
                <w:rFonts w:ascii="Times New Roman" w:eastAsia="Times New Roman" w:hAnsi="Times New Roman" w:cs="Times New Roman"/>
                <w:sz w:val="20"/>
                <w:szCs w:val="20"/>
                <w:lang w:eastAsia="sk-SK"/>
              </w:rPr>
              <w:t>§ 63d</w:t>
            </w:r>
            <w:r w:rsidRPr="00256F87">
              <w:rPr>
                <w:rFonts w:ascii="Times New Roman" w:eastAsia="Times New Roman" w:hAnsi="Times New Roman" w:cs="Times New Roman"/>
                <w:sz w:val="20"/>
                <w:szCs w:val="20"/>
                <w:lang w:eastAsia="sk-SK"/>
              </w:rPr>
              <w:t xml:space="preserve"> zákona č. 43/2004 Z. z. o starobnom dôchodkovom sporení a o zmene a doplnení niektorých zákonov</w:t>
            </w:r>
            <w:r>
              <w:rPr>
                <w:rFonts w:ascii="Times New Roman" w:eastAsia="Times New Roman" w:hAnsi="Times New Roman" w:cs="Times New Roman"/>
                <w:sz w:val="20"/>
                <w:szCs w:val="20"/>
                <w:lang w:eastAsia="sk-SK"/>
              </w:rPr>
              <w:t xml:space="preserve"> v znení neskorších predpisov</w:t>
            </w:r>
            <w:r w:rsidR="00254582">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ak </w:t>
            </w:r>
            <w:r w:rsidRPr="00D50A86">
              <w:rPr>
                <w:rFonts w:ascii="Times New Roman" w:eastAsia="Times New Roman" w:hAnsi="Times New Roman" w:cs="Times New Roman"/>
                <w:sz w:val="20"/>
                <w:szCs w:val="20"/>
                <w:lang w:eastAsia="sk-SK"/>
              </w:rPr>
              <w:t xml:space="preserve">v </w:t>
            </w:r>
            <w:r>
              <w:rPr>
                <w:rFonts w:ascii="Times New Roman" w:eastAsia="Times New Roman" w:hAnsi="Times New Roman" w:cs="Times New Roman"/>
                <w:sz w:val="20"/>
                <w:szCs w:val="20"/>
                <w:lang w:eastAsia="sk-SK"/>
              </w:rPr>
              <w:t>DGDF</w:t>
            </w:r>
            <w:r w:rsidRPr="00D50A86">
              <w:rPr>
                <w:rFonts w:ascii="Times New Roman" w:eastAsia="Times New Roman" w:hAnsi="Times New Roman" w:cs="Times New Roman"/>
                <w:sz w:val="20"/>
                <w:szCs w:val="20"/>
                <w:lang w:eastAsia="sk-SK"/>
              </w:rPr>
              <w:t xml:space="preserve"> v sledovanom období poklesne hodnota dôchodkovej jednotky, </w:t>
            </w:r>
            <w:r>
              <w:rPr>
                <w:rFonts w:ascii="Times New Roman" w:eastAsia="Times New Roman" w:hAnsi="Times New Roman" w:cs="Times New Roman"/>
                <w:sz w:val="20"/>
                <w:szCs w:val="20"/>
                <w:lang w:eastAsia="sk-SK"/>
              </w:rPr>
              <w:t>DSS</w:t>
            </w:r>
            <w:r w:rsidRPr="00D50A86">
              <w:rPr>
                <w:rFonts w:ascii="Times New Roman" w:eastAsia="Times New Roman" w:hAnsi="Times New Roman" w:cs="Times New Roman"/>
                <w:sz w:val="20"/>
                <w:szCs w:val="20"/>
                <w:lang w:eastAsia="sk-SK"/>
              </w:rPr>
              <w:t xml:space="preserve"> je povinná v prvý pracovný deň bezprostredne nasledujúci po poslednom dni sledovaného obdobia doplniť hodnotu majetku v </w:t>
            </w:r>
            <w:r>
              <w:rPr>
                <w:rFonts w:ascii="Times New Roman" w:eastAsia="Times New Roman" w:hAnsi="Times New Roman" w:cs="Times New Roman"/>
                <w:sz w:val="20"/>
                <w:szCs w:val="20"/>
                <w:lang w:eastAsia="sk-SK"/>
              </w:rPr>
              <w:t>DGDF</w:t>
            </w:r>
            <w:r w:rsidRPr="00D50A86">
              <w:rPr>
                <w:rFonts w:ascii="Times New Roman" w:eastAsia="Times New Roman" w:hAnsi="Times New Roman" w:cs="Times New Roman"/>
                <w:sz w:val="20"/>
                <w:szCs w:val="20"/>
                <w:lang w:eastAsia="sk-SK"/>
              </w:rPr>
              <w:t xml:space="preserve"> z vlastného majetku vo výške absolútnej hodnoty súčinu poklesu hodnoty dôchodkovej jednotky a priemernej čistej hodnoty majetku v </w:t>
            </w:r>
            <w:r>
              <w:rPr>
                <w:rFonts w:ascii="Times New Roman" w:eastAsia="Times New Roman" w:hAnsi="Times New Roman" w:cs="Times New Roman"/>
                <w:sz w:val="20"/>
                <w:szCs w:val="20"/>
                <w:lang w:eastAsia="sk-SK"/>
              </w:rPr>
              <w:t>DGDF</w:t>
            </w:r>
            <w:r w:rsidRPr="00D50A86">
              <w:rPr>
                <w:rFonts w:ascii="Times New Roman" w:eastAsia="Times New Roman" w:hAnsi="Times New Roman" w:cs="Times New Roman"/>
                <w:sz w:val="20"/>
                <w:szCs w:val="20"/>
                <w:lang w:eastAsia="sk-SK"/>
              </w:rPr>
              <w:t xml:space="preserve"> za sledované obdobie.</w:t>
            </w:r>
            <w:r>
              <w:rPr>
                <w:rFonts w:ascii="Times New Roman" w:eastAsia="Times New Roman" w:hAnsi="Times New Roman" w:cs="Times New Roman"/>
                <w:sz w:val="20"/>
                <w:szCs w:val="20"/>
                <w:lang w:eastAsia="sk-SK"/>
              </w:rPr>
              <w:t xml:space="preserve"> </w:t>
            </w:r>
            <w:r w:rsidRPr="00D50A86">
              <w:rPr>
                <w:rFonts w:ascii="Times New Roman" w:eastAsia="Times New Roman" w:hAnsi="Times New Roman" w:cs="Times New Roman"/>
                <w:sz w:val="20"/>
                <w:szCs w:val="20"/>
                <w:lang w:eastAsia="sk-SK"/>
              </w:rPr>
              <w:t xml:space="preserve">Sledované obdobie </w:t>
            </w:r>
            <w:r>
              <w:rPr>
                <w:rFonts w:ascii="Times New Roman" w:eastAsia="Times New Roman" w:hAnsi="Times New Roman" w:cs="Times New Roman"/>
                <w:sz w:val="20"/>
                <w:szCs w:val="20"/>
                <w:lang w:eastAsia="sk-SK"/>
              </w:rPr>
              <w:t xml:space="preserve">je </w:t>
            </w:r>
            <w:r w:rsidRPr="00D50A86">
              <w:rPr>
                <w:rFonts w:ascii="Times New Roman" w:eastAsia="Times New Roman" w:hAnsi="Times New Roman" w:cs="Times New Roman"/>
                <w:sz w:val="20"/>
                <w:szCs w:val="20"/>
                <w:lang w:eastAsia="sk-SK"/>
              </w:rPr>
              <w:t xml:space="preserve">posledných desať po sebe nasledujúcich kalendárnych rokov. Nové sledované obdobie začína plynúť 1. januára každého kalendárneho roka, pričom už začaté </w:t>
            </w:r>
            <w:r w:rsidR="003B0A00">
              <w:rPr>
                <w:rFonts w:ascii="Times New Roman" w:eastAsia="Times New Roman" w:hAnsi="Times New Roman" w:cs="Times New Roman"/>
                <w:sz w:val="20"/>
                <w:szCs w:val="20"/>
                <w:lang w:eastAsia="sk-SK"/>
              </w:rPr>
              <w:t xml:space="preserve">sledované obdobia plynú súbežne (prvé sledované obdobie začalo plynúť 1.1.2013 a skončí 31.12.2022). Uvedený systém dopĺňania majetku však nechráni sporiteľa v DGDF pred celkovým znehodnotením na jeho osobnom dôchodkovom účte, ale len garantuje nominálnu hodnotu aktuálnej hodnoty dôchodkovej jednotky v DGDF v sledovanom období. </w:t>
            </w:r>
          </w:p>
          <w:p w14:paraId="76717489" w14:textId="77777777" w:rsidR="007660CD" w:rsidRPr="00256F87" w:rsidRDefault="007660CD" w:rsidP="00BC68B9">
            <w:pPr>
              <w:jc w:val="both"/>
              <w:rPr>
                <w:rFonts w:ascii="Times New Roman" w:eastAsia="Times New Roman" w:hAnsi="Times New Roman" w:cs="Times New Roman"/>
                <w:sz w:val="20"/>
                <w:szCs w:val="20"/>
                <w:lang w:eastAsia="sk-SK"/>
              </w:rPr>
            </w:pPr>
          </w:p>
          <w:p w14:paraId="79909125" w14:textId="77777777" w:rsidR="007660CD" w:rsidRPr="00256F87" w:rsidRDefault="00C57B87" w:rsidP="00C57B87">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 xml:space="preserve">Platenie a odvádzanie povinných príspevkov na starobné dôchodkové sporenie v prípade sporiteľov, ktorým sa vypláca dôchodok zo starobného dôchodkového sporenia a ktorí vykonávajú činnosť zakladajúcu dôchodkové poistenie </w:t>
            </w:r>
          </w:p>
          <w:p w14:paraId="3A1D2F81" w14:textId="72E3AD7B" w:rsidR="007660CD" w:rsidRPr="00256F87" w:rsidRDefault="007660CD" w:rsidP="00BC68B9">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Na základe súčasného právneho stavu odvádza Sociálna poisťovňa za sporiteľa príspevky na starobné dôchodkové sporenie do času</w:t>
            </w:r>
            <w:r w:rsidR="00414298">
              <w:rPr>
                <w:rFonts w:ascii="Times New Roman" w:eastAsia="Times New Roman" w:hAnsi="Times New Roman" w:cs="Times New Roman"/>
                <w:sz w:val="20"/>
                <w:szCs w:val="20"/>
                <w:lang w:eastAsia="sk-SK"/>
              </w:rPr>
              <w:t>,</w:t>
            </w:r>
            <w:r w:rsidR="006C78D9">
              <w:rPr>
                <w:rFonts w:ascii="Times New Roman" w:eastAsia="Times New Roman" w:hAnsi="Times New Roman" w:cs="Times New Roman"/>
                <w:sz w:val="20"/>
                <w:szCs w:val="20"/>
                <w:lang w:eastAsia="sk-SK"/>
              </w:rPr>
              <w:t xml:space="preserve"> kým nezačne poberať </w:t>
            </w:r>
            <w:r w:rsidRPr="00256F87">
              <w:rPr>
                <w:rFonts w:ascii="Times New Roman" w:eastAsia="Times New Roman" w:hAnsi="Times New Roman" w:cs="Times New Roman"/>
                <w:sz w:val="20"/>
                <w:szCs w:val="20"/>
                <w:lang w:eastAsia="sk-SK"/>
              </w:rPr>
              <w:t>dôchod</w:t>
            </w:r>
            <w:r w:rsidR="006C78D9">
              <w:rPr>
                <w:rFonts w:ascii="Times New Roman" w:eastAsia="Times New Roman" w:hAnsi="Times New Roman" w:cs="Times New Roman"/>
                <w:sz w:val="20"/>
                <w:szCs w:val="20"/>
                <w:lang w:eastAsia="sk-SK"/>
              </w:rPr>
              <w:t>ok</w:t>
            </w:r>
            <w:r w:rsidRPr="00256F87">
              <w:rPr>
                <w:rFonts w:ascii="Times New Roman" w:eastAsia="Times New Roman" w:hAnsi="Times New Roman" w:cs="Times New Roman"/>
                <w:sz w:val="20"/>
                <w:szCs w:val="20"/>
                <w:lang w:eastAsia="sk-SK"/>
              </w:rPr>
              <w:t xml:space="preserve"> z II. piliera (starobný, resp. predčasný starobný dôchodok). </w:t>
            </w:r>
            <w:r w:rsidR="006C78D9">
              <w:rPr>
                <w:rFonts w:ascii="Times New Roman" w:eastAsia="Times New Roman" w:hAnsi="Times New Roman" w:cs="Times New Roman"/>
                <w:sz w:val="20"/>
                <w:szCs w:val="20"/>
                <w:lang w:eastAsia="sk-SK"/>
              </w:rPr>
              <w:t>Odo dňa začatia poberania</w:t>
            </w:r>
            <w:r w:rsidRPr="00256F87">
              <w:rPr>
                <w:rFonts w:ascii="Times New Roman" w:eastAsia="Times New Roman" w:hAnsi="Times New Roman" w:cs="Times New Roman"/>
                <w:sz w:val="20"/>
                <w:szCs w:val="20"/>
                <w:lang w:eastAsia="sk-SK"/>
              </w:rPr>
              <w:t xml:space="preserve"> starobného alebo predčasného starobného dôchodku z II. piliera prestáva Sociálna poisťovňa postupovať za tohto poistenca</w:t>
            </w:r>
            <w:r w:rsidR="005349A6">
              <w:rPr>
                <w:rFonts w:ascii="Times New Roman" w:eastAsia="Times New Roman" w:hAnsi="Times New Roman" w:cs="Times New Roman"/>
                <w:sz w:val="20"/>
                <w:szCs w:val="20"/>
                <w:lang w:eastAsia="sk-SK"/>
              </w:rPr>
              <w:t xml:space="preserve"> povinné</w:t>
            </w:r>
            <w:r w:rsidRPr="00256F87">
              <w:rPr>
                <w:rFonts w:ascii="Times New Roman" w:eastAsia="Times New Roman" w:hAnsi="Times New Roman" w:cs="Times New Roman"/>
                <w:sz w:val="20"/>
                <w:szCs w:val="20"/>
                <w:lang w:eastAsia="sk-SK"/>
              </w:rPr>
              <w:t xml:space="preserve"> príspevky na starobné dôchodkové sporenie, a to aj v prípade, ak je poistenec stále ekonomicky aktívny. Celá suma poistného na starobné poistenie je postupovaná výlučne do základného fondu starobného poistenia. Sporiteľ tak nemá možnosť zasielania</w:t>
            </w:r>
            <w:r w:rsidR="005349A6">
              <w:rPr>
                <w:rFonts w:ascii="Times New Roman" w:eastAsia="Times New Roman" w:hAnsi="Times New Roman" w:cs="Times New Roman"/>
                <w:sz w:val="20"/>
                <w:szCs w:val="20"/>
                <w:lang w:eastAsia="sk-SK"/>
              </w:rPr>
              <w:t xml:space="preserve"> povinných</w:t>
            </w:r>
            <w:r w:rsidRPr="00256F87">
              <w:rPr>
                <w:rFonts w:ascii="Times New Roman" w:eastAsia="Times New Roman" w:hAnsi="Times New Roman" w:cs="Times New Roman"/>
                <w:sz w:val="20"/>
                <w:szCs w:val="20"/>
                <w:lang w:eastAsia="sk-SK"/>
              </w:rPr>
              <w:t xml:space="preserve"> príspevkov do II. piliera v období poberania starobného alebo predčasného starobného dôchodku</w:t>
            </w:r>
            <w:r w:rsidR="00414298">
              <w:rPr>
                <w:rFonts w:ascii="Times New Roman" w:eastAsia="Times New Roman" w:hAnsi="Times New Roman" w:cs="Times New Roman"/>
                <w:sz w:val="20"/>
                <w:szCs w:val="20"/>
                <w:lang w:eastAsia="sk-SK"/>
              </w:rPr>
              <w:t>,</w:t>
            </w:r>
            <w:r w:rsidRPr="00256F87">
              <w:rPr>
                <w:rFonts w:ascii="Times New Roman" w:eastAsia="Times New Roman" w:hAnsi="Times New Roman" w:cs="Times New Roman"/>
                <w:sz w:val="20"/>
                <w:szCs w:val="20"/>
                <w:lang w:eastAsia="sk-SK"/>
              </w:rPr>
              <w:t xml:space="preserve"> a to napriek tomu, že je stále ekonomicky aktívny. </w:t>
            </w:r>
          </w:p>
          <w:p w14:paraId="0CB43378" w14:textId="77777777" w:rsidR="007660CD" w:rsidRPr="00256F87" w:rsidRDefault="007660CD" w:rsidP="00BC68B9">
            <w:pPr>
              <w:jc w:val="both"/>
              <w:rPr>
                <w:rFonts w:ascii="Times New Roman" w:eastAsia="Times New Roman" w:hAnsi="Times New Roman" w:cs="Times New Roman"/>
                <w:sz w:val="20"/>
                <w:szCs w:val="20"/>
                <w:lang w:eastAsia="sk-SK"/>
              </w:rPr>
            </w:pPr>
          </w:p>
          <w:p w14:paraId="782740A2" w14:textId="77777777" w:rsidR="00E71CDA" w:rsidRPr="00256F87" w:rsidRDefault="00E71CDA" w:rsidP="00BC68B9">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Vydávanie akceptačných listov Sociálnou poisťovňou</w:t>
            </w:r>
          </w:p>
          <w:p w14:paraId="14E76FFB" w14:textId="77777777" w:rsidR="00D9600B" w:rsidRPr="00256F87" w:rsidRDefault="00E71CDA" w:rsidP="0003337F">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Podľa </w:t>
            </w:r>
            <w:r w:rsidR="00F038F6" w:rsidRPr="00256F87">
              <w:rPr>
                <w:rFonts w:ascii="Times New Roman" w:eastAsia="Times New Roman" w:hAnsi="Times New Roman" w:cs="Times New Roman"/>
                <w:sz w:val="20"/>
                <w:szCs w:val="20"/>
                <w:lang w:eastAsia="sk-SK"/>
              </w:rPr>
              <w:t xml:space="preserve">§ 64b </w:t>
            </w:r>
            <w:r w:rsidRPr="00256F87">
              <w:rPr>
                <w:rFonts w:ascii="Times New Roman" w:eastAsia="Times New Roman" w:hAnsi="Times New Roman" w:cs="Times New Roman"/>
                <w:sz w:val="20"/>
                <w:szCs w:val="20"/>
                <w:lang w:eastAsia="sk-SK"/>
              </w:rPr>
              <w:t>zákona č. 43/2004 Z. z. o starobnom dôchodkovom sporení a o zmene a doplnení niektorých zákonov</w:t>
            </w:r>
            <w:r w:rsidR="00EC6E85">
              <w:rPr>
                <w:rFonts w:ascii="Times New Roman" w:eastAsia="Times New Roman" w:hAnsi="Times New Roman" w:cs="Times New Roman"/>
                <w:sz w:val="20"/>
                <w:szCs w:val="20"/>
                <w:lang w:eastAsia="sk-SK"/>
              </w:rPr>
              <w:t xml:space="preserve"> v znení neskorších predpisov</w:t>
            </w:r>
            <w:r w:rsidRPr="00256F87">
              <w:rPr>
                <w:rFonts w:ascii="Times New Roman" w:eastAsia="Times New Roman" w:hAnsi="Times New Roman" w:cs="Times New Roman"/>
                <w:sz w:val="20"/>
                <w:szCs w:val="20"/>
                <w:lang w:eastAsia="sk-SK"/>
              </w:rPr>
              <w:t xml:space="preserve"> je k zmluve o starobnom dôchodkovom sporení </w:t>
            </w:r>
            <w:r w:rsidR="00F038F6" w:rsidRPr="00256F87">
              <w:rPr>
                <w:rFonts w:ascii="Times New Roman" w:eastAsia="Times New Roman" w:hAnsi="Times New Roman" w:cs="Times New Roman"/>
                <w:sz w:val="20"/>
                <w:szCs w:val="20"/>
                <w:lang w:eastAsia="sk-SK"/>
              </w:rPr>
              <w:t xml:space="preserve">v prípade prestupu sporiteľa </w:t>
            </w:r>
            <w:r w:rsidRPr="00256F87">
              <w:rPr>
                <w:rFonts w:ascii="Times New Roman" w:eastAsia="Times New Roman" w:hAnsi="Times New Roman" w:cs="Times New Roman"/>
                <w:sz w:val="20"/>
                <w:szCs w:val="20"/>
                <w:lang w:eastAsia="sk-SK"/>
              </w:rPr>
              <w:t xml:space="preserve">potrebné priložiť originál tzv. akceptačného listu. Originál akceptačného listu </w:t>
            </w:r>
            <w:r w:rsidR="00F038F6" w:rsidRPr="00256F87">
              <w:rPr>
                <w:rFonts w:ascii="Times New Roman" w:eastAsia="Times New Roman" w:hAnsi="Times New Roman" w:cs="Times New Roman"/>
                <w:sz w:val="20"/>
                <w:szCs w:val="20"/>
                <w:lang w:eastAsia="sk-SK"/>
              </w:rPr>
              <w:t xml:space="preserve">vydá bez zbytočného odkladu pobočka Sociálnej poisťovne príslušná podľa miesta pobytu sporiteľa, ktorý má záujem prestúpiť do inej DSS a osobne požiada o vydanie akceptačného listu. Ak ku dňu vydania akceptačného listu uplynuli viac ako dva roky odo dňa vzniku prvého dôchodkového poistenia a ak odo dňa posledného prestupu neuplynul najmenej jeden rok, zaplatí sporiteľ Sociálnej poisťovni poplatok za vydanie akceptačného listu v sume 16 eur. </w:t>
            </w:r>
            <w:r w:rsidR="0003337F" w:rsidRPr="00256F87">
              <w:rPr>
                <w:rFonts w:ascii="Times New Roman" w:eastAsia="Times New Roman" w:hAnsi="Times New Roman" w:cs="Times New Roman"/>
                <w:sz w:val="20"/>
                <w:szCs w:val="20"/>
                <w:lang w:eastAsia="sk-SK"/>
              </w:rPr>
              <w:t xml:space="preserve">Sociálna poisťovňa v roku 2021 </w:t>
            </w:r>
            <w:r w:rsidR="0003337F" w:rsidRPr="0009247C">
              <w:rPr>
                <w:rFonts w:ascii="Times New Roman" w:eastAsia="Times New Roman" w:hAnsi="Times New Roman" w:cs="Times New Roman"/>
                <w:sz w:val="20"/>
                <w:szCs w:val="20"/>
                <w:lang w:eastAsia="sk-SK"/>
              </w:rPr>
              <w:t>vydala viac ako 41 tisíc akceptačných listov</w:t>
            </w:r>
            <w:r w:rsidR="0003337F" w:rsidRPr="00525CEE">
              <w:rPr>
                <w:rFonts w:ascii="Times New Roman" w:eastAsia="Times New Roman" w:hAnsi="Times New Roman" w:cs="Times New Roman"/>
                <w:color w:val="000000" w:themeColor="text1"/>
                <w:sz w:val="20"/>
                <w:szCs w:val="20"/>
                <w:lang w:eastAsia="sk-SK"/>
              </w:rPr>
              <w:t xml:space="preserve">. </w:t>
            </w:r>
            <w:r w:rsidR="0009247C" w:rsidRPr="00525CEE">
              <w:rPr>
                <w:rFonts w:ascii="Times New Roman" w:eastAsia="Times New Roman" w:hAnsi="Times New Roman" w:cs="Times New Roman"/>
                <w:color w:val="000000" w:themeColor="text1"/>
                <w:sz w:val="20"/>
                <w:szCs w:val="20"/>
                <w:lang w:eastAsia="sk-SK"/>
              </w:rPr>
              <w:t>Vydávanie akceptačných listov</w:t>
            </w:r>
            <w:r w:rsidR="00384DD6" w:rsidRPr="00525CEE">
              <w:rPr>
                <w:rFonts w:ascii="Times New Roman" w:eastAsia="Times New Roman" w:hAnsi="Times New Roman" w:cs="Times New Roman"/>
                <w:color w:val="000000" w:themeColor="text1"/>
                <w:sz w:val="20"/>
                <w:szCs w:val="20"/>
                <w:lang w:eastAsia="sk-SK"/>
              </w:rPr>
              <w:t xml:space="preserve"> tak</w:t>
            </w:r>
            <w:r w:rsidR="0009247C" w:rsidRPr="00525CEE">
              <w:rPr>
                <w:rFonts w:ascii="Times New Roman" w:eastAsia="Times New Roman" w:hAnsi="Times New Roman" w:cs="Times New Roman"/>
                <w:color w:val="000000" w:themeColor="text1"/>
                <w:sz w:val="20"/>
                <w:szCs w:val="20"/>
                <w:lang w:eastAsia="sk-SK"/>
              </w:rPr>
              <w:t xml:space="preserve"> predstavuje zvýšenú administratívnu záťaž pre Sociálnu poisťovňu </w:t>
            </w:r>
            <w:r w:rsidR="00384DD6" w:rsidRPr="00525CEE">
              <w:rPr>
                <w:rFonts w:ascii="Times New Roman" w:eastAsia="Times New Roman" w:hAnsi="Times New Roman" w:cs="Times New Roman"/>
                <w:color w:val="000000" w:themeColor="text1"/>
                <w:sz w:val="20"/>
                <w:szCs w:val="20"/>
                <w:lang w:eastAsia="sk-SK"/>
              </w:rPr>
              <w:t>ako aj pre</w:t>
            </w:r>
            <w:r w:rsidR="0009247C" w:rsidRPr="00525CEE">
              <w:rPr>
                <w:rFonts w:ascii="Times New Roman" w:eastAsia="Times New Roman" w:hAnsi="Times New Roman" w:cs="Times New Roman"/>
                <w:color w:val="000000" w:themeColor="text1"/>
                <w:sz w:val="20"/>
                <w:szCs w:val="20"/>
                <w:lang w:eastAsia="sk-SK"/>
              </w:rPr>
              <w:t> sporiteľov.</w:t>
            </w:r>
          </w:p>
          <w:p w14:paraId="0DBF9DAB" w14:textId="77777777" w:rsidR="0003337F" w:rsidRPr="00256F87" w:rsidRDefault="0003337F" w:rsidP="0003337F">
            <w:pPr>
              <w:jc w:val="both"/>
              <w:rPr>
                <w:rFonts w:ascii="Times New Roman" w:eastAsia="Times New Roman" w:hAnsi="Times New Roman" w:cs="Times New Roman"/>
                <w:b/>
                <w:sz w:val="20"/>
                <w:szCs w:val="20"/>
                <w:lang w:eastAsia="sk-SK"/>
              </w:rPr>
            </w:pPr>
          </w:p>
        </w:tc>
      </w:tr>
      <w:tr w:rsidR="001B23B7" w:rsidRPr="00B043B4" w14:paraId="1B3965AF"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0F35BA5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Ciele a výsledný stav</w:t>
            </w:r>
          </w:p>
        </w:tc>
      </w:tr>
      <w:tr w:rsidR="001B23B7" w:rsidRPr="00B043B4" w14:paraId="278E5E91"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3FE9D28" w14:textId="77777777" w:rsidR="0003337F" w:rsidRPr="00256F87" w:rsidRDefault="0003337F" w:rsidP="00525CEE">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Suboptimálne rozloženie úspor sporiteľov v II. pilieri</w:t>
            </w:r>
          </w:p>
          <w:p w14:paraId="27B15D07" w14:textId="75003B66" w:rsidR="000634C4" w:rsidRPr="00256F87" w:rsidRDefault="000634C4" w:rsidP="00925594">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Zavedením predvolenej investičnej stratégie na báze životného cyklu investovania sa vytvoria predpoklady pre maximalizovanie výnosov akciových aj dlhopisových investícií</w:t>
            </w:r>
            <w:r w:rsidR="00D55B11">
              <w:rPr>
                <w:rFonts w:ascii="Times New Roman" w:eastAsia="Times New Roman" w:hAnsi="Times New Roman" w:cs="Times New Roman"/>
                <w:sz w:val="20"/>
                <w:szCs w:val="20"/>
                <w:lang w:eastAsia="sk-SK"/>
              </w:rPr>
              <w:t xml:space="preserve"> pre sporiteľov</w:t>
            </w:r>
            <w:r w:rsidRPr="00256F87">
              <w:rPr>
                <w:rFonts w:ascii="Times New Roman" w:eastAsia="Times New Roman" w:hAnsi="Times New Roman" w:cs="Times New Roman"/>
                <w:sz w:val="20"/>
                <w:szCs w:val="20"/>
                <w:lang w:eastAsia="sk-SK"/>
              </w:rPr>
              <w:t>. Z historických údajov vyplýva, že globálne akciové fondy dokážu z dlhodobého pohľadu významne prekonať rast cien</w:t>
            </w:r>
            <w:r w:rsidR="006C78D9">
              <w:rPr>
                <w:rFonts w:ascii="Times New Roman" w:eastAsia="Times New Roman" w:hAnsi="Times New Roman" w:cs="Times New Roman"/>
                <w:sz w:val="20"/>
                <w:szCs w:val="20"/>
                <w:lang w:eastAsia="sk-SK"/>
              </w:rPr>
              <w:t>,</w:t>
            </w:r>
            <w:r w:rsidR="00124185">
              <w:rPr>
                <w:rFonts w:ascii="Times New Roman" w:eastAsia="Times New Roman" w:hAnsi="Times New Roman" w:cs="Times New Roman"/>
                <w:sz w:val="20"/>
                <w:szCs w:val="20"/>
                <w:lang w:eastAsia="sk-SK"/>
              </w:rPr>
              <w:t xml:space="preserve"> ale aj miezd</w:t>
            </w:r>
            <w:r w:rsidRPr="00256F87">
              <w:rPr>
                <w:rFonts w:ascii="Times New Roman" w:eastAsia="Times New Roman" w:hAnsi="Times New Roman" w:cs="Times New Roman"/>
                <w:sz w:val="20"/>
                <w:szCs w:val="20"/>
                <w:lang w:eastAsia="sk-SK"/>
              </w:rPr>
              <w:t xml:space="preserve"> v ekonomike a zabezpečiť tak reálny výnos investície. Kvalitné dlhopisové investície naopak dokážu zabezpečiť stabilný výnos a vo väčšine prípadov ochrániť majetok pred trhovými výkyvmi. Správne zvolená investičná stratégia založená na postupnom presune majetku z akciových do dlhopisových investícií dokáže zvýšiť nasporenú sumu, resp. dôchodok sporiteľa v priemere o </w:t>
            </w:r>
            <w:r w:rsidR="00925594">
              <w:rPr>
                <w:rFonts w:ascii="Times New Roman" w:eastAsia="Times New Roman" w:hAnsi="Times New Roman" w:cs="Times New Roman"/>
                <w:sz w:val="20"/>
                <w:szCs w:val="20"/>
                <w:lang w:eastAsia="sk-SK"/>
              </w:rPr>
              <w:t>50</w:t>
            </w:r>
            <w:r w:rsidRPr="00256F87">
              <w:rPr>
                <w:rFonts w:ascii="Times New Roman" w:eastAsia="Times New Roman" w:hAnsi="Times New Roman" w:cs="Times New Roman"/>
                <w:sz w:val="20"/>
                <w:szCs w:val="20"/>
                <w:lang w:eastAsia="sk-SK"/>
              </w:rPr>
              <w:t xml:space="preserve"> % v porovnaní s alternatívnou investičnou stratégiou založenou výlučne na dlhopisových investíciách. Predvolená investičná stratégia sa bude vykonávať prostredníctvom</w:t>
            </w:r>
            <w:r w:rsidR="00925594">
              <w:rPr>
                <w:rFonts w:ascii="Times New Roman" w:eastAsia="Times New Roman" w:hAnsi="Times New Roman" w:cs="Times New Roman"/>
                <w:sz w:val="20"/>
                <w:szCs w:val="20"/>
                <w:lang w:eastAsia="sk-SK"/>
              </w:rPr>
              <w:t xml:space="preserve"> pravidelného znižovania podielu čistej hodnoty majetku v indexovom negarantovanom dôchodkovom </w:t>
            </w:r>
            <w:r w:rsidR="00925594" w:rsidRPr="0065437F">
              <w:rPr>
                <w:rFonts w:ascii="Times New Roman" w:eastAsia="Times New Roman" w:hAnsi="Times New Roman" w:cs="Times New Roman"/>
                <w:sz w:val="20"/>
                <w:szCs w:val="20"/>
                <w:lang w:eastAsia="sk-SK"/>
              </w:rPr>
              <w:t>fonde od veku 50 rokov o 4 percentuálne body v prospech podielu čistej hodnoty majetku v </w:t>
            </w:r>
            <w:r w:rsidR="006C78D9">
              <w:rPr>
                <w:rFonts w:ascii="Times New Roman" w:eastAsia="Times New Roman" w:hAnsi="Times New Roman" w:cs="Times New Roman"/>
                <w:sz w:val="20"/>
                <w:szCs w:val="20"/>
                <w:lang w:eastAsia="sk-SK"/>
              </w:rPr>
              <w:t>DGDF</w:t>
            </w:r>
            <w:r w:rsidR="00925594">
              <w:rPr>
                <w:rFonts w:ascii="Times New Roman" w:eastAsia="Times New Roman" w:hAnsi="Times New Roman" w:cs="Times New Roman"/>
                <w:sz w:val="20"/>
                <w:szCs w:val="20"/>
                <w:lang w:eastAsia="sk-SK"/>
              </w:rPr>
              <w:t>.</w:t>
            </w:r>
            <w:r w:rsidRPr="00256F87">
              <w:rPr>
                <w:rFonts w:ascii="Times New Roman" w:eastAsia="Times New Roman" w:hAnsi="Times New Roman" w:cs="Times New Roman"/>
                <w:sz w:val="20"/>
                <w:szCs w:val="20"/>
                <w:lang w:eastAsia="sk-SK"/>
              </w:rPr>
              <w:t xml:space="preserve"> </w:t>
            </w:r>
          </w:p>
          <w:p w14:paraId="7C684917" w14:textId="77777777" w:rsidR="00CC76E3" w:rsidRPr="00256F87" w:rsidRDefault="00CC76E3" w:rsidP="00525CEE">
            <w:pPr>
              <w:jc w:val="both"/>
              <w:rPr>
                <w:rFonts w:ascii="Times New Roman" w:eastAsia="Times New Roman" w:hAnsi="Times New Roman" w:cs="Times New Roman"/>
                <w:sz w:val="20"/>
                <w:szCs w:val="20"/>
                <w:lang w:eastAsia="sk-SK"/>
              </w:rPr>
            </w:pPr>
          </w:p>
          <w:p w14:paraId="47C9026C" w14:textId="6479A91B" w:rsidR="00CC76E3" w:rsidRPr="00256F87" w:rsidRDefault="00CC76E3" w:rsidP="00525CEE">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lastRenderedPageBreak/>
              <w:t xml:space="preserve">Predvolená investičná stratégia bude okrem nových sporiteľov aplikovaná aj </w:t>
            </w:r>
            <w:r w:rsidRPr="0065437F">
              <w:rPr>
                <w:rFonts w:ascii="Times New Roman" w:eastAsia="Times New Roman" w:hAnsi="Times New Roman" w:cs="Times New Roman"/>
                <w:sz w:val="20"/>
                <w:szCs w:val="20"/>
                <w:lang w:eastAsia="sk-SK"/>
              </w:rPr>
              <w:t xml:space="preserve">na </w:t>
            </w:r>
            <w:r w:rsidR="0065437F" w:rsidRPr="0065437F">
              <w:rPr>
                <w:rFonts w:ascii="Times New Roman" w:eastAsia="Times New Roman" w:hAnsi="Times New Roman" w:cs="Times New Roman"/>
                <w:sz w:val="20"/>
                <w:szCs w:val="20"/>
                <w:lang w:eastAsia="sk-SK"/>
              </w:rPr>
              <w:t>väčšinu</w:t>
            </w:r>
            <w:r w:rsidRPr="0065437F">
              <w:rPr>
                <w:rFonts w:ascii="Times New Roman" w:eastAsia="Times New Roman" w:hAnsi="Times New Roman" w:cs="Times New Roman"/>
                <w:sz w:val="20"/>
                <w:szCs w:val="20"/>
                <w:lang w:eastAsia="sk-SK"/>
              </w:rPr>
              <w:t xml:space="preserve"> existujúcich</w:t>
            </w:r>
            <w:r w:rsidR="00D55B11" w:rsidRPr="0065437F">
              <w:rPr>
                <w:rFonts w:ascii="Times New Roman" w:eastAsia="Times New Roman" w:hAnsi="Times New Roman" w:cs="Times New Roman"/>
                <w:sz w:val="20"/>
                <w:szCs w:val="20"/>
                <w:lang w:eastAsia="sk-SK"/>
              </w:rPr>
              <w:t xml:space="preserve"> sporiteľov</w:t>
            </w:r>
            <w:r w:rsidR="00925594" w:rsidRPr="0065437F">
              <w:rPr>
                <w:rFonts w:ascii="Times New Roman" w:eastAsia="Times New Roman" w:hAnsi="Times New Roman" w:cs="Times New Roman"/>
                <w:sz w:val="20"/>
                <w:szCs w:val="20"/>
                <w:lang w:eastAsia="sk-SK"/>
              </w:rPr>
              <w:t xml:space="preserve">, konkrétne na </w:t>
            </w:r>
            <w:r w:rsidRPr="0065437F">
              <w:rPr>
                <w:rFonts w:ascii="Times New Roman" w:eastAsia="Times New Roman" w:hAnsi="Times New Roman" w:cs="Times New Roman"/>
                <w:sz w:val="20"/>
                <w:szCs w:val="20"/>
                <w:lang w:eastAsia="sk-SK"/>
              </w:rPr>
              <w:t>sporiteľov</w:t>
            </w:r>
            <w:r w:rsidR="00925594" w:rsidRPr="0065437F">
              <w:rPr>
                <w:rFonts w:ascii="Times New Roman" w:eastAsia="Times New Roman" w:hAnsi="Times New Roman" w:cs="Times New Roman"/>
                <w:sz w:val="20"/>
                <w:szCs w:val="20"/>
                <w:lang w:eastAsia="sk-SK"/>
              </w:rPr>
              <w:t xml:space="preserve"> narodených po roku 1968</w:t>
            </w:r>
            <w:r w:rsidRPr="0065437F">
              <w:rPr>
                <w:rFonts w:ascii="Times New Roman" w:eastAsia="Times New Roman" w:hAnsi="Times New Roman" w:cs="Times New Roman"/>
                <w:sz w:val="20"/>
                <w:szCs w:val="20"/>
                <w:lang w:eastAsia="sk-SK"/>
              </w:rPr>
              <w:t xml:space="preserve">, ktorí </w:t>
            </w:r>
            <w:r w:rsidR="00925594" w:rsidRPr="0065437F">
              <w:rPr>
                <w:rFonts w:ascii="Times New Roman" w:eastAsia="Times New Roman" w:hAnsi="Times New Roman" w:cs="Times New Roman"/>
                <w:sz w:val="20"/>
                <w:szCs w:val="20"/>
                <w:lang w:eastAsia="sk-SK"/>
              </w:rPr>
              <w:t>nie sú poberateľmi starobného alebo predčasného</w:t>
            </w:r>
            <w:r w:rsidR="00925594">
              <w:rPr>
                <w:rFonts w:ascii="Times New Roman" w:eastAsia="Times New Roman" w:hAnsi="Times New Roman" w:cs="Times New Roman"/>
                <w:sz w:val="20"/>
                <w:szCs w:val="20"/>
                <w:lang w:eastAsia="sk-SK"/>
              </w:rPr>
              <w:t xml:space="preserve"> starobného dôchodku. </w:t>
            </w:r>
          </w:p>
          <w:p w14:paraId="056EC7DF" w14:textId="77777777" w:rsidR="00384DD6" w:rsidRDefault="00384DD6" w:rsidP="00525CEE">
            <w:pPr>
              <w:jc w:val="both"/>
              <w:rPr>
                <w:rFonts w:ascii="Times New Roman" w:eastAsia="Times New Roman" w:hAnsi="Times New Roman" w:cs="Times New Roman"/>
                <w:sz w:val="20"/>
                <w:szCs w:val="20"/>
                <w:lang w:eastAsia="sk-SK"/>
              </w:rPr>
            </w:pPr>
          </w:p>
          <w:p w14:paraId="05F6794D" w14:textId="683C8B46" w:rsidR="00CC76E3" w:rsidRDefault="00384DD6" w:rsidP="00525CE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Účinnosť opat</w:t>
            </w:r>
            <w:r w:rsidR="00D50A86">
              <w:rPr>
                <w:rFonts w:ascii="Times New Roman" w:eastAsia="Times New Roman" w:hAnsi="Times New Roman" w:cs="Times New Roman"/>
                <w:sz w:val="20"/>
                <w:szCs w:val="20"/>
                <w:lang w:eastAsia="sk-SK"/>
              </w:rPr>
              <w:t xml:space="preserve">renia je plánovaná od 1.1.2023 v prípade nových sporiteľov, existujúci sporitelia sa začnú presúvať do predvolenej investičnej stratégie od 1.7.2023.  </w:t>
            </w:r>
          </w:p>
          <w:p w14:paraId="5B9836CB" w14:textId="77777777" w:rsidR="00384DD6" w:rsidRPr="00256F87" w:rsidRDefault="00384DD6" w:rsidP="00525CEE">
            <w:pPr>
              <w:jc w:val="both"/>
              <w:rPr>
                <w:rFonts w:ascii="Times New Roman" w:eastAsia="Times New Roman" w:hAnsi="Times New Roman" w:cs="Times New Roman"/>
                <w:sz w:val="20"/>
                <w:szCs w:val="20"/>
                <w:lang w:eastAsia="sk-SK"/>
              </w:rPr>
            </w:pPr>
          </w:p>
          <w:p w14:paraId="797AEFF2" w14:textId="77777777" w:rsidR="00CC76E3" w:rsidRPr="00256F87" w:rsidRDefault="00CC76E3" w:rsidP="00274C11">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Neefektívne využitie naakumulovaných zdrojov vo výplatnej fáze</w:t>
            </w:r>
          </w:p>
          <w:p w14:paraId="7C540DD2" w14:textId="7B056F98" w:rsidR="00CC76E3" w:rsidRPr="00256F87" w:rsidRDefault="00CC76E3" w:rsidP="00525CEE">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Sporiteľovi sa pri odchode do dôchodku z II. piliera (na základe žiadosti po dovŕšení dôchodkového veku, odchode do predčasného starobného dôchodku alebo starobného dôchodku) začne vyplácať programový výber z polovice jeho nasporenej sumy. Obdobie po</w:t>
            </w:r>
            <w:r w:rsidR="004C5E06">
              <w:rPr>
                <w:rFonts w:ascii="Times New Roman" w:eastAsia="Times New Roman" w:hAnsi="Times New Roman" w:cs="Times New Roman"/>
                <w:sz w:val="20"/>
                <w:szCs w:val="20"/>
                <w:lang w:eastAsia="sk-SK"/>
              </w:rPr>
              <w:t>berania programového výberu sa bude odvíjať od strednej dĺžky života v čase požiadania</w:t>
            </w:r>
            <w:r w:rsidR="00DD4480">
              <w:rPr>
                <w:rFonts w:ascii="Times New Roman" w:eastAsia="Times New Roman" w:hAnsi="Times New Roman" w:cs="Times New Roman"/>
                <w:sz w:val="20"/>
                <w:szCs w:val="20"/>
                <w:lang w:eastAsia="sk-SK"/>
              </w:rPr>
              <w:t xml:space="preserve"> sporiteľa</w:t>
            </w:r>
            <w:r w:rsidR="004C5E06">
              <w:rPr>
                <w:rFonts w:ascii="Times New Roman" w:eastAsia="Times New Roman" w:hAnsi="Times New Roman" w:cs="Times New Roman"/>
                <w:sz w:val="20"/>
                <w:szCs w:val="20"/>
                <w:lang w:eastAsia="sk-SK"/>
              </w:rPr>
              <w:t xml:space="preserve"> o dôchodok</w:t>
            </w:r>
            <w:r w:rsidRPr="00256F87">
              <w:rPr>
                <w:rFonts w:ascii="Times New Roman" w:eastAsia="Times New Roman" w:hAnsi="Times New Roman" w:cs="Times New Roman"/>
                <w:sz w:val="20"/>
                <w:szCs w:val="20"/>
                <w:lang w:eastAsia="sk-SK"/>
              </w:rPr>
              <w:t>. Dôchodok vyplácaný formou programového výberu bude mať podobu</w:t>
            </w:r>
            <w:r w:rsidR="00D55B11">
              <w:rPr>
                <w:rFonts w:ascii="Times New Roman" w:eastAsia="Times New Roman" w:hAnsi="Times New Roman" w:cs="Times New Roman"/>
                <w:sz w:val="20"/>
                <w:szCs w:val="20"/>
                <w:lang w:eastAsia="sk-SK"/>
              </w:rPr>
              <w:t>:</w:t>
            </w:r>
            <w:r w:rsidRPr="00256F87">
              <w:rPr>
                <w:rFonts w:ascii="Times New Roman" w:eastAsia="Times New Roman" w:hAnsi="Times New Roman" w:cs="Times New Roman"/>
                <w:sz w:val="20"/>
                <w:szCs w:val="20"/>
                <w:lang w:eastAsia="sk-SK"/>
              </w:rPr>
              <w:t xml:space="preserve"> </w:t>
            </w:r>
          </w:p>
          <w:p w14:paraId="3FA33BAF" w14:textId="77777777" w:rsidR="00CC76E3" w:rsidRPr="0065437F" w:rsidRDefault="00CC76E3" w:rsidP="00525CEE">
            <w:pPr>
              <w:jc w:val="both"/>
              <w:rPr>
                <w:rFonts w:ascii="Times New Roman" w:eastAsia="Times New Roman" w:hAnsi="Times New Roman" w:cs="Times New Roman"/>
                <w:sz w:val="20"/>
                <w:szCs w:val="20"/>
                <w:lang w:eastAsia="sk-SK"/>
              </w:rPr>
            </w:pPr>
            <w:r w:rsidRPr="0065437F">
              <w:rPr>
                <w:rFonts w:ascii="Times New Roman" w:eastAsia="Times New Roman" w:hAnsi="Times New Roman" w:cs="Times New Roman"/>
                <w:sz w:val="20"/>
                <w:szCs w:val="20"/>
                <w:lang w:eastAsia="sk-SK"/>
              </w:rPr>
              <w:t>• variabilnej dávky (výška dôchodku bude vždy prepočítaná vzhľadom na zostávajúcu dobu výplaty, zároveň ale nebude môcť byť suma vyplácaného dôchodku nižšia ako suma dôchodku v predchádzajúcom kalendárnom roku) alebo</w:t>
            </w:r>
          </w:p>
          <w:p w14:paraId="74356EEE" w14:textId="77777777" w:rsidR="00CC76E3" w:rsidRPr="00256F87" w:rsidRDefault="00CC76E3" w:rsidP="00525CEE">
            <w:pPr>
              <w:jc w:val="both"/>
              <w:rPr>
                <w:rFonts w:ascii="Times New Roman" w:eastAsia="Times New Roman" w:hAnsi="Times New Roman" w:cs="Times New Roman"/>
                <w:sz w:val="20"/>
                <w:szCs w:val="20"/>
                <w:lang w:eastAsia="sk-SK"/>
              </w:rPr>
            </w:pPr>
            <w:r w:rsidRPr="0065437F">
              <w:rPr>
                <w:rFonts w:ascii="Times New Roman" w:eastAsia="Times New Roman" w:hAnsi="Times New Roman" w:cs="Times New Roman"/>
                <w:sz w:val="20"/>
                <w:szCs w:val="20"/>
                <w:lang w:eastAsia="sk-SK"/>
              </w:rPr>
              <w:t>• fixnej dávky počas celého obdobia poberania programového výberu.</w:t>
            </w:r>
            <w:r w:rsidRPr="00256F87">
              <w:rPr>
                <w:rFonts w:ascii="Times New Roman" w:eastAsia="Times New Roman" w:hAnsi="Times New Roman" w:cs="Times New Roman"/>
                <w:sz w:val="20"/>
                <w:szCs w:val="20"/>
                <w:lang w:eastAsia="sk-SK"/>
              </w:rPr>
              <w:t xml:space="preserve"> </w:t>
            </w:r>
          </w:p>
          <w:p w14:paraId="40ED8FCE" w14:textId="77777777" w:rsidR="00CC76E3" w:rsidRPr="00256F87" w:rsidRDefault="00CC76E3" w:rsidP="00525CEE">
            <w:pPr>
              <w:jc w:val="both"/>
              <w:rPr>
                <w:rFonts w:ascii="Times New Roman" w:eastAsia="Times New Roman" w:hAnsi="Times New Roman" w:cs="Times New Roman"/>
                <w:sz w:val="20"/>
                <w:szCs w:val="20"/>
                <w:lang w:eastAsia="sk-SK"/>
              </w:rPr>
            </w:pPr>
          </w:p>
          <w:p w14:paraId="74B2A8AD" w14:textId="512777EA" w:rsidR="00CC76E3" w:rsidRPr="00256F87" w:rsidRDefault="00CC76E3" w:rsidP="00525CEE">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Určujúcou podmienkou pre formu poberania dôchodku z II. piliera bude, či suma mesačného dôchodku je </w:t>
            </w:r>
            <w:r w:rsidR="00334A51">
              <w:rPr>
                <w:rFonts w:ascii="Times New Roman" w:eastAsia="Times New Roman" w:hAnsi="Times New Roman" w:cs="Times New Roman"/>
                <w:sz w:val="20"/>
                <w:szCs w:val="20"/>
                <w:lang w:eastAsia="sk-SK"/>
              </w:rPr>
              <w:t>vyššia</w:t>
            </w:r>
            <w:r w:rsidRPr="00256F87">
              <w:rPr>
                <w:rFonts w:ascii="Times New Roman" w:eastAsia="Times New Roman" w:hAnsi="Times New Roman" w:cs="Times New Roman"/>
                <w:sz w:val="20"/>
                <w:szCs w:val="20"/>
                <w:lang w:eastAsia="sk-SK"/>
              </w:rPr>
              <w:t xml:space="preserve"> alebo </w:t>
            </w:r>
            <w:r w:rsidR="00334A51">
              <w:rPr>
                <w:rFonts w:ascii="Times New Roman" w:eastAsia="Times New Roman" w:hAnsi="Times New Roman" w:cs="Times New Roman"/>
                <w:sz w:val="20"/>
                <w:szCs w:val="20"/>
                <w:lang w:eastAsia="sk-SK"/>
              </w:rPr>
              <w:t>nižšia</w:t>
            </w:r>
            <w:r w:rsidRPr="00256F87">
              <w:rPr>
                <w:rFonts w:ascii="Times New Roman" w:eastAsia="Times New Roman" w:hAnsi="Times New Roman" w:cs="Times New Roman"/>
                <w:sz w:val="20"/>
                <w:szCs w:val="20"/>
                <w:lang w:eastAsia="sk-SK"/>
              </w:rPr>
              <w:t xml:space="preserve"> ako stredná hodnota minimálnych súm vyplácaných doživotných dôchodkov zo strany poisťovní vyplácajúcich doživotné dôchodky z II. piliera (ďalej len „medián“). V prípade, ak bude hodnota vypočítaného dôchodku formou programového výberu </w:t>
            </w:r>
            <w:r w:rsidR="00334A51">
              <w:rPr>
                <w:rFonts w:ascii="Times New Roman" w:eastAsia="Times New Roman" w:hAnsi="Times New Roman" w:cs="Times New Roman"/>
                <w:sz w:val="20"/>
                <w:szCs w:val="20"/>
                <w:lang w:eastAsia="sk-SK"/>
              </w:rPr>
              <w:t>vyššia</w:t>
            </w:r>
            <w:r w:rsidRPr="00256F87">
              <w:rPr>
                <w:rFonts w:ascii="Times New Roman" w:eastAsia="Times New Roman" w:hAnsi="Times New Roman" w:cs="Times New Roman"/>
                <w:sz w:val="20"/>
                <w:szCs w:val="20"/>
                <w:lang w:eastAsia="sk-SK"/>
              </w:rPr>
              <w:t xml:space="preserve"> alebo rovná ako hodnota mediánu, sporiteľ bude mať možnosť poberať jednu z ponúknutých foriem programového výberu. V prípade, ak bude suma vypočítaného dôchodku </w:t>
            </w:r>
            <w:r w:rsidR="00334A51">
              <w:rPr>
                <w:rFonts w:ascii="Times New Roman" w:eastAsia="Times New Roman" w:hAnsi="Times New Roman" w:cs="Times New Roman"/>
                <w:sz w:val="20"/>
                <w:szCs w:val="20"/>
                <w:lang w:eastAsia="sk-SK"/>
              </w:rPr>
              <w:t>nižšia</w:t>
            </w:r>
            <w:r w:rsidRPr="00256F87">
              <w:rPr>
                <w:rFonts w:ascii="Times New Roman" w:eastAsia="Times New Roman" w:hAnsi="Times New Roman" w:cs="Times New Roman"/>
                <w:sz w:val="20"/>
                <w:szCs w:val="20"/>
                <w:lang w:eastAsia="sk-SK"/>
              </w:rPr>
              <w:t xml:space="preserve"> ako medián, sporiteľ bude poberať dôchodok </w:t>
            </w:r>
            <w:r w:rsidR="00334A51">
              <w:rPr>
                <w:rFonts w:ascii="Times New Roman" w:eastAsia="Times New Roman" w:hAnsi="Times New Roman" w:cs="Times New Roman"/>
                <w:sz w:val="20"/>
                <w:szCs w:val="20"/>
                <w:lang w:eastAsia="sk-SK"/>
              </w:rPr>
              <w:t>inou formou programového výberu</w:t>
            </w:r>
            <w:r w:rsidRPr="00256F87">
              <w:rPr>
                <w:rFonts w:ascii="Times New Roman" w:eastAsia="Times New Roman" w:hAnsi="Times New Roman" w:cs="Times New Roman"/>
                <w:sz w:val="20"/>
                <w:szCs w:val="20"/>
                <w:lang w:eastAsia="sk-SK"/>
              </w:rPr>
              <w:t xml:space="preserve">. </w:t>
            </w:r>
          </w:p>
          <w:p w14:paraId="04FDE2B2" w14:textId="77777777" w:rsidR="00CC76E3" w:rsidRPr="00256F87" w:rsidRDefault="00CC76E3" w:rsidP="00525CEE">
            <w:pPr>
              <w:jc w:val="both"/>
              <w:rPr>
                <w:rFonts w:ascii="Times New Roman" w:eastAsia="Times New Roman" w:hAnsi="Times New Roman" w:cs="Times New Roman"/>
                <w:sz w:val="20"/>
                <w:szCs w:val="20"/>
                <w:lang w:eastAsia="sk-SK"/>
              </w:rPr>
            </w:pPr>
          </w:p>
          <w:p w14:paraId="1AEE853B" w14:textId="49358B1C" w:rsidR="000634C4" w:rsidRDefault="00CC76E3" w:rsidP="00525CEE">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Druhá polovica nasporenej sumy bude naďalej z časti alokovaná aj do akciových investícií v súlade s predvolenou investičnou stratégiou, objem prostriedkov alokovaných v rizikových nástrojoch bude postupne klesať. Takto zhodnocovaná časť majetku bude následne po </w:t>
            </w:r>
            <w:r w:rsidR="004C5E06">
              <w:rPr>
                <w:rFonts w:ascii="Times New Roman" w:eastAsia="Times New Roman" w:hAnsi="Times New Roman" w:cs="Times New Roman"/>
                <w:sz w:val="20"/>
                <w:szCs w:val="20"/>
                <w:lang w:eastAsia="sk-SK"/>
              </w:rPr>
              <w:t>skončení poberania</w:t>
            </w:r>
            <w:r w:rsidRPr="00256F87">
              <w:rPr>
                <w:rFonts w:ascii="Times New Roman" w:eastAsia="Times New Roman" w:hAnsi="Times New Roman" w:cs="Times New Roman"/>
                <w:sz w:val="20"/>
                <w:szCs w:val="20"/>
                <w:lang w:eastAsia="sk-SK"/>
              </w:rPr>
              <w:t xml:space="preserve"> programového výberu použitá na zakúpenie doživotného dôchodku.   </w:t>
            </w:r>
          </w:p>
          <w:p w14:paraId="4B79F59C" w14:textId="77777777" w:rsidR="00384DD6" w:rsidRDefault="00384DD6" w:rsidP="00525CEE">
            <w:pPr>
              <w:jc w:val="both"/>
              <w:rPr>
                <w:rFonts w:ascii="Times New Roman" w:eastAsia="Times New Roman" w:hAnsi="Times New Roman" w:cs="Times New Roman"/>
                <w:sz w:val="20"/>
                <w:szCs w:val="20"/>
                <w:lang w:eastAsia="sk-SK"/>
              </w:rPr>
            </w:pPr>
          </w:p>
          <w:p w14:paraId="20D03EF6" w14:textId="77777777" w:rsidR="00384DD6" w:rsidRDefault="00384DD6" w:rsidP="00525CE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Účinnosť opatrenia je plánovaná od 1.1.2024.</w:t>
            </w:r>
          </w:p>
          <w:p w14:paraId="700C1C4F" w14:textId="77777777" w:rsidR="00384DD6" w:rsidRPr="00256F87" w:rsidRDefault="00384DD6" w:rsidP="00525CEE">
            <w:pPr>
              <w:jc w:val="both"/>
              <w:rPr>
                <w:rFonts w:ascii="Times New Roman" w:eastAsia="Times New Roman" w:hAnsi="Times New Roman" w:cs="Times New Roman"/>
                <w:sz w:val="20"/>
                <w:szCs w:val="20"/>
                <w:lang w:eastAsia="sk-SK"/>
              </w:rPr>
            </w:pPr>
          </w:p>
          <w:p w14:paraId="1BA704B4" w14:textId="77777777" w:rsidR="00F04233" w:rsidRPr="00256F87" w:rsidRDefault="00FB3B0E" w:rsidP="00274C11">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Odplaty</w:t>
            </w:r>
            <w:r w:rsidR="00F04233" w:rsidRPr="00256F87">
              <w:rPr>
                <w:rFonts w:ascii="Times New Roman" w:eastAsia="Times New Roman" w:hAnsi="Times New Roman" w:cs="Times New Roman"/>
                <w:sz w:val="20"/>
                <w:szCs w:val="20"/>
                <w:u w:val="single"/>
                <w:lang w:eastAsia="sk-SK"/>
              </w:rPr>
              <w:t xml:space="preserve"> </w:t>
            </w:r>
          </w:p>
          <w:p w14:paraId="716C268F" w14:textId="1F258630" w:rsidR="00F04233" w:rsidRPr="00256F87" w:rsidRDefault="00DD4480" w:rsidP="00D7544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Správcovia dôchodkových fondov podľa navrhovanej</w:t>
            </w:r>
            <w:r w:rsidR="00AC161D">
              <w:rPr>
                <w:rFonts w:ascii="Times New Roman" w:eastAsia="Times New Roman" w:hAnsi="Times New Roman" w:cs="Times New Roman"/>
                <w:sz w:val="20"/>
                <w:szCs w:val="20"/>
                <w:lang w:eastAsia="sk-SK"/>
              </w:rPr>
              <w:t xml:space="preserve"> právnej</w:t>
            </w:r>
            <w:r>
              <w:rPr>
                <w:rFonts w:ascii="Times New Roman" w:eastAsia="Times New Roman" w:hAnsi="Times New Roman" w:cs="Times New Roman"/>
                <w:sz w:val="20"/>
                <w:szCs w:val="20"/>
                <w:lang w:eastAsia="sk-SK"/>
              </w:rPr>
              <w:t xml:space="preserve"> úpravy </w:t>
            </w:r>
            <w:r w:rsidR="00F04233" w:rsidRPr="00256F87">
              <w:rPr>
                <w:rFonts w:ascii="Times New Roman" w:eastAsia="Times New Roman" w:hAnsi="Times New Roman" w:cs="Times New Roman"/>
                <w:sz w:val="20"/>
                <w:szCs w:val="20"/>
                <w:lang w:eastAsia="sk-SK"/>
              </w:rPr>
              <w:t xml:space="preserve">nebudú mať nárok na odplatu za zhodnotenie majetku v dôchodkovom fonde. </w:t>
            </w:r>
            <w:r w:rsidR="00B0051F" w:rsidRPr="00256F87">
              <w:rPr>
                <w:rFonts w:ascii="Times New Roman" w:eastAsia="Times New Roman" w:hAnsi="Times New Roman" w:cs="Times New Roman"/>
                <w:sz w:val="20"/>
                <w:szCs w:val="20"/>
                <w:lang w:eastAsia="sk-SK"/>
              </w:rPr>
              <w:t xml:space="preserve">DSS rovnako stratia nárok na </w:t>
            </w:r>
            <w:r w:rsidR="00FB3B0E" w:rsidRPr="00256F87">
              <w:rPr>
                <w:rFonts w:ascii="Times New Roman" w:eastAsia="Times New Roman" w:hAnsi="Times New Roman" w:cs="Times New Roman"/>
                <w:sz w:val="20"/>
                <w:szCs w:val="20"/>
                <w:lang w:eastAsia="sk-SK"/>
              </w:rPr>
              <w:t>odplatu za vedenie osobného dôchodkového účtu vo výške 1</w:t>
            </w:r>
            <w:r w:rsidR="00EC6E85">
              <w:rPr>
                <w:rFonts w:ascii="Times New Roman" w:eastAsia="Times New Roman" w:hAnsi="Times New Roman" w:cs="Times New Roman"/>
                <w:sz w:val="20"/>
                <w:szCs w:val="20"/>
                <w:lang w:eastAsia="sk-SK"/>
              </w:rPr>
              <w:t xml:space="preserve"> </w:t>
            </w:r>
            <w:r w:rsidR="00FB3B0E" w:rsidRPr="00256F87">
              <w:rPr>
                <w:rFonts w:ascii="Times New Roman" w:eastAsia="Times New Roman" w:hAnsi="Times New Roman" w:cs="Times New Roman"/>
                <w:sz w:val="20"/>
                <w:szCs w:val="20"/>
                <w:lang w:eastAsia="sk-SK"/>
              </w:rPr>
              <w:t>% zo sumy príspevkov pripísaných na účet nepriradených platieb pred pripísaním dôchodkových jednotiek na os</w:t>
            </w:r>
            <w:r w:rsidR="003B0A00">
              <w:rPr>
                <w:rFonts w:ascii="Times New Roman" w:eastAsia="Times New Roman" w:hAnsi="Times New Roman" w:cs="Times New Roman"/>
                <w:sz w:val="20"/>
                <w:szCs w:val="20"/>
                <w:lang w:eastAsia="sk-SK"/>
              </w:rPr>
              <w:t xml:space="preserve">obný dôchodkový účet sporiteľa. DSS bude mať naopak nárok na vyššiu odplatu za správu dôchodkového fondu na </w:t>
            </w:r>
            <w:r w:rsidR="003B0A00" w:rsidRPr="00F774C2">
              <w:rPr>
                <w:rFonts w:ascii="Times New Roman" w:eastAsia="Times New Roman" w:hAnsi="Times New Roman" w:cs="Times New Roman"/>
                <w:sz w:val="20"/>
                <w:szCs w:val="20"/>
                <w:lang w:eastAsia="sk-SK"/>
              </w:rPr>
              <w:t>úrovni 0,4 % priemernej ročnej</w:t>
            </w:r>
            <w:r w:rsidR="003B0A00">
              <w:rPr>
                <w:rFonts w:ascii="Times New Roman" w:eastAsia="Times New Roman" w:hAnsi="Times New Roman" w:cs="Times New Roman"/>
                <w:sz w:val="20"/>
                <w:szCs w:val="20"/>
                <w:lang w:eastAsia="sk-SK"/>
              </w:rPr>
              <w:t xml:space="preserve"> predbežnej čistej hodnoty majetku v dôchodkovom fonde. </w:t>
            </w:r>
          </w:p>
          <w:p w14:paraId="5D102C7D" w14:textId="77777777" w:rsidR="00FB3B0E" w:rsidRDefault="00FB3B0E" w:rsidP="0009247C">
            <w:pPr>
              <w:jc w:val="both"/>
              <w:rPr>
                <w:rFonts w:ascii="Times New Roman" w:eastAsia="Times New Roman" w:hAnsi="Times New Roman" w:cs="Times New Roman"/>
                <w:sz w:val="20"/>
                <w:szCs w:val="20"/>
                <w:lang w:eastAsia="sk-SK"/>
              </w:rPr>
            </w:pPr>
          </w:p>
          <w:p w14:paraId="5087B105" w14:textId="612E6DBE" w:rsidR="00384DD6" w:rsidRDefault="00384DD6" w:rsidP="00384DD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Účinnosť opatrenia je plánovaná od 1.1.2023.</w:t>
            </w:r>
          </w:p>
          <w:p w14:paraId="4D34FF45" w14:textId="47C7EDED" w:rsidR="003B0A00" w:rsidRDefault="003B0A00" w:rsidP="00384DD6">
            <w:pPr>
              <w:jc w:val="both"/>
              <w:rPr>
                <w:rFonts w:ascii="Times New Roman" w:eastAsia="Times New Roman" w:hAnsi="Times New Roman" w:cs="Times New Roman"/>
                <w:sz w:val="20"/>
                <w:szCs w:val="20"/>
                <w:lang w:eastAsia="sk-SK"/>
              </w:rPr>
            </w:pPr>
          </w:p>
          <w:p w14:paraId="16DB128C" w14:textId="34D290C0" w:rsidR="003B0A00" w:rsidRDefault="004110A5" w:rsidP="003B0A00">
            <w:pPr>
              <w:jc w:val="both"/>
              <w:rPr>
                <w:rFonts w:ascii="Times New Roman" w:eastAsia="Times New Roman" w:hAnsi="Times New Roman" w:cs="Times New Roman"/>
                <w:sz w:val="20"/>
                <w:szCs w:val="20"/>
                <w:u w:val="single"/>
                <w:lang w:eastAsia="sk-SK"/>
              </w:rPr>
            </w:pPr>
            <w:r>
              <w:rPr>
                <w:rFonts w:ascii="Times New Roman" w:eastAsia="Times New Roman" w:hAnsi="Times New Roman" w:cs="Times New Roman"/>
                <w:sz w:val="20"/>
                <w:szCs w:val="20"/>
                <w:u w:val="single"/>
                <w:lang w:eastAsia="sk-SK"/>
              </w:rPr>
              <w:t>Povinnosť DSS</w:t>
            </w:r>
            <w:r w:rsidR="003B0A00">
              <w:rPr>
                <w:rFonts w:ascii="Times New Roman" w:eastAsia="Times New Roman" w:hAnsi="Times New Roman" w:cs="Times New Roman"/>
                <w:sz w:val="20"/>
                <w:szCs w:val="20"/>
                <w:u w:val="single"/>
                <w:lang w:eastAsia="sk-SK"/>
              </w:rPr>
              <w:t xml:space="preserve"> doplniť majetok v </w:t>
            </w:r>
            <w:r w:rsidR="00481D1B">
              <w:rPr>
                <w:rFonts w:ascii="Times New Roman" w:eastAsia="Times New Roman" w:hAnsi="Times New Roman" w:cs="Times New Roman"/>
                <w:sz w:val="20"/>
                <w:szCs w:val="20"/>
                <w:u w:val="single"/>
                <w:lang w:eastAsia="sk-SK"/>
              </w:rPr>
              <w:t>DGDF</w:t>
            </w:r>
          </w:p>
          <w:p w14:paraId="29EAE8F9" w14:textId="0234FB63" w:rsidR="003B0A00" w:rsidRDefault="003B0A00" w:rsidP="003B0A0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DSS budú podľa </w:t>
            </w:r>
            <w:r w:rsidR="000F19DD">
              <w:rPr>
                <w:rFonts w:ascii="Times New Roman" w:eastAsia="Times New Roman" w:hAnsi="Times New Roman" w:cs="Times New Roman"/>
                <w:sz w:val="20"/>
                <w:szCs w:val="20"/>
                <w:lang w:eastAsia="sk-SK"/>
              </w:rPr>
              <w:t xml:space="preserve">vládneho </w:t>
            </w:r>
            <w:r>
              <w:rPr>
                <w:rFonts w:ascii="Times New Roman" w:eastAsia="Times New Roman" w:hAnsi="Times New Roman" w:cs="Times New Roman"/>
                <w:sz w:val="20"/>
                <w:szCs w:val="20"/>
                <w:lang w:eastAsia="sk-SK"/>
              </w:rPr>
              <w:t>návrhu zákona garantovať nominálnu výšku príspevkov v</w:t>
            </w:r>
            <w:r w:rsidR="009372D2">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DGDF</w:t>
            </w:r>
            <w:r w:rsidR="009372D2">
              <w:rPr>
                <w:rFonts w:ascii="Times New Roman" w:eastAsia="Times New Roman" w:hAnsi="Times New Roman" w:cs="Times New Roman"/>
                <w:sz w:val="20"/>
                <w:szCs w:val="20"/>
                <w:lang w:eastAsia="sk-SK"/>
              </w:rPr>
              <w:t>. Garancie budú vyhodnocované pri žiadosti o programový výber a tiež pri požiadaní o anuitu tak, aby nedošlo k nominálnemu znehodnoteniu úspor sporiteľov z časti majetku alokovaného v DGDF.</w:t>
            </w:r>
          </w:p>
          <w:p w14:paraId="4A967F57" w14:textId="64B9A862" w:rsidR="009372D2" w:rsidRDefault="009372D2" w:rsidP="003B0A00">
            <w:pPr>
              <w:jc w:val="both"/>
              <w:rPr>
                <w:rFonts w:ascii="Times New Roman" w:eastAsia="Times New Roman" w:hAnsi="Times New Roman" w:cs="Times New Roman"/>
                <w:sz w:val="20"/>
                <w:szCs w:val="20"/>
                <w:lang w:eastAsia="sk-SK"/>
              </w:rPr>
            </w:pPr>
          </w:p>
          <w:p w14:paraId="6E595C0B" w14:textId="77777777" w:rsidR="009372D2" w:rsidRDefault="009372D2" w:rsidP="009372D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Účinnosť opatrenia je plánovaná od 1.1.2023.</w:t>
            </w:r>
          </w:p>
          <w:p w14:paraId="4BE7F68B" w14:textId="77777777" w:rsidR="009372D2" w:rsidRDefault="009372D2" w:rsidP="0009247C">
            <w:pPr>
              <w:jc w:val="both"/>
              <w:rPr>
                <w:rFonts w:ascii="Times New Roman" w:eastAsia="Times New Roman" w:hAnsi="Times New Roman" w:cs="Times New Roman"/>
                <w:sz w:val="20"/>
                <w:szCs w:val="20"/>
                <w:u w:val="single"/>
                <w:lang w:eastAsia="sk-SK"/>
              </w:rPr>
            </w:pPr>
          </w:p>
          <w:p w14:paraId="69E139C3" w14:textId="04EB249B" w:rsidR="00C57B87" w:rsidRPr="00256F87" w:rsidRDefault="00C57B87" w:rsidP="0009247C">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 xml:space="preserve">Platenie a odvádzanie povinných príspevkov na starobné dôchodkové sporenie v prípade sporiteľov, ktorým sa vypláca dôchodok zo starobného dôchodkového sporenia a ktorí vykonávajú činnosť zakladajúcu dôchodkové poistenie </w:t>
            </w:r>
          </w:p>
          <w:p w14:paraId="0071E7D4" w14:textId="4FE356E8" w:rsidR="00FB3B0E" w:rsidRDefault="00FB3B0E" w:rsidP="001811B6">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Navrhovanou právnou úpravou sa sporiteľovi pri odchode do dôchodku z II. piliera (na základe žiadosti po dovŕšení dôchodkového veku, odchode do predčasného starobného dôchodku alebo starobného dôchodku) začne vyplácať programový výber z polovice jeho nasporenej sumy. Obdobie poberania programového výberu bude </w:t>
            </w:r>
            <w:r w:rsidR="00DD4480">
              <w:rPr>
                <w:rFonts w:ascii="Times New Roman" w:eastAsia="Times New Roman" w:hAnsi="Times New Roman" w:cs="Times New Roman"/>
                <w:sz w:val="20"/>
                <w:szCs w:val="20"/>
                <w:lang w:eastAsia="sk-SK"/>
              </w:rPr>
              <w:t>závisieť od vývoja strednej dĺžky života</w:t>
            </w:r>
            <w:r w:rsidRPr="00256F87">
              <w:rPr>
                <w:rFonts w:ascii="Times New Roman" w:eastAsia="Times New Roman" w:hAnsi="Times New Roman" w:cs="Times New Roman"/>
                <w:sz w:val="20"/>
                <w:szCs w:val="20"/>
                <w:lang w:eastAsia="sk-SK"/>
              </w:rPr>
              <w:t xml:space="preserve">, pričom počas tohto obdobia bude môcť sporiteľ naďalej posielať z </w:t>
            </w:r>
            <w:r w:rsidR="00124185">
              <w:rPr>
                <w:rFonts w:ascii="Times New Roman" w:eastAsia="Times New Roman" w:hAnsi="Times New Roman" w:cs="Times New Roman"/>
                <w:sz w:val="20"/>
                <w:szCs w:val="20"/>
                <w:lang w:eastAsia="sk-SK"/>
              </w:rPr>
              <w:t> </w:t>
            </w:r>
            <w:r w:rsidRPr="00256F87">
              <w:rPr>
                <w:rFonts w:ascii="Times New Roman" w:eastAsia="Times New Roman" w:hAnsi="Times New Roman" w:cs="Times New Roman"/>
                <w:sz w:val="20"/>
                <w:szCs w:val="20"/>
                <w:lang w:eastAsia="sk-SK"/>
              </w:rPr>
              <w:t xml:space="preserve">poistného na starobné poistenie aj </w:t>
            </w:r>
            <w:r w:rsidR="00325498">
              <w:rPr>
                <w:rFonts w:ascii="Times New Roman" w:eastAsia="Times New Roman" w:hAnsi="Times New Roman" w:cs="Times New Roman"/>
                <w:sz w:val="20"/>
                <w:szCs w:val="20"/>
                <w:lang w:eastAsia="sk-SK"/>
              </w:rPr>
              <w:t xml:space="preserve">povinné </w:t>
            </w:r>
            <w:r w:rsidRPr="00256F87">
              <w:rPr>
                <w:rFonts w:ascii="Times New Roman" w:eastAsia="Times New Roman" w:hAnsi="Times New Roman" w:cs="Times New Roman"/>
                <w:sz w:val="20"/>
                <w:szCs w:val="20"/>
                <w:lang w:eastAsia="sk-SK"/>
              </w:rPr>
              <w:t xml:space="preserve">príspevky na starobné dôchodkové sporenie, a to aj napriek tomu, že </w:t>
            </w:r>
            <w:r w:rsidR="00334A51">
              <w:rPr>
                <w:rFonts w:ascii="Times New Roman" w:eastAsia="Times New Roman" w:hAnsi="Times New Roman" w:cs="Times New Roman"/>
                <w:sz w:val="20"/>
                <w:szCs w:val="20"/>
                <w:lang w:eastAsia="sk-SK"/>
              </w:rPr>
              <w:t xml:space="preserve">sa </w:t>
            </w:r>
            <w:r w:rsidRPr="00256F87">
              <w:rPr>
                <w:rFonts w:ascii="Times New Roman" w:eastAsia="Times New Roman" w:hAnsi="Times New Roman" w:cs="Times New Roman"/>
                <w:sz w:val="20"/>
                <w:szCs w:val="20"/>
                <w:lang w:eastAsia="sk-SK"/>
              </w:rPr>
              <w:t xml:space="preserve">už tomuto </w:t>
            </w:r>
            <w:r w:rsidR="00334A51">
              <w:rPr>
                <w:rFonts w:ascii="Times New Roman" w:eastAsia="Times New Roman" w:hAnsi="Times New Roman" w:cs="Times New Roman"/>
                <w:sz w:val="20"/>
                <w:szCs w:val="20"/>
                <w:lang w:eastAsia="sk-SK"/>
              </w:rPr>
              <w:t>sporiteľovi začal vyplácať</w:t>
            </w:r>
            <w:r w:rsidRPr="00256F87">
              <w:rPr>
                <w:rFonts w:ascii="Times New Roman" w:eastAsia="Times New Roman" w:hAnsi="Times New Roman" w:cs="Times New Roman"/>
                <w:sz w:val="20"/>
                <w:szCs w:val="20"/>
                <w:lang w:eastAsia="sk-SK"/>
              </w:rPr>
              <w:t xml:space="preserve"> starobn</w:t>
            </w:r>
            <w:r w:rsidR="00334A51">
              <w:rPr>
                <w:rFonts w:ascii="Times New Roman" w:eastAsia="Times New Roman" w:hAnsi="Times New Roman" w:cs="Times New Roman"/>
                <w:sz w:val="20"/>
                <w:szCs w:val="20"/>
                <w:lang w:eastAsia="sk-SK"/>
              </w:rPr>
              <w:t>ý</w:t>
            </w:r>
            <w:r w:rsidRPr="00256F87">
              <w:rPr>
                <w:rFonts w:ascii="Times New Roman" w:eastAsia="Times New Roman" w:hAnsi="Times New Roman" w:cs="Times New Roman"/>
                <w:sz w:val="20"/>
                <w:szCs w:val="20"/>
                <w:lang w:eastAsia="sk-SK"/>
              </w:rPr>
              <w:t xml:space="preserve"> alebo predčasn</w:t>
            </w:r>
            <w:r w:rsidR="00334A51">
              <w:rPr>
                <w:rFonts w:ascii="Times New Roman" w:eastAsia="Times New Roman" w:hAnsi="Times New Roman" w:cs="Times New Roman"/>
                <w:sz w:val="20"/>
                <w:szCs w:val="20"/>
                <w:lang w:eastAsia="sk-SK"/>
              </w:rPr>
              <w:t>ý</w:t>
            </w:r>
            <w:r w:rsidRPr="00256F87">
              <w:rPr>
                <w:rFonts w:ascii="Times New Roman" w:eastAsia="Times New Roman" w:hAnsi="Times New Roman" w:cs="Times New Roman"/>
                <w:sz w:val="20"/>
                <w:szCs w:val="20"/>
                <w:lang w:eastAsia="sk-SK"/>
              </w:rPr>
              <w:t xml:space="preserve"> starobn</w:t>
            </w:r>
            <w:r w:rsidR="00334A51">
              <w:rPr>
                <w:rFonts w:ascii="Times New Roman" w:eastAsia="Times New Roman" w:hAnsi="Times New Roman" w:cs="Times New Roman"/>
                <w:sz w:val="20"/>
                <w:szCs w:val="20"/>
                <w:lang w:eastAsia="sk-SK"/>
              </w:rPr>
              <w:t>ý</w:t>
            </w:r>
            <w:r w:rsidRPr="00256F87">
              <w:rPr>
                <w:rFonts w:ascii="Times New Roman" w:eastAsia="Times New Roman" w:hAnsi="Times New Roman" w:cs="Times New Roman"/>
                <w:sz w:val="20"/>
                <w:szCs w:val="20"/>
                <w:lang w:eastAsia="sk-SK"/>
              </w:rPr>
              <w:t xml:space="preserve"> dôchod</w:t>
            </w:r>
            <w:r w:rsidR="00334A51">
              <w:rPr>
                <w:rFonts w:ascii="Times New Roman" w:eastAsia="Times New Roman" w:hAnsi="Times New Roman" w:cs="Times New Roman"/>
                <w:sz w:val="20"/>
                <w:szCs w:val="20"/>
                <w:lang w:eastAsia="sk-SK"/>
              </w:rPr>
              <w:t>o</w:t>
            </w:r>
            <w:r w:rsidRPr="00256F87">
              <w:rPr>
                <w:rFonts w:ascii="Times New Roman" w:eastAsia="Times New Roman" w:hAnsi="Times New Roman" w:cs="Times New Roman"/>
                <w:sz w:val="20"/>
                <w:szCs w:val="20"/>
                <w:lang w:eastAsia="sk-SK"/>
              </w:rPr>
              <w:t>k z II. piliera.</w:t>
            </w:r>
          </w:p>
          <w:p w14:paraId="2CD763DE" w14:textId="77777777" w:rsidR="00384DD6" w:rsidRDefault="00384DD6" w:rsidP="001811B6">
            <w:pPr>
              <w:jc w:val="both"/>
              <w:rPr>
                <w:rFonts w:ascii="Times New Roman" w:eastAsia="Times New Roman" w:hAnsi="Times New Roman" w:cs="Times New Roman"/>
                <w:sz w:val="20"/>
                <w:szCs w:val="20"/>
                <w:lang w:eastAsia="sk-SK"/>
              </w:rPr>
            </w:pPr>
          </w:p>
          <w:p w14:paraId="5E1F09CC" w14:textId="77777777" w:rsidR="00384DD6" w:rsidRDefault="00384DD6" w:rsidP="00384DD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Účinnosť opatrenia je plánovaná od 1.1.2024.</w:t>
            </w:r>
          </w:p>
          <w:p w14:paraId="67C7CDC2" w14:textId="77777777" w:rsidR="00C15283" w:rsidRPr="00256F87" w:rsidRDefault="00C15283" w:rsidP="001811B6">
            <w:pPr>
              <w:jc w:val="both"/>
              <w:rPr>
                <w:rFonts w:ascii="Times New Roman" w:eastAsia="Times New Roman" w:hAnsi="Times New Roman" w:cs="Times New Roman"/>
                <w:sz w:val="20"/>
                <w:szCs w:val="20"/>
                <w:lang w:eastAsia="sk-SK"/>
              </w:rPr>
            </w:pPr>
          </w:p>
          <w:p w14:paraId="772D6A2F" w14:textId="77777777" w:rsidR="00C15283" w:rsidRPr="00256F87" w:rsidRDefault="00C15283">
            <w:pPr>
              <w:jc w:val="both"/>
              <w:rPr>
                <w:rFonts w:ascii="Times New Roman" w:eastAsia="Times New Roman" w:hAnsi="Times New Roman" w:cs="Times New Roman"/>
                <w:sz w:val="20"/>
                <w:szCs w:val="20"/>
                <w:u w:val="single"/>
                <w:lang w:eastAsia="sk-SK"/>
              </w:rPr>
            </w:pPr>
            <w:r w:rsidRPr="00256F87">
              <w:rPr>
                <w:rFonts w:ascii="Times New Roman" w:eastAsia="Times New Roman" w:hAnsi="Times New Roman" w:cs="Times New Roman"/>
                <w:sz w:val="20"/>
                <w:szCs w:val="20"/>
                <w:u w:val="single"/>
                <w:lang w:eastAsia="sk-SK"/>
              </w:rPr>
              <w:t>Vydávanie akceptačných listov Sociálnou poisťovňou</w:t>
            </w:r>
          </w:p>
          <w:p w14:paraId="244F7DB2" w14:textId="77777777" w:rsidR="00C15283" w:rsidRDefault="006862DE">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S cieľom znižovania administratívnej záťaže sa ruší povinnosť predkladania akceptačného listu pri prestupe sporiteľa do inej DSS. </w:t>
            </w:r>
          </w:p>
          <w:p w14:paraId="1895C971" w14:textId="77777777" w:rsidR="00384DD6" w:rsidRDefault="00384DD6">
            <w:pPr>
              <w:jc w:val="both"/>
              <w:rPr>
                <w:rFonts w:ascii="Times New Roman" w:eastAsia="Times New Roman" w:hAnsi="Times New Roman" w:cs="Times New Roman"/>
                <w:sz w:val="20"/>
                <w:szCs w:val="20"/>
                <w:lang w:eastAsia="sk-SK"/>
              </w:rPr>
            </w:pPr>
          </w:p>
          <w:p w14:paraId="5C1B8A1D" w14:textId="1BED1E25" w:rsidR="000634C4" w:rsidRPr="00256F87" w:rsidRDefault="00384DD6" w:rsidP="00525CE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Účinnosť opatrenia je plánovaná od 1.1.2023.</w:t>
            </w:r>
          </w:p>
        </w:tc>
      </w:tr>
      <w:tr w:rsidR="001B23B7" w:rsidRPr="00B043B4" w14:paraId="61E7ED61"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1BCEA6F6"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14:paraId="49A6DDA8"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198A7D0E" w14:textId="77777777" w:rsidR="001B23B7" w:rsidRPr="00256F87" w:rsidRDefault="00523661" w:rsidP="000800FC">
            <w:pPr>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Navrhovaná právna úprava má priamy alebo nepriamy vplyv na:</w:t>
            </w:r>
          </w:p>
          <w:p w14:paraId="70EC3B41" w14:textId="418FF42D" w:rsidR="0034420B" w:rsidRPr="00256F87" w:rsidRDefault="0034420B" w:rsidP="0034420B">
            <w:pPr>
              <w:pStyle w:val="Odsekzoznamu"/>
              <w:numPr>
                <w:ilvl w:val="0"/>
                <w:numId w:val="2"/>
              </w:numPr>
              <w:rPr>
                <w:rFonts w:ascii="Times New Roman" w:eastAsia="Times New Roman" w:hAnsi="Times New Roman" w:cs="Times New Roman"/>
                <w:b/>
                <w:sz w:val="20"/>
                <w:szCs w:val="20"/>
                <w:lang w:eastAsia="sk-SK"/>
              </w:rPr>
            </w:pPr>
            <w:r w:rsidRPr="00256F87">
              <w:rPr>
                <w:rFonts w:ascii="Times New Roman" w:eastAsia="Times New Roman" w:hAnsi="Times New Roman" w:cs="Times New Roman"/>
                <w:sz w:val="20"/>
                <w:szCs w:val="20"/>
                <w:lang w:eastAsia="sk-SK"/>
              </w:rPr>
              <w:t>sporiteľov,</w:t>
            </w:r>
          </w:p>
          <w:p w14:paraId="31AA1D28" w14:textId="77777777" w:rsidR="009F29D8" w:rsidRPr="009F29D8" w:rsidRDefault="0034420B" w:rsidP="0034420B">
            <w:pPr>
              <w:pStyle w:val="Odsekzoznamu"/>
              <w:numPr>
                <w:ilvl w:val="0"/>
                <w:numId w:val="2"/>
              </w:numPr>
              <w:rPr>
                <w:rFonts w:ascii="Times New Roman" w:eastAsia="Times New Roman" w:hAnsi="Times New Roman" w:cs="Times New Roman"/>
                <w:b/>
                <w:sz w:val="20"/>
                <w:szCs w:val="20"/>
                <w:lang w:eastAsia="sk-SK"/>
              </w:rPr>
            </w:pPr>
            <w:r w:rsidRPr="00256F87">
              <w:rPr>
                <w:rFonts w:ascii="Times New Roman" w:eastAsia="Times New Roman" w:hAnsi="Times New Roman" w:cs="Times New Roman"/>
                <w:sz w:val="20"/>
                <w:szCs w:val="20"/>
                <w:lang w:eastAsia="sk-SK"/>
              </w:rPr>
              <w:t>dôchodkové správcovské spoločnosti,</w:t>
            </w:r>
          </w:p>
          <w:p w14:paraId="662D5AC6" w14:textId="77777777" w:rsidR="009F29D8" w:rsidRPr="009F29D8" w:rsidRDefault="009F29D8" w:rsidP="009F29D8">
            <w:pPr>
              <w:pStyle w:val="Odsekzoznamu"/>
              <w:numPr>
                <w:ilvl w:val="0"/>
                <w:numId w:val="2"/>
              </w:numPr>
              <w:rPr>
                <w:rFonts w:ascii="Times New Roman" w:eastAsia="Times New Roman" w:hAnsi="Times New Roman" w:cs="Times New Roman"/>
                <w:b/>
                <w:sz w:val="20"/>
                <w:szCs w:val="20"/>
                <w:lang w:eastAsia="sk-SK"/>
              </w:rPr>
            </w:pPr>
            <w:r w:rsidRPr="009F29D8">
              <w:rPr>
                <w:rFonts w:ascii="Times New Roman" w:eastAsia="Times New Roman" w:hAnsi="Times New Roman" w:cs="Times New Roman"/>
                <w:sz w:val="20"/>
                <w:szCs w:val="20"/>
                <w:lang w:eastAsia="sk-SK"/>
              </w:rPr>
              <w:t>životné poisťovne oprávnené ponúkať dôchodky zo systému starobného dôchodkového sporenia</w:t>
            </w:r>
            <w:r>
              <w:rPr>
                <w:rFonts w:ascii="Times New Roman" w:eastAsia="Times New Roman" w:hAnsi="Times New Roman" w:cs="Times New Roman"/>
                <w:sz w:val="20"/>
                <w:szCs w:val="20"/>
                <w:lang w:eastAsia="sk-SK"/>
              </w:rPr>
              <w:t>,</w:t>
            </w:r>
          </w:p>
          <w:p w14:paraId="75005690" w14:textId="77777777" w:rsidR="0034420B" w:rsidRPr="00256F87" w:rsidRDefault="009F29D8" w:rsidP="009F29D8">
            <w:pPr>
              <w:pStyle w:val="Odsekzoznamu"/>
              <w:numPr>
                <w:ilvl w:val="0"/>
                <w:numId w:val="2"/>
              </w:numPr>
              <w:rPr>
                <w:rFonts w:ascii="Times New Roman" w:eastAsia="Times New Roman" w:hAnsi="Times New Roman" w:cs="Times New Roman"/>
                <w:b/>
                <w:sz w:val="20"/>
                <w:szCs w:val="20"/>
                <w:lang w:eastAsia="sk-SK"/>
              </w:rPr>
            </w:pPr>
            <w:r w:rsidRPr="009F29D8">
              <w:rPr>
                <w:rFonts w:ascii="Times New Roman" w:eastAsia="Times New Roman" w:hAnsi="Times New Roman" w:cs="Times New Roman"/>
                <w:sz w:val="20"/>
                <w:szCs w:val="20"/>
                <w:lang w:eastAsia="sk-SK"/>
              </w:rPr>
              <w:t>finančných agentov v sektore starobného dôchodkového sporenia</w:t>
            </w:r>
            <w:r>
              <w:rPr>
                <w:rFonts w:ascii="Times New Roman" w:eastAsia="Times New Roman" w:hAnsi="Times New Roman" w:cs="Times New Roman"/>
                <w:sz w:val="20"/>
                <w:szCs w:val="20"/>
                <w:lang w:eastAsia="sk-SK"/>
              </w:rPr>
              <w:t>,</w:t>
            </w:r>
            <w:r w:rsidR="0034420B" w:rsidRPr="00256F87">
              <w:rPr>
                <w:rFonts w:ascii="Times New Roman" w:eastAsia="Times New Roman" w:hAnsi="Times New Roman" w:cs="Times New Roman"/>
                <w:sz w:val="20"/>
                <w:szCs w:val="20"/>
                <w:lang w:eastAsia="sk-SK"/>
              </w:rPr>
              <w:t xml:space="preserve"> </w:t>
            </w:r>
          </w:p>
          <w:p w14:paraId="42D84D57" w14:textId="77777777" w:rsidR="00007C76" w:rsidRPr="00D56DFB" w:rsidRDefault="0034420B" w:rsidP="0034420B">
            <w:pPr>
              <w:pStyle w:val="Odsekzoznamu"/>
              <w:numPr>
                <w:ilvl w:val="0"/>
                <w:numId w:val="2"/>
              </w:numPr>
              <w:rPr>
                <w:rFonts w:ascii="Times New Roman" w:eastAsia="Times New Roman" w:hAnsi="Times New Roman" w:cs="Times New Roman"/>
                <w:b/>
                <w:sz w:val="20"/>
                <w:szCs w:val="20"/>
                <w:lang w:eastAsia="sk-SK"/>
              </w:rPr>
            </w:pPr>
            <w:r w:rsidRPr="00256F87">
              <w:rPr>
                <w:rFonts w:ascii="Times New Roman" w:eastAsia="Times New Roman" w:hAnsi="Times New Roman" w:cs="Times New Roman"/>
                <w:sz w:val="20"/>
                <w:szCs w:val="20"/>
                <w:lang w:eastAsia="sk-SK"/>
              </w:rPr>
              <w:t>Sociálnu poisťovňu</w:t>
            </w:r>
            <w:r w:rsidR="00007C76">
              <w:rPr>
                <w:rFonts w:ascii="Times New Roman" w:eastAsia="Times New Roman" w:hAnsi="Times New Roman" w:cs="Times New Roman"/>
                <w:sz w:val="20"/>
                <w:szCs w:val="20"/>
                <w:lang w:eastAsia="sk-SK"/>
              </w:rPr>
              <w:t>,</w:t>
            </w:r>
          </w:p>
          <w:p w14:paraId="2905BD16" w14:textId="74E0361E" w:rsidR="0034420B" w:rsidRPr="00526554" w:rsidRDefault="00007C76" w:rsidP="0034420B">
            <w:pPr>
              <w:pStyle w:val="Odsekzoznamu"/>
              <w:numPr>
                <w:ilvl w:val="0"/>
                <w:numId w:val="2"/>
              </w:num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Národnú banku Slovenska</w:t>
            </w:r>
            <w:r w:rsidR="0034420B" w:rsidRPr="00256F87">
              <w:rPr>
                <w:rFonts w:ascii="Times New Roman" w:eastAsia="Times New Roman" w:hAnsi="Times New Roman" w:cs="Times New Roman"/>
                <w:sz w:val="20"/>
                <w:szCs w:val="20"/>
                <w:lang w:eastAsia="sk-SK"/>
              </w:rPr>
              <w:t xml:space="preserve">. </w:t>
            </w:r>
          </w:p>
          <w:p w14:paraId="5C33C8B0" w14:textId="77777777"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03E3FD23"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2192481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066EF4F7"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C72E155" w14:textId="77777777" w:rsidR="00C57B87" w:rsidRPr="00256F87" w:rsidRDefault="006862DE" w:rsidP="000800FC">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S cieľom zlepšenia efektívnosti starobného dôchodkového sporenia sa Slovenská republika v súlade so záväzkom Plánu obnovy a odolnosti zaviazala zaviesť predvolenú investičnú stratégiu založenú na životnom cykle. </w:t>
            </w:r>
            <w:r w:rsidR="00C57B87" w:rsidRPr="00256F87">
              <w:rPr>
                <w:rFonts w:ascii="Times New Roman" w:eastAsia="Times New Roman" w:hAnsi="Times New Roman" w:cs="Times New Roman"/>
                <w:sz w:val="20"/>
                <w:szCs w:val="20"/>
                <w:lang w:eastAsia="sk-SK"/>
              </w:rPr>
              <w:t>„</w:t>
            </w:r>
            <w:r w:rsidRPr="001708C1">
              <w:rPr>
                <w:rFonts w:ascii="Times New Roman" w:eastAsia="Times New Roman" w:hAnsi="Times New Roman" w:cs="Times New Roman"/>
                <w:i/>
                <w:sz w:val="20"/>
                <w:szCs w:val="20"/>
                <w:lang w:eastAsia="sk-SK"/>
              </w:rPr>
              <w:t>Tá bude prispôsobená veku sporiteľa v sporiacej aj výplatnej fáze tak, aby sa investičné riziko s rastúcim vekom sporiteľa automaticky a postupne znižovalo (presunom z</w:t>
            </w:r>
            <w:r w:rsidR="001811B6" w:rsidRPr="001708C1">
              <w:rPr>
                <w:rFonts w:ascii="Times New Roman" w:eastAsia="Times New Roman" w:hAnsi="Times New Roman" w:cs="Times New Roman"/>
                <w:i/>
                <w:sz w:val="20"/>
                <w:szCs w:val="20"/>
                <w:lang w:eastAsia="sk-SK"/>
              </w:rPr>
              <w:t> </w:t>
            </w:r>
            <w:r w:rsidRPr="001708C1">
              <w:rPr>
                <w:rFonts w:ascii="Times New Roman" w:eastAsia="Times New Roman" w:hAnsi="Times New Roman" w:cs="Times New Roman"/>
                <w:i/>
                <w:sz w:val="20"/>
                <w:szCs w:val="20"/>
                <w:lang w:eastAsia="sk-SK"/>
              </w:rPr>
              <w:t>rizikovejších</w:t>
            </w:r>
            <w:r w:rsidR="001811B6" w:rsidRPr="001708C1">
              <w:rPr>
                <w:rFonts w:ascii="Times New Roman" w:eastAsia="Times New Roman" w:hAnsi="Times New Roman" w:cs="Times New Roman"/>
                <w:i/>
                <w:sz w:val="20"/>
                <w:szCs w:val="20"/>
                <w:lang w:eastAsia="sk-SK"/>
              </w:rPr>
              <w:t>,</w:t>
            </w:r>
            <w:r w:rsidRPr="001708C1">
              <w:rPr>
                <w:rFonts w:ascii="Times New Roman" w:eastAsia="Times New Roman" w:hAnsi="Times New Roman" w:cs="Times New Roman"/>
                <w:i/>
                <w:sz w:val="20"/>
                <w:szCs w:val="20"/>
                <w:lang w:eastAsia="sk-SK"/>
              </w:rPr>
              <w:t xml:space="preserve"> ale výnosnejších akcií do dlhopisových fondov), pričom sa zachová možnosť individuálneho nastavenia portfólia. Opatrenie sa </w:t>
            </w:r>
            <w:r w:rsidR="00534A35" w:rsidRPr="001708C1">
              <w:rPr>
                <w:rFonts w:ascii="Times New Roman" w:eastAsia="Times New Roman" w:hAnsi="Times New Roman" w:cs="Times New Roman"/>
                <w:i/>
                <w:sz w:val="20"/>
                <w:szCs w:val="20"/>
                <w:lang w:eastAsia="sk-SK"/>
              </w:rPr>
              <w:t>má</w:t>
            </w:r>
            <w:r w:rsidRPr="001708C1">
              <w:rPr>
                <w:rFonts w:ascii="Times New Roman" w:eastAsia="Times New Roman" w:hAnsi="Times New Roman" w:cs="Times New Roman"/>
                <w:i/>
                <w:sz w:val="20"/>
                <w:szCs w:val="20"/>
                <w:lang w:eastAsia="sk-SK"/>
              </w:rPr>
              <w:t xml:space="preserve"> vzťahovať nielen na nových sporiteľov. Postupne </w:t>
            </w:r>
            <w:r w:rsidR="00534A35" w:rsidRPr="001708C1">
              <w:rPr>
                <w:rFonts w:ascii="Times New Roman" w:eastAsia="Times New Roman" w:hAnsi="Times New Roman" w:cs="Times New Roman"/>
                <w:i/>
                <w:sz w:val="20"/>
                <w:szCs w:val="20"/>
                <w:lang w:eastAsia="sk-SK"/>
              </w:rPr>
              <w:t>má dôjsť</w:t>
            </w:r>
            <w:r w:rsidRPr="001708C1">
              <w:rPr>
                <w:rFonts w:ascii="Times New Roman" w:eastAsia="Times New Roman" w:hAnsi="Times New Roman" w:cs="Times New Roman"/>
                <w:i/>
                <w:sz w:val="20"/>
                <w:szCs w:val="20"/>
                <w:lang w:eastAsia="sk-SK"/>
              </w:rPr>
              <w:t xml:space="preserve"> k zosúladeniu investičnej stratégie s odporúčanou predvolenou stratégiou aj v prípade súčasných sporiteľov, pokiaľ takýto postup aktívne neodmietnu.</w:t>
            </w:r>
            <w:r w:rsidR="00C57B87" w:rsidRPr="00256F87">
              <w:rPr>
                <w:rFonts w:ascii="Times New Roman" w:eastAsia="Times New Roman" w:hAnsi="Times New Roman" w:cs="Times New Roman"/>
                <w:sz w:val="20"/>
                <w:szCs w:val="20"/>
                <w:lang w:eastAsia="sk-SK"/>
              </w:rPr>
              <w:t>“ Neimplementovaním uvedenej reformy by nedošlo k naplneniu míľnik</w:t>
            </w:r>
            <w:r w:rsidR="001811B6">
              <w:rPr>
                <w:rFonts w:ascii="Times New Roman" w:eastAsia="Times New Roman" w:hAnsi="Times New Roman" w:cs="Times New Roman"/>
                <w:sz w:val="20"/>
                <w:szCs w:val="20"/>
                <w:lang w:eastAsia="sk-SK"/>
              </w:rPr>
              <w:t>a</w:t>
            </w:r>
            <w:r w:rsidR="00C57B87" w:rsidRPr="00256F87">
              <w:rPr>
                <w:rFonts w:ascii="Times New Roman" w:eastAsia="Times New Roman" w:hAnsi="Times New Roman" w:cs="Times New Roman"/>
                <w:sz w:val="20"/>
                <w:szCs w:val="20"/>
                <w:lang w:eastAsia="sk-SK"/>
              </w:rPr>
              <w:t xml:space="preserve"> stanoveného v Pláne obnovy a odolnosti. </w:t>
            </w:r>
          </w:p>
          <w:p w14:paraId="3E3B6DDE" w14:textId="6B811A2A" w:rsidR="006862DE" w:rsidRPr="00256F87" w:rsidRDefault="00C57B87" w:rsidP="00C57B87">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Cieľ umožniť platenie a odvádzanie povinných príspevkov na starobné dôchodkové sporenie v prípade sporiteľov, ktorým sa vypláca dôchodok zo starobného dôchodkového sporenia a ktorí vykonávajú činnosť zakladajúcu dôchodkové poistenie</w:t>
            </w:r>
            <w:r w:rsidR="00B1076E">
              <w:rPr>
                <w:rFonts w:ascii="Times New Roman" w:eastAsia="Times New Roman" w:hAnsi="Times New Roman" w:cs="Times New Roman"/>
                <w:sz w:val="20"/>
                <w:szCs w:val="20"/>
                <w:lang w:eastAsia="sk-SK"/>
              </w:rPr>
              <w:t>,</w:t>
            </w:r>
            <w:r w:rsidRPr="00256F87">
              <w:rPr>
                <w:rFonts w:ascii="Times New Roman" w:eastAsia="Times New Roman" w:hAnsi="Times New Roman" w:cs="Times New Roman"/>
                <w:sz w:val="20"/>
                <w:szCs w:val="20"/>
                <w:lang w:eastAsia="sk-SK"/>
              </w:rPr>
              <w:t xml:space="preserve"> je záväzok vyplývajúci zo strategického materiálu „Národný program aktívneho starnutia na roky 2021-203</w:t>
            </w:r>
            <w:r w:rsidR="001649C7">
              <w:rPr>
                <w:rFonts w:ascii="Times New Roman" w:eastAsia="Times New Roman" w:hAnsi="Times New Roman" w:cs="Times New Roman"/>
                <w:sz w:val="20"/>
                <w:szCs w:val="20"/>
                <w:lang w:eastAsia="sk-SK"/>
              </w:rPr>
              <w:t>0</w:t>
            </w:r>
            <w:r w:rsidRPr="00256F87">
              <w:rPr>
                <w:rFonts w:ascii="Times New Roman" w:eastAsia="Times New Roman" w:hAnsi="Times New Roman" w:cs="Times New Roman"/>
                <w:sz w:val="20"/>
                <w:szCs w:val="20"/>
                <w:lang w:eastAsia="sk-SK"/>
              </w:rPr>
              <w:t>“, ktor</w:t>
            </w:r>
            <w:r w:rsidR="001811B6">
              <w:rPr>
                <w:rFonts w:ascii="Times New Roman" w:eastAsia="Times New Roman" w:hAnsi="Times New Roman" w:cs="Times New Roman"/>
                <w:sz w:val="20"/>
                <w:szCs w:val="20"/>
                <w:lang w:eastAsia="sk-SK"/>
              </w:rPr>
              <w:t>ý</w:t>
            </w:r>
            <w:r w:rsidRPr="00256F87">
              <w:rPr>
                <w:rFonts w:ascii="Times New Roman" w:eastAsia="Times New Roman" w:hAnsi="Times New Roman" w:cs="Times New Roman"/>
                <w:sz w:val="20"/>
                <w:szCs w:val="20"/>
                <w:lang w:eastAsia="sk-SK"/>
              </w:rPr>
              <w:t xml:space="preserve"> vláda Slovenskej republiky schválila vo svojom uznesení </w:t>
            </w:r>
            <w:r w:rsidR="00D50530">
              <w:rPr>
                <w:rFonts w:ascii="Times New Roman" w:eastAsia="Times New Roman" w:hAnsi="Times New Roman" w:cs="Times New Roman"/>
                <w:sz w:val="20"/>
                <w:szCs w:val="20"/>
                <w:lang w:eastAsia="sk-SK"/>
              </w:rPr>
              <w:t xml:space="preserve">č. 657 zo </w:t>
            </w:r>
            <w:r w:rsidRPr="00256F87">
              <w:rPr>
                <w:rFonts w:ascii="Times New Roman" w:eastAsia="Times New Roman" w:hAnsi="Times New Roman" w:cs="Times New Roman"/>
                <w:sz w:val="20"/>
                <w:szCs w:val="20"/>
                <w:lang w:eastAsia="sk-SK"/>
              </w:rPr>
              <w:t xml:space="preserve">dňa 16. novembra 2021. </w:t>
            </w:r>
            <w:r w:rsidR="00334A51">
              <w:rPr>
                <w:rFonts w:ascii="Times New Roman" w:eastAsia="Times New Roman" w:hAnsi="Times New Roman" w:cs="Times New Roman"/>
                <w:sz w:val="20"/>
                <w:szCs w:val="20"/>
                <w:lang w:eastAsia="sk-SK"/>
              </w:rPr>
              <w:t>Neumožnením platenia a odvádzania povinných príspevkov na starobné dôchodkové sporenie uvedených sporiteľov by nedošlo k splneniu vyššie uvedeného záväzku.</w:t>
            </w:r>
          </w:p>
          <w:p w14:paraId="08F2BE62" w14:textId="23557DE2" w:rsidR="00DD554F" w:rsidRPr="00256F87" w:rsidRDefault="00FF7C8F" w:rsidP="00DD554F">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V prípade ponechania </w:t>
            </w:r>
            <w:r w:rsidR="00821F1C" w:rsidRPr="00256F87">
              <w:rPr>
                <w:rFonts w:ascii="Times New Roman" w:eastAsia="Times New Roman" w:hAnsi="Times New Roman" w:cs="Times New Roman"/>
                <w:sz w:val="20"/>
                <w:szCs w:val="20"/>
                <w:lang w:eastAsia="sk-SK"/>
              </w:rPr>
              <w:t>odplaty za zhodnotenie, by boli sporitelia naďalej vystaven</w:t>
            </w:r>
            <w:r w:rsidR="00B1076E">
              <w:rPr>
                <w:rFonts w:ascii="Times New Roman" w:eastAsia="Times New Roman" w:hAnsi="Times New Roman" w:cs="Times New Roman"/>
                <w:sz w:val="20"/>
                <w:szCs w:val="20"/>
                <w:lang w:eastAsia="sk-SK"/>
              </w:rPr>
              <w:t>í</w:t>
            </w:r>
            <w:r w:rsidR="00821F1C" w:rsidRPr="00256F87">
              <w:rPr>
                <w:rFonts w:ascii="Times New Roman" w:eastAsia="Times New Roman" w:hAnsi="Times New Roman" w:cs="Times New Roman"/>
                <w:sz w:val="20"/>
                <w:szCs w:val="20"/>
                <w:lang w:eastAsia="sk-SK"/>
              </w:rPr>
              <w:t xml:space="preserve"> vysokej priemernej nákladovosti dôchodkového sporenia, ktorá</w:t>
            </w:r>
            <w:r w:rsidR="00DD4480">
              <w:rPr>
                <w:rFonts w:ascii="Times New Roman" w:eastAsia="Times New Roman" w:hAnsi="Times New Roman" w:cs="Times New Roman"/>
                <w:sz w:val="20"/>
                <w:szCs w:val="20"/>
                <w:lang w:eastAsia="sk-SK"/>
              </w:rPr>
              <w:t xml:space="preserve"> najmä v prípade pasívne riadených fondov</w:t>
            </w:r>
            <w:r w:rsidR="00821F1C" w:rsidRPr="00256F87">
              <w:rPr>
                <w:rFonts w:ascii="Times New Roman" w:eastAsia="Times New Roman" w:hAnsi="Times New Roman" w:cs="Times New Roman"/>
                <w:sz w:val="20"/>
                <w:szCs w:val="20"/>
                <w:lang w:eastAsia="sk-SK"/>
              </w:rPr>
              <w:t xml:space="preserve"> vysoko prevyšuje medzinárodný priemer. V prípade ponechania odplaty za vedenie osobného dôchodkového účtu by </w:t>
            </w:r>
            <w:r w:rsidR="00DD554F" w:rsidRPr="00256F87">
              <w:rPr>
                <w:rFonts w:ascii="Times New Roman" w:eastAsia="Times New Roman" w:hAnsi="Times New Roman" w:cs="Times New Roman"/>
                <w:sz w:val="20"/>
                <w:szCs w:val="20"/>
                <w:lang w:eastAsia="sk-SK"/>
              </w:rPr>
              <w:t xml:space="preserve">sporiteľ naďalej platil </w:t>
            </w:r>
            <w:r w:rsidR="00334A51">
              <w:rPr>
                <w:rFonts w:ascii="Times New Roman" w:eastAsia="Times New Roman" w:hAnsi="Times New Roman" w:cs="Times New Roman"/>
                <w:sz w:val="20"/>
                <w:szCs w:val="20"/>
                <w:lang w:eastAsia="sk-SK"/>
              </w:rPr>
              <w:t>správcovský</w:t>
            </w:r>
            <w:r w:rsidR="00DD554F" w:rsidRPr="00256F87">
              <w:rPr>
                <w:rFonts w:ascii="Times New Roman" w:eastAsia="Times New Roman" w:hAnsi="Times New Roman" w:cs="Times New Roman"/>
                <w:sz w:val="20"/>
                <w:szCs w:val="20"/>
                <w:lang w:eastAsia="sk-SK"/>
              </w:rPr>
              <w:t xml:space="preserve"> poplatok nielen prostredníctvom odplaty za správu dôchodkového fondu</w:t>
            </w:r>
            <w:r w:rsidR="001811B6">
              <w:rPr>
                <w:rFonts w:ascii="Times New Roman" w:eastAsia="Times New Roman" w:hAnsi="Times New Roman" w:cs="Times New Roman"/>
                <w:sz w:val="20"/>
                <w:szCs w:val="20"/>
                <w:lang w:eastAsia="sk-SK"/>
              </w:rPr>
              <w:t>,</w:t>
            </w:r>
            <w:r w:rsidR="00DD554F" w:rsidRPr="00256F87">
              <w:rPr>
                <w:rFonts w:ascii="Times New Roman" w:eastAsia="Times New Roman" w:hAnsi="Times New Roman" w:cs="Times New Roman"/>
                <w:sz w:val="20"/>
                <w:szCs w:val="20"/>
                <w:lang w:eastAsia="sk-SK"/>
              </w:rPr>
              <w:t xml:space="preserve"> ale aj prostredníctvom uvedenej odplaty. </w:t>
            </w:r>
          </w:p>
          <w:p w14:paraId="637E7C2F" w14:textId="77777777" w:rsidR="00FF7C8F" w:rsidRPr="00256F87" w:rsidRDefault="00DD554F" w:rsidP="00586B11">
            <w:pPr>
              <w:jc w:val="both"/>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V prípade zachovania povinnosti vydávania akceptačných listov Sociálnou poisťovňou by neboli naplnené požiadavky na zmiernenie byrokratického procesu spojeného so zmenou </w:t>
            </w:r>
            <w:r w:rsidR="00586B11">
              <w:rPr>
                <w:rFonts w:ascii="Times New Roman" w:eastAsia="Times New Roman" w:hAnsi="Times New Roman" w:cs="Times New Roman"/>
                <w:sz w:val="20"/>
                <w:szCs w:val="20"/>
                <w:lang w:eastAsia="sk-SK"/>
              </w:rPr>
              <w:t>DSS</w:t>
            </w:r>
            <w:r w:rsidR="00A80C8D" w:rsidRPr="00256F87">
              <w:rPr>
                <w:rFonts w:ascii="Times New Roman" w:eastAsia="Times New Roman" w:hAnsi="Times New Roman" w:cs="Times New Roman"/>
                <w:sz w:val="20"/>
                <w:szCs w:val="20"/>
                <w:lang w:eastAsia="sk-SK"/>
              </w:rPr>
              <w:t xml:space="preserve">. </w:t>
            </w:r>
            <w:r w:rsidRPr="00256F87">
              <w:rPr>
                <w:rFonts w:ascii="Times New Roman" w:eastAsia="Times New Roman" w:hAnsi="Times New Roman" w:cs="Times New Roman"/>
                <w:sz w:val="20"/>
                <w:szCs w:val="20"/>
                <w:lang w:eastAsia="sk-SK"/>
              </w:rPr>
              <w:t xml:space="preserve">   </w:t>
            </w:r>
            <w:r w:rsidR="00821F1C" w:rsidRPr="00256F87">
              <w:rPr>
                <w:rFonts w:ascii="Times New Roman" w:eastAsia="Times New Roman" w:hAnsi="Times New Roman" w:cs="Times New Roman"/>
                <w:sz w:val="20"/>
                <w:szCs w:val="20"/>
                <w:lang w:eastAsia="sk-SK"/>
              </w:rPr>
              <w:t xml:space="preserve">    </w:t>
            </w:r>
          </w:p>
        </w:tc>
      </w:tr>
      <w:tr w:rsidR="001B23B7" w:rsidRPr="00B043B4" w14:paraId="5E3CCCB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9B84BB2"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08593771" w14:textId="77777777" w:rsidTr="000800FC">
        <w:tc>
          <w:tcPr>
            <w:tcW w:w="6203" w:type="dxa"/>
            <w:gridSpan w:val="7"/>
            <w:tcBorders>
              <w:top w:val="single" w:sz="4" w:space="0" w:color="FFFFFF"/>
              <w:left w:val="single" w:sz="4" w:space="0" w:color="auto"/>
              <w:bottom w:val="nil"/>
              <w:right w:val="nil"/>
            </w:tcBorders>
            <w:shd w:val="clear" w:color="auto" w:fill="FFFFFF"/>
          </w:tcPr>
          <w:p w14:paraId="5D85AB1E"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C0291A9" w14:textId="77777777" w:rsidR="001B23B7" w:rsidRPr="00B043B4" w:rsidRDefault="005A05A9"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F265BA">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99AF296" w14:textId="77777777" w:rsidR="001B23B7" w:rsidRPr="00B043B4" w:rsidRDefault="005A05A9"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361DC071"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61B0A072"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500830AC" w14:textId="77777777" w:rsidR="001B23B7" w:rsidRDefault="001B23B7" w:rsidP="000800FC">
            <w:pPr>
              <w:rPr>
                <w:rFonts w:ascii="Times New Roman" w:eastAsia="Times New Roman" w:hAnsi="Times New Roman" w:cs="Times New Roman"/>
                <w:sz w:val="20"/>
                <w:szCs w:val="20"/>
                <w:lang w:eastAsia="sk-SK"/>
              </w:rPr>
            </w:pPr>
          </w:p>
          <w:p w14:paraId="6540089B" w14:textId="77777777" w:rsidR="00A80C8D" w:rsidRDefault="00A80C8D"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súvislosti s navrhovanými zmenami sa predpokladá </w:t>
            </w:r>
            <w:r w:rsidR="00256F87">
              <w:rPr>
                <w:rFonts w:ascii="Times New Roman" w:eastAsia="Times New Roman" w:hAnsi="Times New Roman" w:cs="Times New Roman"/>
                <w:sz w:val="20"/>
                <w:szCs w:val="20"/>
                <w:lang w:eastAsia="sk-SK"/>
              </w:rPr>
              <w:t>zmena</w:t>
            </w:r>
            <w:r>
              <w:rPr>
                <w:rFonts w:ascii="Times New Roman" w:eastAsia="Times New Roman" w:hAnsi="Times New Roman" w:cs="Times New Roman"/>
                <w:sz w:val="20"/>
                <w:szCs w:val="20"/>
                <w:lang w:eastAsia="sk-SK"/>
              </w:rPr>
              <w:t xml:space="preserve"> nasledovných vykonávacích predpisov:</w:t>
            </w:r>
          </w:p>
          <w:p w14:paraId="6496FF25" w14:textId="77777777" w:rsidR="00A80C8D" w:rsidRDefault="00256F87" w:rsidP="00256F87">
            <w:pPr>
              <w:pStyle w:val="Odsekzoznamu"/>
              <w:numPr>
                <w:ilvl w:val="0"/>
                <w:numId w:val="4"/>
              </w:numPr>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Opatrenie č. 18/2017 Ministerstva práce, sociálnych vecí a rodiny Slovenskej republiky č. 8796/2017-M_OPVA, ktorým sa ustanovuje vzor ponukového listu</w:t>
            </w:r>
          </w:p>
          <w:p w14:paraId="0FC70A4F" w14:textId="77777777" w:rsidR="00256F87" w:rsidRDefault="00256F87" w:rsidP="00256F87">
            <w:pPr>
              <w:pStyle w:val="Odsekzoznamu"/>
              <w:numPr>
                <w:ilvl w:val="0"/>
                <w:numId w:val="4"/>
              </w:numPr>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Opatrenie č. 138/2020 Z. z. Ministerstva práce, sociálnych vecí a rodiny Slovenskej republiky o informácii o dôchodkoch zo st</w:t>
            </w:r>
            <w:r>
              <w:rPr>
                <w:rFonts w:ascii="Times New Roman" w:eastAsia="Times New Roman" w:hAnsi="Times New Roman" w:cs="Times New Roman"/>
                <w:sz w:val="20"/>
                <w:szCs w:val="20"/>
                <w:lang w:eastAsia="sk-SK"/>
              </w:rPr>
              <w:t>arobného dôchodkového sporenia</w:t>
            </w:r>
          </w:p>
          <w:p w14:paraId="61E32056" w14:textId="77777777" w:rsidR="00256F87" w:rsidRPr="00256F87" w:rsidRDefault="00256F87" w:rsidP="00256F87">
            <w:pPr>
              <w:pStyle w:val="Odsekzoznamu"/>
              <w:numPr>
                <w:ilvl w:val="0"/>
                <w:numId w:val="4"/>
              </w:numPr>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Opatrenie č. 139/2020 Z. z. Ministerstva práce, sociálnych vecí a rodiny Slovenskej republiky, ktorým sa ustanovuje obsah, štruktúra, forma, podmienky a spôsob priebežnej aktualizácie a lehoty na zverejnenie kľúčových informácií o dôchodkovom fonde </w:t>
            </w:r>
          </w:p>
          <w:p w14:paraId="615C6074" w14:textId="47E5F378" w:rsidR="00256F87" w:rsidRDefault="00256F87" w:rsidP="00256F87">
            <w:pPr>
              <w:pStyle w:val="Odsekzoznamu"/>
              <w:numPr>
                <w:ilvl w:val="0"/>
                <w:numId w:val="4"/>
              </w:numPr>
              <w:rPr>
                <w:rFonts w:ascii="Times New Roman" w:eastAsia="Times New Roman" w:hAnsi="Times New Roman" w:cs="Times New Roman"/>
                <w:sz w:val="20"/>
                <w:szCs w:val="20"/>
                <w:lang w:eastAsia="sk-SK"/>
              </w:rPr>
            </w:pPr>
            <w:r w:rsidRPr="00256F87">
              <w:rPr>
                <w:rFonts w:ascii="Times New Roman" w:eastAsia="Times New Roman" w:hAnsi="Times New Roman" w:cs="Times New Roman"/>
                <w:sz w:val="20"/>
                <w:szCs w:val="20"/>
                <w:lang w:eastAsia="sk-SK"/>
              </w:rPr>
              <w:t>Opatrenie č. 140/2020 Z. z. Ministerstva práce, sociálnych vecí a rodiny Slovenskej republiky, ktorým sa ustanovuje vzor výpisu z osobn</w:t>
            </w:r>
            <w:r w:rsidR="00CF098B">
              <w:rPr>
                <w:rFonts w:ascii="Times New Roman" w:eastAsia="Times New Roman" w:hAnsi="Times New Roman" w:cs="Times New Roman"/>
                <w:sz w:val="20"/>
                <w:szCs w:val="20"/>
                <w:lang w:eastAsia="sk-SK"/>
              </w:rPr>
              <w:t>ého dôchodkového účtu sporiteľa</w:t>
            </w:r>
          </w:p>
          <w:p w14:paraId="5BBA1517" w14:textId="4E20E8D0" w:rsidR="00CF098B" w:rsidRPr="00CF098B" w:rsidRDefault="00CF098B" w:rsidP="0041006A">
            <w:pPr>
              <w:pStyle w:val="Odsekzoznamu"/>
              <w:numPr>
                <w:ilvl w:val="0"/>
                <w:numId w:val="4"/>
              </w:numPr>
              <w:rPr>
                <w:rFonts w:ascii="Times New Roman" w:eastAsia="Times New Roman" w:hAnsi="Times New Roman" w:cs="Times New Roman"/>
                <w:sz w:val="20"/>
                <w:szCs w:val="20"/>
                <w:lang w:eastAsia="sk-SK"/>
              </w:rPr>
            </w:pPr>
            <w:r w:rsidRPr="00CF098B">
              <w:rPr>
                <w:rFonts w:ascii="Times New Roman" w:eastAsia="Times New Roman" w:hAnsi="Times New Roman" w:cs="Times New Roman"/>
                <w:sz w:val="20"/>
                <w:szCs w:val="20"/>
                <w:lang w:eastAsia="sk-SK"/>
              </w:rPr>
              <w:t xml:space="preserve">Opatrenie </w:t>
            </w:r>
            <w:r w:rsidR="00E05186" w:rsidRPr="00CF098B">
              <w:rPr>
                <w:rFonts w:ascii="Times New Roman" w:eastAsia="Times New Roman" w:hAnsi="Times New Roman" w:cs="Times New Roman"/>
                <w:sz w:val="20"/>
                <w:szCs w:val="20"/>
                <w:lang w:eastAsia="sk-SK"/>
              </w:rPr>
              <w:t>č. 441/2015 Z. z.</w:t>
            </w:r>
            <w:r w:rsidR="00E05186">
              <w:rPr>
                <w:rFonts w:ascii="Times New Roman" w:eastAsia="Times New Roman" w:hAnsi="Times New Roman" w:cs="Times New Roman"/>
                <w:sz w:val="20"/>
                <w:szCs w:val="20"/>
                <w:lang w:eastAsia="sk-SK"/>
              </w:rPr>
              <w:t xml:space="preserve"> </w:t>
            </w:r>
            <w:r w:rsidRPr="00CF098B">
              <w:rPr>
                <w:rFonts w:ascii="Times New Roman" w:eastAsia="Times New Roman" w:hAnsi="Times New Roman" w:cs="Times New Roman"/>
                <w:sz w:val="20"/>
                <w:szCs w:val="20"/>
                <w:lang w:eastAsia="sk-SK"/>
              </w:rPr>
              <w:t>Národnej banky Slovenska o vlastných zdrojoch dôchodkovej správcovskej spoločnosti</w:t>
            </w:r>
          </w:p>
          <w:p w14:paraId="2FED1A7B" w14:textId="77777777" w:rsidR="00256F87" w:rsidRPr="00A80C8D" w:rsidRDefault="00256F87" w:rsidP="00256F87">
            <w:pPr>
              <w:pStyle w:val="Odsekzoznamu"/>
              <w:ind w:left="770"/>
              <w:rPr>
                <w:rFonts w:ascii="Times New Roman" w:eastAsia="Times New Roman" w:hAnsi="Times New Roman" w:cs="Times New Roman"/>
                <w:sz w:val="20"/>
                <w:szCs w:val="20"/>
                <w:lang w:eastAsia="sk-SK"/>
              </w:rPr>
            </w:pPr>
          </w:p>
        </w:tc>
      </w:tr>
      <w:tr w:rsidR="001B23B7" w:rsidRPr="00B043B4" w14:paraId="15959B7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E6C8E2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7407F63E"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p w14:paraId="2779503D"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v ktorých konkrétnych ustanoveniach (paragrafy, články, body, atď.) ide národná právna úprava nad rámec minimálnych požiadaviek EÚ (tzv. goldplating) spolu s odôvodnením opodstatnenosti presahu.</w:t>
            </w:r>
          </w:p>
        </w:tc>
      </w:tr>
      <w:tr w:rsidR="001B23B7" w:rsidRPr="00B043B4" w14:paraId="474C6B9C"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A73E004" w14:textId="77777777" w:rsidR="001B23B7" w:rsidRDefault="0072572C" w:rsidP="0072572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Predkladaným </w:t>
            </w:r>
            <w:r w:rsidR="000F19DD">
              <w:rPr>
                <w:rFonts w:ascii="Times New Roman" w:eastAsia="Times New Roman" w:hAnsi="Times New Roman" w:cs="Times New Roman"/>
                <w:sz w:val="20"/>
                <w:szCs w:val="20"/>
                <w:lang w:eastAsia="sk-SK"/>
              </w:rPr>
              <w:t xml:space="preserve">vládnym </w:t>
            </w:r>
            <w:r>
              <w:rPr>
                <w:rFonts w:ascii="Times New Roman" w:eastAsia="Times New Roman" w:hAnsi="Times New Roman" w:cs="Times New Roman"/>
                <w:sz w:val="20"/>
                <w:szCs w:val="20"/>
                <w:lang w:eastAsia="sk-SK"/>
              </w:rPr>
              <w:t>návrhom zákona nedochádza k transpozícii európskeho práva.</w:t>
            </w:r>
          </w:p>
          <w:p w14:paraId="707EB0AA" w14:textId="375D8995" w:rsidR="00102B2E" w:rsidRPr="00B043B4" w:rsidRDefault="00102B2E" w:rsidP="0072572C">
            <w:pPr>
              <w:rPr>
                <w:rFonts w:ascii="Times New Roman" w:eastAsia="Times New Roman" w:hAnsi="Times New Roman" w:cs="Times New Roman"/>
                <w:sz w:val="20"/>
                <w:szCs w:val="20"/>
                <w:lang w:eastAsia="sk-SK"/>
              </w:rPr>
            </w:pPr>
          </w:p>
        </w:tc>
      </w:tr>
      <w:tr w:rsidR="001B23B7" w:rsidRPr="00B043B4" w14:paraId="11A8567E"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9C9114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Preskúmanie účelnosti</w:t>
            </w:r>
          </w:p>
        </w:tc>
      </w:tr>
      <w:tr w:rsidR="001B23B7" w:rsidRPr="00B043B4" w14:paraId="436C9423"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20ACBC3"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73379CDA" w14:textId="77777777"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14:paraId="37894D10" w14:textId="77777777" w:rsidR="00586B11" w:rsidRDefault="00586B11" w:rsidP="000800FC">
            <w:pPr>
              <w:rPr>
                <w:rFonts w:ascii="Times New Roman" w:eastAsia="Times New Roman" w:hAnsi="Times New Roman" w:cs="Times New Roman"/>
                <w:i/>
                <w:sz w:val="20"/>
                <w:szCs w:val="20"/>
                <w:lang w:eastAsia="sk-SK"/>
              </w:rPr>
            </w:pPr>
          </w:p>
          <w:p w14:paraId="295E1E94" w14:textId="77777777" w:rsidR="00586B11" w:rsidRDefault="00586B11" w:rsidP="00586B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Štatistické údaje o stave starobného dôchodkového sporenia sú pravidelne monitorované a vyhodnocované prostredníctvom domácich ako aj zahraničných analýz (Správy o sociálnej situácii obyvateľstva, Správ</w:t>
            </w:r>
            <w:r w:rsidR="001811B6">
              <w:rPr>
                <w:rFonts w:ascii="Times New Roman" w:eastAsia="Times New Roman" w:hAnsi="Times New Roman" w:cs="Times New Roman"/>
                <w:sz w:val="20"/>
                <w:szCs w:val="20"/>
                <w:lang w:eastAsia="sk-SK"/>
              </w:rPr>
              <w:t>y</w:t>
            </w:r>
            <w:r>
              <w:rPr>
                <w:rFonts w:ascii="Times New Roman" w:eastAsia="Times New Roman" w:hAnsi="Times New Roman" w:cs="Times New Roman"/>
                <w:sz w:val="20"/>
                <w:szCs w:val="20"/>
                <w:lang w:eastAsia="sk-SK"/>
              </w:rPr>
              <w:t xml:space="preserve"> o finančnej stabilite, údajových indikátorov slovenského finančného sektora, analýz</w:t>
            </w:r>
            <w:r w:rsidR="001811B6">
              <w:rPr>
                <w:rFonts w:ascii="Times New Roman" w:eastAsia="Times New Roman" w:hAnsi="Times New Roman" w:cs="Times New Roman"/>
                <w:sz w:val="20"/>
                <w:szCs w:val="20"/>
                <w:lang w:eastAsia="sk-SK"/>
              </w:rPr>
              <w:t>y</w:t>
            </w:r>
            <w:r>
              <w:rPr>
                <w:rFonts w:ascii="Times New Roman" w:eastAsia="Times New Roman" w:hAnsi="Times New Roman" w:cs="Times New Roman"/>
                <w:sz w:val="20"/>
                <w:szCs w:val="20"/>
                <w:lang w:eastAsia="sk-SK"/>
              </w:rPr>
              <w:t xml:space="preserve"> OECD ako napr. Pension Markets in Focus, Pension at Glance pod.). Prijaté zmeny budú vyhodnocované najmä prostredníctvom nasledujúcich indikátorov:</w:t>
            </w:r>
          </w:p>
          <w:p w14:paraId="1AC7DD59" w14:textId="77777777" w:rsidR="00586B11" w:rsidRDefault="00586B11" w:rsidP="00586B11">
            <w:pPr>
              <w:pStyle w:val="Odsekzoznamu"/>
              <w:numPr>
                <w:ilvl w:val="0"/>
                <w:numId w:val="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Rozloženie majetku sporiteľov v II. pilieri,  </w:t>
            </w:r>
          </w:p>
          <w:p w14:paraId="0083610C" w14:textId="77777777" w:rsidR="00586B11" w:rsidRDefault="00586B11" w:rsidP="00586B11">
            <w:pPr>
              <w:pStyle w:val="Odsekzoznamu"/>
              <w:numPr>
                <w:ilvl w:val="0"/>
                <w:numId w:val="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Zhodnotenie dôchodkových fondov,</w:t>
            </w:r>
          </w:p>
          <w:p w14:paraId="4B2EC84C" w14:textId="77777777" w:rsidR="00586B11" w:rsidRDefault="00586B11" w:rsidP="00586B11">
            <w:pPr>
              <w:pStyle w:val="Odsekzoznamu"/>
              <w:numPr>
                <w:ilvl w:val="0"/>
                <w:numId w:val="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Priemerná výška starobného a predčasného starobného dôchodku z II. piliera,</w:t>
            </w:r>
          </w:p>
          <w:p w14:paraId="5CC6FBA0" w14:textId="77777777" w:rsidR="00586B11" w:rsidRDefault="00586B11" w:rsidP="00586B11">
            <w:pPr>
              <w:pStyle w:val="Odsekzoznamu"/>
              <w:numPr>
                <w:ilvl w:val="0"/>
                <w:numId w:val="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Nákladovosť fondov v II. pilieri,  </w:t>
            </w:r>
          </w:p>
          <w:p w14:paraId="58B023A2" w14:textId="77777777" w:rsidR="00586B11" w:rsidRPr="00B96103" w:rsidRDefault="00586B11" w:rsidP="00586B11">
            <w:pPr>
              <w:pStyle w:val="Odsekzoznamu"/>
              <w:numPr>
                <w:ilvl w:val="0"/>
                <w:numId w:val="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Počet prestupov sporiteľov medzi DSS</w:t>
            </w:r>
            <w:r w:rsidR="001811B6">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p w14:paraId="7853D703" w14:textId="77777777" w:rsidR="005C55CF" w:rsidRPr="00B043B4" w:rsidRDefault="005C55CF" w:rsidP="000800FC">
            <w:pPr>
              <w:rPr>
                <w:rFonts w:ascii="Times New Roman" w:eastAsia="Times New Roman" w:hAnsi="Times New Roman" w:cs="Times New Roman"/>
                <w:i/>
                <w:sz w:val="20"/>
                <w:szCs w:val="20"/>
                <w:lang w:eastAsia="sk-SK"/>
              </w:rPr>
            </w:pPr>
          </w:p>
        </w:tc>
      </w:tr>
      <w:tr w:rsidR="001B23B7" w:rsidRPr="00B043B4" w14:paraId="591DFE82" w14:textId="77777777" w:rsidTr="000800FC">
        <w:tc>
          <w:tcPr>
            <w:tcW w:w="9180" w:type="dxa"/>
            <w:gridSpan w:val="11"/>
            <w:tcBorders>
              <w:top w:val="nil"/>
              <w:left w:val="nil"/>
              <w:bottom w:val="single" w:sz="4" w:space="0" w:color="auto"/>
              <w:right w:val="nil"/>
            </w:tcBorders>
            <w:shd w:val="clear" w:color="auto" w:fill="FFFFFF"/>
          </w:tcPr>
          <w:p w14:paraId="377BDAE8" w14:textId="77777777" w:rsidR="001B23B7" w:rsidRPr="00B043B4" w:rsidRDefault="001B23B7" w:rsidP="000800FC">
            <w:pPr>
              <w:rPr>
                <w:rFonts w:ascii="Times New Roman" w:eastAsia="Times New Roman" w:hAnsi="Times New Roman" w:cs="Times New Roman"/>
                <w:b/>
                <w:sz w:val="20"/>
                <w:szCs w:val="20"/>
                <w:lang w:eastAsia="sk-SK"/>
              </w:rPr>
            </w:pPr>
          </w:p>
          <w:p w14:paraId="2589C81B"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1CE74C6"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586295E9" w14:textId="77777777" w:rsidR="001B23B7" w:rsidRPr="00B043B4" w:rsidRDefault="001B23B7">
            <w:pPr>
              <w:rPr>
                <w:rFonts w:ascii="Times New Roman" w:eastAsia="Times New Roman" w:hAnsi="Times New Roman" w:cs="Times New Roman"/>
                <w:b/>
                <w:sz w:val="20"/>
                <w:szCs w:val="20"/>
                <w:lang w:eastAsia="sk-SK"/>
              </w:rPr>
            </w:pPr>
          </w:p>
        </w:tc>
      </w:tr>
      <w:tr w:rsidR="0026607A" w:rsidRPr="00B043B4" w14:paraId="6FE4B983" w14:textId="77777777" w:rsidTr="0080596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9D9B43F" w14:textId="08D6DA43" w:rsidR="0026607A" w:rsidRPr="0026607A" w:rsidRDefault="0026607A" w:rsidP="0026607A">
            <w:pPr>
              <w:numPr>
                <w:ilvl w:val="0"/>
                <w:numId w:val="1"/>
              </w:numPr>
              <w:ind w:left="426"/>
              <w:contextualSpacing/>
              <w:rPr>
                <w:rFonts w:ascii="Times New Roman" w:eastAsia="Calibri" w:hAnsi="Times New Roman" w:cs="Times New Roman"/>
                <w:b/>
              </w:rPr>
            </w:pPr>
            <w:r w:rsidRPr="0026607A">
              <w:rPr>
                <w:rFonts w:ascii="Times New Roman" w:eastAsia="Calibri" w:hAnsi="Times New Roman" w:cs="Times New Roman"/>
                <w:b/>
              </w:rPr>
              <w:t>Vybrané vplyvy  materiálu</w:t>
            </w:r>
          </w:p>
        </w:tc>
      </w:tr>
      <w:tr w:rsidR="0026607A" w:rsidRPr="00B043B4" w14:paraId="2F5E5A99" w14:textId="77777777" w:rsidTr="00805966">
        <w:tc>
          <w:tcPr>
            <w:tcW w:w="3812" w:type="dxa"/>
            <w:tcBorders>
              <w:top w:val="single" w:sz="4" w:space="0" w:color="auto"/>
              <w:left w:val="single" w:sz="4" w:space="0" w:color="auto"/>
              <w:bottom w:val="nil"/>
              <w:right w:val="single" w:sz="4" w:space="0" w:color="auto"/>
            </w:tcBorders>
            <w:shd w:val="clear" w:color="auto" w:fill="E2E2E2"/>
          </w:tcPr>
          <w:p w14:paraId="34ADD49F"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BC29F52" w14:textId="0AE3ADB1"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466D22C"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799C378"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0EC9223"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EAEFD64" w14:textId="1D41E531" w:rsidR="0026607A" w:rsidRPr="00B043B4" w:rsidRDefault="00481D1B" w:rsidP="0080596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A3BB368" w14:textId="77777777" w:rsidR="0026607A" w:rsidRPr="00B043B4" w:rsidRDefault="0026607A" w:rsidP="00805966">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6607A" w:rsidRPr="00B043B4" w14:paraId="0FCAD968" w14:textId="77777777" w:rsidTr="00805966">
        <w:tc>
          <w:tcPr>
            <w:tcW w:w="3812" w:type="dxa"/>
            <w:tcBorders>
              <w:top w:val="nil"/>
              <w:left w:val="single" w:sz="4" w:space="0" w:color="auto"/>
              <w:bottom w:val="nil"/>
              <w:right w:val="single" w:sz="4" w:space="0" w:color="auto"/>
            </w:tcBorders>
            <w:shd w:val="clear" w:color="auto" w:fill="E2E2E2"/>
          </w:tcPr>
          <w:p w14:paraId="51C673CD" w14:textId="77777777" w:rsidR="0026607A" w:rsidRDefault="0026607A" w:rsidP="0080596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45555F9B" w14:textId="77777777" w:rsidR="0026607A" w:rsidRDefault="0026607A" w:rsidP="0080596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774198DE" w14:textId="77777777" w:rsidR="0026607A" w:rsidRPr="00A340BB" w:rsidRDefault="0026607A" w:rsidP="0080596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A927B81" w14:textId="77777777" w:rsidR="0026607A" w:rsidRPr="00B043B4" w:rsidRDefault="0026607A"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098CB45" w14:textId="77777777" w:rsidR="0026607A" w:rsidRPr="00B043B4" w:rsidRDefault="0026607A" w:rsidP="0080596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0BAF3E1" w14:textId="77777777" w:rsidR="0026607A" w:rsidRPr="00B043B4" w:rsidRDefault="0026607A"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F2AC219" w14:textId="77777777" w:rsidR="0026607A" w:rsidRPr="00B043B4" w:rsidRDefault="0026607A" w:rsidP="0080596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6651E3C" w14:textId="2FFA7F59" w:rsidR="0026607A" w:rsidRPr="00B043B4" w:rsidRDefault="00481D1B" w:rsidP="0080596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045C608" w14:textId="77777777" w:rsidR="0026607A" w:rsidRPr="00B043B4" w:rsidRDefault="0026607A" w:rsidP="00805966">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26607A" w:rsidRPr="00B043B4" w14:paraId="5F7A02C1" w14:textId="77777777" w:rsidTr="00805966">
        <w:tc>
          <w:tcPr>
            <w:tcW w:w="3812" w:type="dxa"/>
            <w:tcBorders>
              <w:top w:val="nil"/>
              <w:left w:val="single" w:sz="4" w:space="0" w:color="auto"/>
              <w:bottom w:val="nil"/>
              <w:right w:val="single" w:sz="4" w:space="0" w:color="auto"/>
            </w:tcBorders>
            <w:shd w:val="clear" w:color="auto" w:fill="E2E2E2"/>
          </w:tcPr>
          <w:p w14:paraId="74031C9B" w14:textId="77777777" w:rsidR="0026607A" w:rsidRPr="003145AE" w:rsidRDefault="0026607A" w:rsidP="0080596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366D6CDD"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1EF61E66"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2F8E6CD" w14:textId="0A287C09"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01BB25B6"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3A2656D" w14:textId="77777777" w:rsidR="0026607A" w:rsidRPr="00B043B4" w:rsidRDefault="0026607A" w:rsidP="0080596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819C3D2" w14:textId="77777777" w:rsidR="0026607A" w:rsidRPr="00B043B4" w:rsidRDefault="0026607A" w:rsidP="00805966">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6607A" w:rsidRPr="00B043B4" w14:paraId="1BF4DAA4" w14:textId="77777777" w:rsidTr="00805966">
        <w:tc>
          <w:tcPr>
            <w:tcW w:w="3812" w:type="dxa"/>
            <w:tcBorders>
              <w:top w:val="nil"/>
              <w:left w:val="single" w:sz="4" w:space="0" w:color="auto"/>
              <w:bottom w:val="single" w:sz="4" w:space="0" w:color="000000"/>
              <w:right w:val="single" w:sz="4" w:space="0" w:color="auto"/>
            </w:tcBorders>
            <w:shd w:val="clear" w:color="auto" w:fill="E2E2E2"/>
          </w:tcPr>
          <w:p w14:paraId="66C88EE4" w14:textId="77777777" w:rsidR="0026607A" w:rsidRDefault="0026607A" w:rsidP="0080596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371E9F8A" w14:textId="77777777" w:rsidR="0026607A" w:rsidRPr="003145AE" w:rsidRDefault="0026607A" w:rsidP="0080596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CDB3B63" w14:textId="77777777" w:rsidR="0026607A" w:rsidRPr="00B043B4" w:rsidRDefault="0026607A"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1821F07" w14:textId="77777777" w:rsidR="0026607A" w:rsidRPr="00B043B4" w:rsidRDefault="0026607A" w:rsidP="0080596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7ED361F" w14:textId="77777777" w:rsidR="0026607A" w:rsidRPr="00B043B4" w:rsidRDefault="0026607A"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242105D" w14:textId="77777777" w:rsidR="0026607A" w:rsidRPr="00B043B4" w:rsidRDefault="0026607A" w:rsidP="0080596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B7A961A" w14:textId="77777777" w:rsidR="0026607A" w:rsidRPr="00B043B4" w:rsidRDefault="0026607A" w:rsidP="0080596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8DD46E0" w14:textId="77777777" w:rsidR="0026607A" w:rsidRPr="00B043B4" w:rsidRDefault="0026607A" w:rsidP="00805966">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26607A" w:rsidRPr="00B043B4" w14:paraId="1651D62D" w14:textId="77777777" w:rsidTr="00805966">
        <w:tc>
          <w:tcPr>
            <w:tcW w:w="3812" w:type="dxa"/>
            <w:tcBorders>
              <w:top w:val="single" w:sz="4" w:space="0" w:color="000000"/>
              <w:left w:val="single" w:sz="4" w:space="0" w:color="auto"/>
              <w:bottom w:val="nil"/>
              <w:right w:val="single" w:sz="4" w:space="0" w:color="auto"/>
            </w:tcBorders>
            <w:shd w:val="clear" w:color="auto" w:fill="E2E2E2"/>
          </w:tcPr>
          <w:p w14:paraId="1B748233"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FB38FFA" w14:textId="17D7ED82"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6A76588" w14:textId="77777777" w:rsidR="0026607A" w:rsidRPr="00B043B4" w:rsidRDefault="0026607A" w:rsidP="0080596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EEEC19C"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8866826"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756318E" w14:textId="59764605"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0B7CD75" w14:textId="77777777" w:rsidR="0026607A" w:rsidRPr="00B043B4" w:rsidRDefault="0026607A" w:rsidP="0080596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6607A" w:rsidRPr="00B043B4" w14:paraId="5342D4D2" w14:textId="77777777" w:rsidTr="00805966">
        <w:tc>
          <w:tcPr>
            <w:tcW w:w="3812" w:type="dxa"/>
            <w:tcBorders>
              <w:top w:val="nil"/>
              <w:left w:val="single" w:sz="4" w:space="0" w:color="000000"/>
              <w:bottom w:val="nil"/>
              <w:right w:val="single" w:sz="4" w:space="0" w:color="000000"/>
            </w:tcBorders>
            <w:shd w:val="clear" w:color="auto" w:fill="E2E2E2"/>
          </w:tcPr>
          <w:p w14:paraId="5C923990" w14:textId="77777777" w:rsidR="0026607A" w:rsidRPr="00B043B4" w:rsidRDefault="0026607A" w:rsidP="0080596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70B73282" w14:textId="77777777" w:rsidR="0026607A" w:rsidRPr="00B043B4" w:rsidRDefault="0026607A" w:rsidP="0080596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F19A654" w14:textId="77777777" w:rsidR="0026607A" w:rsidRPr="00B043B4" w:rsidRDefault="0026607A"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60EBD28" w14:textId="77777777" w:rsidR="0026607A" w:rsidRPr="00B043B4" w:rsidRDefault="0026607A" w:rsidP="00805966">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E7B7CCE" w14:textId="018DACC1" w:rsidR="0026607A" w:rsidRPr="00B043B4" w:rsidRDefault="00481D1B"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26F9313" w14:textId="77777777" w:rsidR="0026607A" w:rsidRPr="00B043B4" w:rsidRDefault="0026607A" w:rsidP="0080596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D6A0821" w14:textId="77777777" w:rsidR="0026607A" w:rsidRPr="00B043B4" w:rsidRDefault="0026607A" w:rsidP="0080596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7C6DE16" w14:textId="77777777" w:rsidR="0026607A" w:rsidRPr="00B043B4" w:rsidRDefault="0026607A" w:rsidP="00805966">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26607A" w:rsidRPr="00B043B4" w14:paraId="6349CD23" w14:textId="77777777" w:rsidTr="00805966">
        <w:tc>
          <w:tcPr>
            <w:tcW w:w="3812" w:type="dxa"/>
            <w:tcBorders>
              <w:top w:val="nil"/>
              <w:left w:val="single" w:sz="4" w:space="0" w:color="auto"/>
              <w:bottom w:val="single" w:sz="4" w:space="0" w:color="auto"/>
              <w:right w:val="single" w:sz="4" w:space="0" w:color="auto"/>
            </w:tcBorders>
            <w:shd w:val="clear" w:color="auto" w:fill="E2E2E2"/>
          </w:tcPr>
          <w:p w14:paraId="45EB6C88" w14:textId="77777777" w:rsidR="0026607A" w:rsidRDefault="0026607A" w:rsidP="0080596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73AF7AFD" w14:textId="77777777" w:rsidR="0026607A" w:rsidRPr="00B043B4" w:rsidRDefault="0026607A" w:rsidP="00805966">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E0E3718" w14:textId="1E79F6C2"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2645EDE" w14:textId="77777777" w:rsidR="0026607A" w:rsidRPr="00B043B4" w:rsidRDefault="0026607A" w:rsidP="0080596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F9871F9" w14:textId="77777777" w:rsidR="0026607A" w:rsidRPr="00B043B4" w:rsidRDefault="0026607A" w:rsidP="00805966">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65912BB" w14:textId="77777777" w:rsidR="0026607A" w:rsidRPr="00B043B4" w:rsidRDefault="0026607A" w:rsidP="0080596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2306F65"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72E38E8" w14:textId="77777777" w:rsidR="0026607A" w:rsidRPr="00B043B4" w:rsidRDefault="0026607A" w:rsidP="0080596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26607A" w:rsidRPr="00B043B4" w14:paraId="6AD9FCAF" w14:textId="77777777" w:rsidTr="00805966">
        <w:tc>
          <w:tcPr>
            <w:tcW w:w="3812" w:type="dxa"/>
            <w:tcBorders>
              <w:top w:val="single" w:sz="4" w:space="0" w:color="000000"/>
              <w:left w:val="single" w:sz="4" w:space="0" w:color="auto"/>
              <w:bottom w:val="single" w:sz="4" w:space="0" w:color="auto"/>
              <w:right w:val="single" w:sz="4" w:space="0" w:color="auto"/>
            </w:tcBorders>
            <w:shd w:val="clear" w:color="auto" w:fill="E2E2E2"/>
          </w:tcPr>
          <w:p w14:paraId="214F92AE"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4BAE452" w14:textId="4A3D5F18"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0D5DFBB" w14:textId="77777777" w:rsidR="0026607A" w:rsidRPr="00B043B4" w:rsidRDefault="0026607A" w:rsidP="0080596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7F4B669"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206E42B"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D6BE936" w14:textId="139E8E2A"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FDEA12D" w14:textId="77777777" w:rsidR="0026607A" w:rsidRPr="00B043B4" w:rsidRDefault="0026607A" w:rsidP="0080596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6607A" w:rsidRPr="00B043B4" w14:paraId="2D2DCFE1" w14:textId="77777777" w:rsidTr="00805966">
        <w:tc>
          <w:tcPr>
            <w:tcW w:w="3812" w:type="dxa"/>
            <w:tcBorders>
              <w:top w:val="single" w:sz="4" w:space="0" w:color="auto"/>
              <w:left w:val="single" w:sz="4" w:space="0" w:color="auto"/>
              <w:bottom w:val="single" w:sz="4" w:space="0" w:color="auto"/>
              <w:right w:val="single" w:sz="4" w:space="0" w:color="auto"/>
            </w:tcBorders>
            <w:shd w:val="clear" w:color="auto" w:fill="E2E2E2"/>
          </w:tcPr>
          <w:p w14:paraId="47BFAE66"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F925D64"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D15931A" w14:textId="77777777" w:rsidR="0026607A" w:rsidRPr="00B043B4" w:rsidRDefault="0026607A" w:rsidP="0080596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B93B1D" w14:textId="7653BC26"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01DAC3E"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D657ECB"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9BE1B66" w14:textId="77777777" w:rsidR="0026607A" w:rsidRPr="00B043B4" w:rsidRDefault="0026607A" w:rsidP="0080596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6607A" w:rsidRPr="00B043B4" w14:paraId="3AE6953B" w14:textId="77777777" w:rsidTr="00805966">
        <w:tc>
          <w:tcPr>
            <w:tcW w:w="3812" w:type="dxa"/>
            <w:tcBorders>
              <w:top w:val="single" w:sz="4" w:space="0" w:color="auto"/>
              <w:left w:val="single" w:sz="4" w:space="0" w:color="auto"/>
              <w:bottom w:val="single" w:sz="4" w:space="0" w:color="auto"/>
              <w:right w:val="single" w:sz="4" w:space="0" w:color="auto"/>
            </w:tcBorders>
            <w:shd w:val="clear" w:color="auto" w:fill="E2E2E2"/>
          </w:tcPr>
          <w:p w14:paraId="518CAA94"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C78C051" w14:textId="6D4C2A67"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F76A104" w14:textId="77777777" w:rsidR="0026607A" w:rsidRPr="00B043B4" w:rsidRDefault="0026607A" w:rsidP="0080596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50BFC21"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7D46A7D"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B05F17C"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E0E051A" w14:textId="77777777" w:rsidR="0026607A" w:rsidRPr="00B043B4" w:rsidRDefault="0026607A" w:rsidP="0080596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6607A" w:rsidRPr="00B043B4" w14:paraId="4B2038DD" w14:textId="77777777" w:rsidTr="00805966">
        <w:tc>
          <w:tcPr>
            <w:tcW w:w="3812" w:type="dxa"/>
            <w:tcBorders>
              <w:top w:val="single" w:sz="4" w:space="0" w:color="auto"/>
              <w:left w:val="single" w:sz="4" w:space="0" w:color="auto"/>
              <w:bottom w:val="nil"/>
              <w:right w:val="single" w:sz="4" w:space="0" w:color="auto"/>
            </w:tcBorders>
            <w:shd w:val="clear" w:color="auto" w:fill="E2E2E2"/>
          </w:tcPr>
          <w:p w14:paraId="3AF7C9A8" w14:textId="77777777" w:rsidR="0026607A" w:rsidRPr="00B043B4" w:rsidRDefault="0026607A" w:rsidP="00805966">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4F0007F9" w14:textId="77777777" w:rsidR="0026607A" w:rsidRPr="00B043B4" w:rsidRDefault="0026607A" w:rsidP="00805966">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F3EC268" w14:textId="77777777" w:rsidR="0026607A" w:rsidRPr="00B043B4" w:rsidRDefault="0026607A" w:rsidP="00805966">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35B4FFA6" w14:textId="77777777" w:rsidR="0026607A" w:rsidRPr="00B043B4" w:rsidRDefault="0026607A" w:rsidP="00805966">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BC06469" w14:textId="77777777" w:rsidR="0026607A" w:rsidRPr="00B043B4" w:rsidRDefault="0026607A" w:rsidP="00805966">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ED8F992" w14:textId="77777777" w:rsidR="0026607A" w:rsidRPr="00B043B4" w:rsidRDefault="0026607A" w:rsidP="00805966">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04EB1F66" w14:textId="77777777" w:rsidR="0026607A" w:rsidRPr="00B043B4" w:rsidRDefault="0026607A" w:rsidP="00805966">
            <w:pPr>
              <w:spacing w:after="0" w:line="240" w:lineRule="auto"/>
              <w:ind w:left="54"/>
              <w:rPr>
                <w:rFonts w:ascii="Times New Roman" w:eastAsia="Times New Roman" w:hAnsi="Times New Roman" w:cs="Times New Roman"/>
                <w:b/>
                <w:sz w:val="20"/>
                <w:szCs w:val="20"/>
                <w:lang w:eastAsia="sk-SK"/>
              </w:rPr>
            </w:pPr>
          </w:p>
        </w:tc>
      </w:tr>
      <w:tr w:rsidR="0026607A" w:rsidRPr="00B043B4" w14:paraId="78E994F2" w14:textId="77777777" w:rsidTr="00805966">
        <w:tc>
          <w:tcPr>
            <w:tcW w:w="3812" w:type="dxa"/>
            <w:tcBorders>
              <w:top w:val="nil"/>
              <w:left w:val="single" w:sz="4" w:space="0" w:color="auto"/>
              <w:bottom w:val="nil"/>
              <w:right w:val="single" w:sz="4" w:space="0" w:color="auto"/>
            </w:tcBorders>
            <w:shd w:val="clear" w:color="auto" w:fill="E2E2E2"/>
          </w:tcPr>
          <w:p w14:paraId="2E324197" w14:textId="77777777" w:rsidR="0026607A" w:rsidRPr="00B043B4" w:rsidRDefault="0026607A" w:rsidP="00805966">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90B0663" w14:textId="77777777" w:rsidR="0026607A" w:rsidRPr="00B043B4" w:rsidRDefault="0026607A" w:rsidP="0080596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700D737" w14:textId="77777777" w:rsidR="0026607A" w:rsidRPr="00B043B4" w:rsidRDefault="0026607A" w:rsidP="00805966">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64D04E4" w14:textId="3396F899" w:rsidR="0026607A" w:rsidRPr="00B043B4" w:rsidRDefault="00481D1B" w:rsidP="0080596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23C1633D" w14:textId="77777777" w:rsidR="0026607A" w:rsidRPr="00B043B4" w:rsidRDefault="0026607A" w:rsidP="00805966">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D08EEC8" w14:textId="77777777" w:rsidR="0026607A" w:rsidRPr="00B043B4" w:rsidRDefault="0026607A" w:rsidP="0080596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6ABD3D67" w14:textId="77777777" w:rsidR="0026607A" w:rsidRPr="00B043B4" w:rsidRDefault="0026607A" w:rsidP="00805966">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6607A" w:rsidRPr="00B043B4" w14:paraId="334DAC7B" w14:textId="77777777" w:rsidTr="00805966">
        <w:tc>
          <w:tcPr>
            <w:tcW w:w="3812" w:type="dxa"/>
            <w:tcBorders>
              <w:top w:val="nil"/>
              <w:left w:val="single" w:sz="4" w:space="0" w:color="auto"/>
              <w:bottom w:val="nil"/>
              <w:right w:val="single" w:sz="4" w:space="0" w:color="auto"/>
            </w:tcBorders>
            <w:shd w:val="clear" w:color="auto" w:fill="E2E2E2"/>
          </w:tcPr>
          <w:p w14:paraId="340403C6" w14:textId="77777777" w:rsidR="0026607A" w:rsidRPr="00B043B4" w:rsidRDefault="0026607A" w:rsidP="00805966">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9118026" w14:textId="77777777" w:rsidR="0026607A" w:rsidRPr="00B043B4" w:rsidRDefault="0026607A" w:rsidP="0080596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F6DF4A4" w14:textId="77777777" w:rsidR="0026607A" w:rsidRPr="00B043B4" w:rsidRDefault="0026607A" w:rsidP="00805966">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84F1251" w14:textId="2F035946" w:rsidR="0026607A" w:rsidRPr="00B043B4" w:rsidRDefault="00481D1B" w:rsidP="0080596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C7E85FE" w14:textId="77777777" w:rsidR="0026607A" w:rsidRPr="00B043B4" w:rsidRDefault="0026607A" w:rsidP="00805966">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CE72F93" w14:textId="77777777" w:rsidR="0026607A" w:rsidRPr="00B043B4" w:rsidRDefault="0026607A" w:rsidP="0080596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C18ED20" w14:textId="77777777" w:rsidR="0026607A" w:rsidRPr="00B043B4" w:rsidRDefault="0026607A" w:rsidP="00805966">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6607A" w:rsidRPr="00B043B4" w14:paraId="13EB85CA" w14:textId="77777777" w:rsidTr="00805966">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DECBF1" w14:textId="77777777" w:rsidR="0026607A" w:rsidRPr="00B043B4" w:rsidRDefault="0026607A" w:rsidP="00805966">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F42AD8D"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C08BB44" w14:textId="77777777" w:rsidR="0026607A" w:rsidRPr="00B043B4" w:rsidRDefault="0026607A" w:rsidP="0080596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604C64B" w14:textId="577F2F66" w:rsidR="0026607A" w:rsidRPr="00B043B4" w:rsidRDefault="00481D1B"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037F3A1" w14:textId="77777777" w:rsidR="0026607A" w:rsidRPr="00B043B4" w:rsidRDefault="0026607A" w:rsidP="0080596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D8A2CCC" w14:textId="77777777" w:rsidR="0026607A" w:rsidRPr="00B043B4" w:rsidRDefault="0026607A" w:rsidP="0080596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8E5689F" w14:textId="77777777" w:rsidR="0026607A" w:rsidRPr="00B043B4" w:rsidRDefault="0026607A" w:rsidP="0080596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151E635C"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2B61566"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49D670E6" w14:textId="77777777" w:rsidR="001B23B7" w:rsidRPr="00B043B4" w:rsidRDefault="001B23B7" w:rsidP="0026607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27A8D0B7"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E5FCED5" w14:textId="301B2AA3" w:rsidR="00A9028A" w:rsidRDefault="00A9028A" w:rsidP="000800FC">
            <w:pPr>
              <w:jc w:val="both"/>
              <w:rPr>
                <w:rFonts w:ascii="Times New Roman" w:eastAsia="Times New Roman" w:hAnsi="Times New Roman" w:cs="Times New Roman"/>
                <w:sz w:val="20"/>
                <w:szCs w:val="20"/>
                <w:lang w:eastAsia="sk-SK"/>
              </w:rPr>
            </w:pPr>
            <w:r w:rsidRPr="00A9028A">
              <w:rPr>
                <w:rFonts w:ascii="Times New Roman" w:eastAsia="Times New Roman" w:hAnsi="Times New Roman" w:cs="Times New Roman"/>
                <w:sz w:val="20"/>
                <w:szCs w:val="20"/>
                <w:lang w:eastAsia="sk-SK"/>
              </w:rPr>
              <w:t>Navrhovaná p</w:t>
            </w:r>
            <w:r>
              <w:rPr>
                <w:rFonts w:ascii="Times New Roman" w:eastAsia="Times New Roman" w:hAnsi="Times New Roman" w:cs="Times New Roman"/>
                <w:sz w:val="20"/>
                <w:szCs w:val="20"/>
                <w:lang w:eastAsia="sk-SK"/>
              </w:rPr>
              <w:t>rávna úprava zakladá v roku 2023 až 2025</w:t>
            </w:r>
            <w:r w:rsidRPr="00A9028A">
              <w:rPr>
                <w:rFonts w:ascii="Times New Roman" w:eastAsia="Times New Roman" w:hAnsi="Times New Roman" w:cs="Times New Roman"/>
                <w:sz w:val="20"/>
                <w:szCs w:val="20"/>
                <w:lang w:eastAsia="sk-SK"/>
              </w:rPr>
              <w:t xml:space="preserve"> prevažne negatívny vplyv na rozpočet verejnej správy</w:t>
            </w:r>
            <w:r w:rsidR="002142C3">
              <w:rPr>
                <w:rFonts w:ascii="Times New Roman" w:eastAsia="Times New Roman" w:hAnsi="Times New Roman" w:cs="Times New Roman"/>
                <w:sz w:val="20"/>
                <w:szCs w:val="20"/>
                <w:lang w:eastAsia="sk-SK"/>
              </w:rPr>
              <w:t>,</w:t>
            </w:r>
            <w:r w:rsidRPr="00A9028A">
              <w:rPr>
                <w:rFonts w:ascii="Times New Roman" w:eastAsia="Times New Roman" w:hAnsi="Times New Roman" w:cs="Times New Roman"/>
                <w:sz w:val="20"/>
                <w:szCs w:val="20"/>
                <w:lang w:eastAsia="sk-SK"/>
              </w:rPr>
              <w:t xml:space="preserve"> a to najmä v súvislosti </w:t>
            </w:r>
            <w:r>
              <w:rPr>
                <w:rFonts w:ascii="Times New Roman" w:eastAsia="Times New Roman" w:hAnsi="Times New Roman" w:cs="Times New Roman"/>
                <w:sz w:val="20"/>
                <w:szCs w:val="20"/>
                <w:lang w:eastAsia="sk-SK"/>
              </w:rPr>
              <w:t xml:space="preserve">s platením </w:t>
            </w:r>
            <w:r w:rsidR="0085382F">
              <w:rPr>
                <w:rFonts w:ascii="Times New Roman" w:eastAsia="Times New Roman" w:hAnsi="Times New Roman" w:cs="Times New Roman"/>
                <w:sz w:val="20"/>
                <w:szCs w:val="20"/>
                <w:lang w:eastAsia="sk-SK"/>
              </w:rPr>
              <w:t xml:space="preserve">povinných </w:t>
            </w:r>
            <w:r>
              <w:rPr>
                <w:rFonts w:ascii="Times New Roman" w:eastAsia="Times New Roman" w:hAnsi="Times New Roman" w:cs="Times New Roman"/>
                <w:sz w:val="20"/>
                <w:szCs w:val="20"/>
                <w:lang w:eastAsia="sk-SK"/>
              </w:rPr>
              <w:t>príspevkov do II. piliera aj v období poberania starobného a predčasného starobného dôchodku</w:t>
            </w:r>
            <w:r w:rsidR="00DD4480">
              <w:rPr>
                <w:rFonts w:ascii="Times New Roman" w:eastAsia="Times New Roman" w:hAnsi="Times New Roman" w:cs="Times New Roman"/>
                <w:sz w:val="20"/>
                <w:szCs w:val="20"/>
                <w:lang w:eastAsia="sk-SK"/>
              </w:rPr>
              <w:t xml:space="preserve"> </w:t>
            </w:r>
            <w:r w:rsidR="00E05186">
              <w:rPr>
                <w:rFonts w:ascii="Times New Roman" w:eastAsia="Times New Roman" w:hAnsi="Times New Roman" w:cs="Times New Roman"/>
                <w:sz w:val="20"/>
                <w:szCs w:val="20"/>
                <w:lang w:eastAsia="sk-SK"/>
              </w:rPr>
              <w:t xml:space="preserve">programovým výberom </w:t>
            </w:r>
            <w:r w:rsidR="00DD4480">
              <w:rPr>
                <w:rFonts w:ascii="Times New Roman" w:eastAsia="Times New Roman" w:hAnsi="Times New Roman" w:cs="Times New Roman"/>
                <w:sz w:val="20"/>
                <w:szCs w:val="20"/>
                <w:lang w:eastAsia="sk-SK"/>
              </w:rPr>
              <w:t xml:space="preserve">a z dôvodu poklesu </w:t>
            </w:r>
            <w:r w:rsidR="00E92651">
              <w:rPr>
                <w:rFonts w:ascii="Times New Roman" w:eastAsia="Times New Roman" w:hAnsi="Times New Roman" w:cs="Times New Roman"/>
                <w:sz w:val="20"/>
                <w:szCs w:val="20"/>
                <w:lang w:eastAsia="sk-SK"/>
              </w:rPr>
              <w:t>ziskovosti DSS</w:t>
            </w:r>
            <w:r w:rsidRPr="00A9028A">
              <w:rPr>
                <w:rFonts w:ascii="Times New Roman" w:eastAsia="Times New Roman" w:hAnsi="Times New Roman" w:cs="Times New Roman"/>
                <w:sz w:val="20"/>
                <w:szCs w:val="20"/>
                <w:lang w:eastAsia="sk-SK"/>
              </w:rPr>
              <w:t xml:space="preserve">. </w:t>
            </w:r>
            <w:r w:rsidR="000F19DD">
              <w:rPr>
                <w:rFonts w:ascii="Times New Roman" w:eastAsia="Times New Roman" w:hAnsi="Times New Roman" w:cs="Times New Roman"/>
                <w:sz w:val="20"/>
                <w:szCs w:val="20"/>
                <w:lang w:eastAsia="sk-SK"/>
              </w:rPr>
              <w:t>Vládny n</w:t>
            </w:r>
            <w:r w:rsidR="000F19DD" w:rsidRPr="00A9028A">
              <w:rPr>
                <w:rFonts w:ascii="Times New Roman" w:eastAsia="Times New Roman" w:hAnsi="Times New Roman" w:cs="Times New Roman"/>
                <w:sz w:val="20"/>
                <w:szCs w:val="20"/>
                <w:lang w:eastAsia="sk-SK"/>
              </w:rPr>
              <w:t>á</w:t>
            </w:r>
            <w:r w:rsidR="000F19DD">
              <w:rPr>
                <w:rFonts w:ascii="Times New Roman" w:eastAsia="Times New Roman" w:hAnsi="Times New Roman" w:cs="Times New Roman"/>
                <w:sz w:val="20"/>
                <w:szCs w:val="20"/>
                <w:lang w:eastAsia="sk-SK"/>
              </w:rPr>
              <w:t xml:space="preserve">vrh </w:t>
            </w:r>
            <w:r w:rsidR="00165989">
              <w:rPr>
                <w:rFonts w:ascii="Times New Roman" w:eastAsia="Times New Roman" w:hAnsi="Times New Roman" w:cs="Times New Roman"/>
                <w:sz w:val="20"/>
                <w:szCs w:val="20"/>
                <w:lang w:eastAsia="sk-SK"/>
              </w:rPr>
              <w:t>zákona má prevažne negatívne</w:t>
            </w:r>
            <w:r w:rsidRPr="00A9028A">
              <w:rPr>
                <w:rFonts w:ascii="Times New Roman" w:eastAsia="Times New Roman" w:hAnsi="Times New Roman" w:cs="Times New Roman"/>
                <w:sz w:val="20"/>
                <w:szCs w:val="20"/>
                <w:lang w:eastAsia="sk-SK"/>
              </w:rPr>
              <w:t xml:space="preserve"> vplyv</w:t>
            </w:r>
            <w:r w:rsidR="00165989">
              <w:rPr>
                <w:rFonts w:ascii="Times New Roman" w:eastAsia="Times New Roman" w:hAnsi="Times New Roman" w:cs="Times New Roman"/>
                <w:sz w:val="20"/>
                <w:szCs w:val="20"/>
                <w:lang w:eastAsia="sk-SK"/>
              </w:rPr>
              <w:t>y</w:t>
            </w:r>
            <w:r w:rsidRPr="00A9028A">
              <w:rPr>
                <w:rFonts w:ascii="Times New Roman" w:eastAsia="Times New Roman" w:hAnsi="Times New Roman" w:cs="Times New Roman"/>
                <w:sz w:val="20"/>
                <w:szCs w:val="20"/>
                <w:lang w:eastAsia="sk-SK"/>
              </w:rPr>
              <w:t xml:space="preserve"> na podnikateľský sektor</w:t>
            </w:r>
            <w:r w:rsidR="002142C3">
              <w:rPr>
                <w:rFonts w:ascii="Times New Roman" w:eastAsia="Times New Roman" w:hAnsi="Times New Roman" w:cs="Times New Roman"/>
                <w:sz w:val="20"/>
                <w:szCs w:val="20"/>
                <w:lang w:eastAsia="sk-SK"/>
              </w:rPr>
              <w:t>,</w:t>
            </w:r>
            <w:r w:rsidR="00165989">
              <w:rPr>
                <w:rFonts w:ascii="Times New Roman" w:eastAsia="Times New Roman" w:hAnsi="Times New Roman" w:cs="Times New Roman"/>
                <w:sz w:val="20"/>
                <w:szCs w:val="20"/>
                <w:lang w:eastAsia="sk-SK"/>
              </w:rPr>
              <w:t xml:space="preserve"> a to z dôvodu zníženia výnosov DSS z odplát a provízií.</w:t>
            </w:r>
            <w:r w:rsidRPr="00A9028A">
              <w:rPr>
                <w:rFonts w:ascii="Times New Roman" w:eastAsia="Times New Roman" w:hAnsi="Times New Roman" w:cs="Times New Roman"/>
                <w:sz w:val="20"/>
                <w:szCs w:val="20"/>
                <w:lang w:eastAsia="sk-SK"/>
              </w:rPr>
              <w:t xml:space="preserve"> </w:t>
            </w:r>
            <w:r w:rsidR="000F19DD">
              <w:rPr>
                <w:rFonts w:ascii="Times New Roman" w:eastAsia="Times New Roman" w:hAnsi="Times New Roman" w:cs="Times New Roman"/>
                <w:sz w:val="20"/>
                <w:szCs w:val="20"/>
                <w:lang w:eastAsia="sk-SK"/>
              </w:rPr>
              <w:t xml:space="preserve">Vládny návrh </w:t>
            </w:r>
            <w:r w:rsidR="00165989">
              <w:rPr>
                <w:rFonts w:ascii="Times New Roman" w:eastAsia="Times New Roman" w:hAnsi="Times New Roman" w:cs="Times New Roman"/>
                <w:sz w:val="20"/>
                <w:szCs w:val="20"/>
                <w:lang w:eastAsia="sk-SK"/>
              </w:rPr>
              <w:t xml:space="preserve">zákona má </w:t>
            </w:r>
            <w:r w:rsidR="00F17A25">
              <w:rPr>
                <w:rFonts w:ascii="Times New Roman" w:eastAsia="Times New Roman" w:hAnsi="Times New Roman" w:cs="Times New Roman"/>
                <w:sz w:val="20"/>
                <w:szCs w:val="20"/>
                <w:lang w:eastAsia="sk-SK"/>
              </w:rPr>
              <w:t xml:space="preserve">prevažne </w:t>
            </w:r>
            <w:r w:rsidR="00165989">
              <w:rPr>
                <w:rFonts w:ascii="Times New Roman" w:eastAsia="Times New Roman" w:hAnsi="Times New Roman" w:cs="Times New Roman"/>
                <w:sz w:val="20"/>
                <w:szCs w:val="20"/>
                <w:lang w:eastAsia="sk-SK"/>
              </w:rPr>
              <w:t>pozitívne sociálne</w:t>
            </w:r>
            <w:r w:rsidR="00052454">
              <w:rPr>
                <w:rFonts w:ascii="Times New Roman" w:eastAsia="Times New Roman" w:hAnsi="Times New Roman" w:cs="Times New Roman"/>
                <w:sz w:val="20"/>
                <w:szCs w:val="20"/>
                <w:lang w:eastAsia="sk-SK"/>
              </w:rPr>
              <w:t xml:space="preserve"> vplyvy a tiež pozitívny vplyv n</w:t>
            </w:r>
            <w:r w:rsidR="00165989">
              <w:rPr>
                <w:rFonts w:ascii="Times New Roman" w:eastAsia="Times New Roman" w:hAnsi="Times New Roman" w:cs="Times New Roman"/>
                <w:sz w:val="20"/>
                <w:szCs w:val="20"/>
                <w:lang w:eastAsia="sk-SK"/>
              </w:rPr>
              <w:t>a informatizáciu spoločnosti.</w:t>
            </w:r>
            <w:r w:rsidRPr="00A9028A">
              <w:rPr>
                <w:rFonts w:ascii="Times New Roman" w:eastAsia="Times New Roman" w:hAnsi="Times New Roman" w:cs="Times New Roman"/>
                <w:sz w:val="20"/>
                <w:szCs w:val="20"/>
                <w:lang w:eastAsia="sk-SK"/>
              </w:rPr>
              <w:t xml:space="preserve"> </w:t>
            </w:r>
            <w:r w:rsidR="00165989">
              <w:rPr>
                <w:rFonts w:ascii="Times New Roman" w:eastAsia="Times New Roman" w:hAnsi="Times New Roman" w:cs="Times New Roman"/>
                <w:sz w:val="20"/>
                <w:szCs w:val="20"/>
                <w:lang w:eastAsia="sk-SK"/>
              </w:rPr>
              <w:t xml:space="preserve">Dopady jednotlivých opatrení </w:t>
            </w:r>
            <w:r w:rsidRPr="00A9028A">
              <w:rPr>
                <w:rFonts w:ascii="Times New Roman" w:eastAsia="Times New Roman" w:hAnsi="Times New Roman" w:cs="Times New Roman"/>
                <w:sz w:val="20"/>
                <w:szCs w:val="20"/>
                <w:lang w:eastAsia="sk-SK"/>
              </w:rPr>
              <w:t>sú podrobnejšie popísané v príslušných analýzach vplyvov.</w:t>
            </w:r>
            <w:r w:rsidR="00165989">
              <w:rPr>
                <w:rFonts w:ascii="Times New Roman" w:eastAsia="Times New Roman" w:hAnsi="Times New Roman" w:cs="Times New Roman"/>
                <w:sz w:val="20"/>
                <w:szCs w:val="20"/>
                <w:lang w:eastAsia="sk-SK"/>
              </w:rPr>
              <w:t xml:space="preserve"> </w:t>
            </w:r>
          </w:p>
          <w:p w14:paraId="1D3F7AE5" w14:textId="512146B1" w:rsidR="00102B2E" w:rsidRDefault="00102B2E" w:rsidP="000800FC">
            <w:pPr>
              <w:jc w:val="both"/>
              <w:rPr>
                <w:rFonts w:ascii="Times New Roman" w:eastAsia="Times New Roman" w:hAnsi="Times New Roman" w:cs="Times New Roman"/>
                <w:sz w:val="20"/>
                <w:szCs w:val="20"/>
                <w:lang w:eastAsia="sk-SK"/>
              </w:rPr>
            </w:pPr>
          </w:p>
          <w:p w14:paraId="04A1E3CC" w14:textId="77777777" w:rsidR="00102B2E" w:rsidRPr="00B043B4" w:rsidRDefault="00102B2E" w:rsidP="000800FC">
            <w:pPr>
              <w:jc w:val="both"/>
              <w:rPr>
                <w:rFonts w:ascii="Times New Roman" w:eastAsia="Times New Roman" w:hAnsi="Times New Roman" w:cs="Times New Roman"/>
                <w:i/>
                <w:sz w:val="20"/>
                <w:szCs w:val="20"/>
                <w:lang w:eastAsia="sk-SK"/>
              </w:rPr>
            </w:pPr>
            <w:bookmarkStart w:id="0" w:name="_GoBack"/>
            <w:bookmarkEnd w:id="0"/>
          </w:p>
          <w:p w14:paraId="1C8EA6FC" w14:textId="77777777" w:rsidR="001B23B7" w:rsidRPr="00B043B4" w:rsidRDefault="001B23B7" w:rsidP="000800FC">
            <w:pPr>
              <w:ind w:left="426"/>
              <w:contextualSpacing/>
              <w:rPr>
                <w:rFonts w:ascii="Times New Roman" w:eastAsia="Calibri" w:hAnsi="Times New Roman" w:cs="Times New Roman"/>
                <w:b/>
              </w:rPr>
            </w:pPr>
          </w:p>
        </w:tc>
      </w:tr>
      <w:tr w:rsidR="001B23B7" w:rsidRPr="00B043B4" w14:paraId="632F3387"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25BB4AE" w14:textId="77777777" w:rsidR="001B23B7" w:rsidRPr="00B043B4" w:rsidRDefault="001B23B7" w:rsidP="0026607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14:paraId="13AF88F8"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4D8A45A" w14:textId="77777777" w:rsidR="00165989" w:rsidRPr="00136B7E" w:rsidRDefault="00165989" w:rsidP="00165989">
            <w:pPr>
              <w:rPr>
                <w:rFonts w:ascii="Times New Roman" w:eastAsia="Times New Roman" w:hAnsi="Times New Roman" w:cs="Times New Roman"/>
                <w:sz w:val="20"/>
                <w:szCs w:val="20"/>
                <w:lang w:eastAsia="sk-SK"/>
              </w:rPr>
            </w:pPr>
            <w:r w:rsidRPr="00136B7E">
              <w:rPr>
                <w:rFonts w:ascii="Times New Roman" w:eastAsia="Times New Roman" w:hAnsi="Times New Roman" w:cs="Times New Roman"/>
                <w:sz w:val="20"/>
                <w:szCs w:val="20"/>
                <w:lang w:eastAsia="sk-SK"/>
              </w:rPr>
              <w:t xml:space="preserve">email: </w:t>
            </w:r>
            <w:hyperlink r:id="rId9" w:history="1">
              <w:r w:rsidRPr="00165989">
                <w:rPr>
                  <w:rStyle w:val="Hypertextovprepojenie"/>
                  <w:rFonts w:ascii="Times New Roman" w:eastAsia="Times New Roman" w:hAnsi="Times New Roman" w:cs="Times New Roman"/>
                  <w:color w:val="auto"/>
                  <w:sz w:val="20"/>
                  <w:szCs w:val="20"/>
                  <w:u w:val="none"/>
                  <w:lang w:eastAsia="sk-SK"/>
                </w:rPr>
                <w:t>jaroslav.hudcovsky@employment.gov.sk</w:t>
              </w:r>
            </w:hyperlink>
            <w:r w:rsidRPr="00165989">
              <w:rPr>
                <w:rStyle w:val="Hypertextovprepojenie"/>
                <w:rFonts w:ascii="Times New Roman" w:eastAsia="Times New Roman" w:hAnsi="Times New Roman" w:cs="Times New Roman"/>
                <w:color w:val="auto"/>
                <w:sz w:val="20"/>
                <w:szCs w:val="20"/>
                <w:u w:val="none"/>
                <w:lang w:eastAsia="sk-SK"/>
              </w:rPr>
              <w:t xml:space="preserve"> </w:t>
            </w:r>
          </w:p>
          <w:p w14:paraId="2625D029" w14:textId="77777777" w:rsidR="001B23B7" w:rsidRPr="00B043B4" w:rsidRDefault="00165989" w:rsidP="00165989">
            <w:pPr>
              <w:rPr>
                <w:rFonts w:ascii="Times New Roman" w:eastAsia="Times New Roman" w:hAnsi="Times New Roman" w:cs="Times New Roman"/>
                <w:i/>
                <w:sz w:val="20"/>
                <w:szCs w:val="20"/>
                <w:lang w:eastAsia="sk-SK"/>
              </w:rPr>
            </w:pPr>
            <w:r w:rsidRPr="00136B7E">
              <w:rPr>
                <w:rFonts w:ascii="Times New Roman" w:eastAsia="Times New Roman" w:hAnsi="Times New Roman" w:cs="Times New Roman"/>
                <w:sz w:val="20"/>
                <w:szCs w:val="20"/>
                <w:lang w:eastAsia="sk-SK"/>
              </w:rPr>
              <w:t>tel. číslo: 02/2046 1925</w:t>
            </w:r>
          </w:p>
        </w:tc>
      </w:tr>
      <w:tr w:rsidR="001B23B7" w:rsidRPr="00B043B4" w14:paraId="662290E6"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0263DED" w14:textId="77777777" w:rsidR="001B23B7" w:rsidRPr="00B043B4" w:rsidRDefault="001B23B7" w:rsidP="0026607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7CBB0941"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71DC5A8" w14:textId="704DF751" w:rsidR="001B23B7" w:rsidRDefault="00165989" w:rsidP="002374D3">
            <w:pPr>
              <w:jc w:val="both"/>
              <w:rPr>
                <w:rFonts w:ascii="Times New Roman" w:eastAsia="Times New Roman" w:hAnsi="Times New Roman" w:cs="Times New Roman"/>
                <w:sz w:val="20"/>
                <w:szCs w:val="20"/>
                <w:lang w:eastAsia="sk-SK"/>
              </w:rPr>
            </w:pPr>
            <w:r w:rsidRPr="00136B7E">
              <w:rPr>
                <w:rFonts w:ascii="Times New Roman" w:eastAsia="Times New Roman" w:hAnsi="Times New Roman" w:cs="Times New Roman"/>
                <w:sz w:val="20"/>
                <w:szCs w:val="20"/>
                <w:lang w:eastAsia="sk-SK"/>
              </w:rPr>
              <w:t>Mikroúdaje</w:t>
            </w:r>
            <w:r>
              <w:rPr>
                <w:rFonts w:ascii="Times New Roman" w:eastAsia="Times New Roman" w:hAnsi="Times New Roman" w:cs="Times New Roman"/>
                <w:sz w:val="20"/>
                <w:szCs w:val="20"/>
                <w:lang w:eastAsia="sk-SK"/>
              </w:rPr>
              <w:t xml:space="preserve"> DSS</w:t>
            </w:r>
            <w:r w:rsidRPr="00136B7E">
              <w:rPr>
                <w:rFonts w:ascii="Times New Roman" w:eastAsia="Times New Roman" w:hAnsi="Times New Roman" w:cs="Times New Roman"/>
                <w:sz w:val="20"/>
                <w:szCs w:val="20"/>
                <w:lang w:eastAsia="sk-SK"/>
              </w:rPr>
              <w:t>,</w:t>
            </w:r>
            <w:r w:rsidR="007F2355">
              <w:rPr>
                <w:rFonts w:ascii="Times New Roman" w:eastAsia="Times New Roman" w:hAnsi="Times New Roman" w:cs="Times New Roman"/>
                <w:sz w:val="20"/>
                <w:szCs w:val="20"/>
                <w:lang w:eastAsia="sk-SK"/>
              </w:rPr>
              <w:t xml:space="preserve"> mikroúdaje SP,</w:t>
            </w:r>
            <w:r>
              <w:rPr>
                <w:rFonts w:ascii="Times New Roman" w:eastAsia="Times New Roman" w:hAnsi="Times New Roman" w:cs="Times New Roman"/>
                <w:sz w:val="20"/>
                <w:szCs w:val="20"/>
                <w:lang w:eastAsia="sk-SK"/>
              </w:rPr>
              <w:t xml:space="preserve"> agregované údaje ADSS, účtovné závierky DSS,</w:t>
            </w:r>
            <w:r w:rsidRPr="00136B7E">
              <w:rPr>
                <w:rFonts w:ascii="Times New Roman" w:eastAsia="Times New Roman" w:hAnsi="Times New Roman" w:cs="Times New Roman"/>
                <w:sz w:val="20"/>
                <w:szCs w:val="20"/>
                <w:lang w:eastAsia="sk-SK"/>
              </w:rPr>
              <w:t> makroekonomická prognóza Inš</w:t>
            </w:r>
            <w:r>
              <w:rPr>
                <w:rFonts w:ascii="Times New Roman" w:eastAsia="Times New Roman" w:hAnsi="Times New Roman" w:cs="Times New Roman"/>
                <w:sz w:val="20"/>
                <w:szCs w:val="20"/>
                <w:lang w:eastAsia="sk-SK"/>
              </w:rPr>
              <w:t>titútu finančnej politiky z </w:t>
            </w:r>
            <w:r w:rsidR="00052454">
              <w:rPr>
                <w:rFonts w:ascii="Times New Roman" w:eastAsia="Times New Roman" w:hAnsi="Times New Roman" w:cs="Times New Roman"/>
                <w:sz w:val="20"/>
                <w:szCs w:val="20"/>
                <w:lang w:eastAsia="sk-SK"/>
              </w:rPr>
              <w:t>júna</w:t>
            </w:r>
            <w:r>
              <w:rPr>
                <w:rFonts w:ascii="Times New Roman" w:eastAsia="Times New Roman" w:hAnsi="Times New Roman" w:cs="Times New Roman"/>
                <w:sz w:val="20"/>
                <w:szCs w:val="20"/>
                <w:lang w:eastAsia="sk-SK"/>
              </w:rPr>
              <w:t xml:space="preserve"> 2022.</w:t>
            </w:r>
            <w:r w:rsidR="002374D3">
              <w:rPr>
                <w:rFonts w:ascii="Times New Roman" w:eastAsia="Times New Roman" w:hAnsi="Times New Roman" w:cs="Times New Roman"/>
                <w:sz w:val="20"/>
                <w:szCs w:val="20"/>
                <w:lang w:eastAsia="sk-SK"/>
              </w:rPr>
              <w:t xml:space="preserve"> </w:t>
            </w:r>
          </w:p>
          <w:p w14:paraId="2C34B2C5" w14:textId="77777777" w:rsidR="002374D3" w:rsidRPr="00B043B4" w:rsidRDefault="002374D3" w:rsidP="002374D3">
            <w:pPr>
              <w:jc w:val="both"/>
              <w:rPr>
                <w:rFonts w:ascii="Times New Roman" w:eastAsia="Times New Roman" w:hAnsi="Times New Roman" w:cs="Times New Roman"/>
                <w:b/>
                <w:sz w:val="20"/>
                <w:szCs w:val="20"/>
                <w:lang w:eastAsia="sk-SK"/>
              </w:rPr>
            </w:pPr>
          </w:p>
        </w:tc>
      </w:tr>
      <w:tr w:rsidR="001B23B7" w:rsidRPr="00B043B4" w14:paraId="7F4D0A39"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2E5EECB7" w14:textId="77777777" w:rsidR="001B23B7" w:rsidRPr="00B043B4" w:rsidRDefault="001B23B7" w:rsidP="004A4E31">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EF205A">
              <w:rPr>
                <w:rFonts w:ascii="Times New Roman" w:eastAsia="Calibri" w:hAnsi="Times New Roman" w:cs="Times New Roman"/>
                <w:b/>
              </w:rPr>
              <w:t>076/2022</w:t>
            </w:r>
          </w:p>
          <w:p w14:paraId="0AABE3C1"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6FB0A7BB" w14:textId="77777777"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98E25DE" w14:textId="77777777" w:rsidR="001B23B7" w:rsidRPr="007F2355"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7F2355" w14:paraId="5F55F370" w14:textId="77777777" w:rsidTr="000800FC">
              <w:trPr>
                <w:trHeight w:val="396"/>
              </w:trPr>
              <w:tc>
                <w:tcPr>
                  <w:tcW w:w="2552" w:type="dxa"/>
                </w:tcPr>
                <w:p w14:paraId="6D4F848C" w14:textId="77777777" w:rsidR="001B23B7" w:rsidRPr="007F2355" w:rsidRDefault="005A05A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7F2355">
                        <w:rPr>
                          <w:rFonts w:ascii="Segoe UI Symbol" w:eastAsia="MS Gothic" w:hAnsi="Segoe UI Symbol" w:cs="Segoe UI Symbol"/>
                          <w:b/>
                          <w:sz w:val="20"/>
                          <w:szCs w:val="20"/>
                          <w:lang w:eastAsia="sk-SK"/>
                        </w:rPr>
                        <w:t>☐</w:t>
                      </w:r>
                    </w:sdtContent>
                  </w:sdt>
                  <w:r w:rsidR="0023360B" w:rsidRPr="007F2355">
                    <w:rPr>
                      <w:rFonts w:ascii="Times New Roman" w:eastAsia="Times New Roman" w:hAnsi="Times New Roman" w:cs="Times New Roman"/>
                      <w:b/>
                      <w:sz w:val="20"/>
                      <w:szCs w:val="20"/>
                      <w:lang w:eastAsia="sk-SK"/>
                    </w:rPr>
                    <w:t xml:space="preserve">  </w:t>
                  </w:r>
                  <w:r w:rsidR="001B23B7" w:rsidRPr="007F2355">
                    <w:rPr>
                      <w:rFonts w:ascii="Times New Roman" w:eastAsia="Times New Roman" w:hAnsi="Times New Roman" w:cs="Times New Roman"/>
                      <w:b/>
                      <w:sz w:val="20"/>
                      <w:szCs w:val="20"/>
                      <w:lang w:eastAsia="sk-SK"/>
                    </w:rPr>
                    <w:t xml:space="preserve">Súhlasné </w:t>
                  </w:r>
                </w:p>
              </w:tc>
              <w:tc>
                <w:tcPr>
                  <w:tcW w:w="3827" w:type="dxa"/>
                </w:tcPr>
                <w:p w14:paraId="1E9CD2F7" w14:textId="77777777" w:rsidR="001B23B7" w:rsidRPr="007F2355" w:rsidRDefault="005A05A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7F2355">
                        <w:rPr>
                          <w:rFonts w:ascii="Segoe UI Symbol" w:eastAsia="MS Gothic" w:hAnsi="Segoe UI Symbol" w:cs="Segoe UI Symbol"/>
                          <w:b/>
                          <w:sz w:val="20"/>
                          <w:szCs w:val="20"/>
                          <w:lang w:eastAsia="sk-SK"/>
                        </w:rPr>
                        <w:t>☐</w:t>
                      </w:r>
                    </w:sdtContent>
                  </w:sdt>
                  <w:r w:rsidR="0023360B" w:rsidRPr="007F2355">
                    <w:rPr>
                      <w:rFonts w:ascii="Times New Roman" w:eastAsia="Times New Roman" w:hAnsi="Times New Roman" w:cs="Times New Roman"/>
                      <w:b/>
                      <w:sz w:val="20"/>
                      <w:szCs w:val="20"/>
                      <w:lang w:eastAsia="sk-SK"/>
                    </w:rPr>
                    <w:t xml:space="preserve">  </w:t>
                  </w:r>
                  <w:r w:rsidR="001B23B7" w:rsidRPr="007F2355">
                    <w:rPr>
                      <w:rFonts w:ascii="Times New Roman" w:eastAsia="Times New Roman" w:hAnsi="Times New Roman" w:cs="Times New Roman"/>
                      <w:b/>
                      <w:sz w:val="20"/>
                      <w:szCs w:val="20"/>
                      <w:lang w:eastAsia="sk-SK"/>
                    </w:rPr>
                    <w:t>Súhlasné s návrhom na dopracovanie</w:t>
                  </w:r>
                </w:p>
              </w:tc>
              <w:tc>
                <w:tcPr>
                  <w:tcW w:w="2534" w:type="dxa"/>
                </w:tcPr>
                <w:p w14:paraId="01561AFC" w14:textId="743B251D" w:rsidR="001B23B7" w:rsidRPr="007F2355" w:rsidRDefault="005A05A9"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EF205A" w:rsidRPr="007F2355">
                        <w:rPr>
                          <w:rFonts w:ascii="Segoe UI Symbol" w:eastAsia="MS Gothic" w:hAnsi="Segoe UI Symbol" w:cs="Segoe UI Symbol"/>
                          <w:b/>
                          <w:sz w:val="20"/>
                          <w:szCs w:val="20"/>
                          <w:lang w:eastAsia="sk-SK"/>
                        </w:rPr>
                        <w:t>☒</w:t>
                      </w:r>
                    </w:sdtContent>
                  </w:sdt>
                  <w:r w:rsidR="0023360B" w:rsidRPr="007F2355">
                    <w:rPr>
                      <w:rFonts w:ascii="Times New Roman" w:eastAsia="Times New Roman" w:hAnsi="Times New Roman" w:cs="Times New Roman"/>
                      <w:b/>
                      <w:sz w:val="20"/>
                      <w:szCs w:val="20"/>
                      <w:lang w:eastAsia="sk-SK"/>
                    </w:rPr>
                    <w:t xml:space="preserve">  </w:t>
                  </w:r>
                  <w:r w:rsidR="001B23B7" w:rsidRPr="007F2355">
                    <w:rPr>
                      <w:rFonts w:ascii="Times New Roman" w:eastAsia="Times New Roman" w:hAnsi="Times New Roman" w:cs="Times New Roman"/>
                      <w:b/>
                      <w:sz w:val="20"/>
                      <w:szCs w:val="20"/>
                      <w:lang w:eastAsia="sk-SK"/>
                    </w:rPr>
                    <w:t>Nesúhlasné</w:t>
                  </w:r>
                </w:p>
              </w:tc>
            </w:tr>
          </w:tbl>
          <w:p w14:paraId="7F68EADF" w14:textId="77777777" w:rsidR="001B23B7" w:rsidRPr="007F2355" w:rsidRDefault="001B23B7" w:rsidP="000800FC">
            <w:pPr>
              <w:jc w:val="both"/>
              <w:rPr>
                <w:rFonts w:ascii="Times New Roman" w:eastAsia="Times New Roman" w:hAnsi="Times New Roman" w:cs="Times New Roman"/>
                <w:b/>
                <w:sz w:val="20"/>
                <w:szCs w:val="20"/>
                <w:lang w:eastAsia="sk-SK"/>
              </w:rPr>
            </w:pPr>
            <w:r w:rsidRPr="007F2355">
              <w:rPr>
                <w:rFonts w:ascii="Times New Roman" w:eastAsia="Times New Roman" w:hAnsi="Times New Roman" w:cs="Times New Roman"/>
                <w:b/>
                <w:sz w:val="20"/>
                <w:szCs w:val="20"/>
                <w:lang w:eastAsia="sk-SK"/>
              </w:rPr>
              <w:t>Uveďte pripomienky zo stanoviska Komisie z časti II. spolu s Vaším vyhodnotením:</w:t>
            </w:r>
          </w:p>
          <w:p w14:paraId="77077AD9" w14:textId="77777777" w:rsidR="001B23B7" w:rsidRPr="007F2355" w:rsidRDefault="001B23B7" w:rsidP="000800FC">
            <w:pPr>
              <w:rPr>
                <w:rFonts w:ascii="Times New Roman" w:eastAsia="Times New Roman" w:hAnsi="Times New Roman" w:cs="Times New Roman"/>
                <w:b/>
                <w:sz w:val="20"/>
                <w:szCs w:val="20"/>
                <w:lang w:eastAsia="sk-SK"/>
              </w:rPr>
            </w:pPr>
          </w:p>
          <w:p w14:paraId="7500D130" w14:textId="77777777" w:rsidR="00EF205A" w:rsidRPr="007F2355" w:rsidRDefault="00EF205A" w:rsidP="00EF205A">
            <w:pPr>
              <w:pStyle w:val="Nadpis4"/>
              <w:numPr>
                <w:ilvl w:val="3"/>
                <w:numId w:val="7"/>
              </w:numPr>
              <w:outlineLvl w:val="3"/>
              <w:rPr>
                <w:sz w:val="20"/>
              </w:rPr>
            </w:pPr>
            <w:r w:rsidRPr="007F2355">
              <w:rPr>
                <w:spacing w:val="20"/>
                <w:sz w:val="20"/>
              </w:rPr>
              <w:t>stanovisko komisie</w:t>
            </w:r>
            <w:r w:rsidRPr="007F2355">
              <w:rPr>
                <w:sz w:val="20"/>
              </w:rPr>
              <w:t xml:space="preserve"> </w:t>
            </w:r>
          </w:p>
          <w:p w14:paraId="3B66101B" w14:textId="77777777" w:rsidR="00EF205A" w:rsidRPr="007F2355" w:rsidRDefault="00EF205A" w:rsidP="00EF205A">
            <w:pPr>
              <w:ind w:right="-2"/>
              <w:jc w:val="center"/>
              <w:rPr>
                <w:rFonts w:ascii="Times New Roman" w:hAnsi="Times New Roman" w:cs="Times New Roman"/>
                <w:b/>
                <w:smallCaps/>
                <w:sz w:val="20"/>
                <w:szCs w:val="20"/>
              </w:rPr>
            </w:pPr>
          </w:p>
          <w:p w14:paraId="5584A46A" w14:textId="77777777" w:rsidR="00EF205A" w:rsidRPr="007F2355" w:rsidRDefault="00EF205A" w:rsidP="00EF205A">
            <w:pPr>
              <w:ind w:right="-2"/>
              <w:jc w:val="center"/>
              <w:rPr>
                <w:rFonts w:ascii="Times New Roman" w:hAnsi="Times New Roman" w:cs="Times New Roman"/>
                <w:sz w:val="20"/>
                <w:szCs w:val="20"/>
              </w:rPr>
            </w:pPr>
            <w:r w:rsidRPr="007F2355">
              <w:rPr>
                <w:rFonts w:ascii="Times New Roman" w:hAnsi="Times New Roman" w:cs="Times New Roman"/>
                <w:b/>
                <w:smallCaps/>
                <w:sz w:val="20"/>
                <w:szCs w:val="20"/>
              </w:rPr>
              <w:t>(predbežné pripomienkové konanie)</w:t>
            </w:r>
          </w:p>
          <w:p w14:paraId="5CA450B8" w14:textId="77777777" w:rsidR="00EF205A" w:rsidRPr="007F2355" w:rsidRDefault="00EF205A" w:rsidP="00EF205A">
            <w:pPr>
              <w:ind w:right="-2"/>
              <w:jc w:val="center"/>
              <w:rPr>
                <w:rFonts w:ascii="Times New Roman" w:hAnsi="Times New Roman" w:cs="Times New Roman"/>
                <w:b/>
                <w:smallCaps/>
                <w:sz w:val="20"/>
                <w:szCs w:val="20"/>
              </w:rPr>
            </w:pPr>
          </w:p>
          <w:p w14:paraId="26B9975C" w14:textId="77777777" w:rsidR="00EF205A" w:rsidRPr="007F2355" w:rsidRDefault="00EF205A" w:rsidP="00EF205A">
            <w:pPr>
              <w:ind w:right="-2"/>
              <w:jc w:val="center"/>
              <w:rPr>
                <w:rFonts w:ascii="Times New Roman" w:hAnsi="Times New Roman" w:cs="Times New Roman"/>
                <w:sz w:val="20"/>
                <w:szCs w:val="20"/>
              </w:rPr>
            </w:pPr>
            <w:r w:rsidRPr="007F2355">
              <w:rPr>
                <w:rFonts w:ascii="Times New Roman" w:hAnsi="Times New Roman" w:cs="Times New Roman"/>
                <w:b/>
                <w:smallCaps/>
                <w:sz w:val="20"/>
                <w:szCs w:val="20"/>
              </w:rPr>
              <w:t>k materiálu</w:t>
            </w:r>
          </w:p>
          <w:p w14:paraId="38F06935" w14:textId="77777777" w:rsidR="00EF205A" w:rsidRPr="007F2355" w:rsidRDefault="00EF205A" w:rsidP="00EF205A">
            <w:pPr>
              <w:pStyle w:val="Default"/>
              <w:jc w:val="both"/>
              <w:rPr>
                <w:b/>
                <w:bCs/>
                <w:sz w:val="20"/>
                <w:szCs w:val="20"/>
              </w:rPr>
            </w:pPr>
          </w:p>
          <w:p w14:paraId="7A00E659" w14:textId="77777777" w:rsidR="00EF205A" w:rsidRPr="007F2355" w:rsidRDefault="00EF205A" w:rsidP="00EF205A">
            <w:pPr>
              <w:pBdr>
                <w:bottom w:val="single" w:sz="4" w:space="1" w:color="auto"/>
              </w:pBdr>
              <w:jc w:val="center"/>
              <w:rPr>
                <w:rStyle w:val="Jemnodkaz"/>
                <w:rFonts w:ascii="Times New Roman" w:hAnsi="Times New Roman" w:cs="Times New Roman"/>
                <w:b/>
                <w:sz w:val="20"/>
                <w:szCs w:val="20"/>
              </w:rPr>
            </w:pPr>
            <w:r w:rsidRPr="007F2355">
              <w:rPr>
                <w:rFonts w:ascii="Times New Roman" w:hAnsi="Times New Roman" w:cs="Times New Roman"/>
                <w:b/>
                <w:smallCaps/>
                <w:sz w:val="20"/>
                <w:szCs w:val="20"/>
              </w:rPr>
              <w:t>Návrh zákona, ktorým sa mení a dopĺňa zákon č. 43/2004 Z. z. o starobnom dôchodkovom sporení a o zmene a doplnení niektorých zákonov v znení neskorších predpisov a ktorým sa mení a dopĺňa zákon č. 461/2003 Z. z. o sociálnom poistení v znení neskorších predpisov</w:t>
            </w:r>
          </w:p>
          <w:p w14:paraId="0F91EB35" w14:textId="77777777" w:rsidR="00EF205A" w:rsidRPr="007F2355" w:rsidRDefault="00EF205A" w:rsidP="00EF205A">
            <w:pPr>
              <w:jc w:val="both"/>
              <w:rPr>
                <w:rFonts w:ascii="Times New Roman" w:hAnsi="Times New Roman" w:cs="Times New Roman"/>
                <w:b/>
                <w:bCs/>
                <w:sz w:val="20"/>
                <w:szCs w:val="20"/>
              </w:rPr>
            </w:pPr>
          </w:p>
          <w:p w14:paraId="6BF901EE" w14:textId="77777777" w:rsidR="00EF205A" w:rsidRPr="007F2355" w:rsidRDefault="00EF205A" w:rsidP="00EF205A">
            <w:pPr>
              <w:jc w:val="both"/>
              <w:rPr>
                <w:rFonts w:ascii="Times New Roman" w:hAnsi="Times New Roman" w:cs="Times New Roman"/>
                <w:bCs/>
                <w:iCs/>
                <w:sz w:val="20"/>
                <w:szCs w:val="20"/>
              </w:rPr>
            </w:pPr>
            <w:r w:rsidRPr="007F2355">
              <w:rPr>
                <w:rFonts w:ascii="Times New Roman" w:hAnsi="Times New Roman" w:cs="Times New Roman"/>
                <w:b/>
                <w:bCs/>
                <w:sz w:val="20"/>
                <w:szCs w:val="20"/>
              </w:rPr>
              <w:t xml:space="preserve">I. Úvod: </w:t>
            </w:r>
            <w:r w:rsidRPr="007F2355">
              <w:rPr>
                <w:rFonts w:ascii="Times New Roman" w:hAnsi="Times New Roman" w:cs="Times New Roman"/>
                <w:bCs/>
                <w:sz w:val="20"/>
                <w:szCs w:val="20"/>
              </w:rPr>
              <w:t xml:space="preserve">Ministerstvo práce, sociálnych vecí a rodiny SR dňa 12. apríla 2022 predložilo na PPK materiál </w:t>
            </w:r>
            <w:r w:rsidRPr="007F2355">
              <w:rPr>
                <w:rFonts w:ascii="Times New Roman" w:hAnsi="Times New Roman" w:cs="Times New Roman"/>
                <w:bCs/>
                <w:i/>
                <w:sz w:val="20"/>
                <w:szCs w:val="20"/>
              </w:rPr>
              <w:t>„</w:t>
            </w:r>
            <w:r w:rsidRPr="007F2355">
              <w:rPr>
                <w:rFonts w:ascii="Times New Roman" w:hAnsi="Times New Roman" w:cs="Times New Roman"/>
                <w:i/>
                <w:sz w:val="20"/>
                <w:szCs w:val="20"/>
                <w:lang w:eastAsia="sk-SK"/>
              </w:rPr>
              <w:t>Návrh zákona, ktorým sa mení a dopĺňa zákon č. 43/2004 Z. z. o starobnom dôchodkovom sporení a o zmene a doplnení niektorých zákonov v znení neskorších predpisov a ktorým sa mení a dopĺňa zákon č. 461/2003 Z. z. o sociálnom poistení v znení neskorších predpisov</w:t>
            </w:r>
            <w:r w:rsidRPr="007F2355">
              <w:rPr>
                <w:rFonts w:ascii="Times New Roman" w:hAnsi="Times New Roman" w:cs="Times New Roman"/>
                <w:i/>
                <w:color w:val="000000" w:themeColor="text1"/>
                <w:sz w:val="20"/>
                <w:szCs w:val="20"/>
              </w:rPr>
              <w:t>“</w:t>
            </w:r>
            <w:r w:rsidRPr="007F2355">
              <w:rPr>
                <w:rFonts w:ascii="Times New Roman" w:hAnsi="Times New Roman" w:cs="Times New Roman"/>
                <w:bCs/>
                <w:i/>
                <w:iCs/>
                <w:sz w:val="20"/>
                <w:szCs w:val="20"/>
              </w:rPr>
              <w:t>.</w:t>
            </w:r>
            <w:r w:rsidRPr="007F2355">
              <w:rPr>
                <w:rFonts w:ascii="Times New Roman" w:hAnsi="Times New Roman" w:cs="Times New Roman"/>
                <w:bCs/>
                <w:iCs/>
                <w:sz w:val="20"/>
                <w:szCs w:val="20"/>
              </w:rPr>
              <w:t xml:space="preserve"> Materiál predpokladá pozitívno-negatívne vplyvy na rozpočet verejnej správy, ktoré sú čiastočne rozpočtovo zabezpečené, pozitívno-negatívne vplyvy na podnikateľské prostredie, pozitívne sociálne vplyvy a pozitívne vplyvy na informatizáciu spoločnosti.</w:t>
            </w:r>
          </w:p>
          <w:p w14:paraId="4ACBF1B5" w14:textId="77777777" w:rsidR="00EF205A" w:rsidRPr="007F2355" w:rsidRDefault="00EF205A" w:rsidP="00EF205A">
            <w:pPr>
              <w:jc w:val="both"/>
              <w:rPr>
                <w:rFonts w:ascii="Times New Roman" w:hAnsi="Times New Roman" w:cs="Times New Roman"/>
                <w:bCs/>
                <w:iCs/>
                <w:sz w:val="20"/>
                <w:szCs w:val="20"/>
              </w:rPr>
            </w:pPr>
          </w:p>
          <w:p w14:paraId="0D049C7A" w14:textId="77777777"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b/>
                <w:bCs/>
                <w:sz w:val="20"/>
                <w:szCs w:val="20"/>
              </w:rPr>
              <w:t>II. P</w:t>
            </w:r>
            <w:r w:rsidRPr="007F2355">
              <w:rPr>
                <w:rFonts w:ascii="Times New Roman" w:hAnsi="Times New Roman" w:cs="Times New Roman"/>
                <w:b/>
                <w:sz w:val="20"/>
                <w:szCs w:val="20"/>
              </w:rPr>
              <w:t>r</w:t>
            </w:r>
            <w:r w:rsidRPr="007F2355">
              <w:rPr>
                <w:rFonts w:ascii="Times New Roman" w:hAnsi="Times New Roman" w:cs="Times New Roman"/>
                <w:b/>
                <w:bCs/>
                <w:sz w:val="20"/>
                <w:szCs w:val="20"/>
              </w:rPr>
              <w:t>ipomienky a návrhy zm</w:t>
            </w:r>
            <w:r w:rsidRPr="007F2355">
              <w:rPr>
                <w:rFonts w:ascii="Times New Roman" w:hAnsi="Times New Roman" w:cs="Times New Roman"/>
                <w:b/>
                <w:sz w:val="20"/>
                <w:szCs w:val="20"/>
              </w:rPr>
              <w:t>ie</w:t>
            </w:r>
            <w:r w:rsidRPr="007F2355">
              <w:rPr>
                <w:rFonts w:ascii="Times New Roman" w:hAnsi="Times New Roman" w:cs="Times New Roman"/>
                <w:b/>
                <w:bCs/>
                <w:sz w:val="20"/>
                <w:szCs w:val="20"/>
              </w:rPr>
              <w:t xml:space="preserve">n: </w:t>
            </w:r>
            <w:r w:rsidRPr="007F2355">
              <w:rPr>
                <w:rFonts w:ascii="Times New Roman" w:hAnsi="Times New Roman" w:cs="Times New Roman"/>
                <w:bCs/>
                <w:sz w:val="20"/>
                <w:szCs w:val="20"/>
              </w:rPr>
              <w:t>Komisia uplatňuje k materiálu nasledovné pripomienky a odporúčania:</w:t>
            </w:r>
          </w:p>
          <w:p w14:paraId="04F3A122" w14:textId="77777777" w:rsidR="00EF205A" w:rsidRPr="007F2355" w:rsidRDefault="00EF205A" w:rsidP="00EF205A">
            <w:pPr>
              <w:pStyle w:val="norm00e1lny"/>
              <w:spacing w:line="240" w:lineRule="atLeast"/>
              <w:jc w:val="both"/>
              <w:rPr>
                <w:b/>
              </w:rPr>
            </w:pPr>
          </w:p>
          <w:p w14:paraId="11793A4B" w14:textId="77777777" w:rsidR="00EF205A" w:rsidRPr="007F2355" w:rsidRDefault="00EF205A" w:rsidP="00EF205A">
            <w:pPr>
              <w:pStyle w:val="norm00e1lny"/>
              <w:spacing w:line="240" w:lineRule="atLeast"/>
              <w:jc w:val="both"/>
              <w:rPr>
                <w:b/>
              </w:rPr>
            </w:pPr>
            <w:r w:rsidRPr="007F2355">
              <w:rPr>
                <w:b/>
              </w:rPr>
              <w:t>K vplyvom na rozpočet verejnej správy</w:t>
            </w:r>
          </w:p>
          <w:p w14:paraId="72BE17C6" w14:textId="77777777"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sz w:val="20"/>
                <w:szCs w:val="20"/>
              </w:rPr>
              <w:t>V doložke vybraných vplyvov je označený pozitívny aj negatívny, čiastočne rozpočtovo zabezpečený vplyv na rozpočet verejnej správy. V analýze vplyvov je v tabuľke č. 1 kvantifikovaný výpadok príjmov Sociálnej poisťovne v sume 1 757 518 eur v roku 2024 a v sume 5 597 912 eur v roku 2025. Ďalej je kvantifikované zvýšenie výdavkov Sociálnej poisťovne v sume 400 000 eur v roku 2023, v sume 80 000 eur v roku 2024 a v sume Rozpočtovo nekrytý vplyv je kvantifikovaný v sume 1 757 518 eur v roku 2024 a 5 550 945 eur v roku 2025.</w:t>
            </w:r>
          </w:p>
          <w:p w14:paraId="01A3008B" w14:textId="77777777" w:rsidR="00EF205A" w:rsidRPr="007F2355" w:rsidRDefault="00EF205A" w:rsidP="00EF205A">
            <w:pPr>
              <w:jc w:val="both"/>
              <w:rPr>
                <w:rFonts w:ascii="Times New Roman" w:hAnsi="Times New Roman" w:cs="Times New Roman"/>
                <w:sz w:val="20"/>
                <w:szCs w:val="20"/>
              </w:rPr>
            </w:pPr>
          </w:p>
          <w:p w14:paraId="6558807A" w14:textId="77777777"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sz w:val="20"/>
                <w:szCs w:val="20"/>
              </w:rPr>
              <w:t xml:space="preserve">Do časti </w:t>
            </w:r>
            <w:r w:rsidRPr="007F2355">
              <w:rPr>
                <w:rFonts w:ascii="Times New Roman" w:hAnsi="Times New Roman" w:cs="Times New Roman"/>
                <w:iCs/>
                <w:sz w:val="20"/>
                <w:szCs w:val="20"/>
              </w:rPr>
              <w:t>2.2.4. Výpočty vplyvov na verejné financie</w:t>
            </w:r>
            <w:r w:rsidRPr="007F2355">
              <w:rPr>
                <w:rFonts w:ascii="Times New Roman" w:hAnsi="Times New Roman" w:cs="Times New Roman"/>
                <w:sz w:val="20"/>
                <w:szCs w:val="20"/>
              </w:rPr>
              <w:t xml:space="preserve"> analýzy vplyvov na rozpočet verejnej správy žiada Komisia doplniť spôsob výpočtu kapitálových výdavkov na úpravu informačných systémov Sociálnej poisťovne a uviesť, že ide o hornú hranicu výdavkov, ktorá bude ďalej spresňovaná.</w:t>
            </w:r>
          </w:p>
          <w:p w14:paraId="0F45BA11" w14:textId="77777777"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sz w:val="20"/>
                <w:szCs w:val="20"/>
                <w:u w:val="single"/>
              </w:rPr>
              <w:t>Odôvodnenie</w:t>
            </w:r>
            <w:r w:rsidRPr="007F2355">
              <w:rPr>
                <w:rFonts w:ascii="Times New Roman" w:hAnsi="Times New Roman" w:cs="Times New Roman"/>
                <w:sz w:val="20"/>
                <w:szCs w:val="20"/>
              </w:rPr>
              <w:t xml:space="preserve">: V analýze vplyvov na rozpočet verejnej správy sú uvedené kapitálové výdavky v celkovej výške 560 000 eur na úpravu informačných systémov, nie je uvedené akým spôsobom boli tieto výdavky stanovené. Komisia žiada doplniť overiteľný spôsob výpočtu na úrovni jednotkových cien IT prác a odhadu prácnosti. Zároveň žiada Komisia do analýzy vplyvov uviesť, že ide o hornú hranicu kapitálových výdavkov, ktorá bude upresnená pri detailnej špecifikácii potrebných úprav informačných systémov. </w:t>
            </w:r>
          </w:p>
          <w:p w14:paraId="00FFD2C8" w14:textId="77777777" w:rsidR="00EF205A" w:rsidRPr="007F2355" w:rsidRDefault="00EF205A" w:rsidP="00EF205A">
            <w:pPr>
              <w:jc w:val="both"/>
              <w:rPr>
                <w:rFonts w:ascii="Times New Roman" w:hAnsi="Times New Roman" w:cs="Times New Roman"/>
                <w:sz w:val="20"/>
                <w:szCs w:val="20"/>
              </w:rPr>
            </w:pPr>
          </w:p>
          <w:p w14:paraId="7145E366" w14:textId="77777777" w:rsidR="00EF205A" w:rsidRPr="007F2355" w:rsidRDefault="00EF205A" w:rsidP="00EF205A">
            <w:pPr>
              <w:jc w:val="both"/>
              <w:rPr>
                <w:rFonts w:ascii="Times New Roman" w:hAnsi="Times New Roman" w:cs="Times New Roman"/>
                <w:bCs/>
                <w:i/>
                <w:sz w:val="20"/>
                <w:szCs w:val="20"/>
              </w:rPr>
            </w:pPr>
            <w:r w:rsidRPr="007F2355">
              <w:rPr>
                <w:rFonts w:ascii="Times New Roman" w:hAnsi="Times New Roman" w:cs="Times New Roman"/>
                <w:i/>
                <w:sz w:val="20"/>
                <w:szCs w:val="20"/>
              </w:rPr>
              <w:t xml:space="preserve">MPSVR SR: Čiastočne akceptované. Predkladateľ doplní do analýzy vplyvov na rozpočet verejnej správy informáciu, že kapitálové výdavky na úpravu dotknutých IT systémov boli určené odhadom  a znamenajú hornú hranicu predpokladaných výdavkov. Až po definitívnom schválení legislatívnej úpravy budú vykonané zmeny realizované externým dodávateľom v zmysle uzatvorených zmlúv o poskytovaní servisných služieb. </w:t>
            </w:r>
          </w:p>
          <w:p w14:paraId="2131A85C" w14:textId="77777777" w:rsidR="00EF205A" w:rsidRPr="007F2355" w:rsidRDefault="00EF205A" w:rsidP="00EF205A">
            <w:pPr>
              <w:jc w:val="both"/>
              <w:rPr>
                <w:rFonts w:ascii="Times New Roman" w:hAnsi="Times New Roman" w:cs="Times New Roman"/>
                <w:bCs/>
                <w:color w:val="1F497D"/>
                <w:sz w:val="20"/>
                <w:szCs w:val="20"/>
              </w:rPr>
            </w:pPr>
          </w:p>
          <w:p w14:paraId="09148A72" w14:textId="77777777"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sz w:val="20"/>
                <w:szCs w:val="20"/>
              </w:rPr>
              <w:t xml:space="preserve">Komisia odporúča bližšie zdôvodniť predpoklady použité v analýze vplyvov v časti </w:t>
            </w:r>
            <w:r w:rsidRPr="007F2355">
              <w:rPr>
                <w:rFonts w:ascii="Times New Roman" w:hAnsi="Times New Roman" w:cs="Times New Roman"/>
                <w:iCs/>
                <w:sz w:val="20"/>
                <w:szCs w:val="20"/>
              </w:rPr>
              <w:t>2.2.4.1 Kvantifikácia príjmov</w:t>
            </w:r>
            <w:r w:rsidRPr="007F2355">
              <w:rPr>
                <w:rFonts w:ascii="Times New Roman" w:hAnsi="Times New Roman" w:cs="Times New Roman"/>
                <w:sz w:val="20"/>
                <w:szCs w:val="20"/>
              </w:rPr>
              <w:t>.</w:t>
            </w:r>
          </w:p>
          <w:p w14:paraId="740FF3A7" w14:textId="77777777"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sz w:val="20"/>
                <w:szCs w:val="20"/>
              </w:rPr>
              <w:t xml:space="preserve">Predpoklady použité pri kvantifikácii príjmov sú odôvodnené všeobecne analýzou údajov o pracujúcich sporiteľoch v roku 2021. Dopad reformy sa bude týkať poberateľov starobného alebo predčasného starobného </w:t>
            </w:r>
            <w:r w:rsidRPr="007F2355">
              <w:rPr>
                <w:rFonts w:ascii="Times New Roman" w:hAnsi="Times New Roman" w:cs="Times New Roman"/>
                <w:sz w:val="20"/>
                <w:szCs w:val="20"/>
              </w:rPr>
              <w:lastRenderedPageBreak/>
              <w:t>dôchodku, ktorí budú môcť odvádzať príspevky na starobné dôchodkové sporenie. Takýto jednotlivci majú podľa analýzy OECD (</w:t>
            </w:r>
            <w:hyperlink r:id="rId10" w:history="1">
              <w:r w:rsidRPr="007F2355">
                <w:rPr>
                  <w:rStyle w:val="Hypertextovprepojenie"/>
                  <w:rFonts w:ascii="Times New Roman" w:eastAsiaTheme="majorEastAsia" w:hAnsi="Times New Roman" w:cs="Times New Roman"/>
                  <w:sz w:val="20"/>
                  <w:szCs w:val="20"/>
                </w:rPr>
                <w:t>https://www.oecd-ilibrary.org/economics/determinants-of-labour-market-exit-of-older-workers-in-the-slovak-republic_2161918e-en</w:t>
              </w:r>
            </w:hyperlink>
            <w:r w:rsidRPr="007F2355">
              <w:rPr>
                <w:rFonts w:ascii="Times New Roman" w:hAnsi="Times New Roman" w:cs="Times New Roman"/>
                <w:sz w:val="20"/>
                <w:szCs w:val="20"/>
              </w:rPr>
              <w:t>) nižšiu mieru participácie, ako aj výšku vymeriavacieho základu, ako uvádza predkladateľ v použitých predpokladoch. Vplyv opatrenia môže byť preto mierne nadhodnotený. Komisia preto odporúča bližšie zdôvodniť použité predpoklady, prípadne ich podložiť vhodným zdrojom, ktorý môže predstavovať spomínaná publikácia.</w:t>
            </w:r>
          </w:p>
          <w:p w14:paraId="23034F5F" w14:textId="77777777" w:rsidR="00EF205A" w:rsidRPr="007F2355" w:rsidRDefault="00EF205A" w:rsidP="00EF205A">
            <w:pPr>
              <w:jc w:val="both"/>
              <w:rPr>
                <w:rFonts w:ascii="Times New Roman" w:hAnsi="Times New Roman" w:cs="Times New Roman"/>
                <w:sz w:val="20"/>
                <w:szCs w:val="20"/>
              </w:rPr>
            </w:pPr>
          </w:p>
          <w:p w14:paraId="5108B32C" w14:textId="709E3566" w:rsidR="00EF205A" w:rsidRPr="007F2355" w:rsidRDefault="00EF205A" w:rsidP="00EF205A">
            <w:pPr>
              <w:jc w:val="both"/>
              <w:rPr>
                <w:rFonts w:ascii="Times New Roman" w:hAnsi="Times New Roman" w:cs="Times New Roman"/>
                <w:sz w:val="20"/>
                <w:szCs w:val="20"/>
              </w:rPr>
            </w:pPr>
            <w:r w:rsidRPr="007F2355">
              <w:rPr>
                <w:rFonts w:ascii="Times New Roman" w:hAnsi="Times New Roman" w:cs="Times New Roman"/>
                <w:i/>
                <w:sz w:val="20"/>
                <w:szCs w:val="20"/>
              </w:rPr>
              <w:t xml:space="preserve">MPSVR SR: Akceptované. </w:t>
            </w:r>
          </w:p>
          <w:p w14:paraId="55CE79A6" w14:textId="77777777" w:rsidR="00EF205A" w:rsidRPr="007F2355" w:rsidRDefault="00EF205A" w:rsidP="00EF205A">
            <w:pPr>
              <w:jc w:val="both"/>
              <w:rPr>
                <w:rFonts w:ascii="Times New Roman" w:hAnsi="Times New Roman" w:cs="Times New Roman"/>
                <w:sz w:val="20"/>
                <w:szCs w:val="20"/>
              </w:rPr>
            </w:pPr>
          </w:p>
          <w:p w14:paraId="6D1DA6E6" w14:textId="77777777" w:rsidR="00EF205A" w:rsidRPr="007F2355" w:rsidRDefault="00EF205A" w:rsidP="00EF205A">
            <w:pPr>
              <w:jc w:val="both"/>
              <w:rPr>
                <w:rFonts w:ascii="Times New Roman" w:hAnsi="Times New Roman" w:cs="Times New Roman"/>
                <w:b/>
                <w:sz w:val="20"/>
                <w:szCs w:val="20"/>
              </w:rPr>
            </w:pPr>
            <w:r w:rsidRPr="007F2355">
              <w:rPr>
                <w:rFonts w:ascii="Times New Roman" w:hAnsi="Times New Roman" w:cs="Times New Roman"/>
                <w:sz w:val="20"/>
                <w:szCs w:val="20"/>
              </w:rPr>
              <w:t xml:space="preserve">Zníženie príjmov Sociálnej poisťovne v rokoch 2024 a 2025 predkladateľ navrhuje riešiť navýšením transferu zo štátneho rozpočtu, ktorý slúži na krytie deficitu v základnom fonde starobného poistenia. Komisia upozorňuje, že ide len o technické riešenie úbytku príjmov, nakoľko týmto vzniká negatívny nekrytý vplyv na rozpočet kapitoly Všeobecná pokladničná správa. V zmysle § 33 ods. 1  zákona č. 523/2004 Z.  z. žiada Komisia doplniť relevantný návrh na úhradu zníženia príjmov, resp. zvýšenia výdavkov rozpočtu verejnej správy na príslušné rozpočtové roky. </w:t>
            </w:r>
          </w:p>
          <w:p w14:paraId="2598BE57" w14:textId="77777777" w:rsidR="00EF205A" w:rsidRPr="007F2355" w:rsidRDefault="00EF205A" w:rsidP="00EF205A">
            <w:pPr>
              <w:pStyle w:val="norm00e1lny"/>
              <w:spacing w:line="240" w:lineRule="atLeast"/>
              <w:jc w:val="both"/>
              <w:rPr>
                <w:b/>
              </w:rPr>
            </w:pPr>
          </w:p>
          <w:p w14:paraId="6FCAE1F3" w14:textId="77777777" w:rsidR="00EF205A" w:rsidRPr="007F2355" w:rsidRDefault="00EF205A" w:rsidP="00EF205A">
            <w:pPr>
              <w:pStyle w:val="norm00e1lny"/>
              <w:spacing w:line="240" w:lineRule="atLeast"/>
              <w:jc w:val="both"/>
              <w:rPr>
                <w:b/>
              </w:rPr>
            </w:pPr>
            <w:r w:rsidRPr="007F2355">
              <w:rPr>
                <w:i/>
              </w:rPr>
              <w:t xml:space="preserve">MPSVR SR: Neakceptované. Predkladateľ v analýze vplyvov na rozpočet verejnej správy navrhol riešiť zníženie príjmov v rokoch 2024 a 2025 navýšením transferu zo štátneho rozpočtu, ktorý slúži na krytie deficitu v základnom fonde starobného poistenia. Tento vplyv je preto možné zohľadniť pri príprave štátneho rozpočtu na nasledujúce rozpočtové obdobie.  </w:t>
            </w:r>
          </w:p>
          <w:p w14:paraId="554B1904" w14:textId="77777777" w:rsidR="00EF205A" w:rsidRPr="007F2355" w:rsidRDefault="00EF205A" w:rsidP="00EF205A">
            <w:pPr>
              <w:pStyle w:val="norm00e1lny"/>
              <w:spacing w:line="240" w:lineRule="atLeast"/>
              <w:jc w:val="both"/>
              <w:rPr>
                <w:b/>
              </w:rPr>
            </w:pPr>
          </w:p>
          <w:p w14:paraId="3D0BA477" w14:textId="77777777" w:rsidR="00EF205A" w:rsidRPr="007F2355" w:rsidRDefault="00EF205A" w:rsidP="00EF205A">
            <w:pPr>
              <w:pStyle w:val="norm00e1lny"/>
              <w:spacing w:line="240" w:lineRule="atLeast"/>
              <w:jc w:val="both"/>
              <w:rPr>
                <w:b/>
              </w:rPr>
            </w:pPr>
            <w:r w:rsidRPr="007F2355">
              <w:rPr>
                <w:b/>
              </w:rPr>
              <w:t>K vplyvom na podnikateľské prostredie</w:t>
            </w:r>
          </w:p>
          <w:p w14:paraId="02B1464C" w14:textId="77777777" w:rsidR="00EF205A" w:rsidRPr="007F2355" w:rsidRDefault="00EF205A" w:rsidP="00EF205A">
            <w:pPr>
              <w:pStyle w:val="norm00e1lny"/>
              <w:spacing w:line="240" w:lineRule="atLeast"/>
              <w:jc w:val="both"/>
            </w:pPr>
            <w:r w:rsidRPr="007F2355">
              <w:t xml:space="preserve">Komisia žiada predkladateľa, aby v Analýze vplyvov na podnikateľské prostredie v časti 3.1 presunul regulácie č. 1,2 a 3 z nákladov A. Dane, odvody, clá a poplatky, ktorých cieľom je znižovať negatívne externality do časti B. Iné poplatky. </w:t>
            </w:r>
          </w:p>
          <w:p w14:paraId="65E275A6" w14:textId="77777777" w:rsidR="00EF205A" w:rsidRPr="007F2355" w:rsidRDefault="00EF205A" w:rsidP="00EF205A">
            <w:pPr>
              <w:pStyle w:val="norm00e1lny"/>
              <w:spacing w:line="240" w:lineRule="atLeast"/>
              <w:jc w:val="both"/>
            </w:pPr>
            <w:r w:rsidRPr="007F2355">
              <w:rPr>
                <w:u w:val="single"/>
              </w:rPr>
              <w:t>Odôvodnenie:</w:t>
            </w:r>
            <w:r w:rsidRPr="007F2355">
              <w:t xml:space="preserve"> Pri zrušení poplatkov za vedenie účtu, zrušení poplatkov za zhodnotenie v indexových fondoch a zrušení odmien pre finančného sprostredkovateľova sa uplatňuje mechanizmus znižovania byrokracie a nákladov a tieto regulácie je potrebné uviesť v časti iné poplatky.</w:t>
            </w:r>
          </w:p>
          <w:p w14:paraId="3BC8494F" w14:textId="77777777" w:rsidR="00EF205A" w:rsidRPr="007F2355" w:rsidRDefault="00EF205A" w:rsidP="00EF205A">
            <w:pPr>
              <w:pStyle w:val="norm00e1lny"/>
              <w:spacing w:line="240" w:lineRule="atLeast"/>
              <w:jc w:val="both"/>
            </w:pPr>
          </w:p>
          <w:p w14:paraId="0DB12AAD" w14:textId="77777777" w:rsidR="00EF205A" w:rsidRPr="007F2355" w:rsidRDefault="00EF205A" w:rsidP="00EF205A">
            <w:pPr>
              <w:pStyle w:val="norm00e1lny"/>
              <w:spacing w:line="240" w:lineRule="atLeast"/>
              <w:jc w:val="both"/>
              <w:rPr>
                <w:i/>
              </w:rPr>
            </w:pPr>
            <w:r w:rsidRPr="007F2355">
              <w:rPr>
                <w:i/>
              </w:rPr>
              <w:t>MPSVR SR: Čiastočne akceptované. Opatrenia, ktoré nezakladajú priamy vplyv na náklady podnikateľského prostredia, predkladateľ uv</w:t>
            </w:r>
            <w:r w:rsidR="002E6B2A">
              <w:rPr>
                <w:i/>
              </w:rPr>
              <w:t>edie</w:t>
            </w:r>
            <w:r w:rsidRPr="007F2355">
              <w:rPr>
                <w:i/>
              </w:rPr>
              <w:t xml:space="preserve"> v časti. 3.4. Iné vplyvy na podnikateľské prostredie. Keďže ide o opatrenia, ktoré nezvyšujú byrokratickú záťaž alebo nákladovosť podnikateľského prostredia, v zmysle Jednotnej metodiky na posudzovanie vybraných vplyvov sa na tieto zmeny neuplatňuje mechanizmus znižovania byrokracie a nákladov. </w:t>
            </w:r>
          </w:p>
          <w:p w14:paraId="60BEF38E" w14:textId="77777777" w:rsidR="00EF205A" w:rsidRPr="007F2355" w:rsidRDefault="00EF205A" w:rsidP="00EF205A">
            <w:pPr>
              <w:pStyle w:val="norm00e1lny"/>
              <w:spacing w:line="240" w:lineRule="atLeast"/>
              <w:jc w:val="both"/>
            </w:pPr>
          </w:p>
          <w:p w14:paraId="18927E15" w14:textId="77777777" w:rsidR="00EF205A" w:rsidRPr="007F2355" w:rsidRDefault="00EF205A" w:rsidP="00EF205A">
            <w:pPr>
              <w:pStyle w:val="norm00e1lny"/>
              <w:spacing w:line="240" w:lineRule="atLeast"/>
              <w:jc w:val="both"/>
            </w:pPr>
            <w:r w:rsidRPr="007F2355">
              <w:t>Komisia žiada predkladateľa o popísanie kvantifikácie jednotlivých regulácií.</w:t>
            </w:r>
          </w:p>
          <w:p w14:paraId="46FBA9E5" w14:textId="77777777" w:rsidR="00EF205A" w:rsidRPr="007F2355" w:rsidRDefault="00EF205A" w:rsidP="00EF205A">
            <w:pPr>
              <w:pStyle w:val="norm00e1lny"/>
              <w:spacing w:line="240" w:lineRule="atLeast"/>
              <w:jc w:val="both"/>
            </w:pPr>
            <w:r w:rsidRPr="007F2355">
              <w:rPr>
                <w:u w:val="single"/>
              </w:rPr>
              <w:t>Odôvodnenie:</w:t>
            </w:r>
            <w:r w:rsidRPr="007F2355">
              <w:t xml:space="preserve"> Predkladateľ kvalitatívne popísal jednotlivé regulácie, avšak v Analýze je potrebné uviesť aj popis ich kvantifikácií.</w:t>
            </w:r>
          </w:p>
          <w:p w14:paraId="3FB18DDC" w14:textId="77777777" w:rsidR="00EF205A" w:rsidRPr="007F2355" w:rsidRDefault="00EF205A" w:rsidP="00EF205A">
            <w:pPr>
              <w:pStyle w:val="norm00e1lny"/>
              <w:spacing w:line="240" w:lineRule="atLeast"/>
              <w:jc w:val="both"/>
            </w:pPr>
          </w:p>
          <w:p w14:paraId="199BF855" w14:textId="77777777" w:rsidR="00EF205A" w:rsidRPr="007F2355" w:rsidRDefault="00EF205A" w:rsidP="00EF205A">
            <w:pPr>
              <w:pStyle w:val="norm00e1lny"/>
              <w:spacing w:line="240" w:lineRule="atLeast"/>
              <w:jc w:val="both"/>
            </w:pPr>
            <w:r w:rsidRPr="007F2355">
              <w:rPr>
                <w:i/>
              </w:rPr>
              <w:t>MPSVR SR: Neakceptované. Predkladateľ má za to, že jednotlivé vplyvy vrátane použitých zdrojov slúžiacich pri výpočte kvantifikácií sú v materiáli dostatočne vysvetlené a opísané.</w:t>
            </w:r>
          </w:p>
          <w:p w14:paraId="0F928C54" w14:textId="77777777" w:rsidR="00EF205A" w:rsidRPr="007F2355" w:rsidRDefault="00EF205A" w:rsidP="00EF205A">
            <w:pPr>
              <w:pStyle w:val="norm00e1lny"/>
              <w:spacing w:line="240" w:lineRule="atLeast"/>
              <w:jc w:val="both"/>
            </w:pPr>
          </w:p>
          <w:p w14:paraId="041E35E1" w14:textId="77777777" w:rsidR="00EF205A" w:rsidRPr="007F2355" w:rsidRDefault="00EF205A" w:rsidP="00EF205A">
            <w:pPr>
              <w:pStyle w:val="norm00e1lny"/>
              <w:spacing w:line="240" w:lineRule="atLeast"/>
              <w:jc w:val="both"/>
            </w:pPr>
            <w:r w:rsidRPr="007F2355">
              <w:t>Komisia predkladateľa o priloženie Kalkulačky nákladov.</w:t>
            </w:r>
          </w:p>
          <w:p w14:paraId="1605B788" w14:textId="77777777" w:rsidR="00EF205A" w:rsidRPr="007F2355" w:rsidRDefault="00EF205A" w:rsidP="00EF205A">
            <w:pPr>
              <w:pStyle w:val="norm00e1lny"/>
              <w:spacing w:line="240" w:lineRule="atLeast"/>
              <w:jc w:val="both"/>
            </w:pPr>
            <w:r w:rsidRPr="007F2355">
              <w:rPr>
                <w:u w:val="single"/>
              </w:rPr>
              <w:t>Odôvodnenie:</w:t>
            </w:r>
            <w:r w:rsidRPr="007F2355">
              <w:t xml:space="preserve"> V zmysle Jednotnej metodiky na posudzovanie vybraných vplyvov je Kalkulačka nákladov povinnou súčasťou Analýzy vplyvov na podnikateľské prostredie.</w:t>
            </w:r>
          </w:p>
          <w:p w14:paraId="745E981F" w14:textId="77777777" w:rsidR="00EF205A" w:rsidRPr="007F2355" w:rsidRDefault="00EF205A" w:rsidP="00EF205A">
            <w:pPr>
              <w:pStyle w:val="norm00e1lny"/>
              <w:spacing w:line="240" w:lineRule="atLeast"/>
              <w:jc w:val="both"/>
            </w:pPr>
          </w:p>
          <w:p w14:paraId="6BFED48C" w14:textId="77777777" w:rsidR="00EF205A" w:rsidRPr="007F2355" w:rsidRDefault="00EF205A" w:rsidP="00EF205A">
            <w:pPr>
              <w:pStyle w:val="norm00e1lny"/>
              <w:spacing w:line="240" w:lineRule="atLeast"/>
              <w:jc w:val="both"/>
            </w:pPr>
            <w:r w:rsidRPr="007F2355">
              <w:rPr>
                <w:i/>
              </w:rPr>
              <w:t>MPSVR SR: Akceptované.</w:t>
            </w:r>
          </w:p>
          <w:p w14:paraId="2A2CDF4B" w14:textId="77777777" w:rsidR="00EF205A" w:rsidRPr="007F2355" w:rsidRDefault="00EF205A" w:rsidP="00EF205A">
            <w:pPr>
              <w:pStyle w:val="norm00e1lny"/>
              <w:spacing w:line="240" w:lineRule="atLeast"/>
              <w:jc w:val="both"/>
            </w:pPr>
          </w:p>
          <w:p w14:paraId="167F1165" w14:textId="77777777" w:rsidR="00EF205A" w:rsidRPr="007F2355" w:rsidRDefault="00EF205A" w:rsidP="00EF205A">
            <w:pPr>
              <w:pStyle w:val="norm00e1lny"/>
              <w:spacing w:line="240" w:lineRule="atLeast"/>
              <w:jc w:val="both"/>
            </w:pPr>
            <w:r w:rsidRPr="007F2355">
              <w:t>Komisia predkladateľa o uvedenie negatívneho vplyvu pre finančných sprostredkovateľov.</w:t>
            </w:r>
          </w:p>
          <w:p w14:paraId="23CB1EAB" w14:textId="77777777" w:rsidR="00EF205A" w:rsidRPr="007F2355" w:rsidRDefault="00EF205A" w:rsidP="00EF205A">
            <w:pPr>
              <w:pStyle w:val="norm00e1lny"/>
              <w:spacing w:line="240" w:lineRule="atLeast"/>
              <w:jc w:val="both"/>
            </w:pPr>
            <w:r w:rsidRPr="007F2355">
              <w:rPr>
                <w:u w:val="single"/>
              </w:rPr>
              <w:t>Odôvodnenie:</w:t>
            </w:r>
            <w:r w:rsidRPr="007F2355">
              <w:t xml:space="preserve"> Predkladateľ uvádza ako pozitívny vplyv pre DSS zrušenie platenia odmien finančným sprostredkovateľom. Je však potrebné uviesť aj negatívny vplyv danej regulácie pre finančných sprostredkovateľov.</w:t>
            </w:r>
          </w:p>
          <w:p w14:paraId="42644AD5" w14:textId="77777777" w:rsidR="00EF205A" w:rsidRPr="007F2355" w:rsidRDefault="00EF205A" w:rsidP="00EF205A">
            <w:pPr>
              <w:pStyle w:val="norm00e1lny"/>
              <w:spacing w:line="240" w:lineRule="atLeast"/>
              <w:jc w:val="both"/>
            </w:pPr>
          </w:p>
          <w:p w14:paraId="1C979683" w14:textId="77777777" w:rsidR="00EF205A" w:rsidRPr="007F2355" w:rsidRDefault="00EF205A" w:rsidP="00EF205A">
            <w:pPr>
              <w:pStyle w:val="norm00e1lny"/>
              <w:spacing w:line="240" w:lineRule="atLeast"/>
              <w:jc w:val="both"/>
            </w:pPr>
            <w:r w:rsidRPr="007F2355">
              <w:rPr>
                <w:i/>
              </w:rPr>
              <w:t>MPSVR SR: Akceptované.</w:t>
            </w:r>
          </w:p>
          <w:p w14:paraId="7E75DDDA" w14:textId="77777777" w:rsidR="00EF205A" w:rsidRPr="007F2355" w:rsidRDefault="00EF205A" w:rsidP="00EF205A">
            <w:pPr>
              <w:pStyle w:val="norm00e1lny"/>
              <w:spacing w:line="240" w:lineRule="atLeast"/>
              <w:jc w:val="both"/>
            </w:pPr>
          </w:p>
          <w:p w14:paraId="0ACCF23A" w14:textId="77777777" w:rsidR="00EF205A" w:rsidRPr="007F2355" w:rsidRDefault="00EF205A" w:rsidP="00EF205A">
            <w:pPr>
              <w:pStyle w:val="norm00e1lny"/>
              <w:spacing w:line="240" w:lineRule="atLeast"/>
              <w:jc w:val="both"/>
            </w:pPr>
            <w:r w:rsidRPr="007F2355">
              <w:t>Komisia žiada predkladateľa o uvedenie vyhodnotenia konzultácií v časti 3.2</w:t>
            </w:r>
          </w:p>
          <w:p w14:paraId="737562A0" w14:textId="77777777" w:rsidR="00EF205A" w:rsidRPr="007F2355" w:rsidRDefault="00EF205A" w:rsidP="00EF205A">
            <w:pPr>
              <w:pStyle w:val="norm00e1lny"/>
              <w:spacing w:line="240" w:lineRule="atLeast"/>
              <w:jc w:val="both"/>
            </w:pPr>
            <w:r w:rsidRPr="007F2355">
              <w:rPr>
                <w:u w:val="single"/>
              </w:rPr>
              <w:t>Odôvodnenie:</w:t>
            </w:r>
            <w:r w:rsidRPr="007F2355">
              <w:t xml:space="preserve"> Pri vyhodnotení konzultácií je potrebné v Analýze uviesť stanovisko DSS k jednotlivým zásadným zmenám v systéme.</w:t>
            </w:r>
          </w:p>
          <w:p w14:paraId="79557FDE" w14:textId="77777777" w:rsidR="00EF205A" w:rsidRPr="007F2355" w:rsidRDefault="00EF205A" w:rsidP="00EF205A">
            <w:pPr>
              <w:pStyle w:val="norm00e1lny"/>
              <w:spacing w:line="240" w:lineRule="atLeast"/>
              <w:jc w:val="both"/>
            </w:pPr>
          </w:p>
          <w:p w14:paraId="60176FA4" w14:textId="5DE3A313" w:rsidR="00EF205A" w:rsidRPr="007F2355" w:rsidRDefault="00EF205A" w:rsidP="00EF205A">
            <w:pPr>
              <w:pStyle w:val="norm00e1lny"/>
              <w:spacing w:line="240" w:lineRule="atLeast"/>
              <w:jc w:val="both"/>
            </w:pPr>
            <w:r w:rsidRPr="007F2355">
              <w:rPr>
                <w:i/>
              </w:rPr>
              <w:lastRenderedPageBreak/>
              <w:t xml:space="preserve">MPSVR SR: Akceptované. </w:t>
            </w:r>
          </w:p>
          <w:p w14:paraId="7E22DA7D" w14:textId="77777777" w:rsidR="00EF205A" w:rsidRPr="007F2355" w:rsidRDefault="00EF205A" w:rsidP="00EF205A">
            <w:pPr>
              <w:pStyle w:val="norm00e1lny"/>
              <w:spacing w:line="240" w:lineRule="atLeast"/>
              <w:jc w:val="both"/>
            </w:pPr>
          </w:p>
          <w:p w14:paraId="15B991FD" w14:textId="77777777" w:rsidR="00EF205A" w:rsidRPr="007F2355" w:rsidRDefault="00EF205A" w:rsidP="00EF205A">
            <w:pPr>
              <w:pStyle w:val="norm00e1lny"/>
              <w:spacing w:line="240" w:lineRule="atLeast"/>
              <w:jc w:val="both"/>
            </w:pPr>
            <w:r w:rsidRPr="007F2355">
              <w:t>Komisia žiada predkladateľa o vyznačenie konkurencieschopnosti a produktivity v časti 3.3.</w:t>
            </w:r>
          </w:p>
          <w:p w14:paraId="0B225BFF" w14:textId="77777777" w:rsidR="00EF205A" w:rsidRPr="007F2355" w:rsidRDefault="00EF205A" w:rsidP="00EF205A">
            <w:pPr>
              <w:pStyle w:val="norm00e1lny"/>
              <w:spacing w:line="240" w:lineRule="atLeast"/>
              <w:jc w:val="both"/>
            </w:pPr>
            <w:r w:rsidRPr="007F2355">
              <w:rPr>
                <w:u w:val="single"/>
              </w:rPr>
              <w:t>Odôvodnenie:</w:t>
            </w:r>
            <w:r w:rsidRPr="007F2355">
              <w:t xml:space="preserve"> Zrušenie provízie pre finančných sprostredkovateľov za zmenu DSS zníži konkurenciu medzi DSS. Zrušenie poplatkov za zhodnotenie v indexových fondoch bude mať za následok neposkytovanie pasívnych indexových fondov DSS a v prípade viacerých DSS ich zmenu na aktívne spravované akciové fondy, čo tiež neželane zníži konkurenciu v oblasti produktov na trhu starobného dôchodkového sporenia. Pri zmene pasívnych indexových fondov na aktívne spravované akciové fondy zároveň očakávame nižšie zhodnotenie v strednom a dlhodobom horizonte.</w:t>
            </w:r>
          </w:p>
          <w:p w14:paraId="40300B3F" w14:textId="77777777" w:rsidR="00EF205A" w:rsidRPr="007F2355" w:rsidRDefault="00EF205A" w:rsidP="00EF205A">
            <w:pPr>
              <w:pStyle w:val="norm00e1lny"/>
              <w:spacing w:line="240" w:lineRule="atLeast"/>
              <w:jc w:val="both"/>
            </w:pPr>
          </w:p>
          <w:p w14:paraId="0E2C3FEA" w14:textId="77777777" w:rsidR="00EF205A" w:rsidRPr="007F2355" w:rsidRDefault="00EF205A" w:rsidP="00EF205A">
            <w:pPr>
              <w:pStyle w:val="norm00e1lny"/>
              <w:spacing w:line="240" w:lineRule="atLeast"/>
              <w:jc w:val="both"/>
              <w:rPr>
                <w:i/>
              </w:rPr>
            </w:pPr>
            <w:r w:rsidRPr="007F2355">
              <w:rPr>
                <w:i/>
              </w:rPr>
              <w:t>MPSVR SR: Neakceptované. Zrušenie provízie pre finančných sprostredkovateľov je sprevádzané aj zrušením povinnosti vydávania akceptačného listu Sociálnou poisťovňou, ktorá predstavuje najvyššiu administratívnu bariéru pre sporiteľov pri prestupe medzi DSS. Upozorňujeme, že indexové dôchodkové fondy nemali v čase svojho vzniku (apríl 2012) nárok na odplatu za zhodnotenie. DSS mali dokonca v tomto období aj zníženú odplatu za správu na hodnotu 0,2 %</w:t>
            </w:r>
            <w:r w:rsidRPr="007F2355">
              <w:t xml:space="preserve"> </w:t>
            </w:r>
            <w:r w:rsidRPr="007F2355">
              <w:rPr>
                <w:i/>
              </w:rPr>
              <w:t xml:space="preserve">priemernej ročnej predbežnej čistej hodnoty majetku v dôchodkovom fonde. Zrušenie odplaty za zhodnotenie v pasívne riadených fondoch je tak nie len v súlade s medzinárodnou praxou, ale aj v súlade s pôvodnou definíciou indexových fondov.   </w:t>
            </w:r>
          </w:p>
          <w:p w14:paraId="529CA72F" w14:textId="77777777" w:rsidR="00EF205A" w:rsidRPr="007F2355" w:rsidRDefault="00EF205A" w:rsidP="00EF205A">
            <w:pPr>
              <w:pStyle w:val="norm00e1lny"/>
              <w:spacing w:line="240" w:lineRule="atLeast"/>
              <w:jc w:val="both"/>
              <w:rPr>
                <w:lang w:eastAsia="en-US"/>
              </w:rPr>
            </w:pPr>
          </w:p>
          <w:p w14:paraId="5EC6923C" w14:textId="77777777" w:rsidR="00EF205A" w:rsidRPr="007F2355" w:rsidRDefault="00EF205A" w:rsidP="00EF205A">
            <w:pPr>
              <w:pStyle w:val="norm00e1lny"/>
              <w:spacing w:line="240" w:lineRule="atLeast"/>
              <w:jc w:val="both"/>
            </w:pPr>
            <w:r w:rsidRPr="007F2355">
              <w:rPr>
                <w:rStyle w:val="norm00e1lnychar1"/>
                <w:b/>
                <w:bCs/>
                <w:color w:val="000000"/>
              </w:rPr>
              <w:t>I</w:t>
            </w:r>
            <w:r w:rsidRPr="007F2355">
              <w:rPr>
                <w:rStyle w:val="norm00e1lnychar1"/>
                <w:b/>
                <w:bCs/>
              </w:rPr>
              <w:t>II. Záver:</w:t>
            </w:r>
            <w:r w:rsidRPr="007F2355">
              <w:rPr>
                <w:rStyle w:val="norm00e1lnychar1"/>
                <w:bCs/>
              </w:rPr>
              <w:t xml:space="preserve"> </w:t>
            </w:r>
            <w:r w:rsidRPr="007F2355">
              <w:rPr>
                <w:rStyle w:val="norm00e1lnychar1"/>
              </w:rPr>
              <w:t xml:space="preserve">Stála pracovná komisia na posudzovanie vybraných vplyvov vyjadruje </w:t>
            </w:r>
          </w:p>
          <w:p w14:paraId="02E4F1AD" w14:textId="77777777" w:rsidR="00EF205A" w:rsidRPr="007F2355" w:rsidRDefault="00EF205A" w:rsidP="00EF205A">
            <w:pPr>
              <w:pStyle w:val="norm00e1lny"/>
            </w:pPr>
            <w:r w:rsidRPr="007F2355">
              <w:t> </w:t>
            </w:r>
          </w:p>
          <w:p w14:paraId="24182037" w14:textId="77777777" w:rsidR="00EF205A" w:rsidRPr="007F2355" w:rsidRDefault="00EF205A" w:rsidP="00EF205A">
            <w:pPr>
              <w:pStyle w:val="norm00e1lny"/>
              <w:spacing w:line="240" w:lineRule="atLeast"/>
              <w:jc w:val="center"/>
              <w:rPr>
                <w:rStyle w:val="norm00e1lnychar1"/>
                <w:b/>
                <w:bCs/>
              </w:rPr>
            </w:pPr>
          </w:p>
          <w:p w14:paraId="4C989175" w14:textId="77777777" w:rsidR="00EF205A" w:rsidRPr="007F2355" w:rsidRDefault="00EF205A" w:rsidP="00EF205A">
            <w:pPr>
              <w:pStyle w:val="norm00e1lny"/>
              <w:spacing w:line="240" w:lineRule="atLeast"/>
              <w:jc w:val="center"/>
              <w:rPr>
                <w:b/>
              </w:rPr>
            </w:pPr>
            <w:r w:rsidRPr="007F2355">
              <w:rPr>
                <w:rStyle w:val="norm00e1lnychar1"/>
                <w:b/>
                <w:bCs/>
              </w:rPr>
              <w:t>nesúhlasné stanovisko</w:t>
            </w:r>
          </w:p>
          <w:p w14:paraId="14111E2F" w14:textId="77777777" w:rsidR="00EF205A" w:rsidRPr="007923B4" w:rsidRDefault="00EF205A" w:rsidP="00EF205A">
            <w:pPr>
              <w:pStyle w:val="norm00e1lny"/>
            </w:pPr>
            <w:r w:rsidRPr="007923B4">
              <w:t> </w:t>
            </w:r>
          </w:p>
          <w:p w14:paraId="6FBF9B08" w14:textId="77777777" w:rsidR="00EF205A" w:rsidRPr="007923B4" w:rsidRDefault="00EF205A" w:rsidP="00EF205A">
            <w:pPr>
              <w:pStyle w:val="norm00e1lny"/>
            </w:pPr>
          </w:p>
          <w:p w14:paraId="24AB7752" w14:textId="77777777" w:rsidR="00EF205A" w:rsidRPr="007F2355" w:rsidRDefault="00EF205A" w:rsidP="00EF205A">
            <w:pPr>
              <w:pStyle w:val="norm00e1lny"/>
              <w:spacing w:line="240" w:lineRule="atLeast"/>
              <w:jc w:val="both"/>
            </w:pPr>
            <w:r w:rsidRPr="007F2355">
              <w:rPr>
                <w:rStyle w:val="norm00e1lnychar1"/>
              </w:rPr>
              <w:t>s materiálom predloženým na predbežné pripomienkové konanie s odporúčaním na jeho dopracovanie podľa pripomienok v bode II.</w:t>
            </w:r>
          </w:p>
          <w:p w14:paraId="610D508A" w14:textId="77777777" w:rsidR="00EF205A" w:rsidRPr="007F2355" w:rsidRDefault="00EF205A" w:rsidP="00EF205A">
            <w:pPr>
              <w:pStyle w:val="norm00e1lny"/>
            </w:pPr>
          </w:p>
          <w:p w14:paraId="56D7B079" w14:textId="77777777" w:rsidR="00EF205A" w:rsidRPr="007F2355" w:rsidRDefault="00EF205A" w:rsidP="00EF205A">
            <w:pPr>
              <w:pStyle w:val="norm00e1lny"/>
              <w:spacing w:line="240" w:lineRule="atLeast"/>
              <w:jc w:val="both"/>
            </w:pPr>
            <w:r w:rsidRPr="007F2355">
              <w:rPr>
                <w:rStyle w:val="norm00e1lnychar1"/>
                <w:b/>
                <w:bCs/>
              </w:rPr>
              <w:t>IV. Poznámka:</w:t>
            </w:r>
            <w:r w:rsidRPr="007F2355">
              <w:rPr>
                <w:rStyle w:val="norm00e1lnychar1"/>
              </w:rPr>
              <w:t xml:space="preserve"> Predkladateľ uvedie stanovisko Komisie do doložky vybraných vplyvov spolu s vyhodnotením pripomienok.</w:t>
            </w:r>
          </w:p>
          <w:p w14:paraId="2B99F2D7" w14:textId="77777777" w:rsidR="00EF205A" w:rsidRPr="007F2355" w:rsidRDefault="00EF205A" w:rsidP="00EF205A">
            <w:pPr>
              <w:pStyle w:val="norm00e1lny"/>
            </w:pPr>
            <w:r w:rsidRPr="007F2355">
              <w:t> </w:t>
            </w:r>
          </w:p>
          <w:p w14:paraId="4C05F6A0" w14:textId="77777777" w:rsidR="00EF205A" w:rsidRPr="007F2355" w:rsidRDefault="00EF205A" w:rsidP="00EF205A">
            <w:pPr>
              <w:pStyle w:val="z00e1kladn00fd0020text"/>
              <w:spacing w:after="0" w:line="240" w:lineRule="atLeast"/>
              <w:jc w:val="both"/>
            </w:pPr>
            <w:r w:rsidRPr="007F2355">
              <w:rPr>
                <w:rStyle w:val="z00e1kladn00fd0020textchar1"/>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1BD32DC5" w14:textId="77777777" w:rsidR="00EF205A" w:rsidRPr="007F2355" w:rsidRDefault="00EF205A" w:rsidP="00EF205A">
            <w:pPr>
              <w:jc w:val="both"/>
              <w:rPr>
                <w:rFonts w:ascii="Times New Roman" w:hAnsi="Times New Roman" w:cs="Times New Roman"/>
                <w:sz w:val="20"/>
                <w:szCs w:val="20"/>
              </w:rPr>
            </w:pPr>
          </w:p>
          <w:p w14:paraId="0F8FA9A6" w14:textId="77777777" w:rsidR="00EF205A" w:rsidRPr="007F2355" w:rsidRDefault="00EF205A" w:rsidP="00EF205A">
            <w:pPr>
              <w:tabs>
                <w:tab w:val="center" w:pos="6379"/>
              </w:tabs>
              <w:ind w:left="4536" w:right="-2"/>
              <w:jc w:val="center"/>
              <w:rPr>
                <w:rFonts w:ascii="Times New Roman" w:hAnsi="Times New Roman" w:cs="Times New Roman"/>
                <w:b/>
                <w:bCs/>
                <w:sz w:val="20"/>
                <w:szCs w:val="20"/>
              </w:rPr>
            </w:pPr>
          </w:p>
          <w:p w14:paraId="156BF8EF" w14:textId="77777777" w:rsidR="00EF205A" w:rsidRPr="007F2355" w:rsidRDefault="00EF205A" w:rsidP="00EF205A">
            <w:pPr>
              <w:tabs>
                <w:tab w:val="center" w:pos="6379"/>
              </w:tabs>
              <w:ind w:left="4536" w:right="-2"/>
              <w:jc w:val="center"/>
              <w:rPr>
                <w:rFonts w:ascii="Times New Roman" w:hAnsi="Times New Roman" w:cs="Times New Roman"/>
                <w:b/>
                <w:bCs/>
                <w:sz w:val="20"/>
                <w:szCs w:val="20"/>
              </w:rPr>
            </w:pPr>
          </w:p>
          <w:p w14:paraId="6A39A211" w14:textId="77777777" w:rsidR="00EF205A" w:rsidRPr="007F2355" w:rsidRDefault="00EF205A" w:rsidP="00EF205A">
            <w:pPr>
              <w:tabs>
                <w:tab w:val="center" w:pos="6379"/>
              </w:tabs>
              <w:ind w:left="4536" w:right="-2"/>
              <w:rPr>
                <w:rFonts w:ascii="Times New Roman" w:hAnsi="Times New Roman" w:cs="Times New Roman"/>
                <w:sz w:val="20"/>
                <w:szCs w:val="20"/>
              </w:rPr>
            </w:pPr>
            <w:r w:rsidRPr="007F2355">
              <w:rPr>
                <w:rFonts w:ascii="Times New Roman" w:hAnsi="Times New Roman" w:cs="Times New Roman"/>
                <w:b/>
                <w:bCs/>
                <w:sz w:val="20"/>
                <w:szCs w:val="20"/>
              </w:rPr>
              <w:t xml:space="preserve">              </w:t>
            </w:r>
            <w:r w:rsidRPr="007F2355">
              <w:rPr>
                <w:rFonts w:ascii="Times New Roman" w:hAnsi="Times New Roman" w:cs="Times New Roman"/>
                <w:b/>
                <w:bCs/>
                <w:sz w:val="20"/>
                <w:szCs w:val="20"/>
              </w:rPr>
              <w:tab/>
              <w:t>PhDr. Ján Oravec, CSc.</w:t>
            </w:r>
          </w:p>
          <w:p w14:paraId="400B5DB0" w14:textId="77777777" w:rsidR="00EF205A" w:rsidRPr="007F2355" w:rsidRDefault="00EF205A" w:rsidP="00EF205A">
            <w:pPr>
              <w:tabs>
                <w:tab w:val="center" w:pos="6379"/>
              </w:tabs>
              <w:ind w:left="4536" w:right="-2"/>
              <w:jc w:val="center"/>
              <w:rPr>
                <w:rFonts w:ascii="Times New Roman" w:hAnsi="Times New Roman" w:cs="Times New Roman"/>
                <w:sz w:val="20"/>
                <w:szCs w:val="20"/>
              </w:rPr>
            </w:pPr>
            <w:r w:rsidRPr="007F2355">
              <w:rPr>
                <w:rFonts w:ascii="Times New Roman" w:hAnsi="Times New Roman" w:cs="Times New Roman"/>
                <w:bCs/>
                <w:sz w:val="20"/>
                <w:szCs w:val="20"/>
              </w:rPr>
              <w:t>predseda Komisie</w:t>
            </w:r>
          </w:p>
          <w:p w14:paraId="0F15F7EA" w14:textId="77777777" w:rsidR="00EF205A" w:rsidRPr="007F2355" w:rsidRDefault="00EF205A" w:rsidP="00EF205A">
            <w:pPr>
              <w:rPr>
                <w:rFonts w:ascii="Times New Roman" w:hAnsi="Times New Roman" w:cs="Times New Roman"/>
                <w:sz w:val="20"/>
                <w:szCs w:val="20"/>
              </w:rPr>
            </w:pPr>
          </w:p>
          <w:p w14:paraId="58D490B7" w14:textId="77777777" w:rsidR="00EF205A" w:rsidRPr="007F2355" w:rsidRDefault="00EF205A" w:rsidP="000800FC">
            <w:pPr>
              <w:rPr>
                <w:rFonts w:ascii="Times New Roman" w:eastAsia="Times New Roman" w:hAnsi="Times New Roman" w:cs="Times New Roman"/>
                <w:b/>
                <w:sz w:val="20"/>
                <w:szCs w:val="20"/>
                <w:lang w:eastAsia="sk-SK"/>
              </w:rPr>
            </w:pPr>
          </w:p>
          <w:p w14:paraId="6DC0ABF9" w14:textId="77777777" w:rsidR="001B23B7" w:rsidRPr="007923B4" w:rsidRDefault="001B23B7" w:rsidP="000800FC">
            <w:pPr>
              <w:rPr>
                <w:rFonts w:ascii="Times New Roman" w:eastAsia="Times New Roman" w:hAnsi="Times New Roman" w:cs="Times New Roman"/>
                <w:b/>
                <w:sz w:val="20"/>
                <w:szCs w:val="20"/>
                <w:lang w:eastAsia="sk-SK"/>
              </w:rPr>
            </w:pPr>
          </w:p>
          <w:p w14:paraId="13925417" w14:textId="77777777" w:rsidR="001B23B7" w:rsidRPr="007923B4" w:rsidRDefault="001B23B7" w:rsidP="000800FC">
            <w:pPr>
              <w:rPr>
                <w:rFonts w:ascii="Times New Roman" w:eastAsia="Times New Roman" w:hAnsi="Times New Roman" w:cs="Times New Roman"/>
                <w:b/>
                <w:sz w:val="20"/>
                <w:szCs w:val="20"/>
                <w:lang w:eastAsia="sk-SK"/>
              </w:rPr>
            </w:pPr>
          </w:p>
        </w:tc>
      </w:tr>
      <w:tr w:rsidR="001B23B7" w:rsidRPr="00B043B4" w14:paraId="44239153"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71FA5AB" w14:textId="77777777" w:rsidR="001B23B7" w:rsidRPr="00B043B4" w:rsidRDefault="001B23B7" w:rsidP="004A4E31">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49969234" w14:textId="77777777" w:rsidTr="000800FC">
        <w:tblPrEx>
          <w:tblBorders>
            <w:insideH w:val="single" w:sz="4" w:space="0" w:color="FFFFFF"/>
            <w:insideV w:val="single" w:sz="4" w:space="0" w:color="FFFFFF"/>
          </w:tblBorders>
        </w:tblPrEx>
        <w:tc>
          <w:tcPr>
            <w:tcW w:w="9176" w:type="dxa"/>
            <w:shd w:val="clear" w:color="auto" w:fill="FFFFFF"/>
          </w:tcPr>
          <w:p w14:paraId="238AEED4"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6A6C72D8" w14:textId="77777777" w:rsidTr="000800FC">
              <w:trPr>
                <w:trHeight w:val="396"/>
              </w:trPr>
              <w:tc>
                <w:tcPr>
                  <w:tcW w:w="2552" w:type="dxa"/>
                </w:tcPr>
                <w:p w14:paraId="23F8EE0B" w14:textId="77777777" w:rsidR="001B23B7" w:rsidRPr="00B043B4" w:rsidRDefault="005A05A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1FD0EA39" w14:textId="77777777" w:rsidR="001B23B7" w:rsidRPr="00B043B4" w:rsidRDefault="005A05A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2CB65876" w14:textId="50A5DCB3" w:rsidR="001B23B7" w:rsidRPr="00B043B4" w:rsidRDefault="005A05A9"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40313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5D7EA959"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5F33B636" w14:textId="73E304E4" w:rsidR="001B23B7" w:rsidRDefault="001B23B7" w:rsidP="000800FC">
            <w:pPr>
              <w:rPr>
                <w:rFonts w:ascii="Times New Roman" w:eastAsia="Times New Roman" w:hAnsi="Times New Roman" w:cs="Times New Roman"/>
                <w:b/>
                <w:sz w:val="20"/>
                <w:szCs w:val="20"/>
                <w:lang w:eastAsia="sk-SK"/>
              </w:rPr>
            </w:pPr>
          </w:p>
          <w:p w14:paraId="446F457C" w14:textId="77777777" w:rsidR="0040313E" w:rsidRPr="00D56DFB" w:rsidRDefault="0040313E" w:rsidP="0040313E">
            <w:pPr>
              <w:pStyle w:val="Nadpis4"/>
              <w:outlineLvl w:val="3"/>
              <w:rPr>
                <w:sz w:val="20"/>
              </w:rPr>
            </w:pPr>
            <w:r w:rsidRPr="00D56DFB">
              <w:rPr>
                <w:spacing w:val="20"/>
                <w:sz w:val="20"/>
              </w:rPr>
              <w:t>stanovisko komisie</w:t>
            </w:r>
            <w:r w:rsidRPr="00D56DFB">
              <w:rPr>
                <w:sz w:val="20"/>
              </w:rPr>
              <w:t xml:space="preserve"> </w:t>
            </w:r>
          </w:p>
          <w:p w14:paraId="7BC96FA0" w14:textId="77777777" w:rsidR="0040313E" w:rsidRPr="00D56DFB" w:rsidRDefault="0040313E" w:rsidP="0040313E">
            <w:pPr>
              <w:ind w:right="-2"/>
              <w:jc w:val="center"/>
              <w:rPr>
                <w:rFonts w:ascii="Times New Roman" w:hAnsi="Times New Roman" w:cs="Times New Roman"/>
                <w:b/>
                <w:smallCaps/>
                <w:sz w:val="20"/>
                <w:szCs w:val="20"/>
              </w:rPr>
            </w:pPr>
          </w:p>
          <w:p w14:paraId="79CC3532" w14:textId="77777777" w:rsidR="0040313E" w:rsidRPr="00D56DFB" w:rsidRDefault="0040313E" w:rsidP="0040313E">
            <w:pPr>
              <w:ind w:right="-2"/>
              <w:jc w:val="center"/>
              <w:rPr>
                <w:rFonts w:ascii="Times New Roman" w:hAnsi="Times New Roman" w:cs="Times New Roman"/>
                <w:b/>
                <w:smallCaps/>
                <w:sz w:val="20"/>
                <w:szCs w:val="20"/>
              </w:rPr>
            </w:pPr>
            <w:r w:rsidRPr="00D56DFB">
              <w:rPr>
                <w:rFonts w:ascii="Times New Roman" w:hAnsi="Times New Roman" w:cs="Times New Roman"/>
                <w:b/>
                <w:smallCaps/>
                <w:sz w:val="20"/>
                <w:szCs w:val="20"/>
              </w:rPr>
              <w:t>(záverečné posúdenie)</w:t>
            </w:r>
          </w:p>
          <w:p w14:paraId="2A21CAE8" w14:textId="77777777" w:rsidR="0040313E" w:rsidRPr="00D56DFB" w:rsidRDefault="0040313E" w:rsidP="0040313E">
            <w:pPr>
              <w:ind w:right="-2"/>
              <w:jc w:val="center"/>
              <w:rPr>
                <w:rFonts w:ascii="Times New Roman" w:hAnsi="Times New Roman" w:cs="Times New Roman"/>
                <w:b/>
                <w:smallCaps/>
                <w:sz w:val="20"/>
                <w:szCs w:val="20"/>
              </w:rPr>
            </w:pPr>
          </w:p>
          <w:p w14:paraId="6D71F6FA" w14:textId="77777777" w:rsidR="0040313E" w:rsidRPr="00D56DFB" w:rsidRDefault="0040313E" w:rsidP="0040313E">
            <w:pPr>
              <w:ind w:right="-2"/>
              <w:jc w:val="center"/>
              <w:rPr>
                <w:rFonts w:ascii="Times New Roman" w:hAnsi="Times New Roman" w:cs="Times New Roman"/>
                <w:b/>
                <w:smallCaps/>
                <w:sz w:val="20"/>
                <w:szCs w:val="20"/>
              </w:rPr>
            </w:pPr>
            <w:r w:rsidRPr="00D56DFB">
              <w:rPr>
                <w:rFonts w:ascii="Times New Roman" w:hAnsi="Times New Roman" w:cs="Times New Roman"/>
                <w:b/>
                <w:smallCaps/>
                <w:sz w:val="20"/>
                <w:szCs w:val="20"/>
              </w:rPr>
              <w:t>k materiálu</w:t>
            </w:r>
          </w:p>
          <w:p w14:paraId="481CC6B6" w14:textId="77777777" w:rsidR="0040313E" w:rsidRPr="00D56DFB" w:rsidRDefault="0040313E" w:rsidP="0040313E">
            <w:pPr>
              <w:ind w:right="-2"/>
              <w:jc w:val="both"/>
              <w:rPr>
                <w:rFonts w:ascii="Times New Roman" w:hAnsi="Times New Roman" w:cs="Times New Roman"/>
                <w:b/>
                <w:smallCaps/>
                <w:sz w:val="20"/>
                <w:szCs w:val="20"/>
              </w:rPr>
            </w:pPr>
          </w:p>
          <w:p w14:paraId="1300118E" w14:textId="77777777" w:rsidR="0040313E" w:rsidRPr="00D56DFB" w:rsidRDefault="0040313E" w:rsidP="0040313E">
            <w:pPr>
              <w:pBdr>
                <w:bottom w:val="single" w:sz="4" w:space="1" w:color="auto"/>
              </w:pBdr>
              <w:jc w:val="center"/>
              <w:rPr>
                <w:rStyle w:val="Jemnodkaz"/>
                <w:rFonts w:ascii="Times New Roman" w:hAnsi="Times New Roman" w:cs="Times New Roman"/>
                <w:b/>
                <w:sz w:val="20"/>
                <w:szCs w:val="20"/>
              </w:rPr>
            </w:pPr>
            <w:r w:rsidRPr="00D56DFB">
              <w:rPr>
                <w:rStyle w:val="Jemnodkaz"/>
                <w:rFonts w:ascii="Times New Roman" w:hAnsi="Times New Roman" w:cs="Times New Roman"/>
                <w:b/>
                <w:sz w:val="20"/>
                <w:szCs w:val="20"/>
              </w:rPr>
              <w:t>Návrh zákona, ktorým sa mení a dopĺňa zákon č. 43/2004 Z. z. o starobnom dôchodkovom sporení a o zmene a doplnení niektorých zákonov v znení neskorších predpisov a ktorým sa menia a dopĺňajú niektoré zákony</w:t>
            </w:r>
          </w:p>
          <w:p w14:paraId="04AE3B79" w14:textId="77777777" w:rsidR="0040313E" w:rsidRPr="00D56DFB" w:rsidRDefault="0040313E" w:rsidP="0040313E">
            <w:pPr>
              <w:jc w:val="both"/>
              <w:rPr>
                <w:rFonts w:ascii="Times New Roman" w:hAnsi="Times New Roman" w:cs="Times New Roman"/>
                <w:bCs/>
                <w:i/>
                <w:sz w:val="20"/>
                <w:szCs w:val="20"/>
              </w:rPr>
            </w:pPr>
            <w:r w:rsidRPr="00D56DFB">
              <w:rPr>
                <w:rFonts w:ascii="Times New Roman" w:hAnsi="Times New Roman" w:cs="Times New Roman"/>
                <w:b/>
                <w:bCs/>
                <w:sz w:val="20"/>
                <w:szCs w:val="20"/>
              </w:rPr>
              <w:lastRenderedPageBreak/>
              <w:t xml:space="preserve">I. Úvod: </w:t>
            </w:r>
            <w:r w:rsidRPr="00D56DFB">
              <w:rPr>
                <w:rFonts w:ascii="Times New Roman" w:hAnsi="Times New Roman" w:cs="Times New Roman"/>
                <w:bCs/>
                <w:sz w:val="20"/>
                <w:szCs w:val="20"/>
              </w:rPr>
              <w:t>Ministerstvo práce, sociálnych vecí a rodiny Slovenskej republiky predložilo dňa 01. augusta 2022 Stálej pracovnej komisii na posudzovanie vybraných vplyvov (ďalej len „Komisia“) na záverečné posúdenie materiál: „</w:t>
            </w:r>
            <w:r w:rsidRPr="00D56DFB">
              <w:rPr>
                <w:rFonts w:ascii="Times New Roman" w:hAnsi="Times New Roman" w:cs="Times New Roman"/>
                <w:i/>
                <w:sz w:val="20"/>
                <w:szCs w:val="20"/>
                <w:lang w:eastAsia="sk-SK"/>
              </w:rPr>
              <w:t>Návrh zákona, ktorým sa mení a dopĺňa zákon č. 43/2004 Z. z. o starobnom dôchodkovom sporení a o zmene a doplnení niektorých zákonov v znení neskorších predpisov a ktorým sa menia a dopĺňajú niektoré zákony“</w:t>
            </w:r>
            <w:r w:rsidRPr="00D56DFB">
              <w:rPr>
                <w:rFonts w:ascii="Times New Roman" w:hAnsi="Times New Roman" w:cs="Times New Roman"/>
                <w:iCs/>
                <w:sz w:val="20"/>
                <w:szCs w:val="20"/>
              </w:rPr>
              <w:t>. Materiál predpokladá pozitívno-negatívne vplyvy na rozpočet verejnej správy, ktoré sú čiastočne rozpočtovo zabezpečené, pozitívno-negatívne vplyvy na podnikateľské prostredie, pozitívno-negatívne sociálne vplyvy a pozitívne vplyvy na informatizáciu spoločnosti.</w:t>
            </w:r>
          </w:p>
          <w:p w14:paraId="2B2C3DFE" w14:textId="77777777" w:rsidR="0040313E" w:rsidRPr="00D56DFB" w:rsidRDefault="0040313E" w:rsidP="0040313E">
            <w:pPr>
              <w:jc w:val="both"/>
              <w:rPr>
                <w:rFonts w:ascii="Times New Roman" w:hAnsi="Times New Roman" w:cs="Times New Roman"/>
                <w:b/>
                <w:bCs/>
                <w:sz w:val="20"/>
                <w:szCs w:val="20"/>
              </w:rPr>
            </w:pPr>
          </w:p>
          <w:p w14:paraId="5B52F31E" w14:textId="77777777" w:rsidR="0040313E" w:rsidRPr="00D56DFB" w:rsidRDefault="0040313E" w:rsidP="0040313E">
            <w:pPr>
              <w:jc w:val="both"/>
              <w:rPr>
                <w:rFonts w:ascii="Times New Roman" w:hAnsi="Times New Roman" w:cs="Times New Roman"/>
                <w:bCs/>
                <w:sz w:val="20"/>
                <w:szCs w:val="20"/>
              </w:rPr>
            </w:pPr>
            <w:r w:rsidRPr="00D56DFB">
              <w:rPr>
                <w:rFonts w:ascii="Times New Roman" w:hAnsi="Times New Roman" w:cs="Times New Roman"/>
                <w:b/>
                <w:bCs/>
                <w:sz w:val="20"/>
                <w:szCs w:val="20"/>
              </w:rPr>
              <w:t xml:space="preserve">II. Pripomienky a návrhy zmien: </w:t>
            </w:r>
            <w:r w:rsidRPr="00D56DFB">
              <w:rPr>
                <w:rFonts w:ascii="Times New Roman" w:hAnsi="Times New Roman" w:cs="Times New Roman"/>
                <w:bCs/>
                <w:sz w:val="20"/>
                <w:szCs w:val="20"/>
              </w:rPr>
              <w:t>Komisia uplatňuje k materiálu nasledovné pripomienky a odporúčania:</w:t>
            </w:r>
          </w:p>
          <w:p w14:paraId="1845A86F" w14:textId="77777777" w:rsidR="0040313E" w:rsidRPr="00D56DFB" w:rsidRDefault="0040313E" w:rsidP="0040313E">
            <w:pPr>
              <w:jc w:val="both"/>
              <w:rPr>
                <w:rFonts w:ascii="Times New Roman" w:hAnsi="Times New Roman" w:cs="Times New Roman"/>
                <w:bCs/>
                <w:sz w:val="20"/>
                <w:szCs w:val="20"/>
              </w:rPr>
            </w:pPr>
          </w:p>
          <w:p w14:paraId="435B5855" w14:textId="77777777" w:rsidR="0040313E" w:rsidRPr="00D56DFB" w:rsidRDefault="0040313E" w:rsidP="0040313E">
            <w:pPr>
              <w:jc w:val="both"/>
              <w:rPr>
                <w:rFonts w:ascii="Times New Roman" w:hAnsi="Times New Roman" w:cs="Times New Roman"/>
                <w:b/>
                <w:bCs/>
                <w:sz w:val="20"/>
                <w:szCs w:val="20"/>
              </w:rPr>
            </w:pPr>
            <w:r w:rsidRPr="00D56DFB">
              <w:rPr>
                <w:rFonts w:ascii="Times New Roman" w:hAnsi="Times New Roman" w:cs="Times New Roman"/>
                <w:b/>
                <w:bCs/>
                <w:sz w:val="20"/>
                <w:szCs w:val="20"/>
              </w:rPr>
              <w:t>K doložke vybraných vplyvov</w:t>
            </w:r>
          </w:p>
          <w:p w14:paraId="22587C96" w14:textId="77777777" w:rsidR="0040313E" w:rsidRPr="00D56DFB" w:rsidRDefault="0040313E" w:rsidP="0040313E">
            <w:pPr>
              <w:spacing w:line="276" w:lineRule="auto"/>
              <w:jc w:val="both"/>
              <w:rPr>
                <w:rFonts w:ascii="Times New Roman" w:hAnsi="Times New Roman" w:cs="Times New Roman"/>
                <w:bCs/>
                <w:sz w:val="20"/>
                <w:szCs w:val="20"/>
              </w:rPr>
            </w:pPr>
            <w:r w:rsidRPr="00D56DFB">
              <w:rPr>
                <w:rFonts w:ascii="Times New Roman" w:hAnsi="Times New Roman" w:cs="Times New Roman"/>
                <w:bCs/>
                <w:sz w:val="20"/>
                <w:szCs w:val="20"/>
              </w:rPr>
              <w:t>Komisia žiada predkladateľa o uvedenie vplyvu predkladaného materiálu aj na MSP v bode 9. Doložky vybraných vplyvov.</w:t>
            </w:r>
          </w:p>
          <w:p w14:paraId="37B059D0" w14:textId="77777777" w:rsidR="0040313E" w:rsidRPr="00D56DFB" w:rsidRDefault="0040313E" w:rsidP="0040313E">
            <w:pPr>
              <w:spacing w:line="276" w:lineRule="auto"/>
              <w:jc w:val="both"/>
              <w:rPr>
                <w:rFonts w:ascii="Times New Roman" w:hAnsi="Times New Roman" w:cs="Times New Roman"/>
                <w:bCs/>
                <w:sz w:val="20"/>
                <w:szCs w:val="20"/>
              </w:rPr>
            </w:pPr>
          </w:p>
          <w:p w14:paraId="037259CE" w14:textId="77777777" w:rsidR="0040313E" w:rsidRPr="00D56DFB" w:rsidRDefault="0040313E" w:rsidP="0040313E">
            <w:pPr>
              <w:jc w:val="both"/>
              <w:rPr>
                <w:rFonts w:ascii="Times New Roman" w:hAnsi="Times New Roman" w:cs="Times New Roman"/>
                <w:bCs/>
                <w:i/>
                <w:sz w:val="20"/>
                <w:szCs w:val="20"/>
                <w:lang w:eastAsia="sk-SK"/>
              </w:rPr>
            </w:pPr>
            <w:r w:rsidRPr="00D56DFB">
              <w:rPr>
                <w:rFonts w:ascii="Times New Roman" w:hAnsi="Times New Roman" w:cs="Times New Roman"/>
                <w:bCs/>
                <w:i/>
                <w:sz w:val="20"/>
                <w:szCs w:val="20"/>
              </w:rPr>
              <w:t>MPSVR SR: Neakceptované. Z dotknutých subjektov by spĺňali kritériá pre malé a stredné podniky (MSP) len dôchodkové správcovské spoločnosti ako samostatné podnikateľské subjekty. V súlade s odporúčaním Európskej komisie 2003/361/EC sa však pre potreby analýzy vybraných vplyvov posudzujú kritériá MSP vrátane počtu zamestnancov a obratu akcionárov dôchodkových správcovských spoločností. Z tohto dôvodu máme za to, že legislatívna úprava nemá vplyv na MSP.</w:t>
            </w:r>
          </w:p>
          <w:p w14:paraId="54EBF420" w14:textId="77777777" w:rsidR="0040313E" w:rsidRPr="00D56DFB" w:rsidRDefault="0040313E" w:rsidP="0040313E">
            <w:pPr>
              <w:jc w:val="both"/>
              <w:rPr>
                <w:rFonts w:ascii="Times New Roman" w:hAnsi="Times New Roman" w:cs="Times New Roman"/>
                <w:sz w:val="20"/>
                <w:szCs w:val="20"/>
              </w:rPr>
            </w:pPr>
          </w:p>
          <w:p w14:paraId="7B01439E" w14:textId="77777777" w:rsidR="0040313E" w:rsidRPr="00D56DFB" w:rsidRDefault="0040313E" w:rsidP="0040313E">
            <w:pPr>
              <w:jc w:val="both"/>
              <w:rPr>
                <w:rFonts w:ascii="Times New Roman" w:hAnsi="Times New Roman" w:cs="Times New Roman"/>
                <w:b/>
                <w:bCs/>
                <w:sz w:val="20"/>
                <w:szCs w:val="20"/>
              </w:rPr>
            </w:pPr>
            <w:r w:rsidRPr="00D56DFB">
              <w:rPr>
                <w:rFonts w:ascii="Times New Roman" w:hAnsi="Times New Roman" w:cs="Times New Roman"/>
                <w:b/>
                <w:bCs/>
                <w:sz w:val="20"/>
                <w:szCs w:val="20"/>
              </w:rPr>
              <w:t>K vplyvom na rozpočet verejnej správy</w:t>
            </w:r>
          </w:p>
          <w:p w14:paraId="7A8BF5FD" w14:textId="77777777" w:rsidR="0040313E" w:rsidRPr="00D56DFB" w:rsidRDefault="0040313E" w:rsidP="0040313E">
            <w:pPr>
              <w:jc w:val="both"/>
              <w:rPr>
                <w:rFonts w:ascii="Times New Roman" w:hAnsi="Times New Roman" w:cs="Times New Roman"/>
                <w:sz w:val="20"/>
                <w:szCs w:val="20"/>
              </w:rPr>
            </w:pPr>
            <w:r w:rsidRPr="00D56DFB">
              <w:rPr>
                <w:rFonts w:ascii="Times New Roman" w:hAnsi="Times New Roman" w:cs="Times New Roman"/>
                <w:sz w:val="20"/>
                <w:szCs w:val="20"/>
              </w:rPr>
              <w:t>Predložený materiál uvádza negatívny aj pozitívny vplyv na rozpočet verejnej správy, ktorý je čiastočne zabezpečený. V analýze vplyvov je kvantifikovaný úbytok príjmov v sume 4 375 271 eur v roku 2024 a v sume 13 592 034 eur v roku 2025. Nárast výdavkov je kvantifikovaný v sume 400 000 eur v roku 2023, v sume 80 000 eur v roku 2024 a v sume 32 411 eur v roku 2025. Financovanie je čiastočne zabezpečené v rozpočte Sociálnej poisťovne v roku 2023 v sume 400 000 eur a v rokoch 2024 až 2025 v sume 80 000 eur. Rozpočtovo nekrytý vplyv je kvantifikovaný v roku 2024 v sume 4 375 271 eur a v roku 2025 v sume 13 544 445 eur .</w:t>
            </w:r>
          </w:p>
          <w:p w14:paraId="6668D2D5" w14:textId="77777777" w:rsidR="0040313E" w:rsidRPr="00D56DFB" w:rsidRDefault="0040313E" w:rsidP="0040313E">
            <w:pPr>
              <w:jc w:val="both"/>
              <w:rPr>
                <w:rFonts w:ascii="Times New Roman" w:hAnsi="Times New Roman" w:cs="Times New Roman"/>
                <w:sz w:val="20"/>
                <w:szCs w:val="20"/>
              </w:rPr>
            </w:pPr>
          </w:p>
          <w:p w14:paraId="5E6D332F" w14:textId="77777777" w:rsidR="0040313E" w:rsidRPr="00D56DFB" w:rsidRDefault="0040313E" w:rsidP="0040313E">
            <w:pPr>
              <w:jc w:val="both"/>
              <w:rPr>
                <w:rFonts w:ascii="Times New Roman" w:hAnsi="Times New Roman" w:cs="Times New Roman"/>
                <w:sz w:val="20"/>
                <w:szCs w:val="20"/>
              </w:rPr>
            </w:pPr>
            <w:r w:rsidRPr="00D56DFB">
              <w:rPr>
                <w:rFonts w:ascii="Times New Roman" w:hAnsi="Times New Roman" w:cs="Times New Roman"/>
                <w:sz w:val="20"/>
                <w:szCs w:val="20"/>
              </w:rPr>
              <w:t xml:space="preserve">Zníženie príjmov Sociálnej poisťovne v rokoch 2024 a 2025 predkladateľ navrhuje riešiť navýšením transferu zo štátneho rozpočtu, ktorý slúži na krytie deficitu v základnom fonde starobného poistenia. Komisia upozorňuje, že ide len o technické riešenie úbytku príjmov, nakoľko týmto vzniká negatívny nekrytý vplyv na rozpočet kapitoly VPS. V rámci PPK a MPK žiadalo MF SR doplniť relevantný návrh na úhradu zníženia príjmov, resp. zvýšenia výdavkov rozpočtu verejnej správy na príslušné rozpočtové roky. Pripomienka nebola akceptovaná s tým odôvodnením, že vplyv na VPS bude možné zohľadniť pri príprave návrhu rozpočtu verejnej správy na roky 2023 až 2025. Komisia na pripomienke naďalej </w:t>
            </w:r>
            <w:r w:rsidRPr="00D56DFB">
              <w:rPr>
                <w:rFonts w:ascii="Times New Roman" w:hAnsi="Times New Roman" w:cs="Times New Roman"/>
                <w:bCs/>
                <w:sz w:val="20"/>
                <w:szCs w:val="20"/>
              </w:rPr>
              <w:t>zásadne</w:t>
            </w:r>
            <w:r w:rsidRPr="00D56DFB">
              <w:rPr>
                <w:rFonts w:ascii="Times New Roman" w:hAnsi="Times New Roman" w:cs="Times New Roman"/>
                <w:b/>
                <w:bCs/>
                <w:sz w:val="20"/>
                <w:szCs w:val="20"/>
              </w:rPr>
              <w:t xml:space="preserve"> </w:t>
            </w:r>
            <w:r w:rsidRPr="00D56DFB">
              <w:rPr>
                <w:rFonts w:ascii="Times New Roman" w:hAnsi="Times New Roman" w:cs="Times New Roman"/>
                <w:sz w:val="20"/>
                <w:szCs w:val="20"/>
              </w:rPr>
              <w:t>trvá.</w:t>
            </w:r>
          </w:p>
          <w:p w14:paraId="1E516AF1" w14:textId="77777777" w:rsidR="0040313E" w:rsidRPr="00D56DFB" w:rsidRDefault="0040313E" w:rsidP="0040313E">
            <w:pPr>
              <w:jc w:val="both"/>
              <w:rPr>
                <w:rFonts w:ascii="Times New Roman" w:hAnsi="Times New Roman" w:cs="Times New Roman"/>
                <w:sz w:val="20"/>
                <w:szCs w:val="20"/>
              </w:rPr>
            </w:pPr>
          </w:p>
          <w:p w14:paraId="3480635D" w14:textId="77777777" w:rsidR="0040313E" w:rsidRPr="00D56DFB" w:rsidRDefault="0040313E" w:rsidP="0040313E">
            <w:pPr>
              <w:jc w:val="both"/>
              <w:rPr>
                <w:rFonts w:ascii="Times New Roman" w:hAnsi="Times New Roman" w:cs="Times New Roman"/>
                <w:i/>
                <w:sz w:val="20"/>
                <w:szCs w:val="20"/>
              </w:rPr>
            </w:pPr>
            <w:r w:rsidRPr="00D56DFB">
              <w:rPr>
                <w:rFonts w:ascii="Times New Roman" w:hAnsi="Times New Roman" w:cs="Times New Roman"/>
                <w:bCs/>
                <w:i/>
                <w:sz w:val="20"/>
                <w:szCs w:val="20"/>
              </w:rPr>
              <w:t xml:space="preserve">MPSVR SR: Neakceptované. </w:t>
            </w:r>
            <w:r w:rsidRPr="00D56DFB">
              <w:rPr>
                <w:rFonts w:ascii="Times New Roman" w:hAnsi="Times New Roman" w:cs="Times New Roman"/>
                <w:i/>
                <w:sz w:val="20"/>
                <w:szCs w:val="20"/>
              </w:rPr>
              <w:t>Predkladateľ v analýze vplyvov na rozpočet verejnej správy navrhol riešiť zníženie príjmov v rokoch 2024 a 2025 navýšením transferu zo štátneho rozpočtu, ktorý slúži na krytie deficitu v základnom fonde starobného poistenia. Tento vplyv je preto možné zohľadniť pri príprave štátneho rozpočtu na nasledujúce rozpočtové obdobie, ktorý je možné kompenzovať prostredníctvom vyšších daňových príjmov, ktoré predpokladá Výbor pre makroekonomické prognózy z júna 2022.</w:t>
            </w:r>
          </w:p>
          <w:p w14:paraId="3C70A906" w14:textId="77777777" w:rsidR="0040313E" w:rsidRPr="00D56DFB" w:rsidRDefault="0040313E" w:rsidP="0040313E">
            <w:pPr>
              <w:jc w:val="both"/>
              <w:rPr>
                <w:rFonts w:ascii="Times New Roman" w:hAnsi="Times New Roman" w:cs="Times New Roman"/>
                <w:sz w:val="20"/>
                <w:szCs w:val="20"/>
              </w:rPr>
            </w:pPr>
          </w:p>
          <w:p w14:paraId="49111489" w14:textId="77777777" w:rsidR="0040313E" w:rsidRPr="00D56DFB" w:rsidRDefault="0040313E" w:rsidP="0040313E">
            <w:pPr>
              <w:jc w:val="both"/>
              <w:rPr>
                <w:rFonts w:ascii="Times New Roman" w:hAnsi="Times New Roman" w:cs="Times New Roman"/>
                <w:sz w:val="20"/>
                <w:szCs w:val="20"/>
              </w:rPr>
            </w:pPr>
            <w:r w:rsidRPr="00D56DFB">
              <w:rPr>
                <w:rFonts w:ascii="Times New Roman" w:hAnsi="Times New Roman" w:cs="Times New Roman"/>
                <w:sz w:val="20"/>
                <w:szCs w:val="20"/>
              </w:rPr>
              <w:t>Komisia trvá na doplnení návrhu zákona o zavedenie automatického vstupu do II. piliera pre všetkých nových a aktuálnych sólo poistencov do 35 rokov (prípadne viac), s možnosťou participácie len v I. pilieri, ak sa tak poistenec aktívne rozhodne.</w:t>
            </w:r>
          </w:p>
          <w:p w14:paraId="2F4D9EF1" w14:textId="77777777" w:rsidR="0040313E" w:rsidRPr="00D56DFB" w:rsidRDefault="0040313E" w:rsidP="0040313E">
            <w:pPr>
              <w:jc w:val="both"/>
              <w:rPr>
                <w:rFonts w:ascii="Times New Roman" w:hAnsi="Times New Roman" w:cs="Times New Roman"/>
                <w:sz w:val="20"/>
                <w:szCs w:val="20"/>
              </w:rPr>
            </w:pPr>
            <w:r w:rsidRPr="00D56DFB">
              <w:rPr>
                <w:rFonts w:ascii="Times New Roman" w:hAnsi="Times New Roman" w:cs="Times New Roman"/>
                <w:sz w:val="20"/>
                <w:szCs w:val="20"/>
                <w:u w:val="single"/>
              </w:rPr>
              <w:t>Odôvodnenie:</w:t>
            </w:r>
            <w:r w:rsidRPr="00D56DFB">
              <w:rPr>
                <w:rFonts w:ascii="Times New Roman" w:hAnsi="Times New Roman" w:cs="Times New Roman"/>
                <w:sz w:val="20"/>
                <w:szCs w:val="20"/>
              </w:rPr>
              <w:t xml:space="preserve"> Zavedenie automatického vstupu do II. piliera, s možnosťou vystúpenia, je v súlade s Programovým vyhlásením vlády SR na roky 2021 – 2024, ako aj Národným programom reforiem Slovenskej republiky na rok 2022 a Programom stability Slovenskej republiky na roky 2022 až 2025. Návrh zákona, ktorý bol na základe predložených pripomienok, priebehu a výsledkov rozporových konaní s inými subjektmi upravený, výrazným spôsobom zlepšuje efektívnosť fungovania II. piliera a zvyšuje priemerný dlhodobý výnos pre sporiteľov. Zavedenie automatického vstupu do II. piliera, ktorý má preukázateľne pozitívny vplyv na priemernú celkovú mieru náhrady príjmu dôchodkom poistencov, prispieva k diverzifikácii dôchodkových príjmov poistencov v starobe a prenášalo časť rizika dlhovekosti na súkromných poskytovateľov dôchodkov, je o to viac opodstatnené. Z daných dôvodov je Komisia presvedčená o potrebe jeho zavedenia a naďalej na tom</w:t>
            </w:r>
            <w:r w:rsidRPr="00D56DFB">
              <w:rPr>
                <w:rFonts w:ascii="Times New Roman" w:hAnsi="Times New Roman" w:cs="Times New Roman"/>
                <w:b/>
                <w:bCs/>
                <w:sz w:val="20"/>
                <w:szCs w:val="20"/>
              </w:rPr>
              <w:t xml:space="preserve"> </w:t>
            </w:r>
            <w:r w:rsidRPr="00D56DFB">
              <w:rPr>
                <w:rFonts w:ascii="Times New Roman" w:hAnsi="Times New Roman" w:cs="Times New Roman"/>
                <w:bCs/>
                <w:sz w:val="20"/>
                <w:szCs w:val="20"/>
              </w:rPr>
              <w:t>zásadne</w:t>
            </w:r>
            <w:r w:rsidRPr="00D56DFB">
              <w:rPr>
                <w:rFonts w:ascii="Times New Roman" w:hAnsi="Times New Roman" w:cs="Times New Roman"/>
                <w:sz w:val="20"/>
                <w:szCs w:val="20"/>
              </w:rPr>
              <w:t xml:space="preserve"> trvá.</w:t>
            </w:r>
          </w:p>
          <w:p w14:paraId="4FD74EDA" w14:textId="77777777" w:rsidR="0040313E" w:rsidRPr="00D56DFB" w:rsidRDefault="0040313E" w:rsidP="0040313E">
            <w:pPr>
              <w:jc w:val="both"/>
              <w:rPr>
                <w:rFonts w:ascii="Times New Roman" w:hAnsi="Times New Roman" w:cs="Times New Roman"/>
                <w:sz w:val="20"/>
                <w:szCs w:val="20"/>
              </w:rPr>
            </w:pPr>
          </w:p>
          <w:p w14:paraId="11F8F018" w14:textId="77777777" w:rsidR="0040313E" w:rsidRPr="00D56DFB" w:rsidRDefault="0040313E" w:rsidP="0040313E">
            <w:pPr>
              <w:jc w:val="both"/>
              <w:rPr>
                <w:rFonts w:ascii="Times New Roman" w:hAnsi="Times New Roman" w:cs="Times New Roman"/>
                <w:i/>
                <w:sz w:val="20"/>
                <w:szCs w:val="20"/>
              </w:rPr>
            </w:pPr>
            <w:r w:rsidRPr="00D56DFB">
              <w:rPr>
                <w:rFonts w:ascii="Times New Roman" w:hAnsi="Times New Roman" w:cs="Times New Roman"/>
                <w:i/>
                <w:sz w:val="20"/>
                <w:szCs w:val="20"/>
              </w:rPr>
              <w:t xml:space="preserve">MPSVR SR: Neakceptované. Na základe Jednotnej metodiky na posudzovanie vybraných vplyvov je cieľom záverečného posúdenia vybraných vplyvov zhodnotiť, či predkladateľom identifikované a analyzované vplyvy materiálu sú uvedené reálne a predkladateľ vykonal posúdenie vplyvov v rámci procesu ustanoveného touto </w:t>
            </w:r>
            <w:r w:rsidRPr="00D56DFB">
              <w:rPr>
                <w:rFonts w:ascii="Times New Roman" w:hAnsi="Times New Roman" w:cs="Times New Roman"/>
                <w:i/>
                <w:sz w:val="20"/>
                <w:szCs w:val="20"/>
              </w:rPr>
              <w:lastRenderedPageBreak/>
              <w:t>metodikou v dostatočnom rozsahu a či identifikoval všetky vplyvy a dotknuté subjekty. Z uvedeného vyplýva, že pripomienka je nad rámec účelu záverečného posúdenia vybraných vplyvov.</w:t>
            </w:r>
          </w:p>
          <w:p w14:paraId="161F759B" w14:textId="77777777" w:rsidR="0040313E" w:rsidRPr="00D56DFB" w:rsidRDefault="0040313E" w:rsidP="0040313E">
            <w:pPr>
              <w:jc w:val="both"/>
              <w:rPr>
                <w:rFonts w:ascii="Times New Roman" w:hAnsi="Times New Roman" w:cs="Times New Roman"/>
                <w:sz w:val="20"/>
                <w:szCs w:val="20"/>
              </w:rPr>
            </w:pPr>
          </w:p>
          <w:p w14:paraId="4FEF6737" w14:textId="77777777" w:rsidR="0040313E" w:rsidRPr="00D56DFB" w:rsidRDefault="0040313E" w:rsidP="0040313E">
            <w:pPr>
              <w:jc w:val="both"/>
              <w:rPr>
                <w:rFonts w:ascii="Times New Roman" w:hAnsi="Times New Roman" w:cs="Times New Roman"/>
                <w:sz w:val="20"/>
                <w:szCs w:val="20"/>
              </w:rPr>
            </w:pPr>
            <w:r w:rsidRPr="00D56DFB">
              <w:rPr>
                <w:rFonts w:ascii="Times New Roman" w:hAnsi="Times New Roman" w:cs="Times New Roman"/>
                <w:sz w:val="20"/>
                <w:szCs w:val="20"/>
              </w:rPr>
              <w:t>V doložke vplyvov na rozpočet verejnej správy sa slovne uvádza potreba kapitálových výdavkov na zabezpečenie nového informačného systému, v odhadovaných objemoch sú však tieto výdavky vykázané ako prevádzkové. Komisia odporúča zjednotiť, o aký charakter výdavkov sa jedná.</w:t>
            </w:r>
          </w:p>
          <w:p w14:paraId="2E5793C1" w14:textId="77777777" w:rsidR="0040313E" w:rsidRPr="00D56DFB" w:rsidRDefault="0040313E" w:rsidP="0040313E">
            <w:pPr>
              <w:jc w:val="both"/>
              <w:rPr>
                <w:rFonts w:ascii="Times New Roman" w:hAnsi="Times New Roman" w:cs="Times New Roman"/>
                <w:sz w:val="20"/>
                <w:szCs w:val="20"/>
              </w:rPr>
            </w:pPr>
          </w:p>
          <w:p w14:paraId="70CC26BB" w14:textId="77777777" w:rsidR="0040313E" w:rsidRPr="00D56DFB" w:rsidRDefault="0040313E" w:rsidP="0040313E">
            <w:pPr>
              <w:jc w:val="both"/>
              <w:rPr>
                <w:rFonts w:ascii="Times New Roman" w:hAnsi="Times New Roman" w:cs="Times New Roman"/>
                <w:i/>
                <w:sz w:val="20"/>
                <w:szCs w:val="20"/>
              </w:rPr>
            </w:pPr>
            <w:r w:rsidRPr="00D56DFB">
              <w:rPr>
                <w:rFonts w:ascii="Times New Roman" w:hAnsi="Times New Roman" w:cs="Times New Roman"/>
                <w:i/>
                <w:sz w:val="20"/>
                <w:szCs w:val="20"/>
              </w:rPr>
              <w:t xml:space="preserve">MPSVR: Akceptované. Predkladateľ upraví analýzu vplyvov na rozpočet verejnej správy tak aby bolo jasné, že navrhovaná úprava má dopad na prevádzkové náklady.  </w:t>
            </w:r>
          </w:p>
          <w:p w14:paraId="62F6C90B" w14:textId="77777777" w:rsidR="0040313E" w:rsidRPr="00D56DFB" w:rsidRDefault="0040313E" w:rsidP="0040313E">
            <w:pPr>
              <w:jc w:val="both"/>
              <w:rPr>
                <w:rFonts w:ascii="Times New Roman" w:hAnsi="Times New Roman" w:cs="Times New Roman"/>
                <w:b/>
                <w:bCs/>
                <w:sz w:val="20"/>
                <w:szCs w:val="20"/>
              </w:rPr>
            </w:pPr>
          </w:p>
          <w:p w14:paraId="308BA79A" w14:textId="77777777" w:rsidR="0040313E" w:rsidRPr="00D56DFB" w:rsidRDefault="0040313E" w:rsidP="0040313E">
            <w:pPr>
              <w:jc w:val="both"/>
              <w:rPr>
                <w:rFonts w:ascii="Times New Roman" w:hAnsi="Times New Roman" w:cs="Times New Roman"/>
                <w:bCs/>
                <w:sz w:val="20"/>
                <w:szCs w:val="20"/>
              </w:rPr>
            </w:pPr>
            <w:r w:rsidRPr="00D56DFB">
              <w:rPr>
                <w:rFonts w:ascii="Times New Roman" w:hAnsi="Times New Roman" w:cs="Times New Roman"/>
                <w:b/>
                <w:bCs/>
                <w:sz w:val="20"/>
                <w:szCs w:val="20"/>
              </w:rPr>
              <w:t xml:space="preserve">III. Záver: </w:t>
            </w:r>
            <w:r w:rsidRPr="00D56DFB">
              <w:rPr>
                <w:rFonts w:ascii="Times New Roman" w:hAnsi="Times New Roman" w:cs="Times New Roman"/>
                <w:bCs/>
                <w:sz w:val="20"/>
                <w:szCs w:val="20"/>
              </w:rPr>
              <w:t xml:space="preserve">Stála pracovná komisia na posudzovanie vybraných vplyvov vyjadruje </w:t>
            </w:r>
          </w:p>
          <w:p w14:paraId="78A99B67" w14:textId="77777777" w:rsidR="0040313E" w:rsidRPr="00D56DFB" w:rsidRDefault="0040313E" w:rsidP="0040313E">
            <w:pPr>
              <w:tabs>
                <w:tab w:val="center" w:pos="6379"/>
              </w:tabs>
              <w:jc w:val="center"/>
              <w:rPr>
                <w:rFonts w:ascii="Times New Roman" w:hAnsi="Times New Roman" w:cs="Times New Roman"/>
                <w:b/>
                <w:bCs/>
                <w:sz w:val="20"/>
                <w:szCs w:val="20"/>
              </w:rPr>
            </w:pPr>
          </w:p>
          <w:p w14:paraId="1DBBC42B" w14:textId="77777777" w:rsidR="0040313E" w:rsidRPr="00D56DFB" w:rsidRDefault="0040313E" w:rsidP="0040313E">
            <w:pPr>
              <w:tabs>
                <w:tab w:val="center" w:pos="6379"/>
              </w:tabs>
              <w:jc w:val="center"/>
              <w:rPr>
                <w:rFonts w:ascii="Times New Roman" w:hAnsi="Times New Roman" w:cs="Times New Roman"/>
                <w:bCs/>
                <w:sz w:val="20"/>
                <w:szCs w:val="20"/>
              </w:rPr>
            </w:pPr>
            <w:r w:rsidRPr="00D56DFB">
              <w:rPr>
                <w:rFonts w:ascii="Times New Roman" w:hAnsi="Times New Roman" w:cs="Times New Roman"/>
                <w:b/>
                <w:bCs/>
                <w:sz w:val="20"/>
                <w:szCs w:val="20"/>
              </w:rPr>
              <w:t>nesúhlasné stanovisko</w:t>
            </w:r>
          </w:p>
          <w:p w14:paraId="476161F0" w14:textId="77777777" w:rsidR="0040313E" w:rsidRPr="00D56DFB" w:rsidRDefault="0040313E" w:rsidP="0040313E">
            <w:pPr>
              <w:tabs>
                <w:tab w:val="center" w:pos="6379"/>
              </w:tabs>
              <w:jc w:val="both"/>
              <w:rPr>
                <w:rFonts w:ascii="Times New Roman" w:hAnsi="Times New Roman" w:cs="Times New Roman"/>
                <w:bCs/>
                <w:sz w:val="20"/>
                <w:szCs w:val="20"/>
              </w:rPr>
            </w:pPr>
          </w:p>
          <w:p w14:paraId="7DF7167D" w14:textId="77777777" w:rsidR="0040313E" w:rsidRPr="00D56DFB" w:rsidRDefault="0040313E" w:rsidP="0040313E">
            <w:pPr>
              <w:tabs>
                <w:tab w:val="center" w:pos="6379"/>
              </w:tabs>
              <w:jc w:val="both"/>
              <w:rPr>
                <w:rFonts w:ascii="Times New Roman" w:hAnsi="Times New Roman" w:cs="Times New Roman"/>
                <w:b/>
                <w:bCs/>
                <w:sz w:val="20"/>
                <w:szCs w:val="20"/>
              </w:rPr>
            </w:pPr>
            <w:r w:rsidRPr="00D56DFB">
              <w:rPr>
                <w:rFonts w:ascii="Times New Roman" w:hAnsi="Times New Roman" w:cs="Times New Roman"/>
                <w:bCs/>
                <w:sz w:val="20"/>
                <w:szCs w:val="20"/>
              </w:rPr>
              <w:t>s materiálom predloženým na záverečné posúdenie.</w:t>
            </w:r>
          </w:p>
          <w:p w14:paraId="0B26C59B" w14:textId="77777777" w:rsidR="0040313E" w:rsidRPr="00D56DFB" w:rsidRDefault="0040313E" w:rsidP="0040313E">
            <w:pPr>
              <w:jc w:val="both"/>
              <w:rPr>
                <w:rFonts w:ascii="Times New Roman" w:hAnsi="Times New Roman" w:cs="Times New Roman"/>
                <w:b/>
                <w:bCs/>
                <w:sz w:val="20"/>
                <w:szCs w:val="20"/>
              </w:rPr>
            </w:pPr>
          </w:p>
          <w:p w14:paraId="69777916" w14:textId="77777777" w:rsidR="0040313E" w:rsidRPr="00D56DFB" w:rsidRDefault="0040313E" w:rsidP="0040313E">
            <w:pPr>
              <w:jc w:val="both"/>
              <w:rPr>
                <w:rFonts w:ascii="Times New Roman" w:hAnsi="Times New Roman" w:cs="Times New Roman"/>
                <w:iCs/>
                <w:sz w:val="20"/>
                <w:szCs w:val="20"/>
              </w:rPr>
            </w:pPr>
            <w:r w:rsidRPr="00D56DFB">
              <w:rPr>
                <w:rFonts w:ascii="Times New Roman" w:hAnsi="Times New Roman" w:cs="Times New Roman"/>
                <w:b/>
                <w:bCs/>
                <w:sz w:val="20"/>
                <w:szCs w:val="20"/>
              </w:rPr>
              <w:t>IV. Poznámka:</w:t>
            </w:r>
            <w:r w:rsidRPr="00D56DFB">
              <w:rPr>
                <w:rFonts w:ascii="Times New Roman" w:hAnsi="Times New Roman" w:cs="Times New Roman"/>
                <w:iCs/>
                <w:sz w:val="20"/>
                <w:szCs w:val="20"/>
              </w:rPr>
              <w:t xml:space="preserve"> Predkladateľ zapracuje pripomienky a odporúčania na úpravu uvedené v bode II a uvedie stanovisko Komisie do doložky vybraných vplyvov spolu s vyhodnotením pripomienok.</w:t>
            </w:r>
          </w:p>
          <w:p w14:paraId="276D4086" w14:textId="77777777" w:rsidR="0040313E" w:rsidRPr="00D56DFB" w:rsidRDefault="0040313E" w:rsidP="0040313E">
            <w:pPr>
              <w:pStyle w:val="Zkladntext"/>
              <w:spacing w:after="0"/>
              <w:jc w:val="both"/>
              <w:rPr>
                <w:rFonts w:ascii="Times New Roman" w:hAnsi="Times New Roman" w:cs="Times New Roman"/>
                <w:sz w:val="20"/>
                <w:szCs w:val="20"/>
              </w:rPr>
            </w:pPr>
          </w:p>
          <w:p w14:paraId="25510E00" w14:textId="77777777" w:rsidR="0040313E" w:rsidRPr="00D56DFB" w:rsidRDefault="0040313E" w:rsidP="0040313E">
            <w:pPr>
              <w:pStyle w:val="Zkladntext"/>
              <w:spacing w:after="0"/>
              <w:jc w:val="both"/>
              <w:rPr>
                <w:rFonts w:ascii="Times New Roman" w:hAnsi="Times New Roman" w:cs="Times New Roman"/>
                <w:b/>
                <w:bCs/>
                <w:sz w:val="20"/>
                <w:szCs w:val="20"/>
              </w:rPr>
            </w:pPr>
            <w:r w:rsidRPr="00D56DFB">
              <w:rPr>
                <w:rFonts w:ascii="Times New Roman" w:hAnsi="Times New Roman" w:cs="Times New Roman"/>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3192EE1E" w14:textId="77777777" w:rsidR="0040313E" w:rsidRPr="00D56DFB" w:rsidRDefault="0040313E" w:rsidP="0040313E">
            <w:pPr>
              <w:jc w:val="both"/>
              <w:rPr>
                <w:rFonts w:ascii="Times New Roman" w:hAnsi="Times New Roman" w:cs="Times New Roman"/>
                <w:iCs/>
                <w:sz w:val="20"/>
                <w:szCs w:val="20"/>
              </w:rPr>
            </w:pPr>
          </w:p>
          <w:p w14:paraId="6CC5BFC0" w14:textId="77777777" w:rsidR="0040313E" w:rsidRPr="00D56DFB" w:rsidRDefault="0040313E" w:rsidP="0040313E">
            <w:pPr>
              <w:jc w:val="both"/>
              <w:rPr>
                <w:rFonts w:ascii="Times New Roman" w:hAnsi="Times New Roman" w:cs="Times New Roman"/>
                <w:iCs/>
                <w:sz w:val="20"/>
                <w:szCs w:val="20"/>
              </w:rPr>
            </w:pPr>
          </w:p>
          <w:p w14:paraId="795A1432" w14:textId="77777777" w:rsidR="0040313E" w:rsidRPr="00D56DFB" w:rsidRDefault="0040313E" w:rsidP="0040313E">
            <w:pPr>
              <w:jc w:val="both"/>
              <w:rPr>
                <w:rFonts w:ascii="Times New Roman" w:hAnsi="Times New Roman" w:cs="Times New Roman"/>
                <w:iCs/>
                <w:sz w:val="20"/>
                <w:szCs w:val="20"/>
              </w:rPr>
            </w:pPr>
          </w:p>
          <w:p w14:paraId="0FC5AE4A" w14:textId="77777777" w:rsidR="0040313E" w:rsidRPr="00D56DFB" w:rsidRDefault="0040313E" w:rsidP="0040313E">
            <w:pPr>
              <w:jc w:val="both"/>
              <w:rPr>
                <w:rFonts w:ascii="Times New Roman" w:hAnsi="Times New Roman" w:cs="Times New Roman"/>
                <w:iCs/>
                <w:sz w:val="20"/>
                <w:szCs w:val="20"/>
              </w:rPr>
            </w:pPr>
          </w:p>
          <w:p w14:paraId="2DBC048E" w14:textId="77777777" w:rsidR="0040313E" w:rsidRPr="00D56DFB" w:rsidRDefault="0040313E" w:rsidP="0040313E">
            <w:pPr>
              <w:tabs>
                <w:tab w:val="center" w:pos="6379"/>
              </w:tabs>
              <w:ind w:left="4536" w:right="-2"/>
              <w:jc w:val="center"/>
              <w:rPr>
                <w:rFonts w:ascii="Times New Roman" w:hAnsi="Times New Roman" w:cs="Times New Roman"/>
                <w:sz w:val="20"/>
                <w:szCs w:val="20"/>
              </w:rPr>
            </w:pPr>
            <w:r w:rsidRPr="00D56DFB">
              <w:rPr>
                <w:rFonts w:ascii="Times New Roman" w:hAnsi="Times New Roman" w:cs="Times New Roman"/>
                <w:b/>
                <w:bCs/>
                <w:sz w:val="20"/>
                <w:szCs w:val="20"/>
              </w:rPr>
              <w:t>PhDr. Ján Oravec, CSc.</w:t>
            </w:r>
          </w:p>
          <w:p w14:paraId="210793DB" w14:textId="77777777" w:rsidR="0040313E" w:rsidRPr="00D56DFB" w:rsidRDefault="0040313E" w:rsidP="0040313E">
            <w:pPr>
              <w:tabs>
                <w:tab w:val="center" w:pos="6379"/>
              </w:tabs>
              <w:ind w:left="4536" w:right="-2"/>
              <w:jc w:val="center"/>
              <w:rPr>
                <w:rFonts w:ascii="Times New Roman" w:hAnsi="Times New Roman" w:cs="Times New Roman"/>
                <w:sz w:val="20"/>
                <w:szCs w:val="20"/>
              </w:rPr>
            </w:pPr>
            <w:r w:rsidRPr="00D56DFB">
              <w:rPr>
                <w:rFonts w:ascii="Times New Roman" w:hAnsi="Times New Roman" w:cs="Times New Roman"/>
                <w:bCs/>
                <w:sz w:val="20"/>
                <w:szCs w:val="20"/>
              </w:rPr>
              <w:t>predseda Komisie</w:t>
            </w:r>
          </w:p>
          <w:p w14:paraId="3ABFEAFC" w14:textId="77777777" w:rsidR="0040313E" w:rsidRDefault="0040313E" w:rsidP="0040313E"/>
          <w:p w14:paraId="673F9FC7" w14:textId="77777777" w:rsidR="0040313E" w:rsidRPr="00B043B4" w:rsidRDefault="0040313E" w:rsidP="000800FC">
            <w:pPr>
              <w:rPr>
                <w:rFonts w:ascii="Times New Roman" w:eastAsia="Times New Roman" w:hAnsi="Times New Roman" w:cs="Times New Roman"/>
                <w:b/>
                <w:sz w:val="20"/>
                <w:szCs w:val="20"/>
                <w:lang w:eastAsia="sk-SK"/>
              </w:rPr>
            </w:pPr>
          </w:p>
          <w:p w14:paraId="5DE2319F" w14:textId="77777777" w:rsidR="001B23B7" w:rsidRPr="00B043B4" w:rsidRDefault="001B23B7" w:rsidP="000800FC">
            <w:pPr>
              <w:rPr>
                <w:rFonts w:ascii="Times New Roman" w:eastAsia="Times New Roman" w:hAnsi="Times New Roman" w:cs="Times New Roman"/>
                <w:b/>
                <w:sz w:val="20"/>
                <w:szCs w:val="20"/>
                <w:lang w:eastAsia="sk-SK"/>
              </w:rPr>
            </w:pPr>
          </w:p>
        </w:tc>
      </w:tr>
    </w:tbl>
    <w:p w14:paraId="3073AEE1" w14:textId="77777777" w:rsidR="00274130" w:rsidRDefault="005A05A9"/>
    <w:sectPr w:rsidR="00274130" w:rsidSect="001E35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F8A9" w14:textId="77777777" w:rsidR="005A05A9" w:rsidRDefault="005A05A9" w:rsidP="001B23B7">
      <w:pPr>
        <w:spacing w:after="0" w:line="240" w:lineRule="auto"/>
      </w:pPr>
      <w:r>
        <w:separator/>
      </w:r>
    </w:p>
  </w:endnote>
  <w:endnote w:type="continuationSeparator" w:id="0">
    <w:p w14:paraId="241DFE79" w14:textId="77777777" w:rsidR="005A05A9" w:rsidRDefault="005A05A9"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189E42E9" w14:textId="6DDC061A"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02B2E">
          <w:rPr>
            <w:rFonts w:ascii="Times New Roman" w:hAnsi="Times New Roman" w:cs="Times New Roman"/>
            <w:noProof/>
            <w:sz w:val="24"/>
            <w:szCs w:val="24"/>
          </w:rPr>
          <w:t>10</w:t>
        </w:r>
        <w:r w:rsidRPr="006045CB">
          <w:rPr>
            <w:rFonts w:ascii="Times New Roman" w:hAnsi="Times New Roman" w:cs="Times New Roman"/>
            <w:sz w:val="24"/>
            <w:szCs w:val="24"/>
          </w:rPr>
          <w:fldChar w:fldCharType="end"/>
        </w:r>
      </w:p>
    </w:sdtContent>
  </w:sdt>
  <w:p w14:paraId="0A79B5F2"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88CD0" w14:textId="77777777" w:rsidR="005A05A9" w:rsidRDefault="005A05A9" w:rsidP="001B23B7">
      <w:pPr>
        <w:spacing w:after="0" w:line="240" w:lineRule="auto"/>
      </w:pPr>
      <w:r>
        <w:separator/>
      </w:r>
    </w:p>
  </w:footnote>
  <w:footnote w:type="continuationSeparator" w:id="0">
    <w:p w14:paraId="18899685" w14:textId="77777777" w:rsidR="005A05A9" w:rsidRDefault="005A05A9"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F883443"/>
    <w:multiLevelType w:val="hybridMultilevel"/>
    <w:tmpl w:val="6988F2DA"/>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 w15:restartNumberingAfterBreak="0">
    <w:nsid w:val="36E93D1A"/>
    <w:multiLevelType w:val="hybridMultilevel"/>
    <w:tmpl w:val="71123BFE"/>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862909"/>
    <w:multiLevelType w:val="multilevel"/>
    <w:tmpl w:val="55AE77E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4D771AD8"/>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 w15:restartNumberingAfterBreak="0">
    <w:nsid w:val="59F96DE0"/>
    <w:multiLevelType w:val="hybridMultilevel"/>
    <w:tmpl w:val="D306257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1CD0DBB"/>
    <w:multiLevelType w:val="hybridMultilevel"/>
    <w:tmpl w:val="3872F3DC"/>
    <w:lvl w:ilvl="0" w:tplc="747C203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7BDE54EF"/>
    <w:multiLevelType w:val="hybridMultilevel"/>
    <w:tmpl w:val="55AE77E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8"/>
  </w:num>
  <w:num w:numId="2">
    <w:abstractNumId w:val="3"/>
  </w:num>
  <w:num w:numId="3">
    <w:abstractNumId w:val="7"/>
  </w:num>
  <w:num w:numId="4">
    <w:abstractNumId w:val="2"/>
  </w:num>
  <w:num w:numId="5">
    <w:abstractNumId w:val="6"/>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7C76"/>
    <w:rsid w:val="0003337F"/>
    <w:rsid w:val="000427BC"/>
    <w:rsid w:val="00043706"/>
    <w:rsid w:val="0004402E"/>
    <w:rsid w:val="00052454"/>
    <w:rsid w:val="000634C4"/>
    <w:rsid w:val="00085372"/>
    <w:rsid w:val="0009247C"/>
    <w:rsid w:val="00097069"/>
    <w:rsid w:val="000D47CB"/>
    <w:rsid w:val="000D581E"/>
    <w:rsid w:val="000E57CA"/>
    <w:rsid w:val="000F0AD1"/>
    <w:rsid w:val="000F19DD"/>
    <w:rsid w:val="000F2BE9"/>
    <w:rsid w:val="00102B2E"/>
    <w:rsid w:val="00124185"/>
    <w:rsid w:val="00133041"/>
    <w:rsid w:val="00147F01"/>
    <w:rsid w:val="0015459E"/>
    <w:rsid w:val="00163809"/>
    <w:rsid w:val="001649C7"/>
    <w:rsid w:val="00165989"/>
    <w:rsid w:val="001708C1"/>
    <w:rsid w:val="0017543B"/>
    <w:rsid w:val="001811B6"/>
    <w:rsid w:val="00185225"/>
    <w:rsid w:val="001934A5"/>
    <w:rsid w:val="001B23B7"/>
    <w:rsid w:val="001C51AE"/>
    <w:rsid w:val="001E3562"/>
    <w:rsid w:val="001E5578"/>
    <w:rsid w:val="00203EE3"/>
    <w:rsid w:val="00204FDC"/>
    <w:rsid w:val="002142C3"/>
    <w:rsid w:val="002168CB"/>
    <w:rsid w:val="00224BE3"/>
    <w:rsid w:val="0023360B"/>
    <w:rsid w:val="002374D3"/>
    <w:rsid w:val="00243652"/>
    <w:rsid w:val="00243B9E"/>
    <w:rsid w:val="00252173"/>
    <w:rsid w:val="00254582"/>
    <w:rsid w:val="00256F87"/>
    <w:rsid w:val="0026607A"/>
    <w:rsid w:val="00274C11"/>
    <w:rsid w:val="002A792E"/>
    <w:rsid w:val="002B2A10"/>
    <w:rsid w:val="002E6B2A"/>
    <w:rsid w:val="00302A63"/>
    <w:rsid w:val="00325498"/>
    <w:rsid w:val="00334A51"/>
    <w:rsid w:val="0034420B"/>
    <w:rsid w:val="00365CFD"/>
    <w:rsid w:val="00384DD6"/>
    <w:rsid w:val="003A057B"/>
    <w:rsid w:val="003B0A00"/>
    <w:rsid w:val="003B635A"/>
    <w:rsid w:val="003C14AC"/>
    <w:rsid w:val="003E545D"/>
    <w:rsid w:val="0040313E"/>
    <w:rsid w:val="004110A5"/>
    <w:rsid w:val="00414298"/>
    <w:rsid w:val="00464922"/>
    <w:rsid w:val="00481D1B"/>
    <w:rsid w:val="0049476D"/>
    <w:rsid w:val="004A4383"/>
    <w:rsid w:val="004A4E31"/>
    <w:rsid w:val="004C27C3"/>
    <w:rsid w:val="004C5E06"/>
    <w:rsid w:val="004E2A99"/>
    <w:rsid w:val="004F0A71"/>
    <w:rsid w:val="00523661"/>
    <w:rsid w:val="00525CEE"/>
    <w:rsid w:val="00526554"/>
    <w:rsid w:val="005349A6"/>
    <w:rsid w:val="00534A35"/>
    <w:rsid w:val="005478C8"/>
    <w:rsid w:val="00586B11"/>
    <w:rsid w:val="00591EC6"/>
    <w:rsid w:val="005A05A9"/>
    <w:rsid w:val="005C55CF"/>
    <w:rsid w:val="005D66F8"/>
    <w:rsid w:val="005E0E7C"/>
    <w:rsid w:val="006411FD"/>
    <w:rsid w:val="0065437F"/>
    <w:rsid w:val="006775DD"/>
    <w:rsid w:val="006862DE"/>
    <w:rsid w:val="00691CB6"/>
    <w:rsid w:val="006C78D9"/>
    <w:rsid w:val="006E19A2"/>
    <w:rsid w:val="006F678E"/>
    <w:rsid w:val="00720322"/>
    <w:rsid w:val="0072572C"/>
    <w:rsid w:val="0075197E"/>
    <w:rsid w:val="00761208"/>
    <w:rsid w:val="007660CD"/>
    <w:rsid w:val="007923B4"/>
    <w:rsid w:val="007A6BAD"/>
    <w:rsid w:val="007B40C1"/>
    <w:rsid w:val="007F2355"/>
    <w:rsid w:val="00821F1C"/>
    <w:rsid w:val="0085382F"/>
    <w:rsid w:val="00865E81"/>
    <w:rsid w:val="008801B5"/>
    <w:rsid w:val="00881C5B"/>
    <w:rsid w:val="008B222D"/>
    <w:rsid w:val="008C79B7"/>
    <w:rsid w:val="008D6C2B"/>
    <w:rsid w:val="00925594"/>
    <w:rsid w:val="009372D2"/>
    <w:rsid w:val="009431E3"/>
    <w:rsid w:val="009475F5"/>
    <w:rsid w:val="009717F5"/>
    <w:rsid w:val="009A1D81"/>
    <w:rsid w:val="009C424C"/>
    <w:rsid w:val="009E09F7"/>
    <w:rsid w:val="009F29D8"/>
    <w:rsid w:val="009F4832"/>
    <w:rsid w:val="00A0325A"/>
    <w:rsid w:val="00A11687"/>
    <w:rsid w:val="00A24716"/>
    <w:rsid w:val="00A340BB"/>
    <w:rsid w:val="00A5624A"/>
    <w:rsid w:val="00A80C8D"/>
    <w:rsid w:val="00A9028A"/>
    <w:rsid w:val="00AC161D"/>
    <w:rsid w:val="00AC30D6"/>
    <w:rsid w:val="00AC7B9C"/>
    <w:rsid w:val="00B0051F"/>
    <w:rsid w:val="00B1076E"/>
    <w:rsid w:val="00B10781"/>
    <w:rsid w:val="00B15A09"/>
    <w:rsid w:val="00B20F3E"/>
    <w:rsid w:val="00B547F5"/>
    <w:rsid w:val="00B84F87"/>
    <w:rsid w:val="00BA2BF4"/>
    <w:rsid w:val="00BC68B9"/>
    <w:rsid w:val="00C10B3D"/>
    <w:rsid w:val="00C10DAC"/>
    <w:rsid w:val="00C141F8"/>
    <w:rsid w:val="00C15283"/>
    <w:rsid w:val="00C201C0"/>
    <w:rsid w:val="00C403E6"/>
    <w:rsid w:val="00C57B87"/>
    <w:rsid w:val="00C80BDC"/>
    <w:rsid w:val="00CC76E3"/>
    <w:rsid w:val="00CE58BE"/>
    <w:rsid w:val="00CE6321"/>
    <w:rsid w:val="00CE6AAE"/>
    <w:rsid w:val="00CE7AF8"/>
    <w:rsid w:val="00CF098B"/>
    <w:rsid w:val="00CF0B37"/>
    <w:rsid w:val="00CF1A25"/>
    <w:rsid w:val="00CF2AB4"/>
    <w:rsid w:val="00CF3D26"/>
    <w:rsid w:val="00CF5C47"/>
    <w:rsid w:val="00D163ED"/>
    <w:rsid w:val="00D2313B"/>
    <w:rsid w:val="00D261E5"/>
    <w:rsid w:val="00D27B38"/>
    <w:rsid w:val="00D310B3"/>
    <w:rsid w:val="00D50530"/>
    <w:rsid w:val="00D50A86"/>
    <w:rsid w:val="00D55B11"/>
    <w:rsid w:val="00D56DFB"/>
    <w:rsid w:val="00D61339"/>
    <w:rsid w:val="00D75445"/>
    <w:rsid w:val="00D9600B"/>
    <w:rsid w:val="00DD4480"/>
    <w:rsid w:val="00DD554F"/>
    <w:rsid w:val="00DF357C"/>
    <w:rsid w:val="00E05186"/>
    <w:rsid w:val="00E306A6"/>
    <w:rsid w:val="00E71CDA"/>
    <w:rsid w:val="00E92651"/>
    <w:rsid w:val="00EB10D5"/>
    <w:rsid w:val="00EB254F"/>
    <w:rsid w:val="00EC6E85"/>
    <w:rsid w:val="00EF17FD"/>
    <w:rsid w:val="00EF205A"/>
    <w:rsid w:val="00EF2A3C"/>
    <w:rsid w:val="00F038F6"/>
    <w:rsid w:val="00F04233"/>
    <w:rsid w:val="00F1524D"/>
    <w:rsid w:val="00F17A25"/>
    <w:rsid w:val="00F265BA"/>
    <w:rsid w:val="00F774C2"/>
    <w:rsid w:val="00F839B7"/>
    <w:rsid w:val="00F87681"/>
    <w:rsid w:val="00FB3B0E"/>
    <w:rsid w:val="00FB4975"/>
    <w:rsid w:val="00FD05EC"/>
    <w:rsid w:val="00FF7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E0B2"/>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72D2"/>
  </w:style>
  <w:style w:type="paragraph" w:styleId="Nadpis4">
    <w:name w:val="heading 4"/>
    <w:basedOn w:val="Normlny"/>
    <w:next w:val="Zkladntext"/>
    <w:link w:val="Nadpis4Char"/>
    <w:qFormat/>
    <w:rsid w:val="00EF205A"/>
    <w:pPr>
      <w:keepNext/>
      <w:numPr>
        <w:ilvl w:val="3"/>
        <w:numId w:val="6"/>
      </w:numPr>
      <w:suppressAutoHyphens/>
      <w:spacing w:after="0" w:line="100" w:lineRule="atLeast"/>
      <w:ind w:right="-2"/>
      <w:jc w:val="center"/>
      <w:outlineLvl w:val="3"/>
    </w:pPr>
    <w:rPr>
      <w:rFonts w:ascii="Times New Roman" w:eastAsia="Times New Roman" w:hAnsi="Times New Roman" w:cs="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Odsekzoznamu">
    <w:name w:val="List Paragraph"/>
    <w:aliases w:val="body,Odsek zoznamu2,Odsek,Odsek zoznamu1"/>
    <w:basedOn w:val="Normlny"/>
    <w:uiPriority w:val="34"/>
    <w:qFormat/>
    <w:rsid w:val="0034420B"/>
    <w:pPr>
      <w:ind w:left="720"/>
      <w:contextualSpacing/>
    </w:pPr>
  </w:style>
  <w:style w:type="character" w:styleId="Odkaznakomentr">
    <w:name w:val="annotation reference"/>
    <w:basedOn w:val="Predvolenpsmoodseku"/>
    <w:uiPriority w:val="99"/>
    <w:semiHidden/>
    <w:unhideWhenUsed/>
    <w:rsid w:val="00DD554F"/>
    <w:rPr>
      <w:sz w:val="16"/>
      <w:szCs w:val="16"/>
    </w:rPr>
  </w:style>
  <w:style w:type="paragraph" w:styleId="Textkomentra">
    <w:name w:val="annotation text"/>
    <w:basedOn w:val="Normlny"/>
    <w:link w:val="TextkomentraChar"/>
    <w:uiPriority w:val="99"/>
    <w:semiHidden/>
    <w:unhideWhenUsed/>
    <w:rsid w:val="00DD554F"/>
    <w:pPr>
      <w:spacing w:line="240" w:lineRule="auto"/>
    </w:pPr>
    <w:rPr>
      <w:sz w:val="20"/>
      <w:szCs w:val="20"/>
    </w:rPr>
  </w:style>
  <w:style w:type="character" w:customStyle="1" w:styleId="TextkomentraChar">
    <w:name w:val="Text komentára Char"/>
    <w:basedOn w:val="Predvolenpsmoodseku"/>
    <w:link w:val="Textkomentra"/>
    <w:uiPriority w:val="99"/>
    <w:semiHidden/>
    <w:rsid w:val="00DD554F"/>
    <w:rPr>
      <w:sz w:val="20"/>
      <w:szCs w:val="20"/>
    </w:rPr>
  </w:style>
  <w:style w:type="paragraph" w:styleId="Predmetkomentra">
    <w:name w:val="annotation subject"/>
    <w:basedOn w:val="Textkomentra"/>
    <w:next w:val="Textkomentra"/>
    <w:link w:val="PredmetkomentraChar"/>
    <w:uiPriority w:val="99"/>
    <w:semiHidden/>
    <w:unhideWhenUsed/>
    <w:rsid w:val="00DD554F"/>
    <w:rPr>
      <w:b/>
      <w:bCs/>
    </w:rPr>
  </w:style>
  <w:style w:type="character" w:customStyle="1" w:styleId="PredmetkomentraChar">
    <w:name w:val="Predmet komentára Char"/>
    <w:basedOn w:val="TextkomentraChar"/>
    <w:link w:val="Predmetkomentra"/>
    <w:uiPriority w:val="99"/>
    <w:semiHidden/>
    <w:rsid w:val="00DD554F"/>
    <w:rPr>
      <w:b/>
      <w:bCs/>
      <w:sz w:val="20"/>
      <w:szCs w:val="20"/>
    </w:rPr>
  </w:style>
  <w:style w:type="character" w:styleId="Hypertextovprepojenie">
    <w:name w:val="Hyperlink"/>
    <w:basedOn w:val="Predvolenpsmoodseku"/>
    <w:uiPriority w:val="99"/>
    <w:unhideWhenUsed/>
    <w:rsid w:val="00165989"/>
    <w:rPr>
      <w:color w:val="0563C1" w:themeColor="hyperlink"/>
      <w:u w:val="single"/>
    </w:rPr>
  </w:style>
  <w:style w:type="character" w:customStyle="1" w:styleId="Nadpis4Char">
    <w:name w:val="Nadpis 4 Char"/>
    <w:basedOn w:val="Predvolenpsmoodseku"/>
    <w:link w:val="Nadpis4"/>
    <w:rsid w:val="00EF205A"/>
    <w:rPr>
      <w:rFonts w:ascii="Times New Roman" w:eastAsia="Times New Roman" w:hAnsi="Times New Roman" w:cs="Times New Roman"/>
      <w:b/>
      <w:smallCaps/>
      <w:sz w:val="26"/>
      <w:szCs w:val="20"/>
      <w:lang w:eastAsia="ar-SA"/>
    </w:rPr>
  </w:style>
  <w:style w:type="character" w:customStyle="1" w:styleId="norm00e1lnychar1">
    <w:name w:val="norm_00e1lny__char1"/>
    <w:rsid w:val="00EF205A"/>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EF205A"/>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EF205A"/>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EF205A"/>
    <w:pPr>
      <w:spacing w:after="120" w:line="200" w:lineRule="atLeast"/>
    </w:pPr>
    <w:rPr>
      <w:rFonts w:ascii="Times New Roman" w:eastAsia="Times New Roman" w:hAnsi="Times New Roman" w:cs="Times New Roman"/>
      <w:sz w:val="20"/>
      <w:szCs w:val="20"/>
      <w:lang w:eastAsia="sk-SK"/>
    </w:rPr>
  </w:style>
  <w:style w:type="character" w:styleId="Jemnodkaz">
    <w:name w:val="Subtle Reference"/>
    <w:basedOn w:val="Predvolenpsmoodseku"/>
    <w:uiPriority w:val="31"/>
    <w:qFormat/>
    <w:rsid w:val="00EF205A"/>
    <w:rPr>
      <w:smallCaps/>
      <w:color w:val="5A5A5A" w:themeColor="text1" w:themeTint="A5"/>
    </w:rPr>
  </w:style>
  <w:style w:type="paragraph" w:customStyle="1" w:styleId="Default">
    <w:name w:val="Default"/>
    <w:rsid w:val="00EF205A"/>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99"/>
    <w:semiHidden/>
    <w:unhideWhenUsed/>
    <w:rsid w:val="00EF205A"/>
    <w:pPr>
      <w:spacing w:after="120"/>
    </w:pPr>
  </w:style>
  <w:style w:type="character" w:customStyle="1" w:styleId="ZkladntextChar">
    <w:name w:val="Základný text Char"/>
    <w:basedOn w:val="Predvolenpsmoodseku"/>
    <w:link w:val="Zkladntext"/>
    <w:uiPriority w:val="99"/>
    <w:semiHidden/>
    <w:rsid w:val="00EF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9347">
      <w:bodyDiv w:val="1"/>
      <w:marLeft w:val="0"/>
      <w:marRight w:val="0"/>
      <w:marTop w:val="0"/>
      <w:marBottom w:val="0"/>
      <w:divBdr>
        <w:top w:val="none" w:sz="0" w:space="0" w:color="auto"/>
        <w:left w:val="none" w:sz="0" w:space="0" w:color="auto"/>
        <w:bottom w:val="none" w:sz="0" w:space="0" w:color="auto"/>
        <w:right w:val="none" w:sz="0" w:space="0" w:color="auto"/>
      </w:divBdr>
    </w:div>
    <w:div w:id="452286008">
      <w:bodyDiv w:val="1"/>
      <w:marLeft w:val="0"/>
      <w:marRight w:val="0"/>
      <w:marTop w:val="0"/>
      <w:marBottom w:val="0"/>
      <w:divBdr>
        <w:top w:val="none" w:sz="0" w:space="0" w:color="auto"/>
        <w:left w:val="none" w:sz="0" w:space="0" w:color="auto"/>
        <w:bottom w:val="none" w:sz="0" w:space="0" w:color="auto"/>
        <w:right w:val="none" w:sz="0" w:space="0" w:color="auto"/>
      </w:divBdr>
    </w:div>
    <w:div w:id="506598362">
      <w:bodyDiv w:val="1"/>
      <w:marLeft w:val="0"/>
      <w:marRight w:val="0"/>
      <w:marTop w:val="0"/>
      <w:marBottom w:val="0"/>
      <w:divBdr>
        <w:top w:val="none" w:sz="0" w:space="0" w:color="auto"/>
        <w:left w:val="none" w:sz="0" w:space="0" w:color="auto"/>
        <w:bottom w:val="none" w:sz="0" w:space="0" w:color="auto"/>
        <w:right w:val="none" w:sz="0" w:space="0" w:color="auto"/>
      </w:divBdr>
      <w:divsChild>
        <w:div w:id="1036660523">
          <w:marLeft w:val="0"/>
          <w:marRight w:val="0"/>
          <w:marTop w:val="0"/>
          <w:marBottom w:val="240"/>
          <w:divBdr>
            <w:top w:val="none" w:sz="0" w:space="0" w:color="auto"/>
            <w:left w:val="none" w:sz="0" w:space="0" w:color="auto"/>
            <w:bottom w:val="none" w:sz="0" w:space="0" w:color="auto"/>
            <w:right w:val="none" w:sz="0" w:space="0" w:color="auto"/>
          </w:divBdr>
        </w:div>
        <w:div w:id="541526241">
          <w:marLeft w:val="0"/>
          <w:marRight w:val="0"/>
          <w:marTop w:val="100"/>
          <w:marBottom w:val="100"/>
          <w:divBdr>
            <w:top w:val="none" w:sz="0" w:space="0" w:color="auto"/>
            <w:left w:val="none" w:sz="0" w:space="0" w:color="auto"/>
            <w:bottom w:val="none" w:sz="0" w:space="0" w:color="auto"/>
            <w:right w:val="none" w:sz="0" w:space="0" w:color="auto"/>
          </w:divBdr>
        </w:div>
        <w:div w:id="949238225">
          <w:marLeft w:val="0"/>
          <w:marRight w:val="0"/>
          <w:marTop w:val="0"/>
          <w:marBottom w:val="300"/>
          <w:divBdr>
            <w:top w:val="none" w:sz="0" w:space="0" w:color="auto"/>
            <w:left w:val="none" w:sz="0" w:space="0" w:color="auto"/>
            <w:bottom w:val="single" w:sz="6" w:space="8" w:color="EFEFEF"/>
            <w:right w:val="none" w:sz="0" w:space="0" w:color="auto"/>
          </w:divBdr>
        </w:div>
      </w:divsChild>
    </w:div>
    <w:div w:id="10842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ecd-ilibrary.org/economics/determinants-of-labour-market-exit-of-older-workers-in-the-slovak-republic_2161918e-en" TargetMode="External"/><Relationship Id="rId4" Type="http://schemas.openxmlformats.org/officeDocument/2006/relationships/settings" Target="settings.xml"/><Relationship Id="rId9" Type="http://schemas.openxmlformats.org/officeDocument/2006/relationships/hyperlink" Target="mailto:jaroslav.hudcovsky@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5457</Words>
  <Characters>31107</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3</cp:revision>
  <cp:lastPrinted>2022-05-02T07:27:00Z</cp:lastPrinted>
  <dcterms:created xsi:type="dcterms:W3CDTF">2022-08-24T11:31:00Z</dcterms:created>
  <dcterms:modified xsi:type="dcterms:W3CDTF">2022-08-24T11:41:00Z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