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554" w:rsidRDefault="00E25554" w:rsidP="00E25554">
      <w:pPr>
        <w:jc w:val="center"/>
        <w:rPr>
          <w:b/>
        </w:rPr>
      </w:pPr>
      <w:r w:rsidRPr="0006409C">
        <w:rPr>
          <w:b/>
        </w:rPr>
        <w:t>DÔVODOVÁ   SPRÁVA</w:t>
      </w:r>
    </w:p>
    <w:p w:rsidR="00AD2366" w:rsidRPr="0006409C" w:rsidRDefault="00AD2366" w:rsidP="00E25554">
      <w:pPr>
        <w:jc w:val="center"/>
        <w:rPr>
          <w:b/>
        </w:rPr>
      </w:pPr>
    </w:p>
    <w:p w:rsidR="00E25554" w:rsidRPr="0006409C" w:rsidRDefault="00E25554" w:rsidP="00E25554">
      <w:pPr>
        <w:jc w:val="both"/>
        <w:rPr>
          <w:b/>
        </w:rPr>
      </w:pPr>
    </w:p>
    <w:p w:rsidR="00E25554" w:rsidRPr="0006409C" w:rsidRDefault="00E25554" w:rsidP="00E25554">
      <w:pPr>
        <w:jc w:val="both"/>
        <w:rPr>
          <w:b/>
        </w:rPr>
      </w:pPr>
      <w:r w:rsidRPr="0006409C">
        <w:rPr>
          <w:b/>
        </w:rPr>
        <w:t>A. Všeobecná časť</w:t>
      </w:r>
    </w:p>
    <w:p w:rsidR="00E25554" w:rsidRDefault="00E25554" w:rsidP="00E25554">
      <w:pPr>
        <w:jc w:val="both"/>
        <w:rPr>
          <w:b/>
        </w:rPr>
      </w:pPr>
    </w:p>
    <w:p w:rsidR="00AD2366" w:rsidRPr="0006409C" w:rsidRDefault="00AD2366" w:rsidP="00E25554">
      <w:pPr>
        <w:jc w:val="both"/>
        <w:rPr>
          <w:b/>
        </w:rPr>
      </w:pPr>
      <w:bookmarkStart w:id="0" w:name="_GoBack"/>
      <w:bookmarkEnd w:id="0"/>
    </w:p>
    <w:p w:rsidR="00315AF4" w:rsidRPr="0006409C" w:rsidRDefault="00004F43" w:rsidP="00315AF4">
      <w:pPr>
        <w:ind w:firstLine="708"/>
        <w:jc w:val="both"/>
      </w:pPr>
      <w:r>
        <w:t>Vládny n</w:t>
      </w:r>
      <w:r w:rsidRPr="0006409C">
        <w:t xml:space="preserve">ávrh </w:t>
      </w:r>
      <w:r w:rsidR="00315AF4" w:rsidRPr="0006409C">
        <w:t xml:space="preserve">zákona, ktorým sa mení a dopĺňa zákon č. 43/2004 Z. z. o starobnom dôchodkovom sporení a o zmene a doplnení niektorých zákonov v znení neskorších predpisov a ktorým sa </w:t>
      </w:r>
      <w:r w:rsidR="006B1B4C" w:rsidRPr="0006409C">
        <w:t>menia a dopĺňajú niektoré zákony</w:t>
      </w:r>
      <w:r w:rsidR="00315AF4" w:rsidRPr="0006409C">
        <w:t xml:space="preserve"> (ďalej len „návrh zákona“) je </w:t>
      </w:r>
      <w:r w:rsidR="00315AF4" w:rsidRPr="0006409C">
        <w:rPr>
          <w:rFonts w:eastAsia="Times New Roman"/>
          <w:bCs/>
          <w:color w:val="000000"/>
          <w:lang w:eastAsia="sk-SK"/>
        </w:rPr>
        <w:t xml:space="preserve">vypracovaný na základe </w:t>
      </w:r>
      <w:r w:rsidR="00BF625E" w:rsidRPr="0006409C">
        <w:rPr>
          <w:rFonts w:eastAsia="Times New Roman"/>
          <w:bCs/>
          <w:color w:val="000000"/>
          <w:lang w:eastAsia="sk-SK"/>
        </w:rPr>
        <w:t xml:space="preserve">Plánu obnovy a odolnosti Slovenskej republiky, </w:t>
      </w:r>
      <w:r w:rsidR="00BF625E" w:rsidRPr="0006409C">
        <w:t xml:space="preserve">Národného programu aktívneho starnutia na roky </w:t>
      </w:r>
      <w:r w:rsidR="00D01A27" w:rsidRPr="0006409C">
        <w:t xml:space="preserve">2021 </w:t>
      </w:r>
      <w:r w:rsidR="00C30902" w:rsidRPr="0006409C">
        <w:t>–</w:t>
      </w:r>
      <w:r w:rsidR="00BF625E" w:rsidRPr="0006409C">
        <w:t xml:space="preserve"> 2030</w:t>
      </w:r>
      <w:r w:rsidR="00BF625E" w:rsidRPr="0006409C">
        <w:rPr>
          <w:rFonts w:eastAsia="Times New Roman"/>
          <w:bCs/>
          <w:color w:val="000000"/>
          <w:lang w:eastAsia="sk-SK"/>
        </w:rPr>
        <w:t xml:space="preserve">, vybraných </w:t>
      </w:r>
      <w:r w:rsidR="00315AF4" w:rsidRPr="0006409C">
        <w:rPr>
          <w:rFonts w:eastAsia="Times New Roman"/>
          <w:bCs/>
          <w:color w:val="000000"/>
          <w:lang w:eastAsia="sk-SK"/>
        </w:rPr>
        <w:t>záväzkov vlády Slovenskej republiky v oblasti starobného dôchodkového sporenia vyplývajúcich z Programového vyhlásenia vlády Slovenskej republiky na roky 2021</w:t>
      </w:r>
      <w:r w:rsidR="00C30902" w:rsidRPr="0006409C">
        <w:rPr>
          <w:rFonts w:eastAsia="Times New Roman"/>
          <w:bCs/>
          <w:color w:val="000000"/>
          <w:lang w:eastAsia="sk-SK"/>
        </w:rPr>
        <w:t xml:space="preserve"> – </w:t>
      </w:r>
      <w:r w:rsidR="00315AF4" w:rsidRPr="0006409C">
        <w:rPr>
          <w:rFonts w:eastAsia="Times New Roman"/>
          <w:bCs/>
          <w:color w:val="000000"/>
          <w:lang w:eastAsia="sk-SK"/>
        </w:rPr>
        <w:t xml:space="preserve">2024 a z potreby </w:t>
      </w:r>
      <w:r w:rsidR="002977AC" w:rsidRPr="0006409C">
        <w:rPr>
          <w:rFonts w:eastAsia="Times New Roman"/>
          <w:bCs/>
          <w:color w:val="000000"/>
          <w:lang w:eastAsia="sk-SK"/>
        </w:rPr>
        <w:t>riešenia</w:t>
      </w:r>
      <w:r w:rsidR="00315AF4" w:rsidRPr="0006409C">
        <w:rPr>
          <w:rFonts w:eastAsia="Times New Roman"/>
          <w:bCs/>
          <w:color w:val="000000"/>
          <w:lang w:eastAsia="sk-SK"/>
        </w:rPr>
        <w:t> niektorý</w:t>
      </w:r>
      <w:r w:rsidR="002977AC" w:rsidRPr="0006409C">
        <w:rPr>
          <w:rFonts w:eastAsia="Times New Roman"/>
          <w:bCs/>
          <w:color w:val="000000"/>
          <w:lang w:eastAsia="sk-SK"/>
        </w:rPr>
        <w:t>ch</w:t>
      </w:r>
      <w:r w:rsidR="00315AF4" w:rsidRPr="0006409C">
        <w:rPr>
          <w:rFonts w:eastAsia="Times New Roman"/>
          <w:bCs/>
          <w:color w:val="000000"/>
          <w:lang w:eastAsia="sk-SK"/>
        </w:rPr>
        <w:t xml:space="preserve"> problém</w:t>
      </w:r>
      <w:r w:rsidR="002977AC" w:rsidRPr="0006409C">
        <w:rPr>
          <w:rFonts w:eastAsia="Times New Roman"/>
          <w:bCs/>
          <w:color w:val="000000"/>
          <w:lang w:eastAsia="sk-SK"/>
        </w:rPr>
        <w:t>ov</w:t>
      </w:r>
      <w:r w:rsidR="00315AF4" w:rsidRPr="0006409C">
        <w:rPr>
          <w:rFonts w:eastAsia="Times New Roman"/>
          <w:bCs/>
          <w:color w:val="000000"/>
          <w:lang w:eastAsia="sk-SK"/>
        </w:rPr>
        <w:t xml:space="preserve"> v oblasti starobného dôchodkového sporenia</w:t>
      </w:r>
      <w:r w:rsidR="0083275A" w:rsidRPr="0006409C">
        <w:rPr>
          <w:rFonts w:eastAsia="Times New Roman"/>
          <w:bCs/>
          <w:color w:val="000000"/>
          <w:lang w:eastAsia="sk-SK"/>
        </w:rPr>
        <w:t xml:space="preserve"> </w:t>
      </w:r>
      <w:r w:rsidR="00315AF4" w:rsidRPr="0006409C">
        <w:rPr>
          <w:rFonts w:eastAsia="Times New Roman"/>
          <w:bCs/>
          <w:color w:val="000000"/>
          <w:lang w:eastAsia="sk-SK"/>
        </w:rPr>
        <w:t>z aplikačnej praxe.</w:t>
      </w:r>
    </w:p>
    <w:p w:rsidR="00315AF4" w:rsidRPr="0006409C" w:rsidRDefault="00315AF4" w:rsidP="00315AF4">
      <w:pPr>
        <w:ind w:firstLine="708"/>
        <w:jc w:val="both"/>
      </w:pPr>
    </w:p>
    <w:p w:rsidR="00315AF4" w:rsidRPr="0006409C" w:rsidRDefault="00315AF4" w:rsidP="0006409C">
      <w:pPr>
        <w:ind w:firstLine="708"/>
        <w:jc w:val="both"/>
      </w:pPr>
      <w:r w:rsidRPr="0006409C">
        <w:t xml:space="preserve">Hlavným účelom predkladaného návrhu zákona </w:t>
      </w:r>
      <w:r w:rsidR="002977AC" w:rsidRPr="0006409C">
        <w:t xml:space="preserve">je </w:t>
      </w:r>
      <w:r w:rsidRPr="0006409C">
        <w:t xml:space="preserve">predovšetkým </w:t>
      </w:r>
      <w:r w:rsidR="002977AC" w:rsidRPr="0006409C">
        <w:t>prijatie opatrení</w:t>
      </w:r>
      <w:r w:rsidRPr="0006409C">
        <w:t xml:space="preserve"> smerujúc</w:t>
      </w:r>
      <w:r w:rsidR="002977AC" w:rsidRPr="0006409C">
        <w:t>ich</w:t>
      </w:r>
      <w:r w:rsidRPr="0006409C">
        <w:t xml:space="preserve"> k </w:t>
      </w:r>
      <w:r w:rsidR="008436E5" w:rsidRPr="0006409C">
        <w:t>zvýšeniu</w:t>
      </w:r>
      <w:r w:rsidRPr="0006409C">
        <w:t xml:space="preserve"> efektívnosti sporiacej a výplatnej fázy starobného dôchodkového sporenia – </w:t>
      </w:r>
      <w:r w:rsidRPr="0006409C">
        <w:rPr>
          <w:b/>
        </w:rPr>
        <w:t>zavedením predvolenej investičnej stratégie na báze princípu životného cyklu a prioritizáciou dlhodob</w:t>
      </w:r>
      <w:r w:rsidR="0059080B" w:rsidRPr="0006409C">
        <w:rPr>
          <w:b/>
        </w:rPr>
        <w:t>ého</w:t>
      </w:r>
      <w:r w:rsidRPr="0006409C">
        <w:rPr>
          <w:b/>
        </w:rPr>
        <w:t xml:space="preserve"> vyplácani</w:t>
      </w:r>
      <w:r w:rsidR="0059080B" w:rsidRPr="0006409C">
        <w:rPr>
          <w:b/>
        </w:rPr>
        <w:t>a</w:t>
      </w:r>
      <w:r w:rsidRPr="0006409C">
        <w:rPr>
          <w:b/>
        </w:rPr>
        <w:t xml:space="preserve"> </w:t>
      </w:r>
      <w:r w:rsidR="0059080B" w:rsidRPr="0006409C">
        <w:rPr>
          <w:b/>
        </w:rPr>
        <w:t>majetku sporiteľov</w:t>
      </w:r>
      <w:r w:rsidR="00065CA8" w:rsidRPr="0006409C">
        <w:rPr>
          <w:b/>
        </w:rPr>
        <w:t xml:space="preserve"> v starobe</w:t>
      </w:r>
      <w:r w:rsidRPr="0006409C">
        <w:t>.</w:t>
      </w:r>
    </w:p>
    <w:p w:rsidR="00315AF4" w:rsidRPr="0006409C" w:rsidRDefault="00315AF4" w:rsidP="0006409C">
      <w:pPr>
        <w:ind w:firstLine="708"/>
        <w:jc w:val="both"/>
      </w:pPr>
    </w:p>
    <w:p w:rsidR="0083275A" w:rsidRPr="0006409C" w:rsidRDefault="0059080B" w:rsidP="0059080B">
      <w:pPr>
        <w:ind w:firstLine="708"/>
        <w:jc w:val="both"/>
      </w:pPr>
      <w:r w:rsidRPr="0006409C">
        <w:t xml:space="preserve">Ku koncu roka 2021 mali sporitelia v II. pilieri (1 680 220) alokovaných viac ako 11,9 mld. eur, pričom </w:t>
      </w:r>
      <w:r w:rsidR="00C630C0" w:rsidRPr="0006409C">
        <w:t xml:space="preserve">až </w:t>
      </w:r>
      <w:r w:rsidRPr="0006409C">
        <w:t>55 % z nich malo majetok umiestnený výlučne v dlhopisovom garantovanom dôchodkovom fonde. Ďalších približne 15 % malo aspoň časť svojich úspor v dlhopisovom garantovanom dôchodkovom fonde v kombinácii s jedným z negarantovaných dôchodkových fondov. Majetok týchto sporiteľov dosiahol v roku 202</w:t>
      </w:r>
      <w:r w:rsidR="005C5E40" w:rsidRPr="0006409C">
        <w:t>1</w:t>
      </w:r>
      <w:r w:rsidRPr="0006409C">
        <w:t xml:space="preserve"> v priemere zhodnotenie na úrovni </w:t>
      </w:r>
      <w:r w:rsidR="005C5E40" w:rsidRPr="0006409C">
        <w:t>-1,3</w:t>
      </w:r>
      <w:r w:rsidRPr="0006409C">
        <w:t xml:space="preserve"> %, zvyšok sporiteľov v negarantovaných dôchodkových fondoch si za predchádzajúci kalendárny rok pripísal </w:t>
      </w:r>
      <w:r w:rsidR="00C630C0" w:rsidRPr="0006409C">
        <w:t xml:space="preserve">v priemere </w:t>
      </w:r>
      <w:r w:rsidRPr="0006409C">
        <w:t xml:space="preserve">zhodnotenie </w:t>
      </w:r>
      <w:r w:rsidR="002977AC" w:rsidRPr="0006409C">
        <w:t>16,8</w:t>
      </w:r>
      <w:r w:rsidRPr="0006409C">
        <w:t xml:space="preserve"> %. </w:t>
      </w:r>
      <w:r w:rsidR="002977AC" w:rsidRPr="0006409C">
        <w:t xml:space="preserve">Najvýnosnejšie indexové dôchodkové fondy pritom dosiahli zhodnotenie až na úrovni 27,8 %. Negatívne zhodnotenie </w:t>
      </w:r>
      <w:r w:rsidR="00065CA8" w:rsidRPr="0006409C">
        <w:t xml:space="preserve">dlhopisových </w:t>
      </w:r>
      <w:r w:rsidR="002977AC" w:rsidRPr="0006409C">
        <w:t xml:space="preserve">garantovaných dôchodkových fondov v roku 2021 bolo spôsobené predovšetkým dlhodobo nízkymi úrokovými sadzbami. </w:t>
      </w:r>
      <w:r w:rsidRPr="0006409C">
        <w:t>Vzhľadom na dlhodobý charakter schémy je</w:t>
      </w:r>
      <w:r w:rsidR="002977AC" w:rsidRPr="0006409C">
        <w:t xml:space="preserve"> </w:t>
      </w:r>
      <w:r w:rsidR="00065CA8" w:rsidRPr="0006409C">
        <w:t xml:space="preserve">preto </w:t>
      </w:r>
      <w:r w:rsidR="005C5E40" w:rsidRPr="0006409C">
        <w:t>vhodné</w:t>
      </w:r>
      <w:r w:rsidRPr="0006409C">
        <w:t xml:space="preserve"> </w:t>
      </w:r>
      <w:r w:rsidR="005C5E40" w:rsidRPr="0006409C">
        <w:t>hodnotiť skôr</w:t>
      </w:r>
      <w:r w:rsidRPr="0006409C">
        <w:t xml:space="preserve"> priemerné ročné zhodnotenie od vytvorenia dôchodkových fondov, ktoré dosiahlo v prípade dlhopisových garantovaných dôchodkových fondov hodnotu približne </w:t>
      </w:r>
      <w:r w:rsidR="00C630C0" w:rsidRPr="0006409C">
        <w:t>1,9</w:t>
      </w:r>
      <w:r w:rsidRPr="0006409C">
        <w:t xml:space="preserve"> %</w:t>
      </w:r>
      <w:r w:rsidR="002977AC" w:rsidRPr="0006409C">
        <w:t xml:space="preserve"> a </w:t>
      </w:r>
      <w:r w:rsidRPr="0006409C">
        <w:t xml:space="preserve">v prípade negarantovaných dôchodkových fondov úroveň </w:t>
      </w:r>
      <w:r w:rsidR="00C630C0" w:rsidRPr="0006409C">
        <w:t>približne 6,5</w:t>
      </w:r>
      <w:r w:rsidRPr="0006409C">
        <w:t xml:space="preserve"> %. </w:t>
      </w:r>
      <w:r w:rsidR="005C5E40" w:rsidRPr="0006409C">
        <w:t>Tieto údaje</w:t>
      </w:r>
      <w:r w:rsidRPr="0006409C">
        <w:t>, ako aj viacer</w:t>
      </w:r>
      <w:r w:rsidR="005C5E40" w:rsidRPr="0006409C">
        <w:t>é</w:t>
      </w:r>
      <w:r w:rsidRPr="0006409C">
        <w:t xml:space="preserve"> zverejnen</w:t>
      </w:r>
      <w:r w:rsidR="005C5E40" w:rsidRPr="0006409C">
        <w:t>é</w:t>
      </w:r>
      <w:r w:rsidRPr="0006409C">
        <w:t xml:space="preserve"> odborn</w:t>
      </w:r>
      <w:r w:rsidR="005C5E40" w:rsidRPr="0006409C">
        <w:t>é</w:t>
      </w:r>
      <w:r w:rsidRPr="0006409C">
        <w:t xml:space="preserve"> analytick</w:t>
      </w:r>
      <w:r w:rsidR="005C5E40" w:rsidRPr="0006409C">
        <w:t>é</w:t>
      </w:r>
      <w:r w:rsidRPr="0006409C">
        <w:t xml:space="preserve"> materiál</w:t>
      </w:r>
      <w:r w:rsidR="005C5E40" w:rsidRPr="0006409C">
        <w:t>y</w:t>
      </w:r>
      <w:r w:rsidRPr="0006409C">
        <w:t xml:space="preserve"> a štúdi</w:t>
      </w:r>
      <w:r w:rsidR="005C5E40" w:rsidRPr="0006409C">
        <w:t>e</w:t>
      </w:r>
      <w:r w:rsidR="005C5E40" w:rsidRPr="0006409C">
        <w:rPr>
          <w:rStyle w:val="Odkaznapoznmkupodiarou"/>
        </w:rPr>
        <w:footnoteReference w:id="1"/>
      </w:r>
      <w:r w:rsidRPr="0006409C">
        <w:t xml:space="preserve">, jednoznačne </w:t>
      </w:r>
      <w:r w:rsidR="002977AC" w:rsidRPr="0006409C">
        <w:t>dokazujú</w:t>
      </w:r>
      <w:r w:rsidRPr="0006409C">
        <w:t xml:space="preserve">, že signifikantná časť sporiteľov nemá </w:t>
      </w:r>
      <w:r w:rsidR="005C5E40" w:rsidRPr="0006409C">
        <w:t xml:space="preserve">vzhľadom na horizont sporenia </w:t>
      </w:r>
      <w:r w:rsidR="00C630C0" w:rsidRPr="0006409C">
        <w:t xml:space="preserve">(zostávajúcu dobu účasti na starobnom dôchodkovom sporení do dosiahnutia dôchodkového veku) </w:t>
      </w:r>
      <w:r w:rsidRPr="0006409C">
        <w:t>optimálne zvolenú alokáciu majetku v dôchodkových fondoch</w:t>
      </w:r>
      <w:r w:rsidR="008436E5" w:rsidRPr="0006409C">
        <w:t xml:space="preserve"> </w:t>
      </w:r>
      <w:r w:rsidR="00F70F1B" w:rsidRPr="0006409C">
        <w:t xml:space="preserve">a </w:t>
      </w:r>
      <w:r w:rsidR="008436E5" w:rsidRPr="0006409C">
        <w:t xml:space="preserve">v dôsledku </w:t>
      </w:r>
      <w:r w:rsidR="00F70F1B" w:rsidRPr="0006409C">
        <w:t>toho</w:t>
      </w:r>
      <w:r w:rsidR="008436E5" w:rsidRPr="0006409C">
        <w:t xml:space="preserve"> s vysokou pravdepodobnosťou ich dôchodok z II. piliera bude nižší ako má táto kapitalizačná schéma potenciál generovať.</w:t>
      </w:r>
    </w:p>
    <w:p w:rsidR="00C30399" w:rsidRPr="0006409C" w:rsidRDefault="00516684" w:rsidP="007428DA">
      <w:pPr>
        <w:jc w:val="both"/>
      </w:pPr>
      <w:r w:rsidRPr="0006409C">
        <w:t>Keďže aktuálna právna úprava dostatočne nereflektuje uvedené fakty – účinné ustanovenie §</w:t>
      </w:r>
      <w:r w:rsidR="00B77155" w:rsidRPr="0006409C">
        <w:t> </w:t>
      </w:r>
      <w:r w:rsidRPr="0006409C">
        <w:t xml:space="preserve">92 obsahuje </w:t>
      </w:r>
      <w:r w:rsidR="00B77155" w:rsidRPr="0006409C">
        <w:t xml:space="preserve">iba </w:t>
      </w:r>
      <w:r w:rsidRPr="0006409C">
        <w:t>opatrenia na presúvanie majetku sporiteľa do dlhopisového garantovaného dôchodkového fondu –</w:t>
      </w:r>
      <w:r w:rsidR="003F0E71" w:rsidRPr="0006409C">
        <w:t xml:space="preserve"> </w:t>
      </w:r>
      <w:r w:rsidRPr="0006409C">
        <w:t xml:space="preserve">absentuje </w:t>
      </w:r>
      <w:r w:rsidR="003F0E71" w:rsidRPr="0006409C">
        <w:t xml:space="preserve">avšak </w:t>
      </w:r>
      <w:r w:rsidRPr="0006409C">
        <w:t>rámec, ktorý by vytvoril</w:t>
      </w:r>
      <w:r w:rsidR="00F70F1B" w:rsidRPr="0006409C">
        <w:t xml:space="preserve"> skutočný</w:t>
      </w:r>
      <w:r w:rsidRPr="0006409C">
        <w:t xml:space="preserve"> predpoklad na tvorbu úspor a generovanie výnosov na dlhodobom horizonte prostredníctvom akciových investícií. Navrhuje sa preto </w:t>
      </w:r>
      <w:r w:rsidRPr="0006409C">
        <w:rPr>
          <w:b/>
        </w:rPr>
        <w:t>zavedenie predvolenej investičnej stratégie</w:t>
      </w:r>
      <w:r w:rsidRPr="0006409C">
        <w:t xml:space="preserve">, v ktorej budú automaticky zúčastnení všetci noví sporitelia. </w:t>
      </w:r>
      <w:r w:rsidR="00C630C0" w:rsidRPr="0006409C">
        <w:t>Prvá fáza</w:t>
      </w:r>
      <w:r w:rsidRPr="0006409C">
        <w:t xml:space="preserve"> sporiacej fázy </w:t>
      </w:r>
      <w:r w:rsidR="00F70F1B" w:rsidRPr="0006409C">
        <w:t>bude</w:t>
      </w:r>
      <w:r w:rsidRPr="0006409C">
        <w:t xml:space="preserve"> spojen</w:t>
      </w:r>
      <w:r w:rsidR="00C630C0" w:rsidRPr="0006409C">
        <w:t>á</w:t>
      </w:r>
      <w:r w:rsidRPr="0006409C">
        <w:t xml:space="preserve"> s alokáciou </w:t>
      </w:r>
      <w:r w:rsidR="00F70F1B" w:rsidRPr="0006409C">
        <w:t>majetku</w:t>
      </w:r>
      <w:r w:rsidRPr="0006409C">
        <w:t xml:space="preserve"> do akcií a všeobecne volatilnejších nástrojov</w:t>
      </w:r>
      <w:r w:rsidR="00F70F1B" w:rsidRPr="0006409C">
        <w:t xml:space="preserve">, pričom dôchodkové správcovské spoločnosti budú na túto fázu využívať </w:t>
      </w:r>
      <w:r w:rsidR="00065CA8" w:rsidRPr="0006409C">
        <w:t>dôchodkové fondy, ktorých investičná stratégia kopíruje zloženie akciového indexu</w:t>
      </w:r>
      <w:r w:rsidR="00F70F1B" w:rsidRPr="0006409C">
        <w:t>, čím sa bude môcť sporiteľ</w:t>
      </w:r>
      <w:r w:rsidRPr="0006409C">
        <w:t xml:space="preserve"> podieľať na nadpriemernom raste portfólia</w:t>
      </w:r>
      <w:r w:rsidR="00F70F1B" w:rsidRPr="0006409C">
        <w:t xml:space="preserve">. </w:t>
      </w:r>
      <w:r w:rsidR="00F70F1B" w:rsidRPr="0006409C">
        <w:lastRenderedPageBreak/>
        <w:t>V</w:t>
      </w:r>
      <w:r w:rsidR="000B4023" w:rsidRPr="0006409C">
        <w:t> </w:t>
      </w:r>
      <w:r w:rsidR="00F70F1B" w:rsidRPr="0006409C">
        <w:t>ďalšej fáze získa sporiteľ</w:t>
      </w:r>
      <w:r w:rsidRPr="0006409C">
        <w:t xml:space="preserve"> ochranu </w:t>
      </w:r>
      <w:r w:rsidR="000B4023" w:rsidRPr="0006409C">
        <w:t>postupným alokovaním majetku a príspevkov do</w:t>
      </w:r>
      <w:r w:rsidRPr="0006409C">
        <w:t xml:space="preserve"> nízkorizikových aktív. Najväčšou výhodou pre sporiteľa je skutočnosť, že </w:t>
      </w:r>
      <w:r w:rsidR="00B77155" w:rsidRPr="0006409C">
        <w:t xml:space="preserve">predvolená </w:t>
      </w:r>
      <w:r w:rsidRPr="0006409C">
        <w:t xml:space="preserve">investičná stratégia </w:t>
      </w:r>
      <w:r w:rsidR="00B77155" w:rsidRPr="0006409C">
        <w:t>bude</w:t>
      </w:r>
      <w:r w:rsidRPr="0006409C">
        <w:t xml:space="preserve"> prispôsob</w:t>
      </w:r>
      <w:r w:rsidR="000B4023" w:rsidRPr="0006409C">
        <w:t>ova</w:t>
      </w:r>
      <w:r w:rsidRPr="0006409C">
        <w:t xml:space="preserve">ná jeho </w:t>
      </w:r>
      <w:r w:rsidR="00B77155" w:rsidRPr="0006409C">
        <w:t>veku</w:t>
      </w:r>
      <w:r w:rsidRPr="0006409C">
        <w:t xml:space="preserve">, a to bez nutnosti aktívnej zmeny </w:t>
      </w:r>
      <w:r w:rsidR="000B4023" w:rsidRPr="0006409C">
        <w:t>pomeru sporenia v dôchodkových fondoch zo strany sporiteľa</w:t>
      </w:r>
      <w:r w:rsidRPr="0006409C">
        <w:t>.</w:t>
      </w:r>
      <w:r w:rsidR="000B4023" w:rsidRPr="0006409C">
        <w:t xml:space="preserve"> Návrh zákona ponecháva priestor aj sporiteľom, ktorí sú rizikovo averzní alebo konzervatívni. Ak prejavia vôľu nebyť zúčastnení na predvolenej investičnej stratégii, dôchodková správcovská spoločnosť bude rešpektovať nimi zvolený pomer platenia príspevkov do dôchodkových fondov, resp. pomer sporenia v dôchodkových fondoch. </w:t>
      </w:r>
      <w:r w:rsidR="00C30399" w:rsidRPr="0006409C">
        <w:t xml:space="preserve">Pre sporiteľov, ktorí nebudú v predvolenej investičnej stratégii </w:t>
      </w:r>
      <w:r w:rsidR="007428DA" w:rsidRPr="0006409C">
        <w:t xml:space="preserve">a ich vlastná investičná stratégia bude nastavená agresívne, </w:t>
      </w:r>
      <w:r w:rsidR="00C30399" w:rsidRPr="0006409C">
        <w:t>však z</w:t>
      </w:r>
      <w:r w:rsidR="00272D62" w:rsidRPr="0006409C">
        <w:t xml:space="preserve">ostáva zachovaná ochrana ich investícií </w:t>
      </w:r>
      <w:r w:rsidR="002B6833" w:rsidRPr="0006409C">
        <w:t>pred volatilitou na finančných trhoch v období pred poberaním dôchodku</w:t>
      </w:r>
      <w:r w:rsidR="00C30399" w:rsidRPr="0006409C">
        <w:t>. Majetok takýchto sporiteľov bude postupne presúvaný do dlhopisového garantovaného dôchodkového fondu v rovnakom pomere ako</w:t>
      </w:r>
      <w:r w:rsidR="007428DA" w:rsidRPr="0006409C">
        <w:t xml:space="preserve"> u sporiteľov v predvolenej investičnej stratégii. Zároveň </w:t>
      </w:r>
      <w:r w:rsidR="0042577C" w:rsidRPr="0006409C">
        <w:t xml:space="preserve">im </w:t>
      </w:r>
      <w:r w:rsidR="007428DA" w:rsidRPr="0006409C">
        <w:t xml:space="preserve">však </w:t>
      </w:r>
      <w:r w:rsidR="0042577C" w:rsidRPr="0006409C">
        <w:t xml:space="preserve">zostáva </w:t>
      </w:r>
      <w:r w:rsidR="007428DA" w:rsidRPr="0006409C">
        <w:t>možnosť požiadať o</w:t>
      </w:r>
      <w:r w:rsidR="0042577C" w:rsidRPr="0006409C">
        <w:t xml:space="preserve"> čiastočné </w:t>
      </w:r>
      <w:r w:rsidR="007428DA" w:rsidRPr="0006409C">
        <w:t>vyviazanie sa</w:t>
      </w:r>
      <w:r w:rsidR="0042577C" w:rsidRPr="0006409C">
        <w:t xml:space="preserve"> z tohto presunu</w:t>
      </w:r>
      <w:r w:rsidR="007428DA" w:rsidRPr="0006409C">
        <w:t>, t. j. o zníženie minimálneho podielu ich majetku v dlhopisovom garantovanom dôchodkovom fonde.</w:t>
      </w:r>
    </w:p>
    <w:p w:rsidR="0059080B" w:rsidRPr="0006409C" w:rsidRDefault="005C5E40" w:rsidP="0006409C">
      <w:pPr>
        <w:jc w:val="both"/>
      </w:pPr>
      <w:r w:rsidRPr="0006409C">
        <w:t xml:space="preserve">V nadväznosti na uvedené </w:t>
      </w:r>
      <w:r w:rsidR="002977AC" w:rsidRPr="0006409C">
        <w:t xml:space="preserve">a vekový profil sporiteľov </w:t>
      </w:r>
      <w:r w:rsidRPr="0006409C">
        <w:t>je zároveň</w:t>
      </w:r>
      <w:r w:rsidR="0059080B" w:rsidRPr="0006409C">
        <w:t xml:space="preserve"> možné konštatovať, že časť majetku</w:t>
      </w:r>
      <w:r w:rsidR="00B77155" w:rsidRPr="0006409C">
        <w:t xml:space="preserve"> existujúcich</w:t>
      </w:r>
      <w:r w:rsidR="0059080B" w:rsidRPr="0006409C">
        <w:t xml:space="preserve"> sporiteľov</w:t>
      </w:r>
      <w:r w:rsidRPr="0006409C">
        <w:t xml:space="preserve"> v dlhopisových garantovaných dôchodkových fondoch</w:t>
      </w:r>
      <w:r w:rsidR="0059080B" w:rsidRPr="0006409C">
        <w:t xml:space="preserve"> </w:t>
      </w:r>
      <w:r w:rsidR="00516684" w:rsidRPr="0006409C">
        <w:t>môže</w:t>
      </w:r>
      <w:r w:rsidR="0059080B" w:rsidRPr="0006409C">
        <w:t xml:space="preserve"> byť </w:t>
      </w:r>
      <w:r w:rsidR="008436E5" w:rsidRPr="0006409C">
        <w:t xml:space="preserve">s pomerne nízkym rizikom straty pre sporiteľa </w:t>
      </w:r>
      <w:r w:rsidR="0059080B" w:rsidRPr="0006409C">
        <w:t xml:space="preserve">presunutá do </w:t>
      </w:r>
      <w:r w:rsidRPr="0006409C">
        <w:t xml:space="preserve">dôchodkových fondov s vhodnejším </w:t>
      </w:r>
      <w:r w:rsidR="0019335F" w:rsidRPr="0006409C">
        <w:t>rizikovo-</w:t>
      </w:r>
      <w:r w:rsidRPr="0006409C">
        <w:t>výnosov</w:t>
      </w:r>
      <w:r w:rsidR="0019335F" w:rsidRPr="0006409C">
        <w:t>ým</w:t>
      </w:r>
      <w:r w:rsidRPr="0006409C">
        <w:t xml:space="preserve"> profilom,</w:t>
      </w:r>
      <w:r w:rsidR="0059080B" w:rsidRPr="0006409C">
        <w:t xml:space="preserve"> pri ktorých je potenciál pre dosiahnutie vyššieho zhodnotenia v stredno</w:t>
      </w:r>
      <w:r w:rsidR="002977AC" w:rsidRPr="0006409C">
        <w:t>dobom</w:t>
      </w:r>
      <w:r w:rsidR="0059080B" w:rsidRPr="0006409C">
        <w:t xml:space="preserve"> a dlhodobom horizonte výrazne vyšší. </w:t>
      </w:r>
      <w:r w:rsidR="0083275A" w:rsidRPr="0006409C">
        <w:t xml:space="preserve">Navrhuje sa preto, aby </w:t>
      </w:r>
      <w:r w:rsidR="00BC221B" w:rsidRPr="0006409C">
        <w:rPr>
          <w:b/>
        </w:rPr>
        <w:t>majetok</w:t>
      </w:r>
      <w:r w:rsidR="0083275A" w:rsidRPr="0006409C">
        <w:rPr>
          <w:b/>
        </w:rPr>
        <w:t xml:space="preserve"> existujúcich sporiteľov</w:t>
      </w:r>
      <w:r w:rsidR="00DF1344" w:rsidRPr="0006409C">
        <w:rPr>
          <w:b/>
        </w:rPr>
        <w:t>, ktorí v roku 2023 dovŕšia vek maximálne</w:t>
      </w:r>
      <w:r w:rsidR="003F7DBB" w:rsidRPr="0006409C">
        <w:rPr>
          <w:b/>
        </w:rPr>
        <w:t xml:space="preserve"> 54 rokov</w:t>
      </w:r>
      <w:r w:rsidR="0083275A" w:rsidRPr="0006409C">
        <w:t xml:space="preserve"> </w:t>
      </w:r>
      <w:r w:rsidR="003F7DBB" w:rsidRPr="0006409C">
        <w:t>(vrátane)</w:t>
      </w:r>
      <w:r w:rsidR="0083275A" w:rsidRPr="0006409C">
        <w:t xml:space="preserve"> dôchodková správcovská spoločnosť v horizonte dvoch rokov od nadobudnutia účinnosti predmetných ustanovení </w:t>
      </w:r>
      <w:r w:rsidR="000B4023" w:rsidRPr="0006409C">
        <w:t xml:space="preserve">návrhu zákona </w:t>
      </w:r>
      <w:r w:rsidR="0083275A" w:rsidRPr="0006409C">
        <w:rPr>
          <w:b/>
        </w:rPr>
        <w:t>zosúladila s predvolenou investičnou stratégiou</w:t>
      </w:r>
      <w:r w:rsidR="0083275A" w:rsidRPr="0006409C">
        <w:t xml:space="preserve">, t. zn. </w:t>
      </w:r>
      <w:r w:rsidR="008436E5" w:rsidRPr="0006409C">
        <w:t xml:space="preserve">majetok sporiteľa alebo jeho časť </w:t>
      </w:r>
      <w:r w:rsidR="0083275A" w:rsidRPr="0006409C">
        <w:t>presunula do dôchodkového fondu</w:t>
      </w:r>
      <w:r w:rsidR="003F7DBB" w:rsidRPr="0006409C">
        <w:t>, ktorého investičná stratégia kopíruje zloženie akciového indexu</w:t>
      </w:r>
      <w:r w:rsidR="0083275A" w:rsidRPr="0006409C">
        <w:t>.</w:t>
      </w:r>
      <w:r w:rsidR="00F80E47" w:rsidRPr="0006409C">
        <w:t xml:space="preserve"> Súčasne sa navrhuje, aby </w:t>
      </w:r>
      <w:r w:rsidR="0083275A" w:rsidRPr="0006409C">
        <w:t>sporite</w:t>
      </w:r>
      <w:r w:rsidR="00F01876" w:rsidRPr="0006409C">
        <w:t>l</w:t>
      </w:r>
      <w:r w:rsidR="0042577C" w:rsidRPr="0006409C">
        <w:t>ia</w:t>
      </w:r>
      <w:r w:rsidR="003F7DBB" w:rsidRPr="0006409C">
        <w:t xml:space="preserve"> s vekom nad uvedenou hranicou,</w:t>
      </w:r>
      <w:r w:rsidR="00F01876" w:rsidRPr="0006409C">
        <w:t xml:space="preserve"> </w:t>
      </w:r>
      <w:r w:rsidR="00065CA8" w:rsidRPr="0006409C">
        <w:t>dostal</w:t>
      </w:r>
      <w:r w:rsidR="0042577C" w:rsidRPr="0006409C">
        <w:t>i</w:t>
      </w:r>
      <w:r w:rsidR="0083275A" w:rsidRPr="0006409C">
        <w:t xml:space="preserve"> o</w:t>
      </w:r>
      <w:r w:rsidR="00542DA3" w:rsidRPr="0006409C">
        <w:t>d</w:t>
      </w:r>
      <w:r w:rsidR="0083275A" w:rsidRPr="0006409C">
        <w:t xml:space="preserve"> dôchodkovej správcovskej spoločnosti informáciu o</w:t>
      </w:r>
      <w:r w:rsidR="008436E5" w:rsidRPr="0006409C">
        <w:t> </w:t>
      </w:r>
      <w:r w:rsidR="0083275A" w:rsidRPr="0006409C">
        <w:t>tom</w:t>
      </w:r>
      <w:r w:rsidR="008436E5" w:rsidRPr="0006409C">
        <w:t xml:space="preserve">, že </w:t>
      </w:r>
      <w:r w:rsidR="00542DA3" w:rsidRPr="0006409C">
        <w:t>nie sú sporiteľmi v predvolenej investičnej stratégii a majú možnosť sa s ňou zosúladiť.</w:t>
      </w:r>
    </w:p>
    <w:p w:rsidR="0019335F" w:rsidRPr="0006409C" w:rsidRDefault="0019335F" w:rsidP="00315AF4">
      <w:pPr>
        <w:jc w:val="both"/>
        <w:rPr>
          <w:b/>
        </w:rPr>
      </w:pPr>
      <w:r w:rsidRPr="0006409C">
        <w:rPr>
          <w:b/>
        </w:rPr>
        <w:t>Zavedením predvolenej investičnej stratégie pre nových a postupne aj pre existujúcich sporiteľov bude Slovenská republika plniť aj záväzok vyplývajúci z Plánu obnovy a odolnosti Slovenskej republiky.</w:t>
      </w:r>
    </w:p>
    <w:p w:rsidR="00216FA8" w:rsidRPr="0006409C" w:rsidRDefault="00216FA8" w:rsidP="0006409C">
      <w:pPr>
        <w:ind w:firstLine="708"/>
        <w:jc w:val="both"/>
      </w:pPr>
    </w:p>
    <w:p w:rsidR="005A4105" w:rsidRPr="0006409C" w:rsidRDefault="005A4105" w:rsidP="005A4105">
      <w:pPr>
        <w:ind w:firstLine="708"/>
        <w:jc w:val="both"/>
      </w:pPr>
      <w:r w:rsidRPr="0006409C">
        <w:t xml:space="preserve">Základný systém povinného dôchodkového zabezpečenia tvorí spolu s dôchodkovým poistením </w:t>
      </w:r>
      <w:r w:rsidR="003A5FB8" w:rsidRPr="0006409C">
        <w:t xml:space="preserve">podľa </w:t>
      </w:r>
      <w:r w:rsidRPr="0006409C">
        <w:t>zákon</w:t>
      </w:r>
      <w:r w:rsidR="003A5FB8" w:rsidRPr="0006409C">
        <w:t>a</w:t>
      </w:r>
      <w:r w:rsidRPr="0006409C">
        <w:t xml:space="preserve"> č. 461/2003 Z. z. o sociálnom poistení v znení neskorších predpisov</w:t>
      </w:r>
      <w:r w:rsidR="003A5FB8" w:rsidRPr="0006409C">
        <w:t xml:space="preserve"> (ďalej len „zákon č. 461/2003 Z. z.</w:t>
      </w:r>
      <w:r w:rsidR="009D2B7C" w:rsidRPr="0006409C">
        <w:t>“</w:t>
      </w:r>
      <w:r w:rsidR="003A5FB8" w:rsidRPr="0006409C">
        <w:t>)</w:t>
      </w:r>
      <w:r w:rsidRPr="0006409C">
        <w:t xml:space="preserve"> </w:t>
      </w:r>
      <w:r w:rsidR="00F80E47" w:rsidRPr="0006409C">
        <w:t xml:space="preserve">práve </w:t>
      </w:r>
      <w:r w:rsidRPr="0006409C">
        <w:t>starobné dôchodkové sporenie. Keďže suma starobného dôchodku poistenca v priebežnom systéme, ktorý je aj sporiteľ</w:t>
      </w:r>
      <w:r w:rsidR="0019335F" w:rsidRPr="0006409C">
        <w:t>,</w:t>
      </w:r>
      <w:r w:rsidRPr="0006409C">
        <w:t xml:space="preserve"> sa za obdobie účasti na starobnom dôchodkovom sporení pomerne kráti (znižuje), pri prijímaní opatrení a nastavení podmienok pre disponovanie s finančnými prostriedkami z II. piliera je nevyhnutné na túto skutočnosť reflektovať a reguláciu postaviť tak, aby II. pilier generoval pravidelný dlhodobý príjem počas celej staroby. Napriek tomu, že podiel dôchodku z II. piliera dnes predstavuje iba menšiu časť celkového príjmu jednotlivca v starobe (z dôvodu kratšieho obdobia účasti</w:t>
      </w:r>
      <w:r w:rsidR="00F80E47" w:rsidRPr="0006409C">
        <w:t xml:space="preserve"> v kapitalizačnej schéme</w:t>
      </w:r>
      <w:r w:rsidRPr="0006409C">
        <w:t xml:space="preserve">), postupne bude rásť. Dôchodkové úspory sú však aktuálne v prevažnej miere použité na jednorazovú spotrebu a len malou časťou z nich sa kryje riziko dlhovekosti zakúpením doživotnej anuity. Približne </w:t>
      </w:r>
      <w:r w:rsidR="00C630C0" w:rsidRPr="0006409C">
        <w:t>64</w:t>
      </w:r>
      <w:r w:rsidRPr="0006409C">
        <w:t xml:space="preserve"> % sporiteľov poberá celý dôchodok alebo aspoň </w:t>
      </w:r>
      <w:r w:rsidR="00F80E47" w:rsidRPr="0006409C">
        <w:t xml:space="preserve">jeho </w:t>
      </w:r>
      <w:r w:rsidRPr="0006409C">
        <w:t xml:space="preserve">časť programovým výberom v jednej splátke. Objem úspor, ktoré sporitelia použili v roku 2021 na jednorazový programový výber dosiahol </w:t>
      </w:r>
      <w:r w:rsidR="00C630C0" w:rsidRPr="0006409C">
        <w:t>približne 44,3</w:t>
      </w:r>
      <w:r w:rsidRPr="0006409C">
        <w:t xml:space="preserve"> mil. eur a na doživotný dôchodok išlo len približne </w:t>
      </w:r>
      <w:r w:rsidR="00C630C0" w:rsidRPr="0006409C">
        <w:t>5,6</w:t>
      </w:r>
      <w:r w:rsidRPr="0006409C">
        <w:t xml:space="preserve"> mil. eur. </w:t>
      </w:r>
      <w:r w:rsidR="00F80E47" w:rsidRPr="0006409C">
        <w:t>Iba</w:t>
      </w:r>
      <w:r w:rsidR="000F042B" w:rsidRPr="0006409C">
        <w:t xml:space="preserve"> zanedbateľný objem úspor sa pritom vypláca v pravidelných splátkach na dlhšom horizonte</w:t>
      </w:r>
      <w:r w:rsidR="00F80E47" w:rsidRPr="0006409C">
        <w:t xml:space="preserve"> (starobný dôchodok alebo predčasný starobný dôchodok z malej nasporenej sumy vo forme programového výberu)</w:t>
      </w:r>
      <w:r w:rsidR="000F042B" w:rsidRPr="0006409C">
        <w:t>.</w:t>
      </w:r>
    </w:p>
    <w:p w:rsidR="005A4105" w:rsidRPr="0006409C" w:rsidRDefault="005A4105" w:rsidP="005A4105">
      <w:pPr>
        <w:jc w:val="both"/>
      </w:pPr>
      <w:r w:rsidRPr="0006409C">
        <w:t xml:space="preserve">Zachovanie súčasných podmienok vyplácania dávok, ktoré umožňuje spotrebovať finančné prostriedky v krátkom čase po dosiahnutí dôchodkového veku, </w:t>
      </w:r>
      <w:r w:rsidR="000F042B" w:rsidRPr="0006409C">
        <w:t>zvyšuje</w:t>
      </w:r>
      <w:r w:rsidRPr="0006409C">
        <w:t xml:space="preserve"> rizik</w:t>
      </w:r>
      <w:r w:rsidR="000F042B" w:rsidRPr="0006409C">
        <w:t>o</w:t>
      </w:r>
      <w:r w:rsidRPr="0006409C">
        <w:t xml:space="preserve"> finančnej </w:t>
      </w:r>
      <w:r w:rsidRPr="0006409C">
        <w:lastRenderedPageBreak/>
        <w:t>deprivácie vo vyššom seniorskom veku a</w:t>
      </w:r>
      <w:r w:rsidR="0019335F" w:rsidRPr="0006409C">
        <w:t> </w:t>
      </w:r>
      <w:r w:rsidRPr="0006409C">
        <w:t>je</w:t>
      </w:r>
      <w:r w:rsidR="0019335F" w:rsidRPr="0006409C">
        <w:t xml:space="preserve"> preto</w:t>
      </w:r>
      <w:r w:rsidRPr="0006409C">
        <w:t xml:space="preserve"> nevyhnutné prijať v tejto oblasti opatrenia na zlepšenie postavenia sporiteľov prehodnotením a predefinovaním nielen podmienok vyplácania dôchodkov z II. piliera</w:t>
      </w:r>
      <w:r w:rsidR="003F7DBB" w:rsidRPr="0006409C">
        <w:t>,</w:t>
      </w:r>
      <w:r w:rsidRPr="0006409C">
        <w:t xml:space="preserve"> ale aj foriem týchto dôchodkov. </w:t>
      </w:r>
      <w:r w:rsidR="000F042B" w:rsidRPr="0006409C">
        <w:t xml:space="preserve">Účelom návrhu zákona je </w:t>
      </w:r>
      <w:r w:rsidR="00F80E47" w:rsidRPr="0006409C">
        <w:t xml:space="preserve">preto </w:t>
      </w:r>
      <w:r w:rsidR="0019335F" w:rsidRPr="0006409C">
        <w:t>aj</w:t>
      </w:r>
      <w:r w:rsidR="000F042B" w:rsidRPr="0006409C">
        <w:t xml:space="preserve"> </w:t>
      </w:r>
      <w:r w:rsidR="0019335F" w:rsidRPr="0006409C">
        <w:t xml:space="preserve">realizácia </w:t>
      </w:r>
      <w:r w:rsidR="000F042B" w:rsidRPr="0006409C">
        <w:t xml:space="preserve">pomerne </w:t>
      </w:r>
      <w:r w:rsidR="000F042B" w:rsidRPr="0006409C">
        <w:rPr>
          <w:b/>
        </w:rPr>
        <w:t>zásadn</w:t>
      </w:r>
      <w:r w:rsidR="0019335F" w:rsidRPr="0006409C">
        <w:rPr>
          <w:b/>
        </w:rPr>
        <w:t>ej</w:t>
      </w:r>
      <w:r w:rsidR="000F042B" w:rsidRPr="0006409C">
        <w:rPr>
          <w:b/>
        </w:rPr>
        <w:t xml:space="preserve"> zmen</w:t>
      </w:r>
      <w:r w:rsidR="0019335F" w:rsidRPr="0006409C">
        <w:rPr>
          <w:b/>
        </w:rPr>
        <w:t>y</w:t>
      </w:r>
      <w:r w:rsidR="000F042B" w:rsidRPr="0006409C">
        <w:rPr>
          <w:b/>
        </w:rPr>
        <w:t xml:space="preserve"> v rámci výplatnej fázy, </w:t>
      </w:r>
      <w:r w:rsidR="00BC221B" w:rsidRPr="0006409C">
        <w:rPr>
          <w:b/>
        </w:rPr>
        <w:t>ktorou sa</w:t>
      </w:r>
      <w:r w:rsidR="000F042B" w:rsidRPr="0006409C">
        <w:rPr>
          <w:b/>
        </w:rPr>
        <w:t xml:space="preserve"> predĺži </w:t>
      </w:r>
      <w:r w:rsidR="00F80E47" w:rsidRPr="0006409C">
        <w:rPr>
          <w:b/>
        </w:rPr>
        <w:t xml:space="preserve">investičný </w:t>
      </w:r>
      <w:r w:rsidR="000F042B" w:rsidRPr="0006409C">
        <w:rPr>
          <w:b/>
        </w:rPr>
        <w:t>horizont</w:t>
      </w:r>
      <w:r w:rsidR="000F042B" w:rsidRPr="0006409C">
        <w:t xml:space="preserve"> (popri poberaní programového výberu bude </w:t>
      </w:r>
      <w:r w:rsidR="003F0E71" w:rsidRPr="0006409C">
        <w:t>majetok</w:t>
      </w:r>
      <w:r w:rsidR="000F042B" w:rsidRPr="0006409C">
        <w:t xml:space="preserve"> sporiteľa ďalej zhodnocovan</w:t>
      </w:r>
      <w:r w:rsidR="003F0E71" w:rsidRPr="0006409C">
        <w:t>ý</w:t>
      </w:r>
      <w:r w:rsidR="000F042B" w:rsidRPr="0006409C">
        <w:t>, pričom časť tohto majetku bude umiestnená aj v akciách) a</w:t>
      </w:r>
      <w:r w:rsidR="00F80E47" w:rsidRPr="0006409C">
        <w:t> </w:t>
      </w:r>
      <w:r w:rsidR="00906909" w:rsidRPr="0006409C">
        <w:rPr>
          <w:b/>
        </w:rPr>
        <w:t>súčasne</w:t>
      </w:r>
      <w:r w:rsidR="00F80E47" w:rsidRPr="0006409C">
        <w:rPr>
          <w:b/>
        </w:rPr>
        <w:t xml:space="preserve"> sa </w:t>
      </w:r>
      <w:r w:rsidR="00A17374" w:rsidRPr="0006409C">
        <w:rPr>
          <w:b/>
        </w:rPr>
        <w:t>zavedie p</w:t>
      </w:r>
      <w:r w:rsidR="00F80E47" w:rsidRPr="0006409C">
        <w:rPr>
          <w:b/>
        </w:rPr>
        <w:t>ovinnosť zakúpenia doživotnej anuity</w:t>
      </w:r>
      <w:r w:rsidR="00A17374" w:rsidRPr="0006409C">
        <w:t xml:space="preserve"> (z akumulovaného, resp. nespotrebovaného majetku)</w:t>
      </w:r>
      <w:r w:rsidR="00F80E47" w:rsidRPr="0006409C">
        <w:t xml:space="preserve">, aby </w:t>
      </w:r>
      <w:r w:rsidR="00A17374" w:rsidRPr="0006409C">
        <w:t>sa prediš</w:t>
      </w:r>
      <w:r w:rsidR="00F80E47" w:rsidRPr="0006409C">
        <w:t>l</w:t>
      </w:r>
      <w:r w:rsidR="00A17374" w:rsidRPr="0006409C">
        <w:t>o</w:t>
      </w:r>
      <w:r w:rsidR="00F80E47" w:rsidRPr="0006409C">
        <w:t xml:space="preserve"> riziku </w:t>
      </w:r>
      <w:r w:rsidR="00A17374" w:rsidRPr="0006409C">
        <w:t>nízkeho príjmu</w:t>
      </w:r>
      <w:r w:rsidR="003F0E71" w:rsidRPr="0006409C">
        <w:t xml:space="preserve"> v prípade dlhovekosti.</w:t>
      </w:r>
    </w:p>
    <w:p w:rsidR="003F0E71" w:rsidRPr="0006409C" w:rsidRDefault="003F0E71" w:rsidP="005A4105">
      <w:pPr>
        <w:jc w:val="both"/>
      </w:pPr>
      <w:r w:rsidRPr="0006409C">
        <w:t xml:space="preserve">V nadväznosti na zmeny vo výplatnej fáze </w:t>
      </w:r>
      <w:r w:rsidR="00D057AF" w:rsidRPr="0006409C">
        <w:t xml:space="preserve">(programový výber) </w:t>
      </w:r>
      <w:r w:rsidRPr="0006409C">
        <w:t>bolo nevyhnutné pristúpiť</w:t>
      </w:r>
      <w:r w:rsidR="00C94387" w:rsidRPr="0006409C">
        <w:t xml:space="preserve"> aj</w:t>
      </w:r>
      <w:r w:rsidRPr="0006409C">
        <w:t xml:space="preserve"> k</w:t>
      </w:r>
      <w:r w:rsidR="00C94387" w:rsidRPr="0006409C">
        <w:t> úpravám v zákone č.</w:t>
      </w:r>
      <w:r w:rsidR="00D057AF" w:rsidRPr="0006409C">
        <w:t> </w:t>
      </w:r>
      <w:r w:rsidR="00C94387" w:rsidRPr="0006409C">
        <w:t>461/2003 Z. z. (čl. II) a zákone č. 296/2020 Z. z. o 13. dôchodku a</w:t>
      </w:r>
      <w:r w:rsidR="0006409C">
        <w:t> </w:t>
      </w:r>
      <w:r w:rsidR="00C94387" w:rsidRPr="0006409C">
        <w:t>o</w:t>
      </w:r>
      <w:r w:rsidR="0006409C">
        <w:t> </w:t>
      </w:r>
      <w:r w:rsidR="00C94387" w:rsidRPr="0006409C">
        <w:t>zmene a doplnení niektorých zákonov v znení zákona č. 171/2022 Z. z. (čl. III).</w:t>
      </w:r>
    </w:p>
    <w:p w:rsidR="003F0E71" w:rsidRPr="0006409C" w:rsidRDefault="003F0E71" w:rsidP="0006409C">
      <w:pPr>
        <w:ind w:firstLine="708"/>
        <w:jc w:val="both"/>
      </w:pPr>
    </w:p>
    <w:p w:rsidR="00D67774" w:rsidRPr="0006409C" w:rsidRDefault="00D67774" w:rsidP="0006409C">
      <w:pPr>
        <w:ind w:firstLine="708"/>
        <w:jc w:val="both"/>
      </w:pPr>
      <w:r w:rsidRPr="0006409C">
        <w:t xml:space="preserve">S cieľom zlepšenia postavenia sporiteľa a zvýšenia </w:t>
      </w:r>
      <w:r w:rsidRPr="0006409C">
        <w:rPr>
          <w:rFonts w:eastAsia="Calibri"/>
        </w:rPr>
        <w:t>úrovne primeraného hmotného zabezpečenia v starobe z II. piliera</w:t>
      </w:r>
      <w:r w:rsidRPr="0006409C">
        <w:t xml:space="preserve"> sa v kontexte úlohy z Národného programu </w:t>
      </w:r>
      <w:r w:rsidR="00D01A27" w:rsidRPr="0006409C">
        <w:t>aktívneho starnutia na roky 2021</w:t>
      </w:r>
      <w:r w:rsidRPr="0006409C">
        <w:t xml:space="preserve"> </w:t>
      </w:r>
      <w:r w:rsidR="00D01A27" w:rsidRPr="0006409C">
        <w:t>–</w:t>
      </w:r>
      <w:r w:rsidRPr="0006409C">
        <w:t xml:space="preserve"> 2030</w:t>
      </w:r>
      <w:r w:rsidR="00D01A27" w:rsidRPr="0006409C">
        <w:t xml:space="preserve"> </w:t>
      </w:r>
      <w:r w:rsidRPr="0006409C">
        <w:rPr>
          <w:i/>
        </w:rPr>
        <w:t>„Umožniť platenie a odvádzanie povinných príspevkov na starobné dôchodkové sporenie v prípade sporiteľov, ktorým sa vypláca dôchodok zo starobného dôchodkového sporenia a ktorí vykonávajú činnosť zakladajúcu dôchodkové poistenie“</w:t>
      </w:r>
      <w:r w:rsidRPr="0006409C">
        <w:t xml:space="preserve"> (ďalej len „NPAS“) </w:t>
      </w:r>
      <w:r w:rsidRPr="0006409C">
        <w:rPr>
          <w:b/>
        </w:rPr>
        <w:t xml:space="preserve">navrhuje aj právna úprava predĺženia účasti na starobnom dôchodkovom sporení a to až do času poberania </w:t>
      </w:r>
      <w:r w:rsidR="005510E7" w:rsidRPr="0006409C">
        <w:rPr>
          <w:b/>
        </w:rPr>
        <w:t xml:space="preserve">doživotného </w:t>
      </w:r>
      <w:r w:rsidRPr="0006409C">
        <w:rPr>
          <w:b/>
        </w:rPr>
        <w:t>starobného dôchodku</w:t>
      </w:r>
      <w:r w:rsidR="00D057AF" w:rsidRPr="0006409C">
        <w:t>, t. j. počas poberania programového výberu</w:t>
      </w:r>
      <w:r w:rsidRPr="0006409C">
        <w:t>.</w:t>
      </w:r>
      <w:r w:rsidR="00D057AF" w:rsidRPr="0006409C">
        <w:t xml:space="preserve"> Tieto zmeny sú premietnuté aj v zákone č. 461/2003 Z. z. (čl. II).</w:t>
      </w:r>
    </w:p>
    <w:p w:rsidR="00D67774" w:rsidRPr="0006409C" w:rsidRDefault="00D67774" w:rsidP="0006409C">
      <w:pPr>
        <w:ind w:firstLine="708"/>
        <w:jc w:val="both"/>
      </w:pPr>
    </w:p>
    <w:p w:rsidR="00065CA8" w:rsidRPr="0006409C" w:rsidRDefault="00065CA8" w:rsidP="00065CA8">
      <w:pPr>
        <w:ind w:firstLine="708"/>
        <w:jc w:val="both"/>
      </w:pPr>
      <w:r w:rsidRPr="0006409C">
        <w:t xml:space="preserve">V súlade s cieľom zefektívnenia starobného dôchodkového sporenia a dosiahnutia čo možno </w:t>
      </w:r>
      <w:r w:rsidR="00D67774" w:rsidRPr="0006409C">
        <w:t>najvyššej nasporenej sumy</w:t>
      </w:r>
      <w:r w:rsidRPr="0006409C">
        <w:t xml:space="preserve"> </w:t>
      </w:r>
      <w:r w:rsidR="00D057AF" w:rsidRPr="0006409C">
        <w:t xml:space="preserve">počas poberania programového výberu, resp. pri zakúpení doživotnej anuity, </w:t>
      </w:r>
      <w:r w:rsidRPr="0006409C">
        <w:t>sa navrhuj</w:t>
      </w:r>
      <w:r w:rsidR="003F0E71" w:rsidRPr="0006409C">
        <w:t>ú</w:t>
      </w:r>
      <w:r w:rsidRPr="0006409C">
        <w:t xml:space="preserve"> aj </w:t>
      </w:r>
      <w:r w:rsidR="003F0E71" w:rsidRPr="0006409C">
        <w:t xml:space="preserve">ďalšie </w:t>
      </w:r>
      <w:r w:rsidR="00D057AF" w:rsidRPr="0006409C">
        <w:t>zmeny.</w:t>
      </w:r>
      <w:r w:rsidRPr="0006409C">
        <w:t xml:space="preserve"> Navrhuje sa, aby od účinnosti návrhu zákona mala dôchodková správcovská spoločnosť </w:t>
      </w:r>
      <w:r w:rsidRPr="0006409C">
        <w:rPr>
          <w:b/>
        </w:rPr>
        <w:t xml:space="preserve">nárok iba na </w:t>
      </w:r>
      <w:r w:rsidR="003F7DBB" w:rsidRPr="0006409C">
        <w:rPr>
          <w:b/>
        </w:rPr>
        <w:t xml:space="preserve">jeden </w:t>
      </w:r>
      <w:r w:rsidRPr="0006409C">
        <w:rPr>
          <w:b/>
        </w:rPr>
        <w:t>druh odpl</w:t>
      </w:r>
      <w:r w:rsidR="00F01876" w:rsidRPr="0006409C">
        <w:rPr>
          <w:b/>
        </w:rPr>
        <w:t>a</w:t>
      </w:r>
      <w:r w:rsidRPr="0006409C">
        <w:rPr>
          <w:b/>
        </w:rPr>
        <w:t>t</w:t>
      </w:r>
      <w:r w:rsidR="00F01876" w:rsidRPr="0006409C">
        <w:rPr>
          <w:b/>
        </w:rPr>
        <w:t>y</w:t>
      </w:r>
      <w:r w:rsidR="003F7DBB" w:rsidRPr="0006409C">
        <w:rPr>
          <w:b/>
        </w:rPr>
        <w:t xml:space="preserve"> a to</w:t>
      </w:r>
      <w:r w:rsidRPr="0006409C">
        <w:rPr>
          <w:b/>
        </w:rPr>
        <w:t xml:space="preserve"> odplatu za správu dôchodkového fondu</w:t>
      </w:r>
      <w:r w:rsidR="00D057AF" w:rsidRPr="0006409C">
        <w:rPr>
          <w:b/>
        </w:rPr>
        <w:t xml:space="preserve"> a navrhuje sa zavedenie individuálnej garancie pre programový výber a doživotný dôchodok</w:t>
      </w:r>
      <w:r w:rsidRPr="0006409C">
        <w:t>.</w:t>
      </w:r>
    </w:p>
    <w:p w:rsidR="00065CA8" w:rsidRPr="0006409C" w:rsidRDefault="00065CA8" w:rsidP="0006409C">
      <w:pPr>
        <w:ind w:firstLine="708"/>
        <w:jc w:val="both"/>
      </w:pPr>
    </w:p>
    <w:p w:rsidR="00542DA3" w:rsidRPr="0006409C" w:rsidRDefault="00C35AF0" w:rsidP="00246B1C">
      <w:pPr>
        <w:ind w:firstLine="708"/>
        <w:jc w:val="both"/>
      </w:pPr>
      <w:r w:rsidRPr="0006409C">
        <w:t xml:space="preserve">Zákon č. 677/2006 Z. z. zaviedol opatrenie, ktoré malo zabrániť neodôvodneným a nesprávne motivovaným prestupom sporiteľov z jednej dôchodkovej správcovskej spoločnosti do inej dôchodkovej správcovskej spoločnosti – tzv. akceptačný list, ktorý vydáva Sociálna poisťovňa a v určitých prípadoch je jeho vydanie aj spoplatnené. Táto bariéra (administratívno-finančná) mala slúžiť na stabilizáciu systému starobného dôchodkového sporenia najmä v čase, kedy bola situácia v oblasti finančného sprostredkovania a poradenstva pomerne turbulentná. Spoločne s týmto opatrením </w:t>
      </w:r>
      <w:r w:rsidR="00A472DA" w:rsidRPr="0006409C">
        <w:t>sa zaviedlo</w:t>
      </w:r>
      <w:r w:rsidRPr="0006409C">
        <w:t xml:space="preserve"> aj obmedzenie celkových výdavkov dôchodkovej správcovskej spoločnosti a výdavkov fyzických osôb a právnických osôb vynaložených v prospech dôchodkovej správcovskej spoločnosti v súvislosti s</w:t>
      </w:r>
      <w:r w:rsidR="0085476E" w:rsidRPr="0006409C">
        <w:t> </w:t>
      </w:r>
      <w:r w:rsidRPr="0006409C">
        <w:t xml:space="preserve">uzatvorením zmluvy o starobnom dôchodkovom sporení. </w:t>
      </w:r>
      <w:r w:rsidR="00A472DA" w:rsidRPr="0006409C">
        <w:t xml:space="preserve">V roku 2006 dosiahol počet zrealizovaných prestupov v II. pilieri takmer 150 tis., po zavedení opatrenia klesol hneď nasledujúci rok na menej ako 2 tis. prestupov za rok. Následne sa </w:t>
      </w:r>
      <w:r w:rsidR="00246B1C" w:rsidRPr="0006409C">
        <w:t xml:space="preserve">počet prestupov kontinuálne zvyšoval, v posledných rokoch sa prestupy </w:t>
      </w:r>
      <w:r w:rsidR="00AE0C45" w:rsidRPr="0006409C">
        <w:t xml:space="preserve">ustálili </w:t>
      </w:r>
      <w:r w:rsidR="00246B1C" w:rsidRPr="0006409C">
        <w:t xml:space="preserve">na počte okolo 40 tis. prestupov za rok. </w:t>
      </w:r>
      <w:r w:rsidR="004B1C6C" w:rsidRPr="0006409C">
        <w:t>D</w:t>
      </w:r>
      <w:r w:rsidR="00246B1C" w:rsidRPr="0006409C">
        <w:t>osiahnutý efekt tohto opatrenia</w:t>
      </w:r>
      <w:r w:rsidR="004B1C6C" w:rsidRPr="0006409C">
        <w:t xml:space="preserve"> je síce nespochybniteľný</w:t>
      </w:r>
      <w:r w:rsidR="00246B1C" w:rsidRPr="0006409C">
        <w:t>, k</w:t>
      </w:r>
      <w:r w:rsidR="00474AFE" w:rsidRPr="0006409C">
        <w:t xml:space="preserve">eďže </w:t>
      </w:r>
      <w:r w:rsidR="00246B1C" w:rsidRPr="0006409C">
        <w:t xml:space="preserve">ale </w:t>
      </w:r>
      <w:r w:rsidR="004B1C6C" w:rsidRPr="0006409C">
        <w:t xml:space="preserve">ide </w:t>
      </w:r>
      <w:r w:rsidR="00474AFE" w:rsidRPr="0006409C">
        <w:t xml:space="preserve">z podstaty o problematiku a potrebu regulácie </w:t>
      </w:r>
      <w:r w:rsidR="004B1C6C" w:rsidRPr="0006409C">
        <w:t xml:space="preserve">v oblasti </w:t>
      </w:r>
      <w:r w:rsidR="00474AFE" w:rsidRPr="0006409C">
        <w:t>finančného sprostredkovania</w:t>
      </w:r>
      <w:r w:rsidR="00A472DA" w:rsidRPr="0006409C">
        <w:t xml:space="preserve"> a</w:t>
      </w:r>
      <w:r w:rsidR="00246B1C" w:rsidRPr="0006409C">
        <w:t> </w:t>
      </w:r>
      <w:r w:rsidR="00A472DA" w:rsidRPr="0006409C">
        <w:t>poradenstva</w:t>
      </w:r>
      <w:r w:rsidR="00246B1C" w:rsidRPr="0006409C">
        <w:t xml:space="preserve"> (</w:t>
      </w:r>
      <w:r w:rsidR="00BF625E" w:rsidRPr="0006409C">
        <w:t>v </w:t>
      </w:r>
      <w:r w:rsidR="00246B1C" w:rsidRPr="0006409C">
        <w:t>prostredí mimo Sociálnej poisťovne)</w:t>
      </w:r>
      <w:r w:rsidR="00474AFE" w:rsidRPr="0006409C">
        <w:t xml:space="preserve">, </w:t>
      </w:r>
      <w:r w:rsidR="00A472DA" w:rsidRPr="0006409C">
        <w:t xml:space="preserve">navrhuje sa </w:t>
      </w:r>
      <w:r w:rsidR="00A472DA" w:rsidRPr="0006409C">
        <w:rPr>
          <w:b/>
        </w:rPr>
        <w:t>zrušiť úlohy a povinnosti Sociálnej poisťovne v súvislosti s vydávaním akceptačných listov</w:t>
      </w:r>
      <w:r w:rsidR="00D057AF" w:rsidRPr="0006409C">
        <w:rPr>
          <w:b/>
        </w:rPr>
        <w:t xml:space="preserve"> </w:t>
      </w:r>
      <w:r w:rsidR="00D057AF" w:rsidRPr="0006409C">
        <w:t>(čl. II)</w:t>
      </w:r>
      <w:r w:rsidR="00A472DA" w:rsidRPr="0006409C">
        <w:t>. Súčasne sa</w:t>
      </w:r>
      <w:r w:rsidR="00246B1C" w:rsidRPr="0006409C">
        <w:t xml:space="preserve"> však</w:t>
      </w:r>
      <w:r w:rsidR="00A472DA" w:rsidRPr="0006409C">
        <w:t xml:space="preserve"> navrhuje </w:t>
      </w:r>
      <w:r w:rsidR="00246B1C" w:rsidRPr="0006409C">
        <w:t xml:space="preserve">vytvorenie inej bariéry, a to </w:t>
      </w:r>
      <w:r w:rsidR="00A472DA" w:rsidRPr="0006409C">
        <w:t>úprav</w:t>
      </w:r>
      <w:r w:rsidR="00246B1C" w:rsidRPr="0006409C">
        <w:t>ou</w:t>
      </w:r>
      <w:r w:rsidR="00A472DA" w:rsidRPr="0006409C">
        <w:t xml:space="preserve"> existujúceho opatrenia </w:t>
      </w:r>
      <w:r w:rsidR="00246B1C" w:rsidRPr="0006409C">
        <w:t xml:space="preserve">limitujúceho </w:t>
      </w:r>
      <w:r w:rsidR="00A472DA" w:rsidRPr="0006409C">
        <w:t>výdavk</w:t>
      </w:r>
      <w:r w:rsidR="00246B1C" w:rsidRPr="0006409C">
        <w:t>y</w:t>
      </w:r>
      <w:r w:rsidR="00A472DA" w:rsidRPr="0006409C">
        <w:t xml:space="preserve"> dôchodkovej správcovskej spoločnosti na uzatvorenie </w:t>
      </w:r>
      <w:r w:rsidR="00246B1C" w:rsidRPr="0006409C">
        <w:t xml:space="preserve">jednej </w:t>
      </w:r>
      <w:r w:rsidR="00A472DA" w:rsidRPr="0006409C">
        <w:t>zmluvy o starobnom dôchodkovom sporení</w:t>
      </w:r>
      <w:r w:rsidR="00246B1C" w:rsidRPr="0006409C">
        <w:t xml:space="preserve">. Dôchodková správcovská spoločnosť, resp. fyzické a právnické osoby konajúce </w:t>
      </w:r>
      <w:r w:rsidR="00B006BA" w:rsidRPr="0006409C">
        <w:t xml:space="preserve">pri získavaní klientov </w:t>
      </w:r>
      <w:r w:rsidR="00246B1C" w:rsidRPr="0006409C">
        <w:t>v jej prospech, nebudú môcť vyplácať</w:t>
      </w:r>
      <w:r w:rsidR="00A472DA" w:rsidRPr="0006409C">
        <w:t xml:space="preserve"> provízi</w:t>
      </w:r>
      <w:r w:rsidR="00246B1C" w:rsidRPr="0006409C">
        <w:t>u</w:t>
      </w:r>
      <w:r w:rsidR="00A472DA" w:rsidRPr="0006409C">
        <w:t xml:space="preserve"> </w:t>
      </w:r>
      <w:r w:rsidR="00246B1C" w:rsidRPr="0006409C">
        <w:t>(</w:t>
      </w:r>
      <w:r w:rsidR="00AE0C45" w:rsidRPr="0006409C">
        <w:t xml:space="preserve">poskytnúť </w:t>
      </w:r>
      <w:r w:rsidR="00390979" w:rsidRPr="0006409C">
        <w:t xml:space="preserve">iný prospech) </w:t>
      </w:r>
      <w:r w:rsidR="00A472DA" w:rsidRPr="0006409C">
        <w:t xml:space="preserve">finančnému sprostredkovateľovi </w:t>
      </w:r>
      <w:r w:rsidR="00AE0C45" w:rsidRPr="0006409C">
        <w:t>za získanie</w:t>
      </w:r>
      <w:r w:rsidR="00246B1C" w:rsidRPr="0006409C">
        <w:t xml:space="preserve"> klienta od inej d</w:t>
      </w:r>
      <w:r w:rsidR="00A472DA" w:rsidRPr="0006409C">
        <w:t>ôchodkovej správcovskej spoločnosti.</w:t>
      </w:r>
    </w:p>
    <w:p w:rsidR="00542DA3" w:rsidRPr="0006409C" w:rsidRDefault="00542DA3" w:rsidP="00E25554">
      <w:pPr>
        <w:ind w:firstLine="708"/>
        <w:jc w:val="both"/>
      </w:pPr>
    </w:p>
    <w:p w:rsidR="00576ECC" w:rsidRPr="0006409C" w:rsidRDefault="00576ECC" w:rsidP="00576ECC">
      <w:pPr>
        <w:ind w:firstLine="708"/>
        <w:jc w:val="both"/>
        <w:rPr>
          <w:rFonts w:eastAsia="Times New Roman"/>
          <w:lang w:eastAsia="sk-SK"/>
        </w:rPr>
      </w:pPr>
      <w:r w:rsidRPr="0006409C">
        <w:rPr>
          <w:rFonts w:eastAsia="Times New Roman"/>
          <w:lang w:eastAsia="sk-SK"/>
        </w:rPr>
        <w:t>Návrh zákona má</w:t>
      </w:r>
      <w:r w:rsidR="004F6EB7" w:rsidRPr="0006409C">
        <w:rPr>
          <w:rFonts w:eastAsia="Times New Roman"/>
          <w:lang w:eastAsia="sk-SK"/>
        </w:rPr>
        <w:t xml:space="preserve"> prevažne</w:t>
      </w:r>
      <w:r w:rsidRPr="0006409C">
        <w:rPr>
          <w:rFonts w:eastAsia="Times New Roman"/>
          <w:lang w:eastAsia="sk-SK"/>
        </w:rPr>
        <w:t xml:space="preserve"> pozitívne sociálne vplyvy a tiež pozitívny vplyv na informatizáciu spoločnosti. Návrh zákona predpokladá prevažne negatívny vplyvy na rozpočet verejnej správy a na podnikateľského prostredie. Návrh zákona nebude mať vplyvy na životné prostredie, nebude mať vplyvy na služby verejnej správy pre občana ani vplyvy na manželstvo, rodičovstvo a rodinu.</w:t>
      </w:r>
      <w:r w:rsidR="000440B1" w:rsidRPr="0006409C">
        <w:t xml:space="preserve"> </w:t>
      </w:r>
      <w:r w:rsidR="000440B1" w:rsidRPr="0006409C">
        <w:rPr>
          <w:rFonts w:eastAsia="Times New Roman"/>
          <w:lang w:eastAsia="sk-SK"/>
        </w:rPr>
        <w:t>Sledované vybrané vplyvy návrhu zákona podľa Jednotnej metodiky na posudzovanie vybraných vplyvov sú zhodnotené v priloženej doložke vybraných vplyvov, ako aj v analýze vplyvov na rozpočet verejnej správy, v analýze vplyvov na podnikateľské prostredie, v analýze sociálnych vplyvov a v analýze vplyvov</w:t>
      </w:r>
      <w:r w:rsidR="0006409C">
        <w:rPr>
          <w:rFonts w:eastAsia="Times New Roman"/>
          <w:lang w:eastAsia="sk-SK"/>
        </w:rPr>
        <w:t xml:space="preserve"> na informatizáciu spoločnosti.</w:t>
      </w:r>
    </w:p>
    <w:p w:rsidR="00E25554" w:rsidRPr="0006409C" w:rsidRDefault="00E25554" w:rsidP="00E25554">
      <w:pPr>
        <w:ind w:firstLine="708"/>
        <w:jc w:val="both"/>
        <w:rPr>
          <w:rFonts w:eastAsia="Times New Roman"/>
          <w:lang w:eastAsia="sk-SK"/>
        </w:rPr>
      </w:pPr>
    </w:p>
    <w:p w:rsidR="00F85A74" w:rsidRPr="0006409C" w:rsidRDefault="00E25554" w:rsidP="00BF625E">
      <w:pPr>
        <w:ind w:firstLine="708"/>
        <w:jc w:val="both"/>
      </w:pPr>
      <w:r w:rsidRPr="0006409C">
        <w:rPr>
          <w:rFonts w:eastAsia="Times New Roman"/>
          <w:lang w:eastAsia="sk-SK"/>
        </w:rPr>
        <w:t>Návrh zákona je v súlade s Ústavou Slovenskej republiky, ústavnými zákonmi a nálezmi Ústavného súdu Slovenskej republiky a</w:t>
      </w:r>
      <w:r w:rsidRPr="0006409C">
        <w:t> </w:t>
      </w:r>
      <w:r w:rsidRPr="0006409C">
        <w:rPr>
          <w:rFonts w:eastAsia="Times New Roman"/>
          <w:lang w:eastAsia="sk-SK"/>
        </w:rPr>
        <w:t>zákonmi, ako aj s medzinárodnými zmluvami, ktorými je Slovenská republika viazaná a</w:t>
      </w:r>
      <w:r w:rsidRPr="0006409C">
        <w:t> </w:t>
      </w:r>
      <w:r w:rsidRPr="0006409C">
        <w:rPr>
          <w:rFonts w:eastAsia="Times New Roman"/>
          <w:lang w:eastAsia="sk-SK"/>
        </w:rPr>
        <w:t>súčasne je v súlade aj s právom Európskej únie.</w:t>
      </w:r>
    </w:p>
    <w:sectPr w:rsidR="00F85A74" w:rsidRPr="0006409C" w:rsidSect="00A472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69" w:rsidRDefault="00E21E69" w:rsidP="00E25554">
      <w:r>
        <w:separator/>
      </w:r>
    </w:p>
  </w:endnote>
  <w:endnote w:type="continuationSeparator" w:id="0">
    <w:p w:rsidR="00E21E69" w:rsidRDefault="00E21E69" w:rsidP="00E2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300721"/>
      <w:docPartObj>
        <w:docPartGallery w:val="Page Numbers (Bottom of Page)"/>
        <w:docPartUnique/>
      </w:docPartObj>
    </w:sdtPr>
    <w:sdtEndPr/>
    <w:sdtContent>
      <w:p w:rsidR="00A472DA" w:rsidRDefault="00A472DA">
        <w:pPr>
          <w:pStyle w:val="Pta"/>
          <w:jc w:val="center"/>
        </w:pPr>
        <w:r>
          <w:fldChar w:fldCharType="begin"/>
        </w:r>
        <w:r>
          <w:instrText>PAGE   \* MERGEFORMAT</w:instrText>
        </w:r>
        <w:r>
          <w:fldChar w:fldCharType="separate"/>
        </w:r>
        <w:r w:rsidR="00AD2366">
          <w:rPr>
            <w:noProof/>
          </w:rPr>
          <w:t>4</w:t>
        </w:r>
        <w:r>
          <w:fldChar w:fldCharType="end"/>
        </w:r>
      </w:p>
    </w:sdtContent>
  </w:sdt>
  <w:p w:rsidR="00A472DA" w:rsidRDefault="00A472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69" w:rsidRDefault="00E21E69" w:rsidP="00E25554">
      <w:r>
        <w:separator/>
      </w:r>
    </w:p>
  </w:footnote>
  <w:footnote w:type="continuationSeparator" w:id="0">
    <w:p w:rsidR="00E21E69" w:rsidRDefault="00E21E69" w:rsidP="00E25554">
      <w:r>
        <w:continuationSeparator/>
      </w:r>
    </w:p>
  </w:footnote>
  <w:footnote w:id="1">
    <w:p w:rsidR="00A472DA" w:rsidRPr="00A41018" w:rsidRDefault="00A472DA" w:rsidP="00DE2538">
      <w:pPr>
        <w:pStyle w:val="Textpoznmkypodiarou"/>
        <w:rPr>
          <w:sz w:val="16"/>
          <w:szCs w:val="16"/>
        </w:rPr>
      </w:pPr>
      <w:r w:rsidRPr="00A41018">
        <w:rPr>
          <w:rStyle w:val="Odkaznapoznmkupodiarou"/>
          <w:sz w:val="16"/>
          <w:szCs w:val="16"/>
        </w:rPr>
        <w:footnoteRef/>
      </w:r>
      <w:r w:rsidRPr="00A41018">
        <w:rPr>
          <w:sz w:val="16"/>
          <w:szCs w:val="16"/>
        </w:rPr>
        <w:t xml:space="preserve"> </w:t>
      </w:r>
      <w:r>
        <w:rPr>
          <w:sz w:val="16"/>
          <w:szCs w:val="16"/>
        </w:rPr>
        <w:t xml:space="preserve">Inštitút finančnej politiky. 2019. </w:t>
      </w:r>
      <w:r w:rsidRPr="00BA3CFF">
        <w:rPr>
          <w:sz w:val="16"/>
          <w:szCs w:val="16"/>
        </w:rPr>
        <w:t>Default strategy in pension saving</w:t>
      </w:r>
      <w:r>
        <w:rPr>
          <w:sz w:val="16"/>
          <w:szCs w:val="16"/>
        </w:rPr>
        <w:t xml:space="preserve"> (</w:t>
      </w:r>
      <w:r w:rsidRPr="00BA3CFF">
        <w:rPr>
          <w:sz w:val="16"/>
          <w:szCs w:val="16"/>
        </w:rPr>
        <w:t>The case of Slovakia</w:t>
      </w:r>
      <w:r>
        <w:rPr>
          <w:sz w:val="16"/>
          <w:szCs w:val="16"/>
        </w:rPr>
        <w:t>).</w:t>
      </w:r>
    </w:p>
    <w:p w:rsidR="00A472DA" w:rsidRPr="00A41018" w:rsidRDefault="00A472DA" w:rsidP="00BA3CFF">
      <w:pPr>
        <w:pStyle w:val="Textpoznmkypodiarou"/>
        <w:rPr>
          <w:sz w:val="16"/>
          <w:szCs w:val="16"/>
        </w:rPr>
      </w:pPr>
      <w:r w:rsidRPr="00A41018">
        <w:rPr>
          <w:sz w:val="16"/>
          <w:szCs w:val="16"/>
        </w:rPr>
        <w:t>Ódor, Povala. 2019. Sporiteľ na prvom mieste</w:t>
      </w:r>
      <w:r>
        <w:rPr>
          <w:sz w:val="16"/>
          <w:szCs w:val="16"/>
        </w:rPr>
        <w:t xml:space="preserve"> (</w:t>
      </w:r>
      <w:r w:rsidRPr="00A41018">
        <w:rPr>
          <w:sz w:val="16"/>
          <w:szCs w:val="16"/>
        </w:rPr>
        <w:t>Ako zreformovať druhý dôchodkový pilier na Slovensku?</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0D8D"/>
    <w:multiLevelType w:val="hybridMultilevel"/>
    <w:tmpl w:val="F9061DCC"/>
    <w:lvl w:ilvl="0" w:tplc="24DC612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D771A50"/>
    <w:multiLevelType w:val="hybridMultilevel"/>
    <w:tmpl w:val="CD8E74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26F62C06">
      <w:numFmt w:val="bullet"/>
      <w:lvlText w:val="-"/>
      <w:lvlJc w:val="left"/>
      <w:pPr>
        <w:ind w:left="2880" w:hanging="360"/>
      </w:pPr>
      <w:rPr>
        <w:rFonts w:ascii="Times New Roman" w:eastAsiaTheme="minorHAns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54"/>
    <w:rsid w:val="00004F43"/>
    <w:rsid w:val="000440B1"/>
    <w:rsid w:val="0006409C"/>
    <w:rsid w:val="00065CA8"/>
    <w:rsid w:val="000B4023"/>
    <w:rsid w:val="000F042B"/>
    <w:rsid w:val="000F5224"/>
    <w:rsid w:val="00177464"/>
    <w:rsid w:val="0019335F"/>
    <w:rsid w:val="00216FA8"/>
    <w:rsid w:val="00246B1C"/>
    <w:rsid w:val="00261439"/>
    <w:rsid w:val="002623EC"/>
    <w:rsid w:val="00272D62"/>
    <w:rsid w:val="002961D0"/>
    <w:rsid w:val="002977AC"/>
    <w:rsid w:val="002B6833"/>
    <w:rsid w:val="002C7380"/>
    <w:rsid w:val="00315AF4"/>
    <w:rsid w:val="00390979"/>
    <w:rsid w:val="003A5FB8"/>
    <w:rsid w:val="003F0E71"/>
    <w:rsid w:val="003F7DBB"/>
    <w:rsid w:val="0042577C"/>
    <w:rsid w:val="00474AFE"/>
    <w:rsid w:val="004B1C6C"/>
    <w:rsid w:val="004F6EB7"/>
    <w:rsid w:val="00516684"/>
    <w:rsid w:val="00542DA3"/>
    <w:rsid w:val="005510E7"/>
    <w:rsid w:val="00574692"/>
    <w:rsid w:val="00576ECC"/>
    <w:rsid w:val="0059080B"/>
    <w:rsid w:val="005A4105"/>
    <w:rsid w:val="005C5E40"/>
    <w:rsid w:val="00654926"/>
    <w:rsid w:val="006B1B4C"/>
    <w:rsid w:val="006D4846"/>
    <w:rsid w:val="00701A1C"/>
    <w:rsid w:val="007428DA"/>
    <w:rsid w:val="007573C5"/>
    <w:rsid w:val="00777ED2"/>
    <w:rsid w:val="007F5BAE"/>
    <w:rsid w:val="008233A8"/>
    <w:rsid w:val="0083275A"/>
    <w:rsid w:val="00835E24"/>
    <w:rsid w:val="008436E5"/>
    <w:rsid w:val="0085476E"/>
    <w:rsid w:val="00901ED3"/>
    <w:rsid w:val="00906909"/>
    <w:rsid w:val="009533FE"/>
    <w:rsid w:val="009D2B7C"/>
    <w:rsid w:val="00A160C7"/>
    <w:rsid w:val="00A17374"/>
    <w:rsid w:val="00A240F4"/>
    <w:rsid w:val="00A34553"/>
    <w:rsid w:val="00A41018"/>
    <w:rsid w:val="00A472DA"/>
    <w:rsid w:val="00AD0580"/>
    <w:rsid w:val="00AD2366"/>
    <w:rsid w:val="00AD6A68"/>
    <w:rsid w:val="00AE086E"/>
    <w:rsid w:val="00AE0C45"/>
    <w:rsid w:val="00AE5745"/>
    <w:rsid w:val="00B006BA"/>
    <w:rsid w:val="00B14856"/>
    <w:rsid w:val="00B21878"/>
    <w:rsid w:val="00B77155"/>
    <w:rsid w:val="00BA3CFF"/>
    <w:rsid w:val="00BC221B"/>
    <w:rsid w:val="00BF625E"/>
    <w:rsid w:val="00C063F9"/>
    <w:rsid w:val="00C30399"/>
    <w:rsid w:val="00C30902"/>
    <w:rsid w:val="00C35AF0"/>
    <w:rsid w:val="00C630C0"/>
    <w:rsid w:val="00C94387"/>
    <w:rsid w:val="00C97397"/>
    <w:rsid w:val="00CD5BD5"/>
    <w:rsid w:val="00D01A27"/>
    <w:rsid w:val="00D057AF"/>
    <w:rsid w:val="00D67774"/>
    <w:rsid w:val="00D946E6"/>
    <w:rsid w:val="00DE2538"/>
    <w:rsid w:val="00DF1344"/>
    <w:rsid w:val="00E0525A"/>
    <w:rsid w:val="00E20D9E"/>
    <w:rsid w:val="00E21E69"/>
    <w:rsid w:val="00E25554"/>
    <w:rsid w:val="00E33339"/>
    <w:rsid w:val="00E45658"/>
    <w:rsid w:val="00EB69F0"/>
    <w:rsid w:val="00F01876"/>
    <w:rsid w:val="00F70F1B"/>
    <w:rsid w:val="00F80E47"/>
    <w:rsid w:val="00F85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24F1"/>
  <w15:chartTrackingRefBased/>
  <w15:docId w15:val="{FB02B915-F549-489A-ADB4-36ABCEF6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5554"/>
    <w:pPr>
      <w:spacing w:after="0" w:line="240" w:lineRule="auto"/>
    </w:pPr>
    <w:rPr>
      <w:rFonts w:ascii="Times New Roman" w:eastAsia="MS Mincho" w:hAnsi="Times New Roman" w:cs="Times New Roman"/>
      <w:sz w:val="24"/>
      <w:szCs w:val="24"/>
      <w:lang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25554"/>
    <w:pPr>
      <w:tabs>
        <w:tab w:val="center" w:pos="4536"/>
        <w:tab w:val="right" w:pos="9072"/>
      </w:tabs>
    </w:pPr>
  </w:style>
  <w:style w:type="character" w:customStyle="1" w:styleId="PtaChar">
    <w:name w:val="Päta Char"/>
    <w:basedOn w:val="Predvolenpsmoodseku"/>
    <w:link w:val="Pta"/>
    <w:uiPriority w:val="99"/>
    <w:rsid w:val="00E25554"/>
    <w:rPr>
      <w:rFonts w:ascii="Times New Roman" w:eastAsia="MS Mincho" w:hAnsi="Times New Roman" w:cs="Times New Roman"/>
      <w:sz w:val="24"/>
      <w:szCs w:val="24"/>
      <w:lang w:eastAsia="ja-JP"/>
    </w:rPr>
  </w:style>
  <w:style w:type="paragraph" w:styleId="Textpoznmkypodiarou">
    <w:name w:val="footnote text"/>
    <w:basedOn w:val="Normlny"/>
    <w:link w:val="TextpoznmkypodiarouChar"/>
    <w:uiPriority w:val="99"/>
    <w:semiHidden/>
    <w:unhideWhenUsed/>
    <w:rsid w:val="00E25554"/>
    <w:rPr>
      <w:sz w:val="20"/>
      <w:szCs w:val="20"/>
    </w:rPr>
  </w:style>
  <w:style w:type="character" w:customStyle="1" w:styleId="TextpoznmkypodiarouChar">
    <w:name w:val="Text poznámky pod čiarou Char"/>
    <w:basedOn w:val="Predvolenpsmoodseku"/>
    <w:link w:val="Textpoznmkypodiarou"/>
    <w:uiPriority w:val="99"/>
    <w:semiHidden/>
    <w:rsid w:val="00E25554"/>
    <w:rPr>
      <w:rFonts w:ascii="Times New Roman" w:eastAsia="MS Mincho" w:hAnsi="Times New Roman" w:cs="Times New Roman"/>
      <w:sz w:val="20"/>
      <w:szCs w:val="20"/>
      <w:lang w:eastAsia="ja-JP"/>
    </w:rPr>
  </w:style>
  <w:style w:type="character" w:styleId="Odkaznapoznmkupodiarou">
    <w:name w:val="footnote reference"/>
    <w:basedOn w:val="Predvolenpsmoodseku"/>
    <w:uiPriority w:val="99"/>
    <w:semiHidden/>
    <w:unhideWhenUsed/>
    <w:rsid w:val="00E25554"/>
    <w:rPr>
      <w:vertAlign w:val="superscript"/>
    </w:rPr>
  </w:style>
  <w:style w:type="character" w:styleId="Hypertextovprepojenie">
    <w:name w:val="Hyperlink"/>
    <w:basedOn w:val="Predvolenpsmoodseku"/>
    <w:uiPriority w:val="99"/>
    <w:semiHidden/>
    <w:unhideWhenUsed/>
    <w:rsid w:val="00E25554"/>
    <w:rPr>
      <w:color w:val="0000FF"/>
      <w:u w:val="single"/>
    </w:rPr>
  </w:style>
  <w:style w:type="paragraph" w:styleId="Odsekzoznamu">
    <w:name w:val="List Paragraph"/>
    <w:basedOn w:val="Normlny"/>
    <w:uiPriority w:val="34"/>
    <w:qFormat/>
    <w:rsid w:val="00315AF4"/>
    <w:pPr>
      <w:spacing w:after="200" w:line="276" w:lineRule="auto"/>
      <w:ind w:left="720"/>
      <w:contextualSpacing/>
    </w:pPr>
    <w:rPr>
      <w:rFonts w:asciiTheme="minorHAnsi" w:eastAsiaTheme="minorHAnsi" w:hAnsiTheme="minorHAnsi" w:cstheme="minorBidi"/>
      <w:sz w:val="22"/>
      <w:szCs w:val="22"/>
      <w:lang w:eastAsia="en-US"/>
    </w:rPr>
  </w:style>
  <w:style w:type="table" w:styleId="Mriekatabuky">
    <w:name w:val="Table Grid"/>
    <w:basedOn w:val="Normlnatabuka"/>
    <w:uiPriority w:val="39"/>
    <w:rsid w:val="0047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34553"/>
    <w:rPr>
      <w:sz w:val="16"/>
      <w:szCs w:val="16"/>
    </w:rPr>
  </w:style>
  <w:style w:type="paragraph" w:styleId="Textkomentra">
    <w:name w:val="annotation text"/>
    <w:basedOn w:val="Normlny"/>
    <w:link w:val="TextkomentraChar"/>
    <w:uiPriority w:val="99"/>
    <w:semiHidden/>
    <w:unhideWhenUsed/>
    <w:rsid w:val="00A34553"/>
    <w:rPr>
      <w:sz w:val="20"/>
      <w:szCs w:val="20"/>
    </w:rPr>
  </w:style>
  <w:style w:type="character" w:customStyle="1" w:styleId="TextkomentraChar">
    <w:name w:val="Text komentára Char"/>
    <w:basedOn w:val="Predvolenpsmoodseku"/>
    <w:link w:val="Textkomentra"/>
    <w:uiPriority w:val="99"/>
    <w:semiHidden/>
    <w:rsid w:val="00A34553"/>
    <w:rPr>
      <w:rFonts w:ascii="Times New Roman" w:eastAsia="MS Mincho" w:hAnsi="Times New Roman" w:cs="Times New Roman"/>
      <w:sz w:val="20"/>
      <w:szCs w:val="20"/>
      <w:lang w:eastAsia="ja-JP"/>
    </w:rPr>
  </w:style>
  <w:style w:type="paragraph" w:styleId="Predmetkomentra">
    <w:name w:val="annotation subject"/>
    <w:basedOn w:val="Textkomentra"/>
    <w:next w:val="Textkomentra"/>
    <w:link w:val="PredmetkomentraChar"/>
    <w:uiPriority w:val="99"/>
    <w:semiHidden/>
    <w:unhideWhenUsed/>
    <w:rsid w:val="00A34553"/>
    <w:rPr>
      <w:b/>
      <w:bCs/>
    </w:rPr>
  </w:style>
  <w:style w:type="character" w:customStyle="1" w:styleId="PredmetkomentraChar">
    <w:name w:val="Predmet komentára Char"/>
    <w:basedOn w:val="TextkomentraChar"/>
    <w:link w:val="Predmetkomentra"/>
    <w:uiPriority w:val="99"/>
    <w:semiHidden/>
    <w:rsid w:val="00A34553"/>
    <w:rPr>
      <w:rFonts w:ascii="Times New Roman" w:eastAsia="MS Mincho" w:hAnsi="Times New Roman" w:cs="Times New Roman"/>
      <w:b/>
      <w:bCs/>
      <w:sz w:val="20"/>
      <w:szCs w:val="20"/>
      <w:lang w:eastAsia="ja-JP"/>
    </w:rPr>
  </w:style>
  <w:style w:type="paragraph" w:styleId="Textbubliny">
    <w:name w:val="Balloon Text"/>
    <w:basedOn w:val="Normlny"/>
    <w:link w:val="TextbublinyChar"/>
    <w:uiPriority w:val="99"/>
    <w:semiHidden/>
    <w:unhideWhenUsed/>
    <w:rsid w:val="00A345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4553"/>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6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9E17-6215-463D-A562-1DF461AF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1873</Words>
  <Characters>10677</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Slavka Fujdová</dc:creator>
  <cp:keywords/>
  <dc:description/>
  <cp:lastModifiedBy>Cebulakova Monika</cp:lastModifiedBy>
  <cp:revision>3</cp:revision>
  <dcterms:created xsi:type="dcterms:W3CDTF">2022-08-24T11:31:00Z</dcterms:created>
  <dcterms:modified xsi:type="dcterms:W3CDTF">2022-08-24T11:40:00Z</dcterms:modified>
</cp:coreProperties>
</file>