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NÁRODNÁ RADA SLOVENSKEJ REPUBLIKY</w:t>
      </w:r>
    </w:p>
    <w:p w:rsidR="00A30B0C" w:rsidRPr="00E21DE3" w:rsidRDefault="00A30B0C" w:rsidP="0091601F">
      <w:pPr>
        <w:pBdr>
          <w:bottom w:val="single" w:sz="12" w:space="1" w:color="auto"/>
        </w:pBd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VIII. VOLEBNÉ OBDOBIE</w:t>
      </w:r>
    </w:p>
    <w:p w:rsidR="00A30B0C" w:rsidRPr="00E21DE3" w:rsidRDefault="00A30B0C" w:rsidP="00A421CD">
      <w:pPr>
        <w:spacing w:before="120" w:after="0" w:line="276" w:lineRule="auto"/>
        <w:rPr>
          <w:rFonts w:ascii="Book Antiqua" w:eastAsia="Times New Roman" w:hAnsi="Book Antiqua" w:cs="Times New Roman"/>
          <w:i/>
          <w:iCs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Návrh</w:t>
      </w: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Zákon</w:t>
      </w: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E21DE3" w:rsidRDefault="009322E7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z ... 2022</w:t>
      </w:r>
      <w:r w:rsidR="00A30B0C" w:rsidRPr="00E21DE3">
        <w:rPr>
          <w:rFonts w:ascii="Book Antiqua" w:eastAsia="Times New Roman" w:hAnsi="Book Antiqua" w:cs="Times New Roman"/>
          <w:color w:val="000000"/>
          <w:lang w:eastAsia="sk-SK"/>
        </w:rPr>
        <w:t>,</w:t>
      </w:r>
    </w:p>
    <w:p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ktorým sa mení a dopĺňa zákon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č. 7/2005 Z. z. o konkurze a reštrukturalizácii a o zmene a doplnení niektorých zákonov v znení neskorších predpisov</w:t>
      </w: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:rsidR="0091601F" w:rsidRPr="00E21DE3" w:rsidRDefault="0091601F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:rsidR="00A30B0C" w:rsidRPr="00E21DE3" w:rsidRDefault="00A30B0C" w:rsidP="0091601F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E21DE3">
        <w:rPr>
          <w:rFonts w:ascii="Book Antiqua" w:eastAsia="Times New Roman" w:hAnsi="Book Antiqua" w:cs="Times New Roman"/>
          <w:lang w:eastAsia="sk-SK"/>
        </w:rPr>
        <w:t>Zákon</w:t>
      </w:r>
      <w:r w:rsidRPr="00E21DE3">
        <w:rPr>
          <w:rFonts w:ascii="Book Antiqua" w:eastAsia="Times New Roman" w:hAnsi="Book Antiqua" w:cs="Times New Roman"/>
          <w:spacing w:val="91"/>
          <w:lang w:eastAsia="sk-SK"/>
        </w:rPr>
        <w:t xml:space="preserve"> </w:t>
      </w:r>
      <w:r w:rsidR="00E21DE3" w:rsidRPr="00E21DE3">
        <w:rPr>
          <w:rFonts w:ascii="Book Antiqua" w:eastAsia="Times New Roman" w:hAnsi="Book Antiqua" w:cs="Times New Roman"/>
          <w:bCs/>
          <w:lang w:eastAsia="sk-SK"/>
        </w:rPr>
        <w:t>č. 7/2005 Z. z. o konkurze a reštrukturalizácii a o zmene a doplnení niektorých zákonov</w:t>
      </w:r>
      <w:r w:rsidRPr="00E21DE3">
        <w:rPr>
          <w:rFonts w:ascii="Book Antiqua" w:eastAsia="Times New Roman" w:hAnsi="Book Antiqua" w:cs="Times New Roman"/>
          <w:spacing w:val="63"/>
          <w:lang w:eastAsia="sk-SK"/>
        </w:rPr>
        <w:t xml:space="preserve"> </w:t>
      </w:r>
      <w:r w:rsidRPr="00E21DE3">
        <w:rPr>
          <w:rFonts w:ascii="Book Antiqua" w:eastAsia="Times New Roman" w:hAnsi="Book Antiqua" w:cs="Times New Roman"/>
          <w:lang w:eastAsia="sk-SK"/>
        </w:rPr>
        <w:t>v</w:t>
      </w:r>
      <w:r w:rsidRPr="00E21DE3">
        <w:rPr>
          <w:rFonts w:ascii="Book Antiqua" w:eastAsia="Times New Roman" w:hAnsi="Book Antiqua" w:cs="Times New Roman"/>
          <w:spacing w:val="63"/>
          <w:lang w:eastAsia="sk-SK"/>
        </w:rPr>
        <w:t xml:space="preserve"> </w:t>
      </w:r>
      <w:r w:rsidRPr="00E21DE3">
        <w:rPr>
          <w:rFonts w:ascii="Book Antiqua" w:eastAsia="Times New Roman" w:hAnsi="Book Antiqua" w:cs="Times New Roman"/>
          <w:lang w:eastAsia="sk-SK"/>
        </w:rPr>
        <w:t>znení</w:t>
      </w:r>
      <w:r w:rsidRPr="00E21DE3">
        <w:rPr>
          <w:rFonts w:ascii="Book Antiqua" w:eastAsia="Times New Roman" w:hAnsi="Book Antiqua" w:cs="Times New Roman"/>
          <w:spacing w:val="63"/>
          <w:lang w:eastAsia="sk-SK"/>
        </w:rPr>
        <w:t xml:space="preserve"> </w:t>
      </w:r>
      <w:r w:rsidRPr="00E21DE3">
        <w:rPr>
          <w:rFonts w:ascii="Book Antiqua" w:eastAsia="Times New Roman" w:hAnsi="Book Antiqua" w:cs="Times New Roman"/>
          <w:lang w:eastAsia="sk-SK"/>
        </w:rPr>
        <w:t>zákona</w:t>
      </w:r>
      <w:r w:rsidR="00E21DE3" w:rsidRPr="00E21DE3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E21DE3" w:rsidRPr="00E21DE3">
        <w:rPr>
          <w:rFonts w:ascii="Book Antiqua" w:hAnsi="Book Antiqua" w:cs="Segoe UI"/>
          <w:shd w:val="clear" w:color="auto" w:fill="FFFFFF"/>
        </w:rPr>
        <w:t xml:space="preserve">č. 353/2005 Z. z., zákona č. 520/2005 Z. z., zákona </w:t>
      </w:r>
      <w:r w:rsidR="00E21DE3">
        <w:rPr>
          <w:rFonts w:ascii="Book Antiqua" w:hAnsi="Book Antiqua" w:cs="Segoe UI"/>
          <w:shd w:val="clear" w:color="auto" w:fill="FFFFFF"/>
        </w:rPr>
        <w:t xml:space="preserve">       </w:t>
      </w:r>
      <w:r w:rsidR="00E21DE3" w:rsidRPr="00E21DE3">
        <w:rPr>
          <w:rFonts w:ascii="Book Antiqua" w:hAnsi="Book Antiqua" w:cs="Segoe UI"/>
          <w:shd w:val="clear" w:color="auto" w:fill="FFFFFF"/>
        </w:rPr>
        <w:t xml:space="preserve">č. 198/2007 Z. z., zákona č. 209/2007 Z. z., zákona č. 270/2008 Z. z., zákona č. 477/2008 Z. z., zákona č. 552/2008 Z. z., zákona č. 276/2009 Z. z., zákona č. 492/2009 Z. z., zákona </w:t>
      </w:r>
      <w:r w:rsidR="00E21DE3">
        <w:rPr>
          <w:rFonts w:ascii="Book Antiqua" w:hAnsi="Book Antiqua" w:cs="Segoe UI"/>
          <w:shd w:val="clear" w:color="auto" w:fill="FFFFFF"/>
        </w:rPr>
        <w:t xml:space="preserve">               </w:t>
      </w:r>
      <w:r w:rsidR="00E21DE3" w:rsidRPr="00E21DE3">
        <w:rPr>
          <w:rFonts w:ascii="Book Antiqua" w:hAnsi="Book Antiqua" w:cs="Segoe UI"/>
          <w:shd w:val="clear" w:color="auto" w:fill="FFFFFF"/>
        </w:rPr>
        <w:t xml:space="preserve">č. 224/2010 Z. z., zákona č. 130/2011 Z. z., zákona č. 348/2011 Z. z., zákona č. 305/2013 Z. z., zákona č. 371/2014 Z. z., zákona č. 87/2015 Z. z., zákona č. 117/2015 Z. z., zákona </w:t>
      </w:r>
      <w:r w:rsidR="00E21DE3">
        <w:rPr>
          <w:rFonts w:ascii="Book Antiqua" w:hAnsi="Book Antiqua" w:cs="Segoe UI"/>
          <w:shd w:val="clear" w:color="auto" w:fill="FFFFFF"/>
        </w:rPr>
        <w:t xml:space="preserve">                 </w:t>
      </w:r>
      <w:r w:rsidR="00E21DE3" w:rsidRPr="00E21DE3">
        <w:rPr>
          <w:rFonts w:ascii="Book Antiqua" w:hAnsi="Book Antiqua" w:cs="Segoe UI"/>
          <w:shd w:val="clear" w:color="auto" w:fill="FFFFFF"/>
        </w:rPr>
        <w:t xml:space="preserve">č. 282/2015 Z. z., zákona č. 389/2015 Z. z., zákona č. 390/2015 Z. z., zákona č. 437/2015 Z. z., zákona č. 91/2016 Z. z., zákona č. 125/2016 Z. z., zákona č. 291/2016 Z. z., zákona </w:t>
      </w:r>
      <w:r w:rsidR="00E21DE3">
        <w:rPr>
          <w:rFonts w:ascii="Book Antiqua" w:hAnsi="Book Antiqua" w:cs="Segoe UI"/>
          <w:shd w:val="clear" w:color="auto" w:fill="FFFFFF"/>
        </w:rPr>
        <w:t xml:space="preserve">                 </w:t>
      </w:r>
      <w:r w:rsidR="00E21DE3" w:rsidRPr="00E21DE3">
        <w:rPr>
          <w:rFonts w:ascii="Book Antiqua" w:hAnsi="Book Antiqua" w:cs="Segoe UI"/>
          <w:shd w:val="clear" w:color="auto" w:fill="FFFFFF"/>
        </w:rPr>
        <w:t xml:space="preserve">č. 315/2016 Z. z., zákona č. 377/2016 Z. z., zákona č. 264/2017 Z. z., zákona č. 279/2017 Z. z., zákona č. 373/2018 Z. z., zákona č. 390/2019 Z. z., zákona č. 312/2020 Z. z., zákona </w:t>
      </w:r>
      <w:r w:rsidR="00E21DE3">
        <w:rPr>
          <w:rFonts w:ascii="Book Antiqua" w:hAnsi="Book Antiqua" w:cs="Segoe UI"/>
          <w:shd w:val="clear" w:color="auto" w:fill="FFFFFF"/>
        </w:rPr>
        <w:t xml:space="preserve">               </w:t>
      </w:r>
      <w:r w:rsidR="00E21DE3" w:rsidRPr="00E21DE3">
        <w:rPr>
          <w:rFonts w:ascii="Book Antiqua" w:hAnsi="Book Antiqua" w:cs="Segoe UI"/>
          <w:shd w:val="clear" w:color="auto" w:fill="FFFFFF"/>
        </w:rPr>
        <w:t>č. 343/2020 Z. z., zákona č. 421/2020 Z. z., zákona č. 72/2021 Z</w:t>
      </w:r>
      <w:r w:rsidR="00E21DE3">
        <w:rPr>
          <w:rFonts w:ascii="Book Antiqua" w:hAnsi="Book Antiqua" w:cs="Segoe UI"/>
          <w:shd w:val="clear" w:color="auto" w:fill="FFFFFF"/>
        </w:rPr>
        <w:t>. z., zákona č. 454/2021 Z. z.,</w:t>
      </w:r>
      <w:r w:rsidR="00E21DE3" w:rsidRPr="00E21DE3">
        <w:rPr>
          <w:rFonts w:ascii="Book Antiqua" w:hAnsi="Book Antiqua" w:cs="Segoe UI"/>
          <w:shd w:val="clear" w:color="auto" w:fill="FFFFFF"/>
        </w:rPr>
        <w:t xml:space="preserve"> zákona č. 111/2022 Z. z.</w:t>
      </w:r>
      <w:r w:rsidRPr="00E21DE3">
        <w:rPr>
          <w:rFonts w:ascii="Book Antiqua" w:eastAsia="Times New Roman" w:hAnsi="Book Antiqua" w:cs="Times New Roman"/>
          <w:lang w:eastAsia="sk-SK"/>
        </w:rPr>
        <w:t xml:space="preserve"> </w:t>
      </w:r>
      <w:r w:rsidR="005C0899">
        <w:rPr>
          <w:rFonts w:ascii="Book Antiqua" w:eastAsia="Times New Roman" w:hAnsi="Book Antiqua" w:cs="Times New Roman"/>
          <w:lang w:eastAsia="sk-SK"/>
        </w:rPr>
        <w:t xml:space="preserve">a zákona č. 150/2022 Z. z. </w:t>
      </w:r>
      <w:r w:rsidRPr="00E21DE3">
        <w:rPr>
          <w:rFonts w:ascii="Book Antiqua" w:eastAsia="Times New Roman" w:hAnsi="Book Antiqua" w:cs="Times New Roman"/>
          <w:lang w:eastAsia="sk-SK"/>
        </w:rPr>
        <w:t>sa mení a dopĺňa takto:</w:t>
      </w:r>
    </w:p>
    <w:p w:rsidR="0091601F" w:rsidRDefault="007C7108" w:rsidP="007C710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1. 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>V § 28 ods. 2 štvrtá veta</w:t>
      </w:r>
      <w:r w:rsidR="00A30B0C" w:rsidRPr="00E21DE3">
        <w:rPr>
          <w:rFonts w:ascii="Book Antiqua" w:eastAsia="Times New Roman" w:hAnsi="Book Antiqua" w:cs="Times New Roman"/>
          <w:color w:val="000000"/>
          <w:lang w:eastAsia="sk-SK"/>
        </w:rPr>
        <w:t xml:space="preserve"> znie: </w:t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>„Ak návrh podáva zástupca veriteľa, k návrhu musí pripojiť zaručenú kon</w:t>
      </w:r>
      <w:r w:rsidR="00257DF8">
        <w:rPr>
          <w:rFonts w:ascii="Book Antiqua" w:eastAsia="Times New Roman" w:hAnsi="Book Antiqua" w:cs="Times New Roman"/>
          <w:color w:val="000000"/>
          <w:lang w:eastAsia="sk-SK"/>
        </w:rPr>
        <w:t>verziu</w:t>
      </w:r>
      <w:r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8ae</w:t>
      </w:r>
      <w:r>
        <w:rPr>
          <w:rFonts w:ascii="Book Antiqua" w:eastAsia="Times New Roman" w:hAnsi="Book Antiqua" w:cs="Times New Roman"/>
          <w:color w:val="000000"/>
          <w:lang w:eastAsia="sk-SK"/>
        </w:rPr>
        <w:t>)</w:t>
      </w:r>
      <w:r w:rsidR="00257DF8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>splnomocnenia na zastupovanie veriteľa pri prihlasovaní pohľadávky v konkurze, inak sa naň neprihliada.“.</w:t>
      </w:r>
    </w:p>
    <w:p w:rsidR="007C7108" w:rsidRDefault="007C7108" w:rsidP="007C710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ab/>
        <w:t>Poznámka pod čiarou k odkazu 8ae znie:</w:t>
      </w:r>
    </w:p>
    <w:p w:rsidR="007C7108" w:rsidRDefault="007C7108" w:rsidP="007C7108">
      <w:pPr>
        <w:spacing w:before="120" w:after="0" w:line="276" w:lineRule="auto"/>
        <w:ind w:left="851" w:hanging="425"/>
        <w:jc w:val="both"/>
        <w:rPr>
          <w:rFonts w:ascii="Book Antiqua" w:hAnsi="Book Antiqua"/>
          <w:bCs/>
          <w:color w:val="000000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ab/>
        <w:t>„</w:t>
      </w:r>
      <w:r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8ae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) § 35 až 39 </w:t>
      </w:r>
      <w:r>
        <w:rPr>
          <w:rFonts w:ascii="Book Antiqua" w:hAnsi="Book Antiqua"/>
          <w:bCs/>
          <w:color w:val="000000"/>
        </w:rPr>
        <w:t>zákona č. 305/2013 Z. z. o elektronickej podobe výkonu pôsobnosti orgánov verejnej moci a o zmene a doplnení niektorých zákonov (zákon o </w:t>
      </w:r>
      <w:proofErr w:type="spellStart"/>
      <w:r>
        <w:rPr>
          <w:rFonts w:ascii="Book Antiqua" w:hAnsi="Book Antiqua"/>
          <w:bCs/>
          <w:color w:val="000000"/>
        </w:rPr>
        <w:t>e-Governmente</w:t>
      </w:r>
      <w:proofErr w:type="spellEnd"/>
      <w:r>
        <w:rPr>
          <w:rFonts w:ascii="Book Antiqua" w:hAnsi="Book Antiqua"/>
          <w:bCs/>
          <w:color w:val="000000"/>
        </w:rPr>
        <w:t>) v znení neskorších predpisov.“.</w:t>
      </w:r>
    </w:p>
    <w:p w:rsidR="007C7108" w:rsidRPr="007C7108" w:rsidRDefault="007C7108" w:rsidP="007C710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hAnsi="Book Antiqua"/>
          <w:bCs/>
          <w:color w:val="000000"/>
        </w:rPr>
        <w:t>2.</w:t>
      </w:r>
      <w:r>
        <w:rPr>
          <w:rFonts w:ascii="Book Antiqua" w:hAnsi="Book Antiqua"/>
          <w:bCs/>
          <w:color w:val="000000"/>
        </w:rPr>
        <w:tab/>
        <w:t>Poznámka pod čiarou k odkazu 33a sa citácia „Zákon č. 305/2013 Z. z. o elektronickej podobe výkonu pôsobnosti orgánov verejnej moci a o zmene a doplnení niektorých zákonov (zákon o </w:t>
      </w:r>
      <w:proofErr w:type="spellStart"/>
      <w:r>
        <w:rPr>
          <w:rFonts w:ascii="Book Antiqua" w:hAnsi="Book Antiqua"/>
          <w:bCs/>
          <w:color w:val="000000"/>
        </w:rPr>
        <w:t>e-Governmente</w:t>
      </w:r>
      <w:proofErr w:type="spellEnd"/>
      <w:r>
        <w:rPr>
          <w:rFonts w:ascii="Book Antiqua" w:hAnsi="Book Antiqua"/>
          <w:bCs/>
          <w:color w:val="000000"/>
        </w:rPr>
        <w:t xml:space="preserve">) v znení neskorších </w:t>
      </w:r>
      <w:r>
        <w:rPr>
          <w:rFonts w:ascii="Book Antiqua" w:hAnsi="Book Antiqua"/>
          <w:bCs/>
          <w:color w:val="000000"/>
        </w:rPr>
        <w:lastRenderedPageBreak/>
        <w:t>predpisov.“ nahrádza citáciou „Zákon č. 305/2013 Z. z. v znení neskorších predpisov.“.</w:t>
      </w:r>
    </w:p>
    <w:p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91601F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Čl. II</w:t>
      </w:r>
    </w:p>
    <w:p w:rsidR="00A30B0C" w:rsidRPr="00E21DE3" w:rsidRDefault="00A30B0C" w:rsidP="0091601F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Tento zá</w:t>
      </w:r>
      <w:r w:rsidR="00B049E5">
        <w:rPr>
          <w:rFonts w:ascii="Book Antiqua" w:eastAsia="Times New Roman" w:hAnsi="Book Antiqua" w:cs="Times New Roman"/>
          <w:color w:val="000000"/>
          <w:lang w:eastAsia="sk-SK"/>
        </w:rPr>
        <w:t>kon nadobúda účinnosť 1</w:t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 xml:space="preserve">. </w:t>
      </w:r>
      <w:r w:rsidR="00B049E5">
        <w:rPr>
          <w:rFonts w:ascii="Book Antiqua" w:eastAsia="Times New Roman" w:hAnsi="Book Antiqua" w:cs="Times New Roman"/>
          <w:color w:val="000000"/>
          <w:lang w:eastAsia="sk-SK"/>
        </w:rPr>
        <w:t>decembra</w:t>
      </w:r>
      <w:bookmarkStart w:id="0" w:name="_GoBack"/>
      <w:bookmarkEnd w:id="0"/>
      <w:r w:rsidR="005C0899">
        <w:rPr>
          <w:rFonts w:ascii="Book Antiqua" w:eastAsia="Times New Roman" w:hAnsi="Book Antiqua" w:cs="Times New Roman"/>
          <w:color w:val="000000"/>
          <w:lang w:eastAsia="sk-SK"/>
        </w:rPr>
        <w:t xml:space="preserve"> 2022</w:t>
      </w:r>
      <w:r w:rsidRPr="00E21DE3">
        <w:rPr>
          <w:rFonts w:ascii="Book Antiqua" w:eastAsia="Times New Roman" w:hAnsi="Book Antiqua" w:cs="Times New Roman"/>
          <w:color w:val="000000"/>
          <w:lang w:eastAsia="sk-SK"/>
        </w:rPr>
        <w:t>.</w:t>
      </w:r>
    </w:p>
    <w:p w:rsidR="00137F18" w:rsidRPr="00E21DE3" w:rsidRDefault="00137F18" w:rsidP="0091601F">
      <w:pPr>
        <w:spacing w:before="120" w:after="0" w:line="276" w:lineRule="auto"/>
        <w:rPr>
          <w:rFonts w:ascii="Book Antiqua" w:hAnsi="Book Antiqua"/>
        </w:rPr>
      </w:pPr>
    </w:p>
    <w:sectPr w:rsidR="00137F18" w:rsidRPr="00E21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0C"/>
    <w:rsid w:val="00137F18"/>
    <w:rsid w:val="00257DF8"/>
    <w:rsid w:val="005C0899"/>
    <w:rsid w:val="007C7108"/>
    <w:rsid w:val="0091601F"/>
    <w:rsid w:val="009322E7"/>
    <w:rsid w:val="00A30B0C"/>
    <w:rsid w:val="00A421CD"/>
    <w:rsid w:val="00B049E5"/>
    <w:rsid w:val="00E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Milan</cp:lastModifiedBy>
  <cp:revision>5</cp:revision>
  <dcterms:created xsi:type="dcterms:W3CDTF">2022-08-06T09:09:00Z</dcterms:created>
  <dcterms:modified xsi:type="dcterms:W3CDTF">2022-08-24T01:31:00Z</dcterms:modified>
</cp:coreProperties>
</file>