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F2668" w14:textId="3DA11B5D" w:rsidR="006B71D9" w:rsidRPr="0023793A" w:rsidRDefault="006B71D9" w:rsidP="008926C9">
      <w:pPr>
        <w:pStyle w:val="Normlnywebov"/>
        <w:spacing w:before="120" w:beforeAutospacing="0" w:after="0" w:afterAutospacing="0"/>
        <w:jc w:val="center"/>
        <w:rPr>
          <w:rFonts w:ascii="Book Antiqua" w:hAnsi="Book Antiqua"/>
          <w:sz w:val="22"/>
          <w:szCs w:val="22"/>
        </w:rPr>
      </w:pPr>
      <w:r w:rsidRPr="0023793A">
        <w:rPr>
          <w:rFonts w:ascii="Book Antiqua" w:hAnsi="Book Antiqua"/>
          <w:b/>
          <w:bCs/>
          <w:caps/>
          <w:spacing w:val="30"/>
          <w:sz w:val="22"/>
          <w:szCs w:val="22"/>
        </w:rPr>
        <w:t>Dôvodová správa</w:t>
      </w:r>
    </w:p>
    <w:p w14:paraId="38513095" w14:textId="77777777" w:rsidR="006B71D9" w:rsidRPr="0023793A" w:rsidRDefault="006B71D9" w:rsidP="006B71D9">
      <w:pPr>
        <w:pStyle w:val="Nadpis1"/>
        <w:jc w:val="both"/>
        <w:rPr>
          <w:rFonts w:ascii="Book Antiqua" w:hAnsi="Book Antiqua"/>
          <w:sz w:val="22"/>
          <w:szCs w:val="22"/>
          <w:lang w:eastAsia="x-none"/>
        </w:rPr>
      </w:pPr>
      <w:r w:rsidRPr="0023793A">
        <w:rPr>
          <w:rFonts w:ascii="Book Antiqua" w:hAnsi="Book Antiqua"/>
          <w:sz w:val="22"/>
          <w:szCs w:val="22"/>
        </w:rPr>
        <w:t>A. Všeobecná časť</w:t>
      </w:r>
    </w:p>
    <w:p w14:paraId="1DC1A4F0" w14:textId="5E13796D" w:rsidR="006B71D9" w:rsidRPr="0023793A" w:rsidRDefault="006B71D9" w:rsidP="008526A1">
      <w:pPr>
        <w:ind w:firstLine="708"/>
        <w:jc w:val="both"/>
        <w:rPr>
          <w:rFonts w:ascii="Book Antiqua" w:hAnsi="Book Antiqua"/>
          <w:b/>
          <w:sz w:val="22"/>
          <w:szCs w:val="22"/>
        </w:rPr>
      </w:pPr>
      <w:r w:rsidRPr="0023793A">
        <w:rPr>
          <w:rFonts w:ascii="Book Antiqua" w:hAnsi="Book Antiqua"/>
          <w:sz w:val="22"/>
          <w:szCs w:val="22"/>
        </w:rPr>
        <w:t>Návrh zákona</w:t>
      </w:r>
      <w:r w:rsidR="008E777B">
        <w:rPr>
          <w:rFonts w:ascii="Book Antiqua" w:hAnsi="Book Antiqua"/>
          <w:b/>
          <w:sz w:val="22"/>
          <w:szCs w:val="22"/>
        </w:rPr>
        <w:t xml:space="preserve">, </w:t>
      </w:r>
      <w:r w:rsidR="0023793A" w:rsidRPr="0023793A">
        <w:rPr>
          <w:rFonts w:ascii="Book Antiqua" w:hAnsi="Book Antiqua"/>
          <w:bCs/>
          <w:sz w:val="22"/>
          <w:szCs w:val="22"/>
        </w:rPr>
        <w:t xml:space="preserve">ktorým sa mení a dopĺňa zákon </w:t>
      </w:r>
      <w:r w:rsidR="0023793A" w:rsidRPr="0023793A">
        <w:rPr>
          <w:rFonts w:ascii="Book Antiqua" w:hAnsi="Book Antiqua" w:cs="Open Sans"/>
          <w:bCs/>
          <w:sz w:val="22"/>
          <w:szCs w:val="22"/>
          <w:shd w:val="clear" w:color="auto" w:fill="FFFFFF"/>
        </w:rPr>
        <w:t xml:space="preserve">č. 50/1976 Zb. o územnom plánovaní a stavebnom poriadku (stavebný zákon) </w:t>
      </w:r>
      <w:r w:rsidR="0023793A" w:rsidRPr="0023793A">
        <w:rPr>
          <w:rFonts w:ascii="Book Antiqua" w:hAnsi="Book Antiqua"/>
          <w:bCs/>
          <w:sz w:val="22"/>
          <w:szCs w:val="22"/>
        </w:rPr>
        <w:t>v znení neskorších predpisov a k</w:t>
      </w:r>
      <w:r w:rsidR="00B513BF">
        <w:rPr>
          <w:rFonts w:ascii="Book Antiqua" w:hAnsi="Book Antiqua"/>
          <w:bCs/>
          <w:sz w:val="22"/>
          <w:szCs w:val="22"/>
        </w:rPr>
        <w:t>torým sa menia a dopĺňajú niektoré zákony</w:t>
      </w:r>
      <w:r w:rsidR="00B513BF">
        <w:rPr>
          <w:rFonts w:ascii="Book Antiqua" w:hAnsi="Book Antiqua"/>
          <w:sz w:val="22"/>
          <w:szCs w:val="22"/>
        </w:rPr>
        <w:t xml:space="preserve"> (ďalej len „návrh zákona“) predkladajú poslanci </w:t>
      </w:r>
      <w:r w:rsidRPr="0023793A">
        <w:rPr>
          <w:rFonts w:ascii="Book Antiqua" w:hAnsi="Book Antiqua"/>
          <w:sz w:val="22"/>
          <w:szCs w:val="22"/>
        </w:rPr>
        <w:t>Národnej rady Slovenskej republiky</w:t>
      </w:r>
      <w:r w:rsidR="00B513BF">
        <w:rPr>
          <w:rFonts w:ascii="Book Antiqua" w:hAnsi="Book Antiqua"/>
          <w:sz w:val="22"/>
          <w:szCs w:val="22"/>
        </w:rPr>
        <w:t xml:space="preserve"> Milan Vetrák a Peter </w:t>
      </w:r>
      <w:proofErr w:type="spellStart"/>
      <w:r w:rsidR="00B513BF">
        <w:rPr>
          <w:rFonts w:ascii="Book Antiqua" w:hAnsi="Book Antiqua"/>
          <w:sz w:val="22"/>
          <w:szCs w:val="22"/>
        </w:rPr>
        <w:t>Liba</w:t>
      </w:r>
      <w:proofErr w:type="spellEnd"/>
      <w:r w:rsidRPr="0023793A">
        <w:rPr>
          <w:rFonts w:ascii="Book Antiqua" w:hAnsi="Book Antiqua"/>
          <w:sz w:val="22"/>
          <w:szCs w:val="22"/>
        </w:rPr>
        <w:t xml:space="preserve">. </w:t>
      </w:r>
    </w:p>
    <w:p w14:paraId="28E158BD" w14:textId="1BF00CE0" w:rsidR="006B71D9" w:rsidRPr="00B513BF" w:rsidRDefault="006B71D9" w:rsidP="006B71D9">
      <w:pPr>
        <w:pStyle w:val="Normlnywebov"/>
        <w:spacing w:before="120" w:beforeAutospacing="0" w:after="0" w:afterAutospacing="0"/>
        <w:ind w:firstLine="709"/>
        <w:jc w:val="both"/>
        <w:rPr>
          <w:rFonts w:ascii="Book Antiqua" w:hAnsi="Book Antiqua"/>
          <w:b/>
          <w:sz w:val="22"/>
          <w:szCs w:val="22"/>
        </w:rPr>
      </w:pPr>
      <w:r w:rsidRPr="00B513BF">
        <w:rPr>
          <w:rFonts w:ascii="Book Antiqua" w:hAnsi="Book Antiqua"/>
          <w:b/>
          <w:sz w:val="22"/>
          <w:szCs w:val="22"/>
        </w:rPr>
        <w:t xml:space="preserve">Cieľom návrhu zákona je </w:t>
      </w:r>
    </w:p>
    <w:p w14:paraId="6816246C" w14:textId="43459181" w:rsidR="006B71D9" w:rsidRPr="0023793A" w:rsidRDefault="0023793A" w:rsidP="00B513BF">
      <w:pPr>
        <w:pStyle w:val="Normlnywebov"/>
        <w:numPr>
          <w:ilvl w:val="0"/>
          <w:numId w:val="7"/>
        </w:numPr>
        <w:spacing w:before="120" w:beforeAutospacing="0" w:after="0" w:afterAutospacing="0"/>
        <w:jc w:val="both"/>
        <w:rPr>
          <w:rFonts w:ascii="Book Antiqua" w:hAnsi="Book Antiqua"/>
          <w:b/>
          <w:sz w:val="22"/>
          <w:szCs w:val="22"/>
        </w:rPr>
      </w:pPr>
      <w:r>
        <w:rPr>
          <w:rFonts w:ascii="Book Antiqua" w:hAnsi="Book Antiqua"/>
          <w:b/>
          <w:sz w:val="22"/>
          <w:szCs w:val="22"/>
        </w:rPr>
        <w:t>zlepšiť postavenie verejnosti a jej aktívnu participáciu v procese prijímania územnoplánovacej dokumentácie,</w:t>
      </w:r>
    </w:p>
    <w:p w14:paraId="3480344D" w14:textId="7FC4F598" w:rsidR="006B71D9" w:rsidRPr="00B513BF" w:rsidRDefault="00B513BF" w:rsidP="00B513BF">
      <w:pPr>
        <w:pStyle w:val="Normlnywebov"/>
        <w:numPr>
          <w:ilvl w:val="0"/>
          <w:numId w:val="7"/>
        </w:numPr>
        <w:spacing w:before="120" w:beforeAutospacing="0" w:after="0" w:afterAutospacing="0"/>
        <w:jc w:val="both"/>
        <w:rPr>
          <w:rFonts w:ascii="Book Antiqua" w:hAnsi="Book Antiqua"/>
          <w:b/>
          <w:sz w:val="22"/>
          <w:szCs w:val="22"/>
        </w:rPr>
      </w:pPr>
      <w:r w:rsidRPr="00B513BF">
        <w:rPr>
          <w:rFonts w:ascii="Book Antiqua" w:hAnsi="Book Antiqua"/>
          <w:b/>
          <w:sz w:val="22"/>
          <w:szCs w:val="22"/>
        </w:rPr>
        <w:t xml:space="preserve">priznať zastupiteľstvám samosprávneho kraja, obce, mesta a v Bratislave a Košiciach aj zastupiteľstvám ich mestských častí právomoc schvaľovať </w:t>
      </w:r>
      <w:r w:rsidRPr="00B513BF">
        <w:rPr>
          <w:rFonts w:ascii="Book Antiqua" w:hAnsi="Book Antiqua"/>
          <w:b/>
          <w:sz w:val="22"/>
          <w:szCs w:val="22"/>
        </w:rPr>
        <w:t>podnety na obstaranie územnoplánovacej dokumentácie a podnety na jej aktualizáciu</w:t>
      </w:r>
      <w:r w:rsidRPr="00B513BF">
        <w:rPr>
          <w:rFonts w:ascii="Book Antiqua" w:hAnsi="Book Antiqua"/>
          <w:b/>
          <w:sz w:val="22"/>
          <w:szCs w:val="22"/>
        </w:rPr>
        <w:t xml:space="preserve"> a premietnuť povinnosť obstarať takúto dokumentáciu župnému, obecnému a mestskému úradu (magistrátu) aj do stavebného zákona.</w:t>
      </w:r>
    </w:p>
    <w:p w14:paraId="3213A111" w14:textId="03269F3F" w:rsidR="00511284" w:rsidRDefault="00D852D3" w:rsidP="008926C9">
      <w:pPr>
        <w:autoSpaceDE w:val="0"/>
        <w:ind w:firstLine="708"/>
        <w:jc w:val="both"/>
        <w:rPr>
          <w:rFonts w:ascii="Book Antiqua" w:hAnsi="Book Antiqua"/>
          <w:sz w:val="22"/>
          <w:szCs w:val="22"/>
        </w:rPr>
      </w:pPr>
      <w:r>
        <w:rPr>
          <w:rFonts w:ascii="Book Antiqua" w:hAnsi="Book Antiqua"/>
          <w:sz w:val="22"/>
          <w:szCs w:val="22"/>
        </w:rPr>
        <w:t>Návrh zákona posilňuje postavenie verejnosti</w:t>
      </w:r>
      <w:r w:rsidR="00712A74">
        <w:rPr>
          <w:rFonts w:ascii="Book Antiqua" w:hAnsi="Book Antiqua"/>
          <w:sz w:val="22"/>
          <w:szCs w:val="22"/>
        </w:rPr>
        <w:t xml:space="preserve"> po vzore právnej úpravy v Českej republike</w:t>
      </w:r>
      <w:r>
        <w:rPr>
          <w:rFonts w:ascii="Book Antiqua" w:hAnsi="Book Antiqua"/>
          <w:sz w:val="22"/>
          <w:szCs w:val="22"/>
        </w:rPr>
        <w:t xml:space="preserve"> prostredníctvom zástupcu verejnosti, ktorý bude zastupovať verejnosť na prerokovaní spoločnej pripomienky verejnosti  pred orgánom územného plánovania, ktorý prerokúva návrh územnoplánovacej dokumentácie.</w:t>
      </w:r>
      <w:r w:rsidR="00B513BF">
        <w:rPr>
          <w:rFonts w:ascii="Book Antiqua" w:hAnsi="Book Antiqua"/>
          <w:sz w:val="22"/>
          <w:szCs w:val="22"/>
        </w:rPr>
        <w:t xml:space="preserve"> Povinnosť prerokovať pripomienky so zástupcom verejnosti sa v zásade rovná </w:t>
      </w:r>
      <w:proofErr w:type="spellStart"/>
      <w:r w:rsidR="00B513BF">
        <w:rPr>
          <w:rFonts w:ascii="Book Antiqua" w:hAnsi="Book Antiqua"/>
          <w:sz w:val="22"/>
          <w:szCs w:val="22"/>
        </w:rPr>
        <w:t>rozporovému</w:t>
      </w:r>
      <w:proofErr w:type="spellEnd"/>
      <w:r w:rsidR="00B513BF">
        <w:rPr>
          <w:rFonts w:ascii="Book Antiqua" w:hAnsi="Book Antiqua"/>
          <w:sz w:val="22"/>
          <w:szCs w:val="22"/>
        </w:rPr>
        <w:t xml:space="preserve"> konaniu s tým rozdielom, že ak sa rozpory nepodarí odstrániť, neznamená to zablokovanie územnoplánovacej dokumentácie v ďalšom procese schvaľovania.</w:t>
      </w:r>
    </w:p>
    <w:p w14:paraId="7326513D" w14:textId="431DDC36" w:rsidR="002660C0" w:rsidRPr="008926C9" w:rsidRDefault="008926C9" w:rsidP="008926C9">
      <w:pPr>
        <w:autoSpaceDE w:val="0"/>
        <w:ind w:firstLine="708"/>
        <w:jc w:val="both"/>
        <w:rPr>
          <w:rFonts w:ascii="Book Antiqua" w:hAnsi="Book Antiqua"/>
          <w:sz w:val="22"/>
          <w:szCs w:val="22"/>
        </w:rPr>
      </w:pPr>
      <w:r>
        <w:rPr>
          <w:rFonts w:ascii="Book Antiqua" w:hAnsi="Book Antiqua"/>
          <w:sz w:val="22"/>
          <w:szCs w:val="22"/>
        </w:rPr>
        <w:t xml:space="preserve">Už v súčasnosti má župný, obecný a mestský úrad (magistrát) povinnosť vykonávať uznesenia zastupiteľstva, pri územnom plánovaní sa tak často nedeje, navyše zastupiteľstvo nemôže v zmysle stavebného zákona meniť a dopĺňať návrh všeobecne záväzného nariadenia samosprávneho kraja, mesta alebo obce, ktorý sa týka územného plánovania, hoci podľa zákona Slovenskej národnej rady č. 369/1990 Zb. o obecnom zriadení v znení neskorších predpisov by tak mohlo robiť. Návrh zákona priznáva uvedeným zastupiteľstvám právomoc prijímať uznesenia k územnoplánovacej dokumentácii, ktoré bude župný, obecný alebo mestský úrad (magistrát) povinný vykonať (obstarať nový územný plán alebo jeho zmeny a doplnky) za predpokladu, že tým nebude prekročená </w:t>
      </w:r>
      <w:r>
        <w:rPr>
          <w:rFonts w:ascii="Book Antiqua" w:eastAsiaTheme="minorHAnsi" w:hAnsi="Book Antiqua" w:cs="ArialMT"/>
          <w:sz w:val="22"/>
          <w:szCs w:val="22"/>
          <w:lang w:eastAsia="en-US"/>
        </w:rPr>
        <w:t>územná pôsobnosť orgánu, ktorý ho schválil</w:t>
      </w:r>
      <w:r>
        <w:rPr>
          <w:rFonts w:ascii="Book Antiqua" w:eastAsiaTheme="minorHAnsi" w:hAnsi="Book Antiqua" w:cs="ArialMT"/>
          <w:sz w:val="22"/>
          <w:szCs w:val="22"/>
          <w:lang w:eastAsia="en-US"/>
        </w:rPr>
        <w:t xml:space="preserve">, a že nie je v rozpore so zákonom, inak bude môcť predseda samosprávneho kraja, primátor alebo starosta využiť </w:t>
      </w:r>
      <w:proofErr w:type="spellStart"/>
      <w:r>
        <w:rPr>
          <w:rFonts w:ascii="Book Antiqua" w:eastAsiaTheme="minorHAnsi" w:hAnsi="Book Antiqua" w:cs="ArialMT"/>
          <w:sz w:val="22"/>
          <w:szCs w:val="22"/>
          <w:lang w:eastAsia="en-US"/>
        </w:rPr>
        <w:t>sistačné</w:t>
      </w:r>
      <w:proofErr w:type="spellEnd"/>
      <w:r>
        <w:rPr>
          <w:rFonts w:ascii="Book Antiqua" w:eastAsiaTheme="minorHAnsi" w:hAnsi="Book Antiqua" w:cs="ArialMT"/>
          <w:sz w:val="22"/>
          <w:szCs w:val="22"/>
          <w:lang w:eastAsia="en-US"/>
        </w:rPr>
        <w:t xml:space="preserve"> právo podľa platnej legislatívy. Takéto oprávnenie zastupiteľstiev sa premieta aj do stavebného zákona.</w:t>
      </w:r>
    </w:p>
    <w:p w14:paraId="6120D9B6" w14:textId="7FED7BFE" w:rsidR="006839E0" w:rsidRPr="0023793A" w:rsidRDefault="006B71D9" w:rsidP="00B43DD7">
      <w:pPr>
        <w:autoSpaceDE w:val="0"/>
        <w:ind w:firstLine="708"/>
        <w:jc w:val="both"/>
        <w:rPr>
          <w:rFonts w:ascii="Book Antiqua" w:hAnsi="Book Antiqua"/>
          <w:sz w:val="22"/>
          <w:szCs w:val="22"/>
        </w:rPr>
      </w:pPr>
      <w:r w:rsidRPr="0023793A">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006839E0" w:rsidRPr="0023793A">
        <w:rPr>
          <w:rFonts w:ascii="Book Antiqua" w:hAnsi="Book Antiqua"/>
          <w:sz w:val="22"/>
          <w:szCs w:val="22"/>
        </w:rPr>
        <w:t>v súlade s právom Európskej únie a v súlade s nálezmi Ústavného súdu Slovenskej republiky.</w:t>
      </w:r>
      <w:r w:rsidR="008926C9">
        <w:rPr>
          <w:rFonts w:ascii="Book Antiqua" w:hAnsi="Book Antiqua"/>
          <w:sz w:val="22"/>
          <w:szCs w:val="22"/>
        </w:rPr>
        <w:t xml:space="preserve"> </w:t>
      </w:r>
      <w:r w:rsidR="006839E0" w:rsidRPr="0023793A">
        <w:rPr>
          <w:rFonts w:ascii="Book Antiqua" w:hAnsi="Book Antiqua"/>
          <w:sz w:val="22"/>
          <w:szCs w:val="22"/>
        </w:rPr>
        <w:t>Návrh zákona nemá vplyv na podnikateľské prostredie, na životné prostredie, na manželstvo, rodičovstvo a</w:t>
      </w:r>
      <w:r w:rsidR="0084355F">
        <w:rPr>
          <w:rFonts w:ascii="Book Antiqua" w:hAnsi="Book Antiqua"/>
          <w:sz w:val="22"/>
          <w:szCs w:val="22"/>
        </w:rPr>
        <w:t> </w:t>
      </w:r>
      <w:r w:rsidR="006839E0" w:rsidRPr="0023793A">
        <w:rPr>
          <w:rFonts w:ascii="Book Antiqua" w:hAnsi="Book Antiqua"/>
          <w:sz w:val="22"/>
          <w:szCs w:val="22"/>
        </w:rPr>
        <w:t>rodinu</w:t>
      </w:r>
      <w:r w:rsidR="0084355F">
        <w:rPr>
          <w:rFonts w:ascii="Book Antiqua" w:hAnsi="Book Antiqua"/>
          <w:sz w:val="22"/>
          <w:szCs w:val="22"/>
        </w:rPr>
        <w:t xml:space="preserve">, </w:t>
      </w:r>
      <w:r w:rsidR="006839E0" w:rsidRPr="0023793A">
        <w:rPr>
          <w:rFonts w:ascii="Book Antiqua" w:hAnsi="Book Antiqua"/>
          <w:sz w:val="22"/>
          <w:szCs w:val="22"/>
        </w:rPr>
        <w:t>na informatizáciu spoločnosti,</w:t>
      </w:r>
      <w:r w:rsidR="0084355F">
        <w:rPr>
          <w:rFonts w:ascii="Book Antiqua" w:hAnsi="Book Antiqua"/>
          <w:sz w:val="22"/>
          <w:szCs w:val="22"/>
        </w:rPr>
        <w:t xml:space="preserve"> na </w:t>
      </w:r>
      <w:r w:rsidR="0084355F" w:rsidRPr="00E44F41">
        <w:rPr>
          <w:rStyle w:val="awspan"/>
          <w:rFonts w:ascii="Book Antiqua" w:hAnsi="Book Antiqua"/>
          <w:color w:val="000000"/>
          <w:sz w:val="22"/>
          <w:szCs w:val="22"/>
        </w:rPr>
        <w:t>služby verejnej správy pre občana</w:t>
      </w:r>
      <w:r w:rsidR="00833C76">
        <w:rPr>
          <w:rFonts w:ascii="Book Antiqua" w:hAnsi="Book Antiqua"/>
          <w:sz w:val="22"/>
          <w:szCs w:val="22"/>
        </w:rPr>
        <w:t xml:space="preserve"> </w:t>
      </w:r>
      <w:r w:rsidR="0084355F">
        <w:rPr>
          <w:rFonts w:ascii="Book Antiqua" w:hAnsi="Book Antiqua"/>
          <w:sz w:val="22"/>
          <w:szCs w:val="22"/>
        </w:rPr>
        <w:t xml:space="preserve">a ani </w:t>
      </w:r>
      <w:r w:rsidR="00833C76">
        <w:rPr>
          <w:rFonts w:ascii="Book Antiqua" w:hAnsi="Book Antiqua"/>
          <w:sz w:val="22"/>
          <w:szCs w:val="22"/>
        </w:rPr>
        <w:t>žiadne sociálne vplyvy a</w:t>
      </w:r>
      <w:r w:rsidR="006839E0" w:rsidRPr="0023793A">
        <w:rPr>
          <w:rFonts w:ascii="Book Antiqua" w:hAnsi="Book Antiqua"/>
          <w:sz w:val="22"/>
          <w:szCs w:val="22"/>
        </w:rPr>
        <w:t xml:space="preserve"> predpokladá sa nulový vplyv na rozpočet verejnej správy (štátny rozpočet).</w:t>
      </w:r>
    </w:p>
    <w:p w14:paraId="17B2C35D" w14:textId="49FD246E" w:rsidR="00000CB9" w:rsidRPr="0023793A" w:rsidRDefault="00000CB9" w:rsidP="00000CB9">
      <w:pPr>
        <w:pStyle w:val="Normlnywebov"/>
        <w:spacing w:before="120" w:beforeAutospacing="0" w:after="0" w:afterAutospacing="0"/>
        <w:jc w:val="both"/>
        <w:rPr>
          <w:rFonts w:ascii="Book Antiqua" w:hAnsi="Book Antiqua"/>
          <w:b/>
          <w:bCs/>
          <w:sz w:val="22"/>
          <w:szCs w:val="22"/>
        </w:rPr>
      </w:pPr>
      <w:r w:rsidRPr="0023793A">
        <w:rPr>
          <w:rFonts w:ascii="Book Antiqua" w:hAnsi="Book Antiqua"/>
          <w:b/>
          <w:bCs/>
          <w:sz w:val="22"/>
          <w:szCs w:val="22"/>
        </w:rPr>
        <w:lastRenderedPageBreak/>
        <w:t>B. Osobitná časť</w:t>
      </w:r>
    </w:p>
    <w:p w14:paraId="14F5A713" w14:textId="77777777" w:rsidR="008926C9" w:rsidRDefault="008926C9">
      <w:pPr>
        <w:rPr>
          <w:rFonts w:ascii="Book Antiqua" w:hAnsi="Book Antiqua"/>
          <w:b/>
          <w:bCs/>
          <w:sz w:val="22"/>
          <w:szCs w:val="22"/>
        </w:rPr>
      </w:pPr>
    </w:p>
    <w:p w14:paraId="5072FA9D" w14:textId="4D0EF015" w:rsidR="006B71D9" w:rsidRPr="0023793A" w:rsidRDefault="00000CB9">
      <w:pPr>
        <w:rPr>
          <w:rFonts w:ascii="Book Antiqua" w:hAnsi="Book Antiqua"/>
          <w:b/>
          <w:bCs/>
          <w:sz w:val="22"/>
          <w:szCs w:val="22"/>
        </w:rPr>
      </w:pPr>
      <w:r w:rsidRPr="0023793A">
        <w:rPr>
          <w:rFonts w:ascii="Book Antiqua" w:hAnsi="Book Antiqua"/>
          <w:b/>
          <w:bCs/>
          <w:sz w:val="22"/>
          <w:szCs w:val="22"/>
        </w:rPr>
        <w:t>K Čl. I</w:t>
      </w:r>
    </w:p>
    <w:p w14:paraId="511D3EAD" w14:textId="1F7DAA0C" w:rsidR="00000CB9" w:rsidRPr="00F91631" w:rsidRDefault="00F91631">
      <w:pPr>
        <w:rPr>
          <w:rFonts w:ascii="Book Antiqua" w:hAnsi="Book Antiqua"/>
          <w:bCs/>
          <w:sz w:val="22"/>
          <w:szCs w:val="22"/>
          <w:u w:val="single"/>
        </w:rPr>
      </w:pPr>
      <w:r w:rsidRPr="00F91631">
        <w:rPr>
          <w:rFonts w:ascii="Book Antiqua" w:hAnsi="Book Antiqua"/>
          <w:bCs/>
          <w:sz w:val="22"/>
          <w:szCs w:val="22"/>
          <w:u w:val="single"/>
        </w:rPr>
        <w:t>K Čl. I bodom 1, 2 a 9</w:t>
      </w:r>
    </w:p>
    <w:p w14:paraId="518D8D83" w14:textId="77777777" w:rsidR="00DF304B" w:rsidRDefault="00DF304B" w:rsidP="00621AF6">
      <w:pPr>
        <w:jc w:val="both"/>
        <w:rPr>
          <w:rFonts w:ascii="Book Antiqua" w:hAnsi="Book Antiqua"/>
          <w:sz w:val="22"/>
          <w:szCs w:val="22"/>
        </w:rPr>
      </w:pPr>
      <w:r>
        <w:rPr>
          <w:rFonts w:ascii="Book Antiqua" w:hAnsi="Book Antiqua"/>
          <w:sz w:val="22"/>
          <w:szCs w:val="22"/>
        </w:rPr>
        <w:tab/>
        <w:t>Už v súčasnosti zákony z oblasti samosprávy priznávajú poslancom zastupiteľstiev predkladať návrhy na rokovanie zastupiteľstva a zastupiteľstvám schvaľovať aj zmeny a doplnenia návrhov všeobecne záväzných nariadení, ktoré poslanci uplatnia priamo na rokovaní zastupiteľstva.</w:t>
      </w:r>
    </w:p>
    <w:p w14:paraId="6505D00D" w14:textId="1A7517F4" w:rsidR="00621AF6" w:rsidRDefault="00DF304B" w:rsidP="00621AF6">
      <w:pPr>
        <w:jc w:val="both"/>
        <w:rPr>
          <w:rFonts w:ascii="Book Antiqua" w:hAnsi="Book Antiqua" w:cs="Open Sans"/>
          <w:sz w:val="22"/>
          <w:szCs w:val="22"/>
          <w:shd w:val="clear" w:color="auto" w:fill="FFFFFF"/>
        </w:rPr>
      </w:pPr>
      <w:r>
        <w:rPr>
          <w:rFonts w:ascii="Book Antiqua" w:hAnsi="Book Antiqua"/>
          <w:sz w:val="22"/>
          <w:szCs w:val="22"/>
        </w:rPr>
        <w:tab/>
        <w:t>Jedinou výnimkou sú návrhy všeobecne záväzných nariadení, ktorými sa schvaľuje územný plán obce, mesta alebo samosprávneho kraja alebo jeho zmeny a doplnky, a to z dôvodu, že stavebný zákon v procese schvaľovania</w:t>
      </w:r>
      <w:r w:rsidR="0093089F">
        <w:rPr>
          <w:rFonts w:ascii="Book Antiqua" w:hAnsi="Book Antiqua" w:cs="Open Sans"/>
          <w:sz w:val="22"/>
          <w:szCs w:val="22"/>
          <w:shd w:val="clear" w:color="auto" w:fill="FFFFFF"/>
        </w:rPr>
        <w:t xml:space="preserve"> </w:t>
      </w:r>
      <w:r>
        <w:rPr>
          <w:rFonts w:ascii="Book Antiqua" w:hAnsi="Book Antiqua" w:cs="Open Sans"/>
          <w:sz w:val="22"/>
          <w:szCs w:val="22"/>
          <w:shd w:val="clear" w:color="auto" w:fill="FFFFFF"/>
        </w:rPr>
        <w:t>neumožňuje meniť a dopĺňať územnoplánovací podklad po ukončení pripomienkového konania k nemu. Takéto obmedzenie právomoci zastupiteľstiev je sporné, návrhom zákona však v tejto otázke nedochádza k zmene.</w:t>
      </w:r>
    </w:p>
    <w:p w14:paraId="1924A770" w14:textId="717B2840" w:rsidR="00DF304B" w:rsidRDefault="00DF304B" w:rsidP="00621AF6">
      <w:pPr>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ab/>
        <w:t xml:space="preserve">Komunálne zastupiteľstva sú však v súčasnosti v oblasti územného plánovania obmedzované aj ďalšou praxou, ktorá zo zákona priamo nevyplýva, a to, že ak zastupiteľstvo schváli uznesenie o obstaraní nového územného plánu alebo, čo býva častejšie, o zmene a doplnení územného plánu a obstaraní takýchto zmien a doplnkov, a to aj vo verejnom záujme, takéto uznesenie zastupiteľstva sa neplní, pretože orgán, ktorý by ho plniť mal, t.j. župný, obecný alebo mestský úrad (magistrát) to odmietne, napr. s odôvodnením, že na danom pozemku uprednostňuje iný verejný záujem (napr. športovú halu pred škôlkou a pod.). Takáto prax je však v príkrom rozpore s povahou zastupiteľskej demokracie a dokonca aj platnými zákonmi, keď </w:t>
      </w:r>
      <w:r w:rsidR="00B43DD7">
        <w:rPr>
          <w:rFonts w:ascii="Book Antiqua" w:hAnsi="Book Antiqua" w:cs="Open Sans"/>
          <w:sz w:val="22"/>
          <w:szCs w:val="22"/>
          <w:shd w:val="clear" w:color="auto" w:fill="FFFFFF"/>
        </w:rPr>
        <w:t xml:space="preserve">uvedené úrady sú jednak povinné plniť uznesenia zastupiteľstva bez výnimky a ak pri uplatnení </w:t>
      </w:r>
      <w:proofErr w:type="spellStart"/>
      <w:r w:rsidR="00B43DD7">
        <w:rPr>
          <w:rFonts w:ascii="Book Antiqua" w:hAnsi="Book Antiqua" w:cs="Open Sans"/>
          <w:sz w:val="22"/>
          <w:szCs w:val="22"/>
          <w:shd w:val="clear" w:color="auto" w:fill="FFFFFF"/>
        </w:rPr>
        <w:t>sistačného</w:t>
      </w:r>
      <w:proofErr w:type="spellEnd"/>
      <w:r w:rsidR="00B43DD7">
        <w:rPr>
          <w:rFonts w:ascii="Book Antiqua" w:hAnsi="Book Antiqua" w:cs="Open Sans"/>
          <w:sz w:val="22"/>
          <w:szCs w:val="22"/>
          <w:shd w:val="clear" w:color="auto" w:fill="FFFFFF"/>
        </w:rPr>
        <w:t xml:space="preserve"> práva predsedu samosprávneho kraja, primátora alebo starostu dôjde k prelomeniu ich veta, sú povinné rešpektovať, že výkon takto schváleného uznesenia nemožno pozastaviť. Napriek tomu sa tak deje a návrhom zákona by sa mala táto prax odstrániť.</w:t>
      </w:r>
    </w:p>
    <w:p w14:paraId="0F34A3C3" w14:textId="28026BC7" w:rsidR="00B43DD7" w:rsidRDefault="00B43DD7" w:rsidP="00621AF6">
      <w:pPr>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ab/>
        <w:t xml:space="preserve">Navrhuje sa preto výslovne v stavebnom zákone, aby orgán územného plánovania, ktorý obstaráva územnoplánovací podklad, bol viazaný aj uznesením príslušného zastupiteľstva, pričom v prípade Bratislavy a Košíc by to malo byť aj uznesenie zastupiteľstva ich mestských častí za podmienky, že sa podnet týka ich územnej pôsobnosti, ktorá nemôže byť prekročená. Ďalším obmedzením je súlad so zákonom alebo s nadradeným územným plánom, čo vyplýva už aj v súčasnosti buď z ustanovení stavebného zákona alebo je predsedovi samosprávneho kraja, primátorovi alebo starostovi priznané </w:t>
      </w:r>
      <w:proofErr w:type="spellStart"/>
      <w:r>
        <w:rPr>
          <w:rFonts w:ascii="Book Antiqua" w:hAnsi="Book Antiqua" w:cs="Open Sans"/>
          <w:sz w:val="22"/>
          <w:szCs w:val="22"/>
          <w:shd w:val="clear" w:color="auto" w:fill="FFFFFF"/>
        </w:rPr>
        <w:t>sistačné</w:t>
      </w:r>
      <w:proofErr w:type="spellEnd"/>
      <w:r>
        <w:rPr>
          <w:rFonts w:ascii="Book Antiqua" w:hAnsi="Book Antiqua" w:cs="Open Sans"/>
          <w:sz w:val="22"/>
          <w:szCs w:val="22"/>
          <w:shd w:val="clear" w:color="auto" w:fill="FFFFFF"/>
        </w:rPr>
        <w:t xml:space="preserve"> právo, ktorým môže uznesenie zastupiteľstva vetovať. Zároveň sa zakotvuje povinnosť pre orgán územného plánovania obstarať územnoplánovaciu dokumentáciu na základe takto prijatého uznesenia príslušného zastupiteľstva, ako aj zákaz predložiť na schválenie schvaľujúcemu orgánu taký návrh územnoplánovacej dokumentácie, ktorý by nezohľadňoval podnet prijatý formou uznesenia príslušného zastupiteľstva.</w:t>
      </w:r>
    </w:p>
    <w:p w14:paraId="54BAC325" w14:textId="77777777" w:rsidR="00B43DD7" w:rsidRDefault="00B43DD7" w:rsidP="00621AF6">
      <w:pPr>
        <w:jc w:val="both"/>
        <w:rPr>
          <w:rFonts w:ascii="Book Antiqua" w:hAnsi="Book Antiqua" w:cs="Open Sans"/>
          <w:bCs/>
          <w:sz w:val="22"/>
          <w:szCs w:val="22"/>
          <w:u w:val="single"/>
          <w:shd w:val="clear" w:color="auto" w:fill="FFFFFF"/>
        </w:rPr>
      </w:pPr>
    </w:p>
    <w:p w14:paraId="1C760A86" w14:textId="0B8885E9" w:rsidR="00557FB2" w:rsidRPr="005071FA" w:rsidRDefault="005071FA" w:rsidP="00621AF6">
      <w:pPr>
        <w:jc w:val="both"/>
        <w:rPr>
          <w:rFonts w:ascii="Book Antiqua" w:hAnsi="Book Antiqua" w:cs="Open Sans"/>
          <w:bCs/>
          <w:sz w:val="22"/>
          <w:szCs w:val="22"/>
          <w:u w:val="single"/>
          <w:shd w:val="clear" w:color="auto" w:fill="FFFFFF"/>
        </w:rPr>
      </w:pPr>
      <w:r w:rsidRPr="005071FA">
        <w:rPr>
          <w:rFonts w:ascii="Book Antiqua" w:hAnsi="Book Antiqua" w:cs="Open Sans"/>
          <w:bCs/>
          <w:sz w:val="22"/>
          <w:szCs w:val="22"/>
          <w:u w:val="single"/>
          <w:shd w:val="clear" w:color="auto" w:fill="FFFFFF"/>
        </w:rPr>
        <w:lastRenderedPageBreak/>
        <w:t>K bodom 3 až 8 a bodu 10</w:t>
      </w:r>
    </w:p>
    <w:p w14:paraId="0B63FBC9" w14:textId="77777777" w:rsidR="00F91631" w:rsidRDefault="00F91631" w:rsidP="00F91631">
      <w:pPr>
        <w:ind w:firstLine="708"/>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 xml:space="preserve">Novým ustanovením § 23a sa po vzore Českej republiky a iných krajín priznáva verejnosti výslovne v stavebnom zákone, a to v jeho časti o územnom plánovaní, možnosť </w:t>
      </w:r>
      <w:r w:rsidR="00557FB2">
        <w:rPr>
          <w:rFonts w:ascii="Book Antiqua" w:hAnsi="Book Antiqua" w:cs="Open Sans"/>
          <w:sz w:val="22"/>
          <w:szCs w:val="22"/>
          <w:shd w:val="clear" w:color="auto" w:fill="FFFFFF"/>
        </w:rPr>
        <w:t>zapojenia sa verejnosti do procesu schvaľovania územnoplánovacej dokumentácie</w:t>
      </w:r>
      <w:r w:rsidR="00BA3646">
        <w:rPr>
          <w:rFonts w:ascii="Book Antiqua" w:hAnsi="Book Antiqua" w:cs="Open Sans"/>
          <w:sz w:val="22"/>
          <w:szCs w:val="22"/>
          <w:shd w:val="clear" w:color="auto" w:fill="FFFFFF"/>
        </w:rPr>
        <w:t xml:space="preserve"> a zmien a doplnkov územnoplánovacej dokumentácie</w:t>
      </w:r>
      <w:r w:rsidR="00557FB2">
        <w:rPr>
          <w:rFonts w:ascii="Book Antiqua" w:hAnsi="Book Antiqua" w:cs="Open Sans"/>
          <w:sz w:val="22"/>
          <w:szCs w:val="22"/>
          <w:shd w:val="clear" w:color="auto" w:fill="FFFFFF"/>
        </w:rPr>
        <w:t xml:space="preserve"> prostredníctvom zástupcu verejnosti. </w:t>
      </w:r>
    </w:p>
    <w:p w14:paraId="514EB2F7" w14:textId="15BEF908" w:rsidR="00557FB2" w:rsidRDefault="00557FB2" w:rsidP="00F91631">
      <w:pPr>
        <w:ind w:firstLine="708"/>
        <w:jc w:val="both"/>
        <w:rPr>
          <w:rFonts w:ascii="Book Antiqua" w:hAnsi="Book Antiqua" w:cs="Open Sans"/>
          <w:sz w:val="22"/>
          <w:szCs w:val="22"/>
          <w:shd w:val="clear" w:color="auto" w:fill="FFFFFF"/>
        </w:rPr>
      </w:pPr>
      <w:r>
        <w:rPr>
          <w:rFonts w:ascii="Book Antiqua" w:hAnsi="Book Antiqua" w:cs="Open Sans"/>
          <w:sz w:val="22"/>
          <w:szCs w:val="22"/>
          <w:shd w:val="clear" w:color="auto" w:fill="FFFFFF"/>
        </w:rPr>
        <w:t>Aby fyzická osoba alebo právnická osoba mohla zastupovať obyvateľov pri prerokovaní spoločnej pripomienky pred príslušným orgánom územného plánovania, musí spĺňať tieto podmienky:</w:t>
      </w:r>
    </w:p>
    <w:p w14:paraId="56CA9995" w14:textId="467F1FBF" w:rsidR="00557FB2" w:rsidRDefault="00F91631" w:rsidP="00F92985">
      <w:pPr>
        <w:pStyle w:val="Odsekzoznamu"/>
        <w:numPr>
          <w:ilvl w:val="0"/>
          <w:numId w:val="3"/>
        </w:numPr>
        <w:jc w:val="both"/>
        <w:rPr>
          <w:rFonts w:ascii="Book Antiqua" w:hAnsi="Book Antiqua"/>
          <w:sz w:val="22"/>
          <w:szCs w:val="22"/>
        </w:rPr>
      </w:pPr>
      <w:r>
        <w:rPr>
          <w:rFonts w:ascii="Book Antiqua" w:hAnsi="Book Antiqua"/>
          <w:sz w:val="22"/>
          <w:szCs w:val="22"/>
        </w:rPr>
        <w:t>vyzbierať najmenej 10</w:t>
      </w:r>
      <w:r w:rsidR="00F92985">
        <w:rPr>
          <w:rFonts w:ascii="Book Antiqua" w:hAnsi="Book Antiqua"/>
          <w:sz w:val="22"/>
          <w:szCs w:val="22"/>
        </w:rPr>
        <w:t>% podpisov obyvateľov príslušného volebného obvodu utvoreného v posledných voľbách do orgánov samosprávy obcí, ktorí majú na jeho území tr</w:t>
      </w:r>
      <w:r>
        <w:rPr>
          <w:rFonts w:ascii="Book Antiqua" w:hAnsi="Book Antiqua"/>
          <w:sz w:val="22"/>
          <w:szCs w:val="22"/>
        </w:rPr>
        <w:t>valý pobyt</w:t>
      </w:r>
      <w:r w:rsidR="00F92985">
        <w:rPr>
          <w:rFonts w:ascii="Book Antiqua" w:hAnsi="Book Antiqua"/>
          <w:sz w:val="22"/>
          <w:szCs w:val="22"/>
        </w:rPr>
        <w:t>, a</w:t>
      </w:r>
    </w:p>
    <w:p w14:paraId="76AD7725" w14:textId="77777777" w:rsidR="00F91631" w:rsidRDefault="00F91631" w:rsidP="00F91631">
      <w:pPr>
        <w:ind w:left="708" w:hanging="282"/>
        <w:jc w:val="both"/>
        <w:rPr>
          <w:rFonts w:ascii="Book Antiqua" w:hAnsi="Book Antiqua"/>
          <w:sz w:val="22"/>
          <w:szCs w:val="22"/>
        </w:rPr>
      </w:pPr>
      <w:r>
        <w:rPr>
          <w:rFonts w:ascii="Book Antiqua" w:hAnsi="Book Antiqua"/>
          <w:sz w:val="22"/>
          <w:szCs w:val="22"/>
        </w:rPr>
        <w:t>2.</w:t>
      </w:r>
      <w:r>
        <w:rPr>
          <w:rFonts w:ascii="Book Antiqua" w:hAnsi="Book Antiqua"/>
          <w:sz w:val="22"/>
          <w:szCs w:val="22"/>
        </w:rPr>
        <w:tab/>
      </w:r>
      <w:r w:rsidR="00A927A1" w:rsidRPr="00F91631">
        <w:rPr>
          <w:rFonts w:ascii="Book Antiqua" w:hAnsi="Book Antiqua"/>
          <w:sz w:val="22"/>
          <w:szCs w:val="22"/>
        </w:rPr>
        <w:t>obyvatel</w:t>
      </w:r>
      <w:r>
        <w:rPr>
          <w:rFonts w:ascii="Book Antiqua" w:hAnsi="Book Antiqua"/>
          <w:sz w:val="22"/>
          <w:szCs w:val="22"/>
        </w:rPr>
        <w:t>ia uplatňujú zhodnú pripomienku, ktorej presadením poveria zástupcu verejnosti pred orgánom územného plánovania.</w:t>
      </w:r>
    </w:p>
    <w:p w14:paraId="690B7D8A" w14:textId="35957644" w:rsidR="00A927A1" w:rsidRDefault="00A927A1" w:rsidP="00F91631">
      <w:pPr>
        <w:ind w:firstLine="708"/>
        <w:jc w:val="both"/>
        <w:rPr>
          <w:rFonts w:ascii="Book Antiqua" w:hAnsi="Book Antiqua"/>
          <w:sz w:val="22"/>
          <w:szCs w:val="22"/>
        </w:rPr>
      </w:pPr>
      <w:r>
        <w:rPr>
          <w:rFonts w:ascii="Book Antiqua" w:hAnsi="Book Antiqua"/>
          <w:sz w:val="22"/>
          <w:szCs w:val="22"/>
        </w:rPr>
        <w:t>Zástupca verejnosti je povinný preukázať svoje splnomocnenie podpismi obyvateľo</w:t>
      </w:r>
      <w:r w:rsidR="00F91631">
        <w:rPr>
          <w:rFonts w:ascii="Book Antiqua" w:hAnsi="Book Antiqua"/>
          <w:sz w:val="22"/>
          <w:szCs w:val="22"/>
        </w:rPr>
        <w:t>v príslušného volebného obvodu, čo sa zvykne aj v súčasnosti robiť formou podpisového hárku so znením hromadnej pripomienky ako obdoba petície v zmysle zákona č. 85/1990 Zb. o petičnom práve v znení neskorších predpisov (ďalej len „zákon o petičnom práve“).</w:t>
      </w:r>
    </w:p>
    <w:p w14:paraId="41E6E791" w14:textId="123BEB1B" w:rsidR="00F91631" w:rsidRDefault="00F91631" w:rsidP="00F91631">
      <w:pPr>
        <w:ind w:firstLine="708"/>
        <w:jc w:val="both"/>
        <w:rPr>
          <w:rFonts w:ascii="Book Antiqua" w:hAnsi="Book Antiqua"/>
          <w:sz w:val="22"/>
          <w:szCs w:val="22"/>
        </w:rPr>
      </w:pPr>
      <w:r>
        <w:rPr>
          <w:rFonts w:ascii="Book Antiqua" w:hAnsi="Book Antiqua"/>
          <w:sz w:val="22"/>
          <w:szCs w:val="22"/>
        </w:rPr>
        <w:t xml:space="preserve">Možnosť zvoliť si zástupcu by mala mať verejnosť tak pri prerokovaní </w:t>
      </w:r>
      <w:r w:rsidR="000248B5">
        <w:rPr>
          <w:rFonts w:ascii="Book Antiqua" w:hAnsi="Book Antiqua"/>
          <w:sz w:val="22"/>
          <w:szCs w:val="22"/>
        </w:rPr>
        <w:t xml:space="preserve">zadania a konceptu územnoplánovacej dokumentácie, ako aj pri prerokovaní návrhu územnoplánovacej dokumentácie vrátane návrhu územného plánu zóny. Povinnosť orgánu územného plánovania prerokovať pripomienky so zástupcom verejnosti sa v zásade rovná povinnosti uskutočniť </w:t>
      </w:r>
      <w:proofErr w:type="spellStart"/>
      <w:r w:rsidR="000248B5">
        <w:rPr>
          <w:rFonts w:ascii="Book Antiqua" w:hAnsi="Book Antiqua"/>
          <w:sz w:val="22"/>
          <w:szCs w:val="22"/>
        </w:rPr>
        <w:t>rozporové</w:t>
      </w:r>
      <w:proofErr w:type="spellEnd"/>
      <w:r w:rsidR="000248B5">
        <w:rPr>
          <w:rFonts w:ascii="Book Antiqua" w:hAnsi="Book Antiqua"/>
          <w:sz w:val="22"/>
          <w:szCs w:val="22"/>
        </w:rPr>
        <w:t xml:space="preserve"> konanie k územnoplánovaciemu podkladu, ktoré sa v súčasnosti stavebným zákonom priznáva len privilegovaným subjektom, s tým rozdielom, že prípadne neodstránenie rozporov so zástupcom verejnosti nebude znamenať zablokovanie ďalšieho procesu schvaľovania územnoplánovacej dokumentácie.</w:t>
      </w:r>
    </w:p>
    <w:p w14:paraId="2BCDD39D" w14:textId="72AB6FF3" w:rsidR="000248B5" w:rsidRDefault="000248B5" w:rsidP="00F91631">
      <w:pPr>
        <w:ind w:firstLine="708"/>
        <w:jc w:val="both"/>
        <w:rPr>
          <w:rFonts w:ascii="Book Antiqua" w:hAnsi="Book Antiqua"/>
          <w:sz w:val="22"/>
          <w:szCs w:val="22"/>
        </w:rPr>
      </w:pPr>
      <w:r>
        <w:rPr>
          <w:rFonts w:ascii="Book Antiqua" w:hAnsi="Book Antiqua"/>
          <w:sz w:val="22"/>
          <w:szCs w:val="22"/>
        </w:rPr>
        <w:t>Zároveň sa v ustanovení § 31 ods. 2 stavebného zákona spresňuje, že ustanovenia § 22 až 28 sa vzťahujú na obstaranie zmien a doplnkov územnoplánovacej dokumentácie rovnako, okrem prípadov, ak to vylučuje povaha veci. Snahou je zabrániť tomu, aby orgán územného plánovania mohol vylúčiť ustanovenia o zástupcovi verejnosti a povinnosti prerokovať s ním hromadnú pripomienku verejnosti s odvolaním sa na terajšie znenie tohto zákonného ustanovenia, v ktorom je použité slovo „primerane“.</w:t>
      </w:r>
    </w:p>
    <w:p w14:paraId="37DB49D0" w14:textId="0F45C3AD" w:rsidR="000248B5" w:rsidRDefault="000248B5" w:rsidP="00F91631">
      <w:pPr>
        <w:ind w:firstLine="708"/>
        <w:jc w:val="both"/>
        <w:rPr>
          <w:rFonts w:ascii="Book Antiqua" w:hAnsi="Book Antiqua"/>
          <w:sz w:val="22"/>
          <w:szCs w:val="22"/>
        </w:rPr>
      </w:pPr>
      <w:r>
        <w:rPr>
          <w:rFonts w:ascii="Book Antiqua" w:hAnsi="Book Antiqua"/>
          <w:sz w:val="22"/>
          <w:szCs w:val="22"/>
        </w:rPr>
        <w:t>Navrhovaná slovenská právna úprava je prísnejšia v porovnaní s Českou republikou, kde na uplatnenie hromadnej pripomienky prostredníctvom zástupcu verejnosti stačí počet, ktorý sa vyžaduje na vybavenie petície na samosprávnej úrovni, t.j. 1 000 podpisov dotknutých obyvateľov. Navrhovaný výpočet premietnutý napr. na mestskú časť Bratislava – Petržalka by predstavoval podľa dotknutého volebného obvodu 1 600 až 2 400 podpisov dotknutých obyvateľov pod hromadnú pripomienku, čo pri 30-dňovej lehote na pripomienkovanie a bežnou praxou spustenia pripomienkového konania počas vianočných sviatkov alebo tesne pred letnými dovolenkami</w:t>
      </w:r>
      <w:r w:rsidR="00DF304B">
        <w:rPr>
          <w:rFonts w:ascii="Book Antiqua" w:hAnsi="Book Antiqua"/>
          <w:sz w:val="22"/>
          <w:szCs w:val="22"/>
        </w:rPr>
        <w:t xml:space="preserve"> je pomerne zložité získať. Na druhej strane takýto výpočet poskytuje záruku, že obyvateľstvo v danej lokalite, ktorej sa </w:t>
      </w:r>
      <w:r w:rsidR="00DF304B">
        <w:rPr>
          <w:rFonts w:ascii="Book Antiqua" w:hAnsi="Book Antiqua"/>
          <w:sz w:val="22"/>
          <w:szCs w:val="22"/>
        </w:rPr>
        <w:lastRenderedPageBreak/>
        <w:t>územnoplánovací podklad týka, pociťuje zvažované zmeny územného plánu ako vážny zásah do kvality ich života a okolitého životného prostredia.</w:t>
      </w:r>
    </w:p>
    <w:p w14:paraId="11F4136E" w14:textId="3C0569D2" w:rsidR="00276BBB" w:rsidRDefault="00276BBB" w:rsidP="00276BBB">
      <w:pPr>
        <w:jc w:val="both"/>
        <w:rPr>
          <w:rFonts w:ascii="Book Antiqua" w:hAnsi="Book Antiqua" w:cs="Open Sans"/>
          <w:bCs/>
          <w:sz w:val="22"/>
          <w:szCs w:val="22"/>
          <w:u w:val="single"/>
          <w:shd w:val="clear" w:color="auto" w:fill="FFFFFF"/>
        </w:rPr>
      </w:pPr>
      <w:r w:rsidRPr="005071FA">
        <w:rPr>
          <w:rFonts w:ascii="Book Antiqua" w:hAnsi="Book Antiqua" w:cs="Open Sans"/>
          <w:bCs/>
          <w:sz w:val="22"/>
          <w:szCs w:val="22"/>
          <w:u w:val="single"/>
          <w:shd w:val="clear" w:color="auto" w:fill="FFFFFF"/>
        </w:rPr>
        <w:t>K</w:t>
      </w:r>
      <w:r>
        <w:rPr>
          <w:rFonts w:ascii="Book Antiqua" w:hAnsi="Book Antiqua" w:cs="Open Sans"/>
          <w:bCs/>
          <w:sz w:val="22"/>
          <w:szCs w:val="22"/>
          <w:u w:val="single"/>
          <w:shd w:val="clear" w:color="auto" w:fill="FFFFFF"/>
        </w:rPr>
        <w:t> </w:t>
      </w:r>
      <w:r w:rsidRPr="005071FA">
        <w:rPr>
          <w:rFonts w:ascii="Book Antiqua" w:hAnsi="Book Antiqua" w:cs="Open Sans"/>
          <w:bCs/>
          <w:sz w:val="22"/>
          <w:szCs w:val="22"/>
          <w:u w:val="single"/>
          <w:shd w:val="clear" w:color="auto" w:fill="FFFFFF"/>
        </w:rPr>
        <w:t>bod</w:t>
      </w:r>
      <w:r>
        <w:rPr>
          <w:rFonts w:ascii="Book Antiqua" w:hAnsi="Book Antiqua" w:cs="Open Sans"/>
          <w:bCs/>
          <w:sz w:val="22"/>
          <w:szCs w:val="22"/>
          <w:u w:val="single"/>
          <w:shd w:val="clear" w:color="auto" w:fill="FFFFFF"/>
        </w:rPr>
        <w:t>u 11</w:t>
      </w:r>
    </w:p>
    <w:p w14:paraId="36B97841" w14:textId="2D4C409C" w:rsidR="00276BBB" w:rsidRPr="00276BBB" w:rsidRDefault="00276BBB" w:rsidP="00276BBB">
      <w:pPr>
        <w:jc w:val="both"/>
        <w:rPr>
          <w:rFonts w:ascii="Book Antiqua" w:hAnsi="Book Antiqua"/>
          <w:sz w:val="22"/>
          <w:szCs w:val="22"/>
        </w:rPr>
      </w:pPr>
      <w:r>
        <w:rPr>
          <w:rFonts w:ascii="Book Antiqua" w:hAnsi="Book Antiqua" w:cs="Open Sans"/>
          <w:bCs/>
          <w:sz w:val="22"/>
          <w:szCs w:val="22"/>
          <w:shd w:val="clear" w:color="auto" w:fill="FFFFFF"/>
        </w:rPr>
        <w:tab/>
        <w:t xml:space="preserve">Ide o legislatívno-technickú úpravu, ktorou sa do prílohy č. 2 k stavebnému zákona dopĺňa smernica </w:t>
      </w:r>
      <w:r w:rsidRPr="008E777B">
        <w:rPr>
          <w:rFonts w:ascii="Book Antiqua" w:hAnsi="Book Antiqua" w:cs="Book Antiqua"/>
          <w:sz w:val="22"/>
          <w:szCs w:val="22"/>
        </w:rPr>
        <w:t>Európskeho parlamentu a Rady 2001/42/ES z 27. júna 2001 o posudzovaní účinkov určitých plánov a programov na životné prostredia (Ú. v. ES L 197, 21.7.2001; Mimoriadne vydanie Ú v EÚ, kap. 15/zv. 6)</w:t>
      </w:r>
      <w:r>
        <w:rPr>
          <w:rFonts w:ascii="Book Antiqua" w:hAnsi="Book Antiqua" w:cs="Book Antiqua"/>
          <w:sz w:val="22"/>
          <w:szCs w:val="22"/>
        </w:rPr>
        <w:t xml:space="preserve">, keďže jej ustanovenia </w:t>
      </w:r>
      <w:r w:rsidRPr="008E777B">
        <w:rPr>
          <w:rFonts w:ascii="Book Antiqua" w:hAnsi="Book Antiqua" w:cs="Book Antiqua"/>
          <w:sz w:val="22"/>
          <w:szCs w:val="22"/>
        </w:rPr>
        <w:t>čl. 2 písm. d)</w:t>
      </w:r>
      <w:r>
        <w:rPr>
          <w:rFonts w:ascii="Book Antiqua" w:hAnsi="Book Antiqua" w:cs="Book Antiqua"/>
          <w:sz w:val="22"/>
          <w:szCs w:val="22"/>
        </w:rPr>
        <w:t xml:space="preserve"> a </w:t>
      </w:r>
      <w:r w:rsidRPr="008E777B">
        <w:rPr>
          <w:rFonts w:ascii="Book Antiqua" w:hAnsi="Book Antiqua" w:cs="Book Antiqua"/>
          <w:sz w:val="22"/>
          <w:szCs w:val="22"/>
        </w:rPr>
        <w:t>čl. 6, 7 a</w:t>
      </w:r>
      <w:r>
        <w:rPr>
          <w:rFonts w:ascii="Book Antiqua" w:hAnsi="Book Antiqua" w:cs="Book Antiqua"/>
          <w:sz w:val="22"/>
          <w:szCs w:val="22"/>
        </w:rPr>
        <w:t> </w:t>
      </w:r>
      <w:r w:rsidRPr="008E777B">
        <w:rPr>
          <w:rFonts w:ascii="Book Antiqua" w:hAnsi="Book Antiqua" w:cs="Book Antiqua"/>
          <w:sz w:val="22"/>
          <w:szCs w:val="22"/>
        </w:rPr>
        <w:t>9</w:t>
      </w:r>
      <w:r>
        <w:rPr>
          <w:rFonts w:ascii="Book Antiqua" w:hAnsi="Book Antiqua" w:cs="Book Antiqua"/>
          <w:sz w:val="22"/>
          <w:szCs w:val="22"/>
        </w:rPr>
        <w:t xml:space="preserve"> sú transponované do návrhu zákona.</w:t>
      </w:r>
    </w:p>
    <w:p w14:paraId="0F85FD5C" w14:textId="77777777" w:rsidR="005071FA" w:rsidRDefault="005071FA" w:rsidP="00D719A4">
      <w:pPr>
        <w:rPr>
          <w:rFonts w:ascii="Book Antiqua" w:hAnsi="Book Antiqua"/>
          <w:b/>
          <w:bCs/>
          <w:sz w:val="22"/>
          <w:szCs w:val="22"/>
        </w:rPr>
      </w:pPr>
    </w:p>
    <w:p w14:paraId="66A33393" w14:textId="42EAC671" w:rsidR="00D719A4" w:rsidRDefault="00D719A4" w:rsidP="00D719A4">
      <w:pPr>
        <w:rPr>
          <w:rFonts w:ascii="Book Antiqua" w:hAnsi="Book Antiqua"/>
          <w:b/>
          <w:bCs/>
          <w:sz w:val="22"/>
          <w:szCs w:val="22"/>
        </w:rPr>
      </w:pPr>
      <w:r w:rsidRPr="0023793A">
        <w:rPr>
          <w:rFonts w:ascii="Book Antiqua" w:hAnsi="Book Antiqua"/>
          <w:b/>
          <w:bCs/>
          <w:sz w:val="22"/>
          <w:szCs w:val="22"/>
        </w:rPr>
        <w:t>K Čl. II</w:t>
      </w:r>
      <w:r w:rsidR="005071FA">
        <w:rPr>
          <w:rFonts w:ascii="Book Antiqua" w:hAnsi="Book Antiqua"/>
          <w:b/>
          <w:bCs/>
          <w:sz w:val="22"/>
          <w:szCs w:val="22"/>
        </w:rPr>
        <w:t xml:space="preserve"> až V</w:t>
      </w:r>
    </w:p>
    <w:p w14:paraId="6C2A5775" w14:textId="1CD049B9" w:rsidR="005071FA" w:rsidRDefault="005071FA" w:rsidP="00BA3646">
      <w:pPr>
        <w:jc w:val="both"/>
        <w:rPr>
          <w:rFonts w:ascii="Book Antiqua" w:hAnsi="Book Antiqua"/>
          <w:sz w:val="22"/>
          <w:szCs w:val="22"/>
        </w:rPr>
      </w:pPr>
      <w:r>
        <w:rPr>
          <w:rFonts w:ascii="Book Antiqua" w:hAnsi="Book Antiqua"/>
          <w:sz w:val="22"/>
          <w:szCs w:val="22"/>
        </w:rPr>
        <w:tab/>
        <w:t xml:space="preserve">Ide o legislatívno-technické úpravy, ktoré bezprostredne súvisia s Čl. I bodmi 1, 2 a 9 návrhu zákona. Spresňuje sa právomoc zastupiteľstiev samosprávneho kraja, obce a mesta (vrátane Bratislavy a Košíc) schvaľovať podnety </w:t>
      </w:r>
      <w:r>
        <w:rPr>
          <w:rFonts w:ascii="Book Antiqua" w:hAnsi="Book Antiqua"/>
          <w:sz w:val="22"/>
          <w:szCs w:val="22"/>
        </w:rPr>
        <w:t>na obstaranie územnoplánovacej dokumentácie a podnety na jej aktualizáciu</w:t>
      </w:r>
      <w:r>
        <w:rPr>
          <w:rFonts w:ascii="Book Antiqua" w:hAnsi="Book Antiqua"/>
          <w:sz w:val="22"/>
          <w:szCs w:val="22"/>
        </w:rPr>
        <w:t>.</w:t>
      </w:r>
    </w:p>
    <w:p w14:paraId="7DA90E14" w14:textId="2501E81F" w:rsidR="005071FA" w:rsidRPr="005071FA" w:rsidRDefault="005071FA" w:rsidP="00BA3646">
      <w:pPr>
        <w:jc w:val="both"/>
        <w:rPr>
          <w:rFonts w:ascii="Book Antiqua" w:hAnsi="Book Antiqua"/>
          <w:sz w:val="22"/>
          <w:szCs w:val="22"/>
        </w:rPr>
      </w:pPr>
      <w:r>
        <w:rPr>
          <w:rFonts w:ascii="Book Antiqua" w:hAnsi="Book Antiqua"/>
          <w:sz w:val="22"/>
          <w:szCs w:val="22"/>
        </w:rPr>
        <w:tab/>
        <w:t xml:space="preserve">Už v súčasnosti zákony uvedené v Čl. II až V priznávajú poslancom zastupiteľstiev právomoc podávať návrhy na rokovanie zastupiteľstva, samotné zastupiteľstvá však mali výslovne priznanú len právomoc </w:t>
      </w:r>
      <w:r w:rsidRPr="005071FA">
        <w:rPr>
          <w:rFonts w:ascii="Book Antiqua" w:hAnsi="Book Antiqua" w:cs="Open Sans"/>
          <w:sz w:val="22"/>
          <w:szCs w:val="22"/>
          <w:shd w:val="clear" w:color="auto" w:fill="FFFFFF"/>
        </w:rPr>
        <w:t xml:space="preserve">schvaľovať územný plán obce </w:t>
      </w:r>
      <w:r w:rsidR="00F91631">
        <w:rPr>
          <w:rFonts w:ascii="Book Antiqua" w:hAnsi="Book Antiqua" w:cs="Open Sans"/>
          <w:sz w:val="22"/>
          <w:szCs w:val="22"/>
          <w:shd w:val="clear" w:color="auto" w:fill="FFFFFF"/>
        </w:rPr>
        <w:t xml:space="preserve">(samosprávneho kraja, mesta) </w:t>
      </w:r>
      <w:r w:rsidRPr="005071FA">
        <w:rPr>
          <w:rFonts w:ascii="Book Antiqua" w:hAnsi="Book Antiqua" w:cs="Open Sans"/>
          <w:sz w:val="22"/>
          <w:szCs w:val="22"/>
          <w:shd w:val="clear" w:color="auto" w:fill="FFFFFF"/>
        </w:rPr>
        <w:t>alebo jej časti a koncepcie rozvoja jednotlivých oblastí života obce</w:t>
      </w:r>
      <w:r w:rsidR="00F91631">
        <w:rPr>
          <w:rFonts w:ascii="Book Antiqua" w:hAnsi="Book Antiqua" w:cs="Open Sans"/>
          <w:sz w:val="22"/>
          <w:szCs w:val="22"/>
          <w:shd w:val="clear" w:color="auto" w:fill="FFFFFF"/>
        </w:rPr>
        <w:t xml:space="preserve"> (samosprávneho kraja, mesta). Návrhom zákona sa zastupiteľstvám spresní právomoc vo vzťahu k podnetom na prijatie, zmenu alebo doplnenie územnoplánovacej dokumentácie a k jej obstaraniu župným, obecným alebo mestským úradom (magistrátom).</w:t>
      </w:r>
    </w:p>
    <w:p w14:paraId="6DD80A0D" w14:textId="77777777" w:rsidR="005071FA" w:rsidRDefault="005071FA" w:rsidP="00926025">
      <w:pPr>
        <w:jc w:val="both"/>
        <w:rPr>
          <w:rFonts w:ascii="Book Antiqua" w:hAnsi="Book Antiqua"/>
          <w:b/>
          <w:bCs/>
          <w:sz w:val="22"/>
          <w:szCs w:val="22"/>
        </w:rPr>
      </w:pPr>
    </w:p>
    <w:p w14:paraId="563AC06D" w14:textId="0C3D1BF3" w:rsidR="008E22F1" w:rsidRPr="00323375" w:rsidRDefault="005071FA" w:rsidP="00926025">
      <w:pPr>
        <w:jc w:val="both"/>
        <w:rPr>
          <w:rFonts w:ascii="Book Antiqua" w:hAnsi="Book Antiqua"/>
          <w:sz w:val="22"/>
          <w:szCs w:val="22"/>
        </w:rPr>
      </w:pPr>
      <w:r>
        <w:rPr>
          <w:rFonts w:ascii="Book Antiqua" w:hAnsi="Book Antiqua"/>
          <w:b/>
          <w:bCs/>
          <w:sz w:val="22"/>
          <w:szCs w:val="22"/>
        </w:rPr>
        <w:t>K Čl. VI</w:t>
      </w:r>
    </w:p>
    <w:p w14:paraId="50713013" w14:textId="0E8C7B01" w:rsidR="00000CB9" w:rsidRDefault="005071FA" w:rsidP="005071FA">
      <w:pPr>
        <w:ind w:firstLine="708"/>
        <w:jc w:val="both"/>
        <w:rPr>
          <w:rFonts w:ascii="Book Antiqua" w:hAnsi="Book Antiqua"/>
          <w:color w:val="000000"/>
          <w:sz w:val="22"/>
          <w:szCs w:val="22"/>
        </w:rPr>
      </w:pPr>
      <w:r w:rsidRPr="00476E46">
        <w:rPr>
          <w:rFonts w:ascii="Book Antiqua" w:hAnsi="Book Antiqua"/>
          <w:bCs/>
          <w:sz w:val="22"/>
          <w:szCs w:val="22"/>
        </w:rPr>
        <w:t xml:space="preserve">Navrhuje sa účinnosť predkladaného zákona so zohľadnením </w:t>
      </w:r>
      <w:proofErr w:type="spellStart"/>
      <w:r w:rsidRPr="00476E46">
        <w:rPr>
          <w:rFonts w:ascii="Book Antiqua" w:hAnsi="Book Antiqua"/>
          <w:bCs/>
          <w:sz w:val="22"/>
          <w:szCs w:val="22"/>
        </w:rPr>
        <w:t>legisvakančnej</w:t>
      </w:r>
      <w:proofErr w:type="spellEnd"/>
      <w:r w:rsidRPr="00476E46">
        <w:rPr>
          <w:rFonts w:ascii="Book Antiqua" w:hAnsi="Book Antiqua"/>
          <w:bCs/>
          <w:sz w:val="22"/>
          <w:szCs w:val="22"/>
        </w:rPr>
        <w:t xml:space="preserve"> lehoty, a to od 1</w:t>
      </w:r>
      <w:r>
        <w:rPr>
          <w:rFonts w:ascii="Book Antiqua" w:hAnsi="Book Antiqua"/>
          <w:bCs/>
          <w:sz w:val="22"/>
          <w:szCs w:val="22"/>
        </w:rPr>
        <w:t>. decembra 2022</w:t>
      </w:r>
      <w:r w:rsidRPr="00476E46">
        <w:rPr>
          <w:rFonts w:ascii="Book Antiqua" w:hAnsi="Book Antiqua"/>
          <w:bCs/>
          <w:sz w:val="22"/>
          <w:szCs w:val="22"/>
        </w:rPr>
        <w:t>.</w:t>
      </w:r>
    </w:p>
    <w:p w14:paraId="46DE16F1" w14:textId="51230952" w:rsidR="00107052" w:rsidRDefault="00107052" w:rsidP="00D719A4">
      <w:pPr>
        <w:jc w:val="both"/>
        <w:rPr>
          <w:rFonts w:ascii="Book Antiqua" w:hAnsi="Book Antiqua"/>
          <w:color w:val="000000"/>
          <w:sz w:val="22"/>
          <w:szCs w:val="22"/>
        </w:rPr>
      </w:pPr>
    </w:p>
    <w:p w14:paraId="48296C99" w14:textId="7838134E" w:rsidR="00107052" w:rsidRDefault="00107052" w:rsidP="00D719A4">
      <w:pPr>
        <w:jc w:val="both"/>
        <w:rPr>
          <w:rFonts w:ascii="Book Antiqua" w:hAnsi="Book Antiqua"/>
          <w:color w:val="000000"/>
          <w:sz w:val="22"/>
          <w:szCs w:val="22"/>
        </w:rPr>
      </w:pPr>
    </w:p>
    <w:p w14:paraId="1A497C7E" w14:textId="1039A9A5" w:rsidR="00107052" w:rsidRDefault="00107052" w:rsidP="00D719A4">
      <w:pPr>
        <w:jc w:val="both"/>
        <w:rPr>
          <w:rFonts w:ascii="Book Antiqua" w:hAnsi="Book Antiqua"/>
          <w:color w:val="000000"/>
          <w:sz w:val="22"/>
          <w:szCs w:val="22"/>
        </w:rPr>
      </w:pPr>
    </w:p>
    <w:p w14:paraId="0F2DD771" w14:textId="6CAEBBE0" w:rsidR="00107052" w:rsidRDefault="00107052" w:rsidP="00D719A4">
      <w:pPr>
        <w:jc w:val="both"/>
        <w:rPr>
          <w:rFonts w:ascii="Book Antiqua" w:hAnsi="Book Antiqua"/>
          <w:color w:val="000000"/>
          <w:sz w:val="22"/>
          <w:szCs w:val="22"/>
        </w:rPr>
      </w:pPr>
    </w:p>
    <w:p w14:paraId="066A7890" w14:textId="3D9FED47" w:rsidR="00107052" w:rsidRDefault="00107052" w:rsidP="00D719A4">
      <w:pPr>
        <w:jc w:val="both"/>
        <w:rPr>
          <w:rFonts w:ascii="Book Antiqua" w:hAnsi="Book Antiqua"/>
          <w:color w:val="000000"/>
          <w:sz w:val="22"/>
          <w:szCs w:val="22"/>
        </w:rPr>
      </w:pPr>
    </w:p>
    <w:p w14:paraId="3B5E82C7" w14:textId="33CBD8CC" w:rsidR="00107052" w:rsidRDefault="00107052" w:rsidP="00D719A4">
      <w:pPr>
        <w:jc w:val="both"/>
        <w:rPr>
          <w:rFonts w:ascii="Book Antiqua" w:hAnsi="Book Antiqua"/>
          <w:color w:val="000000"/>
          <w:sz w:val="22"/>
          <w:szCs w:val="22"/>
        </w:rPr>
      </w:pPr>
    </w:p>
    <w:p w14:paraId="2E48CF0B" w14:textId="3A3BB708" w:rsidR="00107052" w:rsidRDefault="00107052" w:rsidP="00D719A4">
      <w:pPr>
        <w:jc w:val="both"/>
        <w:rPr>
          <w:rFonts w:ascii="Book Antiqua" w:hAnsi="Book Antiqua"/>
          <w:color w:val="000000"/>
          <w:sz w:val="22"/>
          <w:szCs w:val="22"/>
        </w:rPr>
      </w:pPr>
    </w:p>
    <w:p w14:paraId="1FE9862D" w14:textId="5CCD1EC6" w:rsidR="00107052" w:rsidRDefault="00107052" w:rsidP="00D719A4">
      <w:pPr>
        <w:jc w:val="both"/>
        <w:rPr>
          <w:rFonts w:ascii="Book Antiqua" w:hAnsi="Book Antiqua"/>
          <w:color w:val="000000"/>
          <w:sz w:val="22"/>
          <w:szCs w:val="22"/>
        </w:rPr>
      </w:pPr>
    </w:p>
    <w:p w14:paraId="44227523" w14:textId="78F48612" w:rsidR="00107052" w:rsidRDefault="00107052" w:rsidP="00D719A4">
      <w:pPr>
        <w:jc w:val="both"/>
        <w:rPr>
          <w:rFonts w:ascii="Book Antiqua" w:hAnsi="Book Antiqua"/>
          <w:color w:val="000000"/>
          <w:sz w:val="22"/>
          <w:szCs w:val="22"/>
        </w:rPr>
      </w:pPr>
    </w:p>
    <w:p w14:paraId="57C84FE2" w14:textId="79719D84" w:rsidR="00107052" w:rsidRDefault="00107052" w:rsidP="00D719A4">
      <w:pPr>
        <w:jc w:val="both"/>
        <w:rPr>
          <w:rFonts w:ascii="Book Antiqua" w:hAnsi="Book Antiqua"/>
          <w:color w:val="000000"/>
          <w:sz w:val="22"/>
          <w:szCs w:val="22"/>
        </w:rPr>
      </w:pPr>
    </w:p>
    <w:p w14:paraId="1358A1CC" w14:textId="77777777" w:rsidR="00B43DD7" w:rsidRDefault="00B43DD7" w:rsidP="00D719A4">
      <w:pPr>
        <w:jc w:val="both"/>
        <w:rPr>
          <w:rFonts w:ascii="Book Antiqua" w:hAnsi="Book Antiqua"/>
          <w:color w:val="000000"/>
          <w:sz w:val="22"/>
          <w:szCs w:val="22"/>
        </w:rPr>
      </w:pPr>
    </w:p>
    <w:p w14:paraId="61576A1A" w14:textId="77777777" w:rsidR="00276BBB" w:rsidRPr="0023793A" w:rsidRDefault="00276BBB" w:rsidP="00D719A4">
      <w:pPr>
        <w:jc w:val="both"/>
        <w:rPr>
          <w:rFonts w:ascii="Book Antiqua" w:hAnsi="Book Antiqua"/>
          <w:color w:val="000000"/>
          <w:sz w:val="22"/>
          <w:szCs w:val="22"/>
        </w:rPr>
      </w:pPr>
      <w:bookmarkStart w:id="0" w:name="_GoBack"/>
      <w:bookmarkEnd w:id="0"/>
    </w:p>
    <w:p w14:paraId="0DB56EE9" w14:textId="77777777" w:rsidR="006F6571" w:rsidRPr="007521C2" w:rsidRDefault="006F6571" w:rsidP="006F6571">
      <w:pPr>
        <w:tabs>
          <w:tab w:val="left" w:pos="6015"/>
        </w:tabs>
        <w:jc w:val="center"/>
        <w:rPr>
          <w:rFonts w:ascii="Book Antiqua" w:hAnsi="Book Antiqua" w:cs="Calibri"/>
          <w:b/>
          <w:bCs/>
          <w:sz w:val="22"/>
          <w:szCs w:val="22"/>
        </w:rPr>
      </w:pPr>
      <w:r w:rsidRPr="007521C2">
        <w:rPr>
          <w:rFonts w:ascii="Book Antiqua" w:hAnsi="Book Antiqua" w:cs="Book Antiqua"/>
          <w:b/>
          <w:bCs/>
          <w:caps/>
          <w:spacing w:val="30"/>
          <w:sz w:val="22"/>
          <w:szCs w:val="22"/>
        </w:rPr>
        <w:t>DOLOŽKA ZLUČITEĽNOSTI</w:t>
      </w:r>
    </w:p>
    <w:p w14:paraId="046C9818" w14:textId="77777777" w:rsidR="006F6571" w:rsidRPr="007521C2" w:rsidRDefault="006F6571" w:rsidP="006F6571">
      <w:pPr>
        <w:pStyle w:val="Normlnywebov1"/>
        <w:spacing w:before="120" w:after="0" w:line="276" w:lineRule="auto"/>
        <w:jc w:val="center"/>
        <w:rPr>
          <w:rFonts w:ascii="Book Antiqua" w:hAnsi="Book Antiqua"/>
          <w:b/>
          <w:bCs/>
          <w:sz w:val="22"/>
          <w:szCs w:val="22"/>
        </w:rPr>
      </w:pPr>
      <w:r w:rsidRPr="007521C2">
        <w:rPr>
          <w:rFonts w:ascii="Book Antiqua" w:hAnsi="Book Antiqua" w:cs="Book Antiqua"/>
          <w:b/>
          <w:bCs/>
          <w:sz w:val="22"/>
          <w:szCs w:val="22"/>
        </w:rPr>
        <w:t>návrhu zákona s právom Európskej únie</w:t>
      </w:r>
    </w:p>
    <w:p w14:paraId="55139414" w14:textId="77777777" w:rsidR="006F6571" w:rsidRPr="00E44F41" w:rsidRDefault="006F6571" w:rsidP="006F6571">
      <w:pPr>
        <w:pStyle w:val="Normlnywebov1"/>
        <w:spacing w:before="120" w:after="0" w:line="276" w:lineRule="auto"/>
        <w:jc w:val="both"/>
        <w:rPr>
          <w:rFonts w:ascii="Book Antiqua" w:hAnsi="Book Antiqua"/>
          <w:sz w:val="22"/>
          <w:szCs w:val="22"/>
        </w:rPr>
      </w:pPr>
      <w:r w:rsidRPr="00E44F41">
        <w:rPr>
          <w:rFonts w:ascii="Book Antiqua" w:hAnsi="Book Antiqua" w:cs="Book Antiqua"/>
          <w:sz w:val="22"/>
          <w:szCs w:val="22"/>
        </w:rPr>
        <w:t> </w:t>
      </w:r>
    </w:p>
    <w:p w14:paraId="6B24A86B" w14:textId="1BE8B118" w:rsidR="006F6571" w:rsidRPr="00E44F41" w:rsidRDefault="006F6571" w:rsidP="00D12626">
      <w:pPr>
        <w:pStyle w:val="Normlnywebov1"/>
        <w:numPr>
          <w:ilvl w:val="0"/>
          <w:numId w:val="5"/>
        </w:numPr>
        <w:spacing w:before="120" w:after="0" w:line="276" w:lineRule="auto"/>
        <w:ind w:left="360"/>
        <w:jc w:val="both"/>
        <w:rPr>
          <w:rFonts w:ascii="Book Antiqua" w:hAnsi="Book Antiqua" w:cs="Book Antiqua"/>
          <w:sz w:val="22"/>
          <w:szCs w:val="22"/>
        </w:rPr>
      </w:pPr>
      <w:r w:rsidRPr="008526A1">
        <w:rPr>
          <w:rFonts w:ascii="Book Antiqua" w:hAnsi="Book Antiqua" w:cs="Book Antiqua"/>
          <w:b/>
          <w:sz w:val="22"/>
          <w:szCs w:val="22"/>
        </w:rPr>
        <w:t>Navrhovateľ zákona:</w:t>
      </w:r>
      <w:r w:rsidRPr="00E44F41">
        <w:rPr>
          <w:rFonts w:ascii="Book Antiqua" w:hAnsi="Book Antiqua" w:cs="Book Antiqua"/>
          <w:sz w:val="22"/>
          <w:szCs w:val="22"/>
        </w:rPr>
        <w:t xml:space="preserve"> </w:t>
      </w:r>
      <w:r w:rsidR="008526A1">
        <w:rPr>
          <w:rFonts w:ascii="Book Antiqua" w:hAnsi="Book Antiqua"/>
          <w:sz w:val="22"/>
          <w:szCs w:val="22"/>
        </w:rPr>
        <w:t>poslanci</w:t>
      </w:r>
      <w:r w:rsidRPr="00E44F41">
        <w:rPr>
          <w:rFonts w:ascii="Book Antiqua" w:hAnsi="Book Antiqua"/>
          <w:sz w:val="22"/>
          <w:szCs w:val="22"/>
        </w:rPr>
        <w:t xml:space="preserve"> Národnej rady Slovenskej republiky</w:t>
      </w:r>
      <w:r w:rsidR="008526A1">
        <w:rPr>
          <w:rFonts w:ascii="Book Antiqua" w:hAnsi="Book Antiqua"/>
          <w:sz w:val="22"/>
          <w:szCs w:val="22"/>
        </w:rPr>
        <w:t xml:space="preserve"> Milan Vetrák a Peter </w:t>
      </w:r>
      <w:proofErr w:type="spellStart"/>
      <w:r w:rsidR="008526A1">
        <w:rPr>
          <w:rFonts w:ascii="Book Antiqua" w:hAnsi="Book Antiqua"/>
          <w:sz w:val="22"/>
          <w:szCs w:val="22"/>
        </w:rPr>
        <w:t>Liba</w:t>
      </w:r>
      <w:proofErr w:type="spellEnd"/>
    </w:p>
    <w:p w14:paraId="785DF2F3" w14:textId="77777777" w:rsidR="006F6571" w:rsidRPr="00E44F41" w:rsidRDefault="006F6571" w:rsidP="006F6571">
      <w:pPr>
        <w:pStyle w:val="Normlnywebov1"/>
        <w:spacing w:before="120" w:after="0" w:line="276" w:lineRule="auto"/>
        <w:jc w:val="both"/>
        <w:rPr>
          <w:rFonts w:ascii="Book Antiqua" w:hAnsi="Book Antiqua" w:cs="Book Antiqua"/>
          <w:sz w:val="22"/>
          <w:szCs w:val="22"/>
        </w:rPr>
      </w:pPr>
    </w:p>
    <w:p w14:paraId="473E4BA3" w14:textId="204D3C56" w:rsidR="006F6571" w:rsidRPr="00E44F41" w:rsidRDefault="006F6571" w:rsidP="00107052">
      <w:pPr>
        <w:pStyle w:val="Normlnywebov1"/>
        <w:numPr>
          <w:ilvl w:val="0"/>
          <w:numId w:val="5"/>
        </w:numPr>
        <w:spacing w:before="120" w:after="0" w:line="276" w:lineRule="auto"/>
        <w:ind w:left="360"/>
        <w:jc w:val="both"/>
        <w:rPr>
          <w:rStyle w:val="awspan"/>
          <w:rFonts w:ascii="Book Antiqua" w:hAnsi="Book Antiqua"/>
          <w:sz w:val="22"/>
          <w:szCs w:val="22"/>
        </w:rPr>
      </w:pPr>
      <w:r w:rsidRPr="002829AD">
        <w:rPr>
          <w:rFonts w:ascii="Book Antiqua" w:hAnsi="Book Antiqua" w:cs="Book Antiqua"/>
          <w:b/>
          <w:sz w:val="22"/>
          <w:szCs w:val="22"/>
        </w:rPr>
        <w:t>Názov návrhu právneho predpisu:</w:t>
      </w:r>
      <w:r w:rsidRPr="00E44F41">
        <w:rPr>
          <w:rFonts w:ascii="Book Antiqua" w:hAnsi="Book Antiqua" w:cs="Book Antiqua"/>
          <w:sz w:val="22"/>
          <w:szCs w:val="22"/>
        </w:rPr>
        <w:t xml:space="preserve"> </w:t>
      </w:r>
      <w:r w:rsidR="008526A1" w:rsidRPr="002829AD">
        <w:rPr>
          <w:rFonts w:ascii="Book Antiqua" w:hAnsi="Book Antiqua"/>
          <w:sz w:val="22"/>
          <w:szCs w:val="22"/>
        </w:rPr>
        <w:t>n</w:t>
      </w:r>
      <w:r w:rsidRPr="002829AD">
        <w:rPr>
          <w:rFonts w:ascii="Book Antiqua" w:hAnsi="Book Antiqua"/>
          <w:sz w:val="22"/>
          <w:szCs w:val="22"/>
        </w:rPr>
        <w:t>ávrh zákona</w:t>
      </w:r>
      <w:r w:rsidR="008526A1" w:rsidRPr="002829AD">
        <w:rPr>
          <w:rFonts w:ascii="Book Antiqua" w:hAnsi="Book Antiqua"/>
          <w:sz w:val="22"/>
          <w:szCs w:val="22"/>
        </w:rPr>
        <w:t xml:space="preserve">, ktorým sa mení a dopĺňa zákon </w:t>
      </w:r>
      <w:r w:rsidR="008526A1" w:rsidRPr="002829AD">
        <w:rPr>
          <w:rFonts w:ascii="Book Antiqua" w:hAnsi="Book Antiqua" w:cs="Open Sans"/>
          <w:bCs/>
          <w:sz w:val="22"/>
          <w:szCs w:val="22"/>
          <w:shd w:val="clear" w:color="auto" w:fill="FFFFFF"/>
        </w:rPr>
        <w:t xml:space="preserve">č. 50/1976 Zb. o územnom plánovaní a stavebnom poriadku (stavebný zákon) </w:t>
      </w:r>
      <w:r w:rsidR="008526A1" w:rsidRPr="002829AD">
        <w:rPr>
          <w:rFonts w:ascii="Book Antiqua" w:hAnsi="Book Antiqua"/>
          <w:bCs/>
          <w:sz w:val="22"/>
          <w:szCs w:val="22"/>
        </w:rPr>
        <w:t>v znení neskorších predpisov a ktorým sa menia a dopĺňajú niektoré zákony</w:t>
      </w:r>
    </w:p>
    <w:p w14:paraId="3BE893B1" w14:textId="77777777" w:rsidR="006F6571" w:rsidRPr="00E44F41" w:rsidRDefault="006F6571" w:rsidP="006F6571">
      <w:pPr>
        <w:jc w:val="both"/>
        <w:rPr>
          <w:rFonts w:ascii="Book Antiqua" w:hAnsi="Book Antiqua" w:cs="Book Antiqua"/>
          <w:sz w:val="22"/>
          <w:szCs w:val="22"/>
        </w:rPr>
      </w:pPr>
    </w:p>
    <w:p w14:paraId="6476C138" w14:textId="3C4034F8" w:rsidR="006F6571" w:rsidRPr="002829AD" w:rsidRDefault="006F6571" w:rsidP="00107052">
      <w:pPr>
        <w:pStyle w:val="Normlnywebov1"/>
        <w:numPr>
          <w:ilvl w:val="0"/>
          <w:numId w:val="5"/>
        </w:numPr>
        <w:spacing w:before="120" w:after="0" w:line="276" w:lineRule="auto"/>
        <w:ind w:left="360"/>
        <w:jc w:val="both"/>
        <w:rPr>
          <w:rFonts w:ascii="Book Antiqua" w:hAnsi="Book Antiqua"/>
          <w:b/>
          <w:sz w:val="22"/>
          <w:szCs w:val="22"/>
        </w:rPr>
      </w:pPr>
      <w:r w:rsidRPr="002829AD">
        <w:rPr>
          <w:rFonts w:ascii="Book Antiqua" w:hAnsi="Book Antiqua" w:cs="Book Antiqua"/>
          <w:b/>
          <w:sz w:val="22"/>
          <w:szCs w:val="22"/>
        </w:rPr>
        <w:t>Predmet návrhu zákona:</w:t>
      </w:r>
    </w:p>
    <w:p w14:paraId="06528180" w14:textId="51E298AA" w:rsidR="00D12626" w:rsidRPr="002829AD" w:rsidRDefault="002829AD" w:rsidP="002829AD">
      <w:pPr>
        <w:pStyle w:val="Vchodzie"/>
        <w:numPr>
          <w:ilvl w:val="0"/>
          <w:numId w:val="2"/>
        </w:numPr>
        <w:spacing w:before="120" w:after="200" w:line="276" w:lineRule="auto"/>
        <w:jc w:val="both"/>
        <w:rPr>
          <w:rFonts w:ascii="Book Antiqua" w:hAnsi="Book Antiqua"/>
          <w:sz w:val="22"/>
          <w:szCs w:val="22"/>
        </w:rPr>
      </w:pPr>
      <w:r>
        <w:rPr>
          <w:rFonts w:ascii="Book Antiqua" w:hAnsi="Book Antiqua"/>
          <w:sz w:val="22"/>
          <w:szCs w:val="22"/>
        </w:rPr>
        <w:t xml:space="preserve">je upravený </w:t>
      </w:r>
      <w:r w:rsidR="006F6571" w:rsidRPr="00E44F41">
        <w:rPr>
          <w:rFonts w:ascii="Book Antiqua" w:hAnsi="Book Antiqua"/>
          <w:sz w:val="22"/>
          <w:szCs w:val="22"/>
        </w:rPr>
        <w:t>v primárnom práve Európskej únie</w:t>
      </w:r>
      <w:r>
        <w:rPr>
          <w:rFonts w:ascii="Book Antiqua" w:hAnsi="Book Antiqua"/>
          <w:sz w:val="22"/>
          <w:szCs w:val="22"/>
        </w:rPr>
        <w:t xml:space="preserve">, a to v </w:t>
      </w:r>
      <w:r w:rsidR="00D12626" w:rsidRPr="002829AD">
        <w:rPr>
          <w:rFonts w:ascii="Book Antiqua" w:hAnsi="Book Antiqua"/>
          <w:sz w:val="22"/>
          <w:szCs w:val="22"/>
        </w:rPr>
        <w:t>čl. 191 až 193 Zmluvy o fungovaní Európskej únie</w:t>
      </w:r>
      <w:r>
        <w:rPr>
          <w:rFonts w:ascii="Book Antiqua" w:hAnsi="Book Antiqua"/>
          <w:sz w:val="22"/>
          <w:szCs w:val="22"/>
        </w:rPr>
        <w:t>,</w:t>
      </w:r>
    </w:p>
    <w:p w14:paraId="43C1BB86" w14:textId="580EAD2E" w:rsidR="00D12626" w:rsidRPr="008E777B" w:rsidRDefault="002829AD" w:rsidP="002829AD">
      <w:pPr>
        <w:pStyle w:val="Normlnywebov"/>
        <w:numPr>
          <w:ilvl w:val="0"/>
          <w:numId w:val="2"/>
        </w:numPr>
        <w:spacing w:before="120" w:beforeAutospacing="0" w:after="0" w:afterAutospacing="0"/>
        <w:jc w:val="both"/>
        <w:rPr>
          <w:rFonts w:ascii="Book Antiqua" w:hAnsi="Book Antiqua"/>
          <w:sz w:val="22"/>
          <w:szCs w:val="22"/>
        </w:rPr>
      </w:pPr>
      <w:r w:rsidRPr="008E777B">
        <w:rPr>
          <w:rFonts w:ascii="Book Antiqua" w:hAnsi="Book Antiqua" w:cs="Book Antiqua"/>
          <w:sz w:val="22"/>
          <w:szCs w:val="22"/>
        </w:rPr>
        <w:t xml:space="preserve">je upravený </w:t>
      </w:r>
      <w:r w:rsidR="006F6571" w:rsidRPr="008E777B">
        <w:rPr>
          <w:rFonts w:ascii="Book Antiqua" w:hAnsi="Book Antiqua" w:cs="Book Antiqua"/>
          <w:sz w:val="22"/>
          <w:szCs w:val="22"/>
        </w:rPr>
        <w:t>v sekundárnom práve Európskej únie</w:t>
      </w:r>
      <w:r w:rsidRPr="008E777B">
        <w:rPr>
          <w:rFonts w:ascii="Book Antiqua" w:hAnsi="Book Antiqua" w:cs="Book Antiqua"/>
          <w:sz w:val="22"/>
          <w:szCs w:val="22"/>
        </w:rPr>
        <w:t>, a to v smernici</w:t>
      </w:r>
      <w:r w:rsidR="00D12626" w:rsidRPr="008E777B">
        <w:rPr>
          <w:rFonts w:ascii="Book Antiqua" w:hAnsi="Book Antiqua" w:cs="Book Antiqua"/>
          <w:sz w:val="22"/>
          <w:szCs w:val="22"/>
        </w:rPr>
        <w:t xml:space="preserve"> Európskeho parlamentu a Rady 2001/42/ES z 27. júna 2001 o posudzovaní účinkov určitých plánov a programov na životné prostredia (Ú. v. ES L 197, 21.7.2001; Mimoriadne vydanie Ú v EÚ, kap. 15/zv. 6) </w:t>
      </w:r>
      <w:r w:rsidRPr="008E777B">
        <w:rPr>
          <w:rFonts w:ascii="Book Antiqua" w:hAnsi="Book Antiqua" w:cs="Book Antiqua"/>
          <w:sz w:val="22"/>
          <w:szCs w:val="22"/>
        </w:rPr>
        <w:t xml:space="preserve">– </w:t>
      </w:r>
      <w:r w:rsidR="00674877" w:rsidRPr="008E777B">
        <w:rPr>
          <w:rFonts w:ascii="Book Antiqua" w:hAnsi="Book Antiqua" w:cs="Book Antiqua"/>
          <w:sz w:val="22"/>
          <w:szCs w:val="22"/>
        </w:rPr>
        <w:t>čl. 2 písm. d), čl. 6, 7 a 9,</w:t>
      </w:r>
      <w:r w:rsidR="008E777B" w:rsidRPr="008E777B">
        <w:rPr>
          <w:rFonts w:ascii="Book Antiqua" w:hAnsi="Book Antiqua" w:cs="Book Antiqua"/>
          <w:sz w:val="22"/>
          <w:szCs w:val="22"/>
        </w:rPr>
        <w:t xml:space="preserve"> ako aj v smernici </w:t>
      </w:r>
      <w:r w:rsidR="008E777B" w:rsidRPr="008E777B">
        <w:rPr>
          <w:rFonts w:ascii="Book Antiqua" w:hAnsi="Book Antiqua" w:cs="Open Sans"/>
          <w:sz w:val="22"/>
          <w:szCs w:val="22"/>
          <w:shd w:val="clear" w:color="auto" w:fill="FFFFFF"/>
        </w:rPr>
        <w:t>Európskeho parlamentu a Rady 2011/92/EÚ z 13. decembra 2011 o posudzovaní vplyvov určitých verejných a súkromných projektov na životné prostredie (kodifikované znenie) (Ú. v. EÚ L 26, 28. 1. 2012)</w:t>
      </w:r>
      <w:r w:rsidR="008E777B">
        <w:rPr>
          <w:rFonts w:ascii="Book Antiqua" w:hAnsi="Book Antiqua" w:cs="Open Sans"/>
          <w:sz w:val="22"/>
          <w:szCs w:val="22"/>
          <w:shd w:val="clear" w:color="auto" w:fill="FFFFFF"/>
        </w:rPr>
        <w:t xml:space="preserve"> – čl. 1 ods. 2 písm. d) a e), čl. 6, 7, 9 a 11,</w:t>
      </w:r>
    </w:p>
    <w:p w14:paraId="66327F48" w14:textId="77777777" w:rsidR="006F6571" w:rsidRPr="00674877" w:rsidRDefault="006F6571" w:rsidP="006F6571">
      <w:pPr>
        <w:pStyle w:val="Normlnywebov"/>
        <w:numPr>
          <w:ilvl w:val="0"/>
          <w:numId w:val="2"/>
        </w:numPr>
        <w:spacing w:before="120" w:beforeAutospacing="0" w:after="0" w:afterAutospacing="0"/>
        <w:jc w:val="both"/>
        <w:rPr>
          <w:rFonts w:ascii="Book Antiqua" w:hAnsi="Book Antiqua"/>
          <w:sz w:val="22"/>
          <w:szCs w:val="22"/>
        </w:rPr>
      </w:pPr>
      <w:r w:rsidRPr="00E44F41">
        <w:rPr>
          <w:rFonts w:ascii="Book Antiqua" w:hAnsi="Book Antiqua"/>
          <w:sz w:val="22"/>
          <w:szCs w:val="22"/>
        </w:rPr>
        <w:t>nie</w:t>
      </w:r>
      <w:r w:rsidRPr="00E44F41">
        <w:rPr>
          <w:rFonts w:ascii="Book Antiqua" w:hAnsi="Book Antiqua" w:cs="Book Antiqua"/>
          <w:sz w:val="22"/>
          <w:szCs w:val="22"/>
        </w:rPr>
        <w:t xml:space="preserve"> je obsiahnutý v judikatúre Súdneho dvora Európskej únie.</w:t>
      </w:r>
    </w:p>
    <w:p w14:paraId="16E16ECC" w14:textId="77777777" w:rsidR="00674877" w:rsidRPr="00E44F41" w:rsidRDefault="00674877" w:rsidP="00674877">
      <w:pPr>
        <w:pStyle w:val="Normlnywebov"/>
        <w:spacing w:before="120" w:beforeAutospacing="0" w:after="0" w:afterAutospacing="0"/>
        <w:ind w:left="720"/>
        <w:jc w:val="both"/>
        <w:rPr>
          <w:rFonts w:ascii="Book Antiqua" w:hAnsi="Book Antiqua"/>
          <w:sz w:val="22"/>
          <w:szCs w:val="22"/>
        </w:rPr>
      </w:pPr>
    </w:p>
    <w:p w14:paraId="27866E90" w14:textId="1BD97A2D" w:rsidR="006F6571" w:rsidRPr="008E777B" w:rsidRDefault="00107052" w:rsidP="00107052">
      <w:pPr>
        <w:pStyle w:val="Normlnywebov1"/>
        <w:numPr>
          <w:ilvl w:val="0"/>
          <w:numId w:val="5"/>
        </w:numPr>
        <w:spacing w:before="120" w:after="0" w:line="276" w:lineRule="auto"/>
        <w:ind w:left="360"/>
        <w:jc w:val="both"/>
        <w:rPr>
          <w:rFonts w:ascii="Book Antiqua" w:hAnsi="Book Antiqua"/>
          <w:b/>
          <w:sz w:val="22"/>
          <w:szCs w:val="22"/>
        </w:rPr>
      </w:pPr>
      <w:r w:rsidRPr="008E777B">
        <w:rPr>
          <w:rFonts w:ascii="Book Antiqua" w:hAnsi="Book Antiqua"/>
          <w:b/>
          <w:sz w:val="22"/>
          <w:szCs w:val="22"/>
        </w:rPr>
        <w:t>Záväzky Slovenskej republiky vo vzťahu k Európskej únii:</w:t>
      </w:r>
    </w:p>
    <w:p w14:paraId="1534B610" w14:textId="3CE851F7" w:rsidR="00674877" w:rsidRDefault="00674877" w:rsidP="00674877">
      <w:pPr>
        <w:ind w:left="360"/>
        <w:jc w:val="both"/>
        <w:rPr>
          <w:rFonts w:ascii="Book Antiqua" w:hAnsi="Book Antiqua"/>
          <w:sz w:val="22"/>
          <w:szCs w:val="22"/>
        </w:rPr>
      </w:pPr>
      <w:r>
        <w:rPr>
          <w:rFonts w:ascii="Book Antiqua" w:hAnsi="Book Antiqua"/>
          <w:sz w:val="22"/>
          <w:szCs w:val="22"/>
        </w:rPr>
        <w:t xml:space="preserve">a) lehota na transpozíciu smernice Európskej únie uvedenej </w:t>
      </w:r>
      <w:r w:rsidR="008E777B">
        <w:rPr>
          <w:rFonts w:ascii="Book Antiqua" w:hAnsi="Book Antiqua"/>
          <w:sz w:val="22"/>
          <w:szCs w:val="22"/>
        </w:rPr>
        <w:t xml:space="preserve">ako prvej </w:t>
      </w:r>
      <w:r>
        <w:rPr>
          <w:rFonts w:ascii="Book Antiqua" w:hAnsi="Book Antiqua"/>
          <w:sz w:val="22"/>
          <w:szCs w:val="22"/>
        </w:rPr>
        <w:t>v bode 3 písm. b) tejto doložky uplynula 21. 7. 2004</w:t>
      </w:r>
      <w:r w:rsidR="008E777B">
        <w:rPr>
          <w:rFonts w:ascii="Book Antiqua" w:hAnsi="Book Antiqua"/>
          <w:sz w:val="22"/>
          <w:szCs w:val="22"/>
        </w:rPr>
        <w:t xml:space="preserve"> a lehota na transpozíciu smernice Európskej únie </w:t>
      </w:r>
      <w:r w:rsidR="008E777B">
        <w:rPr>
          <w:rFonts w:ascii="Book Antiqua" w:hAnsi="Book Antiqua"/>
          <w:sz w:val="22"/>
          <w:szCs w:val="22"/>
        </w:rPr>
        <w:t xml:space="preserve">uvedenej </w:t>
      </w:r>
      <w:r w:rsidR="008E777B">
        <w:rPr>
          <w:rFonts w:ascii="Book Antiqua" w:hAnsi="Book Antiqua"/>
          <w:sz w:val="22"/>
          <w:szCs w:val="22"/>
        </w:rPr>
        <w:t>ako druhej</w:t>
      </w:r>
      <w:r w:rsidR="008E777B">
        <w:rPr>
          <w:rFonts w:ascii="Book Antiqua" w:hAnsi="Book Antiqua"/>
          <w:sz w:val="22"/>
          <w:szCs w:val="22"/>
        </w:rPr>
        <w:t xml:space="preserve"> v bode 3 písm. b) tejto doložky uplynula </w:t>
      </w:r>
      <w:r w:rsidR="008E777B">
        <w:rPr>
          <w:rFonts w:ascii="Book Antiqua" w:hAnsi="Book Antiqua"/>
          <w:sz w:val="22"/>
          <w:szCs w:val="22"/>
        </w:rPr>
        <w:t>25. 6. 2011,</w:t>
      </w:r>
    </w:p>
    <w:p w14:paraId="223951D1" w14:textId="1B5EAB42" w:rsidR="00674877" w:rsidRPr="00490317" w:rsidRDefault="00674877" w:rsidP="00674877">
      <w:pPr>
        <w:ind w:left="360"/>
        <w:jc w:val="both"/>
        <w:rPr>
          <w:rFonts w:ascii="Book Antiqua" w:hAnsi="Book Antiqua"/>
          <w:sz w:val="22"/>
          <w:szCs w:val="22"/>
        </w:rPr>
      </w:pPr>
      <w:r>
        <w:rPr>
          <w:rFonts w:ascii="Book Antiqua" w:hAnsi="Book Antiqua"/>
          <w:sz w:val="22"/>
          <w:szCs w:val="22"/>
        </w:rPr>
        <w:t xml:space="preserve">b) </w:t>
      </w:r>
      <w:r w:rsidRPr="00490317">
        <w:rPr>
          <w:rFonts w:ascii="Book Antiqua" w:hAnsi="Book Antiqua"/>
          <w:sz w:val="22"/>
          <w:szCs w:val="22"/>
        </w:rPr>
        <w:t>proti SR nebolo začaté konanie v rámci „EÚ Pilot“, ani nebol začatý postup Európskej komisie, ako ani nebolo začaté konanie Súdneho dvora EÚ proti SR podľa čl. 258 až 260 Zmluvy o fungovaní Európskej únie,</w:t>
      </w:r>
    </w:p>
    <w:p w14:paraId="0130D00A" w14:textId="25968494" w:rsidR="00107052" w:rsidRDefault="008E777B" w:rsidP="00674877">
      <w:pPr>
        <w:pStyle w:val="Normlnywebov1"/>
        <w:spacing w:before="120" w:after="0" w:line="276" w:lineRule="auto"/>
        <w:ind w:left="360"/>
        <w:jc w:val="both"/>
        <w:rPr>
          <w:rFonts w:ascii="Book Antiqua" w:hAnsi="Book Antiqua"/>
          <w:sz w:val="22"/>
          <w:szCs w:val="22"/>
        </w:rPr>
      </w:pPr>
      <w:r>
        <w:rPr>
          <w:rFonts w:ascii="Book Antiqua" w:hAnsi="Book Antiqua"/>
          <w:sz w:val="22"/>
          <w:szCs w:val="22"/>
        </w:rPr>
        <w:t>c) smernica Európskej únie uvedená ako druhá v bode 3 písm. b) tejto doložky už bola transponovaná do stavebného zákona, smernica Európskej únie uvedená ako prvá</w:t>
      </w:r>
      <w:r>
        <w:rPr>
          <w:rFonts w:ascii="Book Antiqua" w:hAnsi="Book Antiqua"/>
          <w:sz w:val="22"/>
          <w:szCs w:val="22"/>
        </w:rPr>
        <w:t xml:space="preserve"> v bode 3 písm. b)</w:t>
      </w:r>
      <w:r>
        <w:rPr>
          <w:rFonts w:ascii="Book Antiqua" w:hAnsi="Book Antiqua"/>
          <w:sz w:val="22"/>
          <w:szCs w:val="22"/>
        </w:rPr>
        <w:t xml:space="preserve"> tejto doložky zatiaľ nie.</w:t>
      </w:r>
    </w:p>
    <w:p w14:paraId="61643C42" w14:textId="77777777" w:rsidR="00674877" w:rsidRDefault="00674877" w:rsidP="00107052">
      <w:pPr>
        <w:pStyle w:val="Normlnywebov1"/>
        <w:spacing w:before="120" w:after="0" w:line="276" w:lineRule="auto"/>
        <w:ind w:left="360"/>
        <w:jc w:val="both"/>
        <w:rPr>
          <w:rFonts w:ascii="Book Antiqua" w:hAnsi="Book Antiqua"/>
          <w:sz w:val="22"/>
          <w:szCs w:val="22"/>
        </w:rPr>
      </w:pPr>
    </w:p>
    <w:p w14:paraId="685181DD" w14:textId="4A09548C" w:rsidR="00107052" w:rsidRPr="00674877" w:rsidRDefault="00107052" w:rsidP="00107052">
      <w:pPr>
        <w:pStyle w:val="Normlnywebov1"/>
        <w:numPr>
          <w:ilvl w:val="0"/>
          <w:numId w:val="5"/>
        </w:numPr>
        <w:spacing w:before="120" w:after="0" w:line="276" w:lineRule="auto"/>
        <w:ind w:left="360"/>
        <w:jc w:val="both"/>
        <w:rPr>
          <w:rFonts w:ascii="Book Antiqua" w:hAnsi="Book Antiqua"/>
          <w:b/>
          <w:sz w:val="22"/>
          <w:szCs w:val="22"/>
        </w:rPr>
      </w:pPr>
      <w:r w:rsidRPr="00674877">
        <w:rPr>
          <w:rFonts w:ascii="Book Antiqua" w:hAnsi="Book Antiqua"/>
          <w:b/>
          <w:sz w:val="22"/>
          <w:szCs w:val="22"/>
        </w:rPr>
        <w:t>Návrh zákona je zlučiteľný s právom Európskej únie:</w:t>
      </w:r>
    </w:p>
    <w:p w14:paraId="7BAB4011" w14:textId="1A68F16B" w:rsidR="006F6571" w:rsidRPr="008E777B" w:rsidRDefault="00674877" w:rsidP="008E777B">
      <w:pPr>
        <w:pStyle w:val="Normlnywebov1"/>
        <w:spacing w:before="120" w:after="0" w:line="276" w:lineRule="auto"/>
        <w:ind w:left="360"/>
        <w:jc w:val="both"/>
        <w:rPr>
          <w:rFonts w:ascii="Book Antiqua" w:hAnsi="Book Antiqua"/>
          <w:sz w:val="22"/>
          <w:szCs w:val="22"/>
        </w:rPr>
      </w:pPr>
      <w:r>
        <w:rPr>
          <w:rFonts w:ascii="Book Antiqua" w:hAnsi="Book Antiqua"/>
          <w:sz w:val="22"/>
          <w:szCs w:val="22"/>
        </w:rPr>
        <w:t>úplne.</w:t>
      </w:r>
    </w:p>
    <w:p w14:paraId="26FAE59A" w14:textId="77777777" w:rsidR="008E777B" w:rsidRPr="00476E46" w:rsidRDefault="008E777B" w:rsidP="008E777B">
      <w:pPr>
        <w:pStyle w:val="Normlnywebov"/>
        <w:spacing w:before="120" w:beforeAutospacing="0" w:after="0" w:afterAutospacing="0"/>
        <w:jc w:val="center"/>
        <w:rPr>
          <w:rFonts w:ascii="Book Antiqua" w:hAnsi="Book Antiqua"/>
          <w:sz w:val="22"/>
          <w:szCs w:val="22"/>
        </w:rPr>
      </w:pPr>
      <w:r w:rsidRPr="00476E46">
        <w:rPr>
          <w:rFonts w:ascii="Book Antiqua" w:hAnsi="Book Antiqua"/>
          <w:b/>
          <w:bCs/>
          <w:caps/>
          <w:color w:val="000000"/>
          <w:spacing w:val="30"/>
          <w:sz w:val="22"/>
          <w:szCs w:val="22"/>
        </w:rPr>
        <w:lastRenderedPageBreak/>
        <w:t>Doložka</w:t>
      </w:r>
    </w:p>
    <w:p w14:paraId="02471306" w14:textId="77777777" w:rsidR="008E777B" w:rsidRPr="00476E46" w:rsidRDefault="008E777B" w:rsidP="008E777B">
      <w:pPr>
        <w:pStyle w:val="Normlnywebov"/>
        <w:spacing w:before="120" w:beforeAutospacing="0" w:after="0" w:afterAutospacing="0"/>
        <w:jc w:val="center"/>
        <w:rPr>
          <w:rFonts w:ascii="Book Antiqua" w:hAnsi="Book Antiqua"/>
          <w:sz w:val="22"/>
          <w:szCs w:val="22"/>
        </w:rPr>
      </w:pPr>
      <w:r w:rsidRPr="00476E46">
        <w:rPr>
          <w:rFonts w:ascii="Book Antiqua" w:hAnsi="Book Antiqua"/>
          <w:b/>
          <w:bCs/>
          <w:color w:val="000000"/>
          <w:sz w:val="22"/>
          <w:szCs w:val="22"/>
        </w:rPr>
        <w:t>vybraných vplyvov</w:t>
      </w:r>
    </w:p>
    <w:p w14:paraId="7BB18AFE" w14:textId="77777777" w:rsidR="008E777B" w:rsidRPr="00476E46" w:rsidRDefault="008E777B" w:rsidP="008E777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w:t>
      </w:r>
    </w:p>
    <w:p w14:paraId="652E2CDB" w14:textId="6496D30A" w:rsidR="008E777B" w:rsidRPr="0083393A" w:rsidRDefault="008E777B" w:rsidP="008E777B">
      <w:pPr>
        <w:jc w:val="both"/>
        <w:rPr>
          <w:rFonts w:ascii="Book Antiqua" w:hAnsi="Book Antiqua"/>
          <w:sz w:val="22"/>
          <w:szCs w:val="22"/>
        </w:rPr>
      </w:pPr>
      <w:r w:rsidRPr="00476E46">
        <w:rPr>
          <w:rFonts w:ascii="Book Antiqua" w:hAnsi="Book Antiqua"/>
          <w:b/>
          <w:bCs/>
          <w:color w:val="000000"/>
          <w:sz w:val="22"/>
          <w:szCs w:val="22"/>
        </w:rPr>
        <w:t xml:space="preserve">A.1. Názov materiálu: </w:t>
      </w:r>
      <w:r w:rsidRPr="00476E46">
        <w:rPr>
          <w:rFonts w:ascii="Book Antiqua" w:hAnsi="Book Antiqua"/>
          <w:bCs/>
          <w:sz w:val="22"/>
          <w:szCs w:val="22"/>
        </w:rPr>
        <w:t xml:space="preserve">návrh </w:t>
      </w:r>
      <w:r w:rsidRPr="00476E46">
        <w:rPr>
          <w:rFonts w:ascii="Book Antiqua" w:hAnsi="Book Antiqua"/>
          <w:sz w:val="22"/>
          <w:szCs w:val="22"/>
        </w:rPr>
        <w:t xml:space="preserve">zákona, </w:t>
      </w:r>
      <w:r w:rsidRPr="0023793A">
        <w:rPr>
          <w:rFonts w:ascii="Book Antiqua" w:hAnsi="Book Antiqua"/>
          <w:bCs/>
          <w:sz w:val="22"/>
          <w:szCs w:val="22"/>
        </w:rPr>
        <w:t xml:space="preserve">ktorým sa mení a dopĺňa zákon </w:t>
      </w:r>
      <w:r w:rsidRPr="0023793A">
        <w:rPr>
          <w:rFonts w:ascii="Book Antiqua" w:hAnsi="Book Antiqua" w:cs="Open Sans"/>
          <w:bCs/>
          <w:sz w:val="22"/>
          <w:szCs w:val="22"/>
          <w:shd w:val="clear" w:color="auto" w:fill="FFFFFF"/>
        </w:rPr>
        <w:t xml:space="preserve">č. 50/1976 Zb. o územnom plánovaní a stavebnom poriadku (stavebný zákon) </w:t>
      </w:r>
      <w:r w:rsidRPr="0023793A">
        <w:rPr>
          <w:rFonts w:ascii="Book Antiqua" w:hAnsi="Book Antiqua"/>
          <w:bCs/>
          <w:sz w:val="22"/>
          <w:szCs w:val="22"/>
        </w:rPr>
        <w:t>v znení neskorších predpisov a k</w:t>
      </w:r>
      <w:r>
        <w:rPr>
          <w:rFonts w:ascii="Book Antiqua" w:hAnsi="Book Antiqua"/>
          <w:bCs/>
          <w:sz w:val="22"/>
          <w:szCs w:val="22"/>
        </w:rPr>
        <w:t>torým sa menia a dopĺňajú niektoré zákony</w:t>
      </w:r>
      <w:r>
        <w:rPr>
          <w:rFonts w:ascii="Book Antiqua" w:hAnsi="Book Antiqua"/>
          <w:b/>
          <w:bCs/>
          <w:color w:val="000000"/>
          <w:sz w:val="22"/>
          <w:szCs w:val="22"/>
        </w:rPr>
        <w:tab/>
      </w:r>
    </w:p>
    <w:p w14:paraId="3C67F60E" w14:textId="77777777" w:rsidR="008E777B" w:rsidRDefault="008E777B" w:rsidP="008E777B">
      <w:pPr>
        <w:pStyle w:val="Normlnywebov"/>
        <w:spacing w:before="120" w:beforeAutospacing="0" w:after="0" w:afterAutospacing="0"/>
        <w:jc w:val="both"/>
        <w:rPr>
          <w:rFonts w:ascii="Book Antiqua" w:hAnsi="Book Antiqua"/>
          <w:b/>
          <w:bCs/>
          <w:color w:val="000000"/>
          <w:sz w:val="22"/>
          <w:szCs w:val="22"/>
        </w:rPr>
      </w:pPr>
    </w:p>
    <w:p w14:paraId="377BC4C5"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r w:rsidRPr="00476E46">
        <w:rPr>
          <w:rFonts w:ascii="Book Antiqua" w:hAnsi="Book Antiqua"/>
          <w:b/>
          <w:bCs/>
          <w:color w:val="000000"/>
          <w:sz w:val="22"/>
          <w:szCs w:val="22"/>
        </w:rPr>
        <w:t>Termín začatia a ukončenia PPK:</w:t>
      </w:r>
      <w:r w:rsidRPr="00476E46">
        <w:rPr>
          <w:rFonts w:ascii="Book Antiqua" w:hAnsi="Book Antiqua"/>
          <w:color w:val="000000"/>
          <w:sz w:val="22"/>
          <w:szCs w:val="22"/>
        </w:rPr>
        <w:t xml:space="preserve"> </w:t>
      </w:r>
      <w:r w:rsidRPr="00476E46">
        <w:rPr>
          <w:rFonts w:ascii="Book Antiqua" w:hAnsi="Book Antiqua"/>
          <w:i/>
          <w:iCs/>
          <w:color w:val="000000"/>
          <w:sz w:val="22"/>
          <w:szCs w:val="22"/>
        </w:rPr>
        <w:t>bezpredmetné</w:t>
      </w:r>
    </w:p>
    <w:p w14:paraId="22389308"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p>
    <w:p w14:paraId="6F6D6F19"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r w:rsidRPr="00476E46">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518"/>
        <w:gridCol w:w="1192"/>
        <w:gridCol w:w="1181"/>
        <w:gridCol w:w="1197"/>
      </w:tblGrid>
      <w:tr w:rsidR="008E777B" w:rsidRPr="00476E46" w14:paraId="08BE43A3"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544C0013"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02ABCB9F"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13AF49C3"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46AD7DC2"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Negatívne </w:t>
            </w:r>
          </w:p>
        </w:tc>
      </w:tr>
      <w:tr w:rsidR="008E777B" w:rsidRPr="00476E46" w14:paraId="0C00BF14"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0635749F"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4BC7B846"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47F53E54"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266501BF"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r>
      <w:tr w:rsidR="008E777B" w:rsidRPr="00476E46" w14:paraId="09721E9D"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13AF08B5"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3CEDC233"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083FEC15"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7509508"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r>
      <w:tr w:rsidR="008E777B" w:rsidRPr="00476E46" w14:paraId="5A10319E"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7A0D242E"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6531ECEC"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5B0F72"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14:paraId="0B6C6FF8"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w:t>
            </w:r>
          </w:p>
        </w:tc>
      </w:tr>
      <w:tr w:rsidR="008E777B" w:rsidRPr="00476E46" w14:paraId="2CD7CCDC"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3A4C60E7"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1F2E43FA"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4CF2A14A"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3227B10"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r>
      <w:tr w:rsidR="008E777B" w:rsidRPr="00476E46" w14:paraId="616D9597"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6DDAE8AA"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xml:space="preserve">– sociálnu </w:t>
            </w:r>
            <w:proofErr w:type="spellStart"/>
            <w:r w:rsidRPr="00476E46">
              <w:rPr>
                <w:rFonts w:ascii="Book Antiqua" w:hAnsi="Book Antiqua"/>
                <w:color w:val="000000"/>
                <w:sz w:val="22"/>
                <w:szCs w:val="22"/>
              </w:rPr>
              <w:t>exklúziu</w:t>
            </w:r>
            <w:proofErr w:type="spellEnd"/>
            <w:r w:rsidRPr="00476E46">
              <w:rPr>
                <w:rFonts w:ascii="Book Antiqua" w:hAnsi="Book Antiqua"/>
                <w:color w:val="000000"/>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tcPr>
          <w:p w14:paraId="021CAC4F"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210B1191"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40ADAA5D"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r>
      <w:tr w:rsidR="008E777B" w:rsidRPr="00476E46" w14:paraId="26307AB0"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44109999"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4BE150F5"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1DEBA0B2"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3809065"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r>
      <w:tr w:rsidR="008E777B" w:rsidRPr="00476E46" w14:paraId="796884A5"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2CDF7F7D"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14:paraId="152AB82D"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22E8610E"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47E00D3C"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r>
      <w:tr w:rsidR="008E777B" w:rsidRPr="00476E46" w14:paraId="05DA5F49" w14:textId="77777777" w:rsidTr="009D03EB">
        <w:tc>
          <w:tcPr>
            <w:tcW w:w="5730" w:type="dxa"/>
            <w:tcBorders>
              <w:top w:val="single" w:sz="6" w:space="0" w:color="000000"/>
              <w:left w:val="single" w:sz="6" w:space="0" w:color="000000"/>
              <w:bottom w:val="single" w:sz="6" w:space="0" w:color="000000"/>
              <w:right w:val="single" w:sz="6" w:space="0" w:color="000000"/>
            </w:tcBorders>
            <w:vAlign w:val="center"/>
          </w:tcPr>
          <w:p w14:paraId="39B5A394" w14:textId="77777777" w:rsidR="008E777B" w:rsidRPr="00476E46" w:rsidRDefault="008E777B" w:rsidP="009D03E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14:paraId="08514580"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30E40615"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6CA3184" w14:textId="77777777" w:rsidR="008E777B" w:rsidRPr="00476E46" w:rsidRDefault="008E777B" w:rsidP="009D03EB">
            <w:pPr>
              <w:pStyle w:val="Normlnywebov"/>
              <w:spacing w:before="120" w:beforeAutospacing="0" w:after="0" w:afterAutospacing="0"/>
              <w:jc w:val="center"/>
              <w:rPr>
                <w:rFonts w:ascii="Book Antiqua" w:hAnsi="Book Antiqua"/>
                <w:sz w:val="22"/>
                <w:szCs w:val="22"/>
              </w:rPr>
            </w:pPr>
            <w:r w:rsidRPr="00476E46">
              <w:rPr>
                <w:rFonts w:ascii="Book Antiqua" w:hAnsi="Book Antiqua"/>
                <w:color w:val="000000"/>
                <w:sz w:val="22"/>
                <w:szCs w:val="22"/>
              </w:rPr>
              <w:t> </w:t>
            </w:r>
          </w:p>
        </w:tc>
      </w:tr>
    </w:tbl>
    <w:p w14:paraId="25862E31" w14:textId="77777777" w:rsidR="008E777B" w:rsidRPr="00476E46" w:rsidRDefault="008E777B" w:rsidP="008E777B">
      <w:pPr>
        <w:pStyle w:val="Normlnywebov"/>
        <w:spacing w:before="120" w:beforeAutospacing="0" w:after="0" w:afterAutospacing="0"/>
        <w:rPr>
          <w:rFonts w:ascii="Book Antiqua" w:hAnsi="Book Antiqua"/>
          <w:sz w:val="22"/>
          <w:szCs w:val="22"/>
        </w:rPr>
      </w:pPr>
      <w:r w:rsidRPr="00476E46">
        <w:rPr>
          <w:rFonts w:ascii="Book Antiqua" w:hAnsi="Book Antiqua"/>
          <w:color w:val="000000"/>
          <w:sz w:val="22"/>
          <w:szCs w:val="22"/>
        </w:rPr>
        <w:t> </w:t>
      </w:r>
    </w:p>
    <w:p w14:paraId="27A6C9E5"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r w:rsidRPr="00476E46">
        <w:rPr>
          <w:rFonts w:ascii="Book Antiqua" w:hAnsi="Book Antiqua"/>
          <w:b/>
          <w:bCs/>
          <w:color w:val="000000"/>
          <w:sz w:val="22"/>
          <w:szCs w:val="22"/>
        </w:rPr>
        <w:t>A.3. Poznámky</w:t>
      </w:r>
    </w:p>
    <w:p w14:paraId="449C2398" w14:textId="1A79C721" w:rsidR="008E777B" w:rsidRPr="0083393A" w:rsidRDefault="008E777B" w:rsidP="008E777B">
      <w:pPr>
        <w:pStyle w:val="Normlnywebov"/>
        <w:spacing w:before="120" w:beforeAutospacing="0" w:after="0" w:afterAutospacing="0"/>
        <w:jc w:val="both"/>
        <w:rPr>
          <w:rFonts w:ascii="Book Antiqua" w:hAnsi="Book Antiqua"/>
          <w:i/>
          <w:sz w:val="22"/>
          <w:szCs w:val="22"/>
        </w:rPr>
      </w:pPr>
      <w:r w:rsidRPr="0083393A">
        <w:rPr>
          <w:rFonts w:ascii="Book Antiqua" w:hAnsi="Book Antiqua"/>
          <w:bCs/>
          <w:i/>
          <w:color w:val="000000"/>
          <w:sz w:val="22"/>
          <w:szCs w:val="22"/>
        </w:rPr>
        <w:t xml:space="preserve">Predkladaný návrh zákona </w:t>
      </w:r>
      <w:r w:rsidRPr="0083393A">
        <w:rPr>
          <w:rFonts w:ascii="Book Antiqua" w:hAnsi="Book Antiqua"/>
          <w:i/>
          <w:sz w:val="22"/>
          <w:szCs w:val="22"/>
        </w:rPr>
        <w:t>nemá vplyv na rozpočet verejnej správy ani na podnikateľské prostredie. Návrh zákona nemá vplyv na životné prostredie ani na informatizáciu spoločnosti a nevyvoláva žiadne sociálne vplyvy.</w:t>
      </w:r>
    </w:p>
    <w:p w14:paraId="350E4A0C" w14:textId="77777777" w:rsidR="008E777B" w:rsidRPr="0083393A" w:rsidRDefault="008E777B" w:rsidP="008E777B">
      <w:pPr>
        <w:pStyle w:val="Normlnywebov"/>
        <w:spacing w:before="120" w:beforeAutospacing="0" w:after="0" w:afterAutospacing="0"/>
        <w:jc w:val="both"/>
        <w:rPr>
          <w:rFonts w:ascii="Book Antiqua" w:hAnsi="Book Antiqua"/>
          <w:bCs/>
          <w:i/>
          <w:color w:val="000000"/>
          <w:sz w:val="22"/>
          <w:szCs w:val="22"/>
        </w:rPr>
      </w:pPr>
    </w:p>
    <w:p w14:paraId="003B814F" w14:textId="77777777" w:rsidR="008E777B" w:rsidRPr="00476E46" w:rsidRDefault="008E777B" w:rsidP="008E777B">
      <w:pPr>
        <w:pStyle w:val="Normlnywebov"/>
        <w:spacing w:before="120" w:beforeAutospacing="0" w:after="0" w:afterAutospacing="0"/>
        <w:jc w:val="both"/>
        <w:rPr>
          <w:rFonts w:ascii="Book Antiqua" w:hAnsi="Book Antiqua"/>
          <w:bCs/>
          <w:i/>
          <w:color w:val="000000"/>
          <w:sz w:val="22"/>
          <w:szCs w:val="22"/>
        </w:rPr>
      </w:pPr>
      <w:r w:rsidRPr="00476E46">
        <w:rPr>
          <w:rFonts w:ascii="Book Antiqua" w:hAnsi="Book Antiqua"/>
          <w:b/>
          <w:bCs/>
          <w:color w:val="000000"/>
          <w:sz w:val="22"/>
          <w:szCs w:val="22"/>
        </w:rPr>
        <w:t>A.4. Alternatívne riešenia</w:t>
      </w:r>
    </w:p>
    <w:p w14:paraId="05DC6A1A" w14:textId="77777777" w:rsidR="008E777B" w:rsidRPr="00476E46" w:rsidRDefault="008E777B" w:rsidP="008E777B">
      <w:pPr>
        <w:pStyle w:val="Normlnywebov"/>
        <w:spacing w:before="120" w:beforeAutospacing="0" w:after="0" w:afterAutospacing="0"/>
        <w:jc w:val="both"/>
        <w:rPr>
          <w:rFonts w:ascii="Book Antiqua" w:hAnsi="Book Antiqua"/>
          <w:i/>
          <w:iCs/>
          <w:color w:val="000000"/>
          <w:sz w:val="22"/>
          <w:szCs w:val="22"/>
        </w:rPr>
      </w:pPr>
      <w:r w:rsidRPr="00476E46">
        <w:rPr>
          <w:rFonts w:ascii="Book Antiqua" w:hAnsi="Book Antiqua"/>
          <w:i/>
          <w:iCs/>
          <w:color w:val="000000"/>
          <w:sz w:val="22"/>
          <w:szCs w:val="22"/>
        </w:rPr>
        <w:t>bezpredmetné</w:t>
      </w:r>
    </w:p>
    <w:p w14:paraId="73DF15F9" w14:textId="77777777" w:rsidR="008E777B" w:rsidRPr="00476E46" w:rsidRDefault="008E777B" w:rsidP="008E777B">
      <w:pPr>
        <w:pStyle w:val="Normlnywebov"/>
        <w:spacing w:before="120" w:beforeAutospacing="0" w:after="0" w:afterAutospacing="0"/>
        <w:jc w:val="both"/>
        <w:rPr>
          <w:rFonts w:ascii="Book Antiqua" w:hAnsi="Book Antiqua"/>
          <w:b/>
          <w:bCs/>
          <w:color w:val="000000"/>
          <w:sz w:val="22"/>
          <w:szCs w:val="22"/>
        </w:rPr>
      </w:pPr>
    </w:p>
    <w:p w14:paraId="505AF850"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r w:rsidRPr="00476E46">
        <w:rPr>
          <w:rFonts w:ascii="Book Antiqua" w:hAnsi="Book Antiqua"/>
          <w:b/>
          <w:bCs/>
          <w:color w:val="000000"/>
          <w:sz w:val="22"/>
          <w:szCs w:val="22"/>
        </w:rPr>
        <w:t>A.5. Stanovisko gestorov</w:t>
      </w:r>
    </w:p>
    <w:p w14:paraId="4CF4FCB0" w14:textId="77777777" w:rsidR="008E777B" w:rsidRPr="00476E46" w:rsidRDefault="008E777B" w:rsidP="008E777B">
      <w:pPr>
        <w:pStyle w:val="Normlnywebov"/>
        <w:spacing w:before="120" w:beforeAutospacing="0" w:after="0" w:afterAutospacing="0"/>
        <w:jc w:val="both"/>
        <w:rPr>
          <w:rFonts w:ascii="Book Antiqua" w:hAnsi="Book Antiqua"/>
          <w:sz w:val="22"/>
          <w:szCs w:val="22"/>
        </w:rPr>
      </w:pPr>
      <w:r w:rsidRPr="00476E46">
        <w:rPr>
          <w:rFonts w:ascii="Book Antiqua" w:hAnsi="Book Antiqua"/>
          <w:i/>
          <w:iCs/>
          <w:color w:val="000000"/>
          <w:sz w:val="22"/>
          <w:szCs w:val="22"/>
        </w:rPr>
        <w:t>Návrh zákona bol zaslaný na vyjadrenie Ministerstvu financií SR a stanovisko tohto ministerstva tvorí súčasť predkladaného materiálu.</w:t>
      </w:r>
    </w:p>
    <w:p w14:paraId="5230DC19" w14:textId="77777777" w:rsidR="00000CB9" w:rsidRPr="0023793A" w:rsidRDefault="00000CB9">
      <w:pPr>
        <w:rPr>
          <w:rFonts w:ascii="Book Antiqua" w:hAnsi="Book Antiqua"/>
          <w:b/>
          <w:bCs/>
          <w:sz w:val="22"/>
          <w:szCs w:val="22"/>
        </w:rPr>
      </w:pPr>
    </w:p>
    <w:sectPr w:rsidR="00000CB9" w:rsidRPr="00237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EC96F" w14:textId="77777777" w:rsidR="006E7515" w:rsidRDefault="006E7515" w:rsidP="006839E0">
      <w:pPr>
        <w:spacing w:before="0" w:line="240" w:lineRule="auto"/>
      </w:pPr>
      <w:r>
        <w:separator/>
      </w:r>
    </w:p>
  </w:endnote>
  <w:endnote w:type="continuationSeparator" w:id="0">
    <w:p w14:paraId="69E69126" w14:textId="77777777" w:rsidR="006E7515" w:rsidRDefault="006E7515" w:rsidP="006839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398482"/>
      <w:docPartObj>
        <w:docPartGallery w:val="Page Numbers (Bottom of Page)"/>
        <w:docPartUnique/>
      </w:docPartObj>
    </w:sdtPr>
    <w:sdtEndPr/>
    <w:sdtContent>
      <w:p w14:paraId="7944160D" w14:textId="0B7FE550" w:rsidR="006839E0" w:rsidRDefault="006839E0">
        <w:pPr>
          <w:pStyle w:val="Pta"/>
          <w:jc w:val="center"/>
        </w:pPr>
        <w:r>
          <w:fldChar w:fldCharType="begin"/>
        </w:r>
        <w:r>
          <w:instrText>PAGE   \* MERGEFORMAT</w:instrText>
        </w:r>
        <w:r>
          <w:fldChar w:fldCharType="separate"/>
        </w:r>
        <w:r w:rsidR="00276BBB">
          <w:rPr>
            <w:noProof/>
          </w:rPr>
          <w:t>6</w:t>
        </w:r>
        <w:r>
          <w:fldChar w:fldCharType="end"/>
        </w:r>
      </w:p>
    </w:sdtContent>
  </w:sdt>
  <w:p w14:paraId="7E95CDA5" w14:textId="77777777" w:rsidR="006839E0" w:rsidRDefault="006839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677AC" w14:textId="77777777" w:rsidR="006E7515" w:rsidRDefault="006E7515" w:rsidP="006839E0">
      <w:pPr>
        <w:spacing w:before="0" w:line="240" w:lineRule="auto"/>
      </w:pPr>
      <w:r>
        <w:separator/>
      </w:r>
    </w:p>
  </w:footnote>
  <w:footnote w:type="continuationSeparator" w:id="0">
    <w:p w14:paraId="0F9A25F7" w14:textId="77777777" w:rsidR="006E7515" w:rsidRDefault="006E7515" w:rsidP="006839E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8E8"/>
    <w:multiLevelType w:val="hybridMultilevel"/>
    <w:tmpl w:val="B45EF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B553BFF"/>
    <w:multiLevelType w:val="multilevel"/>
    <w:tmpl w:val="3BB6049A"/>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F066B06"/>
    <w:multiLevelType w:val="hybridMultilevel"/>
    <w:tmpl w:val="21C04A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C2831CF"/>
    <w:multiLevelType w:val="hybridMultilevel"/>
    <w:tmpl w:val="28C09BAA"/>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32622749"/>
    <w:multiLevelType w:val="hybridMultilevel"/>
    <w:tmpl w:val="B45EF3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FDEA91CA">
      <w:start w:val="1"/>
      <w:numFmt w:val="lowerLetter"/>
      <w:lvlText w:val="%2)"/>
      <w:lvlJc w:val="left"/>
      <w:pPr>
        <w:tabs>
          <w:tab w:val="num" w:pos="417"/>
        </w:tabs>
        <w:ind w:left="7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nsid w:val="41017FC0"/>
    <w:multiLevelType w:val="hybridMultilevel"/>
    <w:tmpl w:val="8B9442C0"/>
    <w:lvl w:ilvl="0" w:tplc="DFD0BF56">
      <w:start w:val="1"/>
      <w:numFmt w:val="bullet"/>
      <w:lvlText w:val=""/>
      <w:lvlJc w:val="left"/>
      <w:pPr>
        <w:ind w:left="720" w:hanging="360"/>
      </w:pPr>
      <w:rPr>
        <w:rFonts w:ascii="Symbol" w:hAnsi="Symbol" w:hint="default"/>
      </w:rPr>
    </w:lvl>
    <w:lvl w:ilvl="1" w:tplc="014E8DE2">
      <w:start w:val="1"/>
      <w:numFmt w:val="bullet"/>
      <w:lvlText w:val="o"/>
      <w:lvlJc w:val="left"/>
      <w:pPr>
        <w:ind w:left="1440" w:hanging="360"/>
      </w:pPr>
      <w:rPr>
        <w:rFonts w:ascii="Courier New" w:hAnsi="Courier New" w:hint="default"/>
      </w:rPr>
    </w:lvl>
    <w:lvl w:ilvl="2" w:tplc="97E838F4">
      <w:start w:val="1"/>
      <w:numFmt w:val="bullet"/>
      <w:lvlText w:val=""/>
      <w:lvlJc w:val="left"/>
      <w:pPr>
        <w:ind w:left="2160" w:hanging="360"/>
      </w:pPr>
      <w:rPr>
        <w:rFonts w:ascii="Wingdings" w:hAnsi="Wingdings" w:hint="default"/>
      </w:rPr>
    </w:lvl>
    <w:lvl w:ilvl="3" w:tplc="67A8274C">
      <w:start w:val="1"/>
      <w:numFmt w:val="bullet"/>
      <w:lvlText w:val=""/>
      <w:lvlJc w:val="left"/>
      <w:pPr>
        <w:ind w:left="2880" w:hanging="360"/>
      </w:pPr>
      <w:rPr>
        <w:rFonts w:ascii="Symbol" w:hAnsi="Symbol" w:hint="default"/>
      </w:rPr>
    </w:lvl>
    <w:lvl w:ilvl="4" w:tplc="EC6CA298">
      <w:start w:val="1"/>
      <w:numFmt w:val="bullet"/>
      <w:lvlText w:val="o"/>
      <w:lvlJc w:val="left"/>
      <w:pPr>
        <w:ind w:left="3600" w:hanging="360"/>
      </w:pPr>
      <w:rPr>
        <w:rFonts w:ascii="Courier New" w:hAnsi="Courier New" w:hint="default"/>
      </w:rPr>
    </w:lvl>
    <w:lvl w:ilvl="5" w:tplc="1836571A">
      <w:start w:val="1"/>
      <w:numFmt w:val="bullet"/>
      <w:lvlText w:val=""/>
      <w:lvlJc w:val="left"/>
      <w:pPr>
        <w:ind w:left="4320" w:hanging="360"/>
      </w:pPr>
      <w:rPr>
        <w:rFonts w:ascii="Wingdings" w:hAnsi="Wingdings" w:hint="default"/>
      </w:rPr>
    </w:lvl>
    <w:lvl w:ilvl="6" w:tplc="E98E8DDE">
      <w:start w:val="1"/>
      <w:numFmt w:val="bullet"/>
      <w:lvlText w:val=""/>
      <w:lvlJc w:val="left"/>
      <w:pPr>
        <w:ind w:left="5040" w:hanging="360"/>
      </w:pPr>
      <w:rPr>
        <w:rFonts w:ascii="Symbol" w:hAnsi="Symbol" w:hint="default"/>
      </w:rPr>
    </w:lvl>
    <w:lvl w:ilvl="7" w:tplc="FAF6552C">
      <w:start w:val="1"/>
      <w:numFmt w:val="bullet"/>
      <w:lvlText w:val="o"/>
      <w:lvlJc w:val="left"/>
      <w:pPr>
        <w:ind w:left="5760" w:hanging="360"/>
      </w:pPr>
      <w:rPr>
        <w:rFonts w:ascii="Courier New" w:hAnsi="Courier New" w:hint="default"/>
      </w:rPr>
    </w:lvl>
    <w:lvl w:ilvl="8" w:tplc="0784ACF6">
      <w:start w:val="1"/>
      <w:numFmt w:val="bullet"/>
      <w:lvlText w:val=""/>
      <w:lvlJc w:val="left"/>
      <w:pPr>
        <w:ind w:left="6480" w:hanging="360"/>
      </w:pPr>
      <w:rPr>
        <w:rFonts w:ascii="Wingdings" w:hAnsi="Wingdings" w:hint="default"/>
      </w:rPr>
    </w:lvl>
  </w:abstractNum>
  <w:abstractNum w:abstractNumId="7">
    <w:nsid w:val="66FE7824"/>
    <w:multiLevelType w:val="hybridMultilevel"/>
    <w:tmpl w:val="4554208E"/>
    <w:lvl w:ilvl="0" w:tplc="0ABAC55E">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D9"/>
    <w:rsid w:val="00000CB9"/>
    <w:rsid w:val="000248B5"/>
    <w:rsid w:val="000F70B5"/>
    <w:rsid w:val="00107052"/>
    <w:rsid w:val="00107674"/>
    <w:rsid w:val="001C2EB3"/>
    <w:rsid w:val="0023793A"/>
    <w:rsid w:val="002660C0"/>
    <w:rsid w:val="00276BBB"/>
    <w:rsid w:val="002829AD"/>
    <w:rsid w:val="003038F6"/>
    <w:rsid w:val="00323375"/>
    <w:rsid w:val="00366C01"/>
    <w:rsid w:val="005071FA"/>
    <w:rsid w:val="00511284"/>
    <w:rsid w:val="00515E9B"/>
    <w:rsid w:val="00557FB2"/>
    <w:rsid w:val="0057492A"/>
    <w:rsid w:val="005C6E52"/>
    <w:rsid w:val="00621AF6"/>
    <w:rsid w:val="00624A93"/>
    <w:rsid w:val="00666F9C"/>
    <w:rsid w:val="00667862"/>
    <w:rsid w:val="00674877"/>
    <w:rsid w:val="006839E0"/>
    <w:rsid w:val="006B71D9"/>
    <w:rsid w:val="006B7B8C"/>
    <w:rsid w:val="006D0EAB"/>
    <w:rsid w:val="006D2EED"/>
    <w:rsid w:val="006E7515"/>
    <w:rsid w:val="006F6571"/>
    <w:rsid w:val="00712A74"/>
    <w:rsid w:val="00713420"/>
    <w:rsid w:val="00714E6B"/>
    <w:rsid w:val="007D68D2"/>
    <w:rsid w:val="00833C76"/>
    <w:rsid w:val="0084355F"/>
    <w:rsid w:val="008526A1"/>
    <w:rsid w:val="008846C8"/>
    <w:rsid w:val="00887DE7"/>
    <w:rsid w:val="008926C9"/>
    <w:rsid w:val="008E22F1"/>
    <w:rsid w:val="008E777B"/>
    <w:rsid w:val="008F44FF"/>
    <w:rsid w:val="00924259"/>
    <w:rsid w:val="00926025"/>
    <w:rsid w:val="0093089F"/>
    <w:rsid w:val="0094042F"/>
    <w:rsid w:val="00993FA3"/>
    <w:rsid w:val="009A1054"/>
    <w:rsid w:val="00A927A1"/>
    <w:rsid w:val="00B10D78"/>
    <w:rsid w:val="00B15108"/>
    <w:rsid w:val="00B43DD7"/>
    <w:rsid w:val="00B513BF"/>
    <w:rsid w:val="00B52959"/>
    <w:rsid w:val="00B9648B"/>
    <w:rsid w:val="00BA3646"/>
    <w:rsid w:val="00C370B0"/>
    <w:rsid w:val="00C4675C"/>
    <w:rsid w:val="00C91374"/>
    <w:rsid w:val="00CD57C2"/>
    <w:rsid w:val="00D12626"/>
    <w:rsid w:val="00D64127"/>
    <w:rsid w:val="00D719A4"/>
    <w:rsid w:val="00D852D3"/>
    <w:rsid w:val="00D97B6F"/>
    <w:rsid w:val="00DF304B"/>
    <w:rsid w:val="00EA2FCB"/>
    <w:rsid w:val="00F77A5D"/>
    <w:rsid w:val="00F91631"/>
    <w:rsid w:val="00F92985"/>
    <w:rsid w:val="00FE36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71D9"/>
    <w:pPr>
      <w:spacing w:before="120" w:after="0" w:line="276"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71D9"/>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1D9"/>
    <w:rPr>
      <w:rFonts w:ascii="Cambria" w:eastAsia="Times New Roman" w:hAnsi="Cambria" w:cs="Times New Roman"/>
      <w:b/>
      <w:kern w:val="32"/>
      <w:sz w:val="32"/>
      <w:szCs w:val="20"/>
      <w:lang w:eastAsia="sk-SK"/>
    </w:rPr>
  </w:style>
  <w:style w:type="paragraph" w:styleId="Normlnywebov">
    <w:name w:val="Normal (Web)"/>
    <w:basedOn w:val="Normlny"/>
    <w:uiPriority w:val="99"/>
    <w:qFormat/>
    <w:rsid w:val="006B71D9"/>
    <w:pPr>
      <w:spacing w:before="100" w:beforeAutospacing="1" w:after="100" w:afterAutospacing="1"/>
    </w:pPr>
  </w:style>
  <w:style w:type="paragraph" w:styleId="Hlavika">
    <w:name w:val="header"/>
    <w:basedOn w:val="Normlny"/>
    <w:link w:val="HlavikaChar"/>
    <w:uiPriority w:val="99"/>
    <w:unhideWhenUsed/>
    <w:rsid w:val="006839E0"/>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6839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839E0"/>
    <w:pPr>
      <w:tabs>
        <w:tab w:val="center" w:pos="4513"/>
        <w:tab w:val="right" w:pos="9026"/>
      </w:tabs>
      <w:spacing w:before="0" w:line="240" w:lineRule="auto"/>
    </w:pPr>
  </w:style>
  <w:style w:type="character" w:customStyle="1" w:styleId="PtaChar">
    <w:name w:val="Päta Char"/>
    <w:basedOn w:val="Predvolenpsmoodseku"/>
    <w:link w:val="Pta"/>
    <w:uiPriority w:val="99"/>
    <w:rsid w:val="006839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94042F"/>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4042F"/>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4042F"/>
    <w:rPr>
      <w:vertAlign w:val="superscript"/>
    </w:rPr>
  </w:style>
  <w:style w:type="paragraph" w:customStyle="1" w:styleId="Normlnywebov1">
    <w:name w:val="Normálny (webový)1"/>
    <w:basedOn w:val="Normlny"/>
    <w:qFormat/>
    <w:rsid w:val="006F6571"/>
    <w:pPr>
      <w:suppressAutoHyphens/>
      <w:spacing w:before="280" w:after="280" w:line="240" w:lineRule="auto"/>
    </w:pPr>
    <w:rPr>
      <w:lang w:eastAsia="ar-SA"/>
    </w:rPr>
  </w:style>
  <w:style w:type="paragraph" w:customStyle="1" w:styleId="Vchodzie">
    <w:name w:val="Vchodzie"/>
    <w:qFormat/>
    <w:rsid w:val="006F6571"/>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6F6571"/>
  </w:style>
  <w:style w:type="paragraph" w:styleId="Odsekzoznamu">
    <w:name w:val="List Paragraph"/>
    <w:basedOn w:val="Normlny"/>
    <w:uiPriority w:val="34"/>
    <w:qFormat/>
    <w:rsid w:val="00F92985"/>
    <w:pPr>
      <w:ind w:left="720"/>
      <w:contextualSpacing/>
    </w:pPr>
  </w:style>
  <w:style w:type="character" w:styleId="Hypertextovprepojenie">
    <w:name w:val="Hyperlink"/>
    <w:uiPriority w:val="99"/>
    <w:semiHidden/>
    <w:unhideWhenUsed/>
    <w:rsid w:val="00674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71D9"/>
    <w:pPr>
      <w:spacing w:before="120" w:after="0" w:line="276"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71D9"/>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1D9"/>
    <w:rPr>
      <w:rFonts w:ascii="Cambria" w:eastAsia="Times New Roman" w:hAnsi="Cambria" w:cs="Times New Roman"/>
      <w:b/>
      <w:kern w:val="32"/>
      <w:sz w:val="32"/>
      <w:szCs w:val="20"/>
      <w:lang w:eastAsia="sk-SK"/>
    </w:rPr>
  </w:style>
  <w:style w:type="paragraph" w:styleId="Normlnywebov">
    <w:name w:val="Normal (Web)"/>
    <w:basedOn w:val="Normlny"/>
    <w:uiPriority w:val="99"/>
    <w:qFormat/>
    <w:rsid w:val="006B71D9"/>
    <w:pPr>
      <w:spacing w:before="100" w:beforeAutospacing="1" w:after="100" w:afterAutospacing="1"/>
    </w:pPr>
  </w:style>
  <w:style w:type="paragraph" w:styleId="Hlavika">
    <w:name w:val="header"/>
    <w:basedOn w:val="Normlny"/>
    <w:link w:val="HlavikaChar"/>
    <w:uiPriority w:val="99"/>
    <w:unhideWhenUsed/>
    <w:rsid w:val="006839E0"/>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6839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839E0"/>
    <w:pPr>
      <w:tabs>
        <w:tab w:val="center" w:pos="4513"/>
        <w:tab w:val="right" w:pos="9026"/>
      </w:tabs>
      <w:spacing w:before="0" w:line="240" w:lineRule="auto"/>
    </w:pPr>
  </w:style>
  <w:style w:type="character" w:customStyle="1" w:styleId="PtaChar">
    <w:name w:val="Päta Char"/>
    <w:basedOn w:val="Predvolenpsmoodseku"/>
    <w:link w:val="Pta"/>
    <w:uiPriority w:val="99"/>
    <w:rsid w:val="006839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94042F"/>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4042F"/>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4042F"/>
    <w:rPr>
      <w:vertAlign w:val="superscript"/>
    </w:rPr>
  </w:style>
  <w:style w:type="paragraph" w:customStyle="1" w:styleId="Normlnywebov1">
    <w:name w:val="Normálny (webový)1"/>
    <w:basedOn w:val="Normlny"/>
    <w:qFormat/>
    <w:rsid w:val="006F6571"/>
    <w:pPr>
      <w:suppressAutoHyphens/>
      <w:spacing w:before="280" w:after="280" w:line="240" w:lineRule="auto"/>
    </w:pPr>
    <w:rPr>
      <w:lang w:eastAsia="ar-SA"/>
    </w:rPr>
  </w:style>
  <w:style w:type="paragraph" w:customStyle="1" w:styleId="Vchodzie">
    <w:name w:val="Vchodzie"/>
    <w:qFormat/>
    <w:rsid w:val="006F6571"/>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6F6571"/>
  </w:style>
  <w:style w:type="paragraph" w:styleId="Odsekzoznamu">
    <w:name w:val="List Paragraph"/>
    <w:basedOn w:val="Normlny"/>
    <w:uiPriority w:val="34"/>
    <w:qFormat/>
    <w:rsid w:val="00F92985"/>
    <w:pPr>
      <w:ind w:left="720"/>
      <w:contextualSpacing/>
    </w:pPr>
  </w:style>
  <w:style w:type="character" w:styleId="Hypertextovprepojenie">
    <w:name w:val="Hyperlink"/>
    <w:uiPriority w:val="99"/>
    <w:semiHidden/>
    <w:unhideWhenUsed/>
    <w:rsid w:val="00674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7C78-0F40-409A-9003-277E6FF9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2001</Words>
  <Characters>11412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Kovarčík</dc:creator>
  <cp:lastModifiedBy>Milan</cp:lastModifiedBy>
  <cp:revision>5</cp:revision>
  <dcterms:created xsi:type="dcterms:W3CDTF">2022-08-26T03:46:00Z</dcterms:created>
  <dcterms:modified xsi:type="dcterms:W3CDTF">2022-08-26T05:15:00Z</dcterms:modified>
</cp:coreProperties>
</file>