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:rsidR="00A30B0C" w:rsidRPr="00E21DE3" w:rsidRDefault="00A30B0C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VIII. VOLEBNÉ OBDOBIE</w:t>
      </w:r>
    </w:p>
    <w:p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9322E7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z ... 2022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52018D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č. 583/2004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Z. z. o</w:t>
      </w:r>
      <w:r w:rsidR="0052018D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 rozpočtových pravidlách územnej samosprávy a o zmene a doplnení niektorých zákonov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AC47BA" w:rsidRDefault="00A30B0C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AC47BA">
        <w:rPr>
          <w:rFonts w:ascii="Book Antiqua" w:eastAsia="Times New Roman" w:hAnsi="Book Antiqua" w:cs="Times New Roman"/>
          <w:lang w:eastAsia="sk-SK"/>
        </w:rPr>
        <w:t>Zákon</w:t>
      </w:r>
      <w:r w:rsidRPr="00AC47BA">
        <w:rPr>
          <w:rFonts w:ascii="Book Antiqua" w:eastAsia="Times New Roman" w:hAnsi="Book Antiqua" w:cs="Times New Roman"/>
          <w:spacing w:val="91"/>
          <w:lang w:eastAsia="sk-SK"/>
        </w:rPr>
        <w:t xml:space="preserve"> </w:t>
      </w:r>
      <w:r w:rsidR="00E1162C" w:rsidRPr="00AC47BA">
        <w:rPr>
          <w:rFonts w:ascii="Book Antiqua" w:eastAsia="Times New Roman" w:hAnsi="Book Antiqua" w:cs="Times New Roman"/>
          <w:bCs/>
          <w:lang w:eastAsia="sk-SK"/>
        </w:rPr>
        <w:t>č. 583/2004</w:t>
      </w:r>
      <w:r w:rsidR="00E21DE3" w:rsidRPr="00AC47BA">
        <w:rPr>
          <w:rFonts w:ascii="Book Antiqua" w:eastAsia="Times New Roman" w:hAnsi="Book Antiqua" w:cs="Times New Roman"/>
          <w:bCs/>
          <w:lang w:eastAsia="sk-SK"/>
        </w:rPr>
        <w:t xml:space="preserve"> Z. z. o</w:t>
      </w:r>
      <w:r w:rsidR="00E1162C" w:rsidRPr="00AC47BA">
        <w:rPr>
          <w:rFonts w:ascii="Book Antiqua" w:eastAsia="Times New Roman" w:hAnsi="Book Antiqua" w:cs="Times New Roman"/>
          <w:bCs/>
          <w:lang w:eastAsia="sk-SK"/>
        </w:rPr>
        <w:t> rozpočtových pravidlách územnej samosprávy a o zmene a doplnení niektorých zákonov</w:t>
      </w:r>
      <w:r w:rsidR="00AC47BA" w:rsidRPr="00AC47BA">
        <w:rPr>
          <w:rFonts w:ascii="Book Antiqua" w:eastAsia="Times New Roman" w:hAnsi="Book Antiqua" w:cs="Times New Roman"/>
          <w:bCs/>
          <w:lang w:eastAsia="sk-SK"/>
        </w:rPr>
        <w:t xml:space="preserve"> v znení </w:t>
      </w:r>
      <w:r w:rsidR="00E21DE3" w:rsidRPr="00AC47BA">
        <w:rPr>
          <w:rFonts w:ascii="Book Antiqua" w:eastAsia="Times New Roman" w:hAnsi="Book Antiqua" w:cs="Times New Roman"/>
          <w:bCs/>
          <w:lang w:eastAsia="sk-SK"/>
        </w:rPr>
        <w:t>konkurze a reštrukturalizácii a o zmene a doplnení niektorých zákonov</w:t>
      </w:r>
      <w:r w:rsidRPr="00AC47BA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AC47BA">
        <w:rPr>
          <w:rFonts w:ascii="Book Antiqua" w:eastAsia="Times New Roman" w:hAnsi="Book Antiqua" w:cs="Times New Roman"/>
          <w:lang w:eastAsia="sk-SK"/>
        </w:rPr>
        <w:t>v</w:t>
      </w:r>
      <w:r w:rsidRPr="00AC47BA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AC47BA">
        <w:rPr>
          <w:rFonts w:ascii="Book Antiqua" w:eastAsia="Times New Roman" w:hAnsi="Book Antiqua" w:cs="Times New Roman"/>
          <w:lang w:eastAsia="sk-SK"/>
        </w:rPr>
        <w:t>znení</w:t>
      </w:r>
      <w:r w:rsidRPr="00AC47BA">
        <w:rPr>
          <w:rFonts w:ascii="Book Antiqua" w:eastAsia="Times New Roman" w:hAnsi="Book Antiqua" w:cs="Times New Roman"/>
          <w:spacing w:val="63"/>
          <w:lang w:eastAsia="sk-SK"/>
        </w:rPr>
        <w:t xml:space="preserve"> </w:t>
      </w:r>
      <w:r w:rsidRPr="00AC47BA">
        <w:rPr>
          <w:rFonts w:ascii="Book Antiqua" w:eastAsia="Times New Roman" w:hAnsi="Book Antiqua" w:cs="Times New Roman"/>
          <w:lang w:eastAsia="sk-SK"/>
        </w:rPr>
        <w:t>zákona</w:t>
      </w:r>
      <w:r w:rsidR="00E21DE3" w:rsidRPr="00AC47BA">
        <w:rPr>
          <w:rFonts w:ascii="Book Antiqua" w:hAnsi="Book Antiqua" w:cs="Segoe UI"/>
          <w:shd w:val="clear" w:color="auto" w:fill="FFFFFF"/>
        </w:rPr>
        <w:t xml:space="preserve"> č. 353/</w:t>
      </w:r>
      <w:r w:rsidR="00AC47BA" w:rsidRPr="00AC47BA">
        <w:rPr>
          <w:rFonts w:ascii="Book Antiqua" w:hAnsi="Book Antiqua" w:cs="Segoe UI"/>
          <w:shd w:val="clear" w:color="auto" w:fill="FFFFFF"/>
        </w:rPr>
        <w:t xml:space="preserve">zákona č. 611/2005 Z. z., zákona č. 324/2007 Z. z., zákona č. 54/2009 Z. z., zákona č. 426/2013 Z. z., zákona č. 361/2014 Z. z., zákona </w:t>
      </w:r>
      <w:r w:rsidR="00AC47BA">
        <w:rPr>
          <w:rFonts w:ascii="Book Antiqua" w:hAnsi="Book Antiqua" w:cs="Segoe UI"/>
          <w:shd w:val="clear" w:color="auto" w:fill="FFFFFF"/>
        </w:rPr>
        <w:t xml:space="preserve">            </w:t>
      </w:r>
      <w:r w:rsidR="00AC47BA" w:rsidRPr="00AC47BA">
        <w:rPr>
          <w:rFonts w:ascii="Book Antiqua" w:hAnsi="Book Antiqua" w:cs="Segoe UI"/>
          <w:shd w:val="clear" w:color="auto" w:fill="FFFFFF"/>
        </w:rPr>
        <w:t>č. 171/2015 Z. z., zákona č. 357/2015 Z. z., zákona č. 91/2016 Z. z., zákona č. 310/2016 Z. z., zákona č. 359/2020 Z. z.</w:t>
      </w:r>
      <w:r w:rsidR="00AC47BA">
        <w:rPr>
          <w:rFonts w:ascii="Book Antiqua" w:hAnsi="Book Antiqua" w:cs="Segoe UI"/>
          <w:shd w:val="clear" w:color="auto" w:fill="FFFFFF"/>
        </w:rPr>
        <w:t xml:space="preserve">, </w:t>
      </w:r>
      <w:r w:rsidR="00AC47BA" w:rsidRPr="00AC47BA">
        <w:rPr>
          <w:rFonts w:ascii="Book Antiqua" w:hAnsi="Book Antiqua" w:cs="Segoe UI"/>
          <w:shd w:val="clear" w:color="auto" w:fill="FFFFFF"/>
        </w:rPr>
        <w:t>zákona č. 201/2021 Z. z. </w:t>
      </w:r>
      <w:r w:rsidR="00AC47BA">
        <w:rPr>
          <w:rFonts w:ascii="Book Antiqua" w:eastAsia="Times New Roman" w:hAnsi="Book Antiqua" w:cs="Times New Roman"/>
          <w:lang w:eastAsia="sk-SK"/>
        </w:rPr>
        <w:t xml:space="preserve">a zákona č. 121/2022 Z. z. </w:t>
      </w:r>
      <w:r w:rsidRPr="00AC47BA">
        <w:rPr>
          <w:rFonts w:ascii="Book Antiqua" w:eastAsia="Times New Roman" w:hAnsi="Book Antiqua" w:cs="Times New Roman"/>
          <w:lang w:eastAsia="sk-SK"/>
        </w:rPr>
        <w:t>sa mení a dopĺňa takto:</w:t>
      </w:r>
    </w:p>
    <w:p w:rsidR="007C7108" w:rsidRPr="00A32BE8" w:rsidRDefault="007C7108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A32BE8">
        <w:rPr>
          <w:rFonts w:ascii="Book Antiqua" w:eastAsia="Times New Roman" w:hAnsi="Book Antiqua" w:cs="Times New Roman"/>
          <w:color w:val="000000"/>
          <w:lang w:eastAsia="sk-SK"/>
        </w:rPr>
        <w:t xml:space="preserve">7 ods. 6 druhá veta znie: 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A32BE8" w:rsidRPr="00A32BE8">
        <w:rPr>
          <w:rFonts w:ascii="Book Antiqua" w:hAnsi="Book Antiqua" w:cs="Calibri"/>
          <w:shd w:val="clear" w:color="auto" w:fill="FFFFFF"/>
        </w:rPr>
        <w:t>Podliehajú zúčtova</w:t>
      </w:r>
      <w:r w:rsidR="00A32BE8">
        <w:rPr>
          <w:rFonts w:ascii="Book Antiqua" w:hAnsi="Book Antiqua" w:cs="Calibri"/>
          <w:shd w:val="clear" w:color="auto" w:fill="FFFFFF"/>
        </w:rPr>
        <w:t>ni</w:t>
      </w:r>
      <w:r w:rsidR="00A32BE8" w:rsidRPr="00A32BE8">
        <w:rPr>
          <w:rFonts w:ascii="Book Antiqua" w:hAnsi="Book Antiqua" w:cs="Calibri"/>
          <w:shd w:val="clear" w:color="auto" w:fill="FFFFFF"/>
        </w:rPr>
        <w:t>u s rozpočtom obce, ktorého spôsob určuje obec a ich poskytnutím nemožno zvýšiť celkový dlh obce</w:t>
      </w:r>
      <w:r w:rsidR="00A32BE8">
        <w:rPr>
          <w:rFonts w:ascii="Calibri" w:hAnsi="Calibri" w:cs="Calibri"/>
          <w:color w:val="1F497D"/>
          <w:shd w:val="clear" w:color="auto" w:fill="FFFFFF"/>
        </w:rPr>
        <w:t>.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7C7108" w:rsidRDefault="007C7108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>2.</w:t>
      </w:r>
      <w:r>
        <w:rPr>
          <w:rFonts w:ascii="Book Antiqua" w:hAnsi="Book Antiqua"/>
          <w:bCs/>
          <w:color w:val="000000"/>
        </w:rPr>
        <w:tab/>
      </w:r>
      <w:r w:rsidR="00A32BE8">
        <w:rPr>
          <w:rFonts w:ascii="Book Antiqua" w:eastAsia="Times New Roman" w:hAnsi="Book Antiqua" w:cs="Times New Roman"/>
          <w:color w:val="000000"/>
          <w:lang w:eastAsia="sk-SK"/>
        </w:rPr>
        <w:t>V § 8 ods. 7 druhá veta znie: „</w:t>
      </w:r>
      <w:r w:rsidR="00A32BE8" w:rsidRPr="00A32BE8">
        <w:rPr>
          <w:rFonts w:ascii="Book Antiqua" w:hAnsi="Book Antiqua" w:cs="Calibri"/>
          <w:shd w:val="clear" w:color="auto" w:fill="FFFFFF"/>
        </w:rPr>
        <w:t>Podliehajú zúčtova</w:t>
      </w:r>
      <w:r w:rsidR="00A32BE8">
        <w:rPr>
          <w:rFonts w:ascii="Book Antiqua" w:hAnsi="Book Antiqua" w:cs="Calibri"/>
          <w:shd w:val="clear" w:color="auto" w:fill="FFFFFF"/>
        </w:rPr>
        <w:t>niu s rozpočtom vyššieho územného celku, ktorého spôsob určuje vyšší územný celok</w:t>
      </w:r>
      <w:r w:rsidR="00A32BE8" w:rsidRPr="00A32BE8">
        <w:rPr>
          <w:rFonts w:ascii="Book Antiqua" w:hAnsi="Book Antiqua" w:cs="Calibri"/>
          <w:shd w:val="clear" w:color="auto" w:fill="FFFFFF"/>
        </w:rPr>
        <w:t xml:space="preserve"> a ich poskytnutím</w:t>
      </w:r>
      <w:r w:rsidR="00A32BE8">
        <w:rPr>
          <w:rFonts w:ascii="Book Antiqua" w:hAnsi="Book Antiqua" w:cs="Calibri"/>
          <w:shd w:val="clear" w:color="auto" w:fill="FFFFFF"/>
        </w:rPr>
        <w:t xml:space="preserve"> nemožno zvýšiť celkový dlh vyššieho územného celku</w:t>
      </w:r>
      <w:r w:rsidR="00A32BE8">
        <w:rPr>
          <w:rFonts w:ascii="Calibri" w:hAnsi="Calibri" w:cs="Calibri"/>
          <w:color w:val="1F497D"/>
          <w:shd w:val="clear" w:color="auto" w:fill="FFFFFF"/>
        </w:rPr>
        <w:t>.</w:t>
      </w:r>
      <w:r w:rsidR="00A32BE8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4563C2" w:rsidRDefault="004563C2" w:rsidP="007C710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hAnsi="Book Antiqua"/>
          <w:bCs/>
          <w:color w:val="000000"/>
        </w:rPr>
        <w:t>3.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  <w:t>Za § 21g sa vkladá § 21h, ktorý vrátane nadpisu znie:</w:t>
      </w:r>
    </w:p>
    <w:p w:rsidR="004563C2" w:rsidRDefault="004563C2" w:rsidP="004563C2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Pr="004563C2">
        <w:rPr>
          <w:rFonts w:ascii="Book Antiqua" w:eastAsia="Times New Roman" w:hAnsi="Book Antiqua" w:cs="Times New Roman"/>
          <w:b/>
          <w:color w:val="000000"/>
          <w:lang w:eastAsia="sk-SK"/>
        </w:rPr>
        <w:t>§ 21h</w:t>
      </w:r>
    </w:p>
    <w:p w:rsidR="004563C2" w:rsidRPr="004563C2" w:rsidRDefault="004563C2" w:rsidP="004563C2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4563C2">
        <w:rPr>
          <w:rFonts w:ascii="Book Antiqua" w:eastAsia="Times New Roman" w:hAnsi="Book Antiqua" w:cs="Times New Roman"/>
          <w:b/>
          <w:color w:val="000000"/>
          <w:lang w:eastAsia="sk-SK"/>
        </w:rPr>
        <w:t>Prechodné ust</w:t>
      </w:r>
      <w:r w:rsidR="00185894">
        <w:rPr>
          <w:rFonts w:ascii="Book Antiqua" w:eastAsia="Times New Roman" w:hAnsi="Book Antiqua" w:cs="Times New Roman"/>
          <w:b/>
          <w:color w:val="000000"/>
          <w:lang w:eastAsia="sk-SK"/>
        </w:rPr>
        <w:t>anovenie k úpravám účinným od 1. decembra</w:t>
      </w:r>
      <w:bookmarkStart w:id="0" w:name="_GoBack"/>
      <w:bookmarkEnd w:id="0"/>
      <w:r w:rsidRPr="004563C2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2022</w:t>
      </w:r>
    </w:p>
    <w:p w:rsidR="00A30B0C" w:rsidRPr="004563C2" w:rsidRDefault="004563C2" w:rsidP="004563C2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Ustanovenie § 7 ods. 6 druhá veta a § 8 ods. 7 druhá veta sa po prvýkrát použijú na dotácie poskytnuté z rozpočtu obce a rozpočtu vyššieho územného celku v roku 2022.“.</w:t>
      </w:r>
    </w:p>
    <w:p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Čl. II</w:t>
      </w:r>
    </w:p>
    <w:p w:rsidR="00137F18" w:rsidRPr="004563C2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185894">
        <w:rPr>
          <w:rFonts w:ascii="Book Antiqua" w:eastAsia="Times New Roman" w:hAnsi="Book Antiqua" w:cs="Times New Roman"/>
          <w:color w:val="000000"/>
          <w:lang w:eastAsia="sk-SK"/>
        </w:rPr>
        <w:t>kon nadobúda účinnosť 1. decembra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 2022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45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137F18"/>
    <w:rsid w:val="00185894"/>
    <w:rsid w:val="00257DF8"/>
    <w:rsid w:val="004563C2"/>
    <w:rsid w:val="0052018D"/>
    <w:rsid w:val="005C0899"/>
    <w:rsid w:val="007C7108"/>
    <w:rsid w:val="0091601F"/>
    <w:rsid w:val="009322E7"/>
    <w:rsid w:val="00A30B0C"/>
    <w:rsid w:val="00A32BE8"/>
    <w:rsid w:val="00A421CD"/>
    <w:rsid w:val="00AC47BA"/>
    <w:rsid w:val="00E1162C"/>
    <w:rsid w:val="00E2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4</cp:revision>
  <dcterms:created xsi:type="dcterms:W3CDTF">2022-08-10T12:14:00Z</dcterms:created>
  <dcterms:modified xsi:type="dcterms:W3CDTF">2022-08-24T09:12:00Z</dcterms:modified>
</cp:coreProperties>
</file>