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B1849" w:rsidRPr="00476E46" w:rsidP="00696780">
      <w:pPr>
        <w:pStyle w:val="NormalWeb"/>
        <w:spacing w:before="120" w:beforeAutospacing="0" w:after="0" w:afterAutospacing="0" w:line="276" w:lineRule="auto"/>
        <w:jc w:val="center"/>
        <w:rPr>
          <w:rFonts w:ascii="Book Antiqua" w:hAnsi="Book Antiqua"/>
          <w:b/>
          <w:bCs/>
          <w:caps/>
          <w:spacing w:val="30"/>
          <w:sz w:val="22"/>
          <w:szCs w:val="22"/>
        </w:rPr>
      </w:pPr>
      <w:r w:rsidRPr="00476E46">
        <w:rPr>
          <w:rFonts w:ascii="Book Antiqua" w:hAnsi="Book Antiqua"/>
          <w:b/>
          <w:bCs/>
          <w:caps/>
          <w:spacing w:val="30"/>
          <w:sz w:val="22"/>
          <w:szCs w:val="22"/>
        </w:rPr>
        <w:t>Dôvodová správa</w:t>
      </w:r>
    </w:p>
    <w:p w:rsidR="001B1849"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sz w:val="22"/>
          <w:szCs w:val="22"/>
        </w:rPr>
        <w:t> </w:t>
      </w:r>
    </w:p>
    <w:p w:rsidR="001B1849" w:rsidRPr="00476E46" w:rsidP="00696780">
      <w:pPr>
        <w:pStyle w:val="Heading1"/>
        <w:spacing w:before="120" w:line="276" w:lineRule="auto"/>
        <w:jc w:val="left"/>
        <w:rPr>
          <w:rFonts w:ascii="Book Antiqua" w:hAnsi="Book Antiqua"/>
          <w:sz w:val="22"/>
          <w:szCs w:val="22"/>
        </w:rPr>
      </w:pPr>
      <w:r w:rsidRPr="00476E46">
        <w:rPr>
          <w:rFonts w:ascii="Book Antiqua" w:hAnsi="Book Antiqua"/>
          <w:sz w:val="22"/>
          <w:szCs w:val="22"/>
        </w:rPr>
        <w:t>A. Všeobecná časť</w:t>
      </w:r>
    </w:p>
    <w:p w:rsidR="001B1849" w:rsidRPr="00476E46" w:rsidP="00696780">
      <w:pPr>
        <w:pStyle w:val="NormalWeb"/>
        <w:spacing w:before="120" w:beforeAutospacing="0" w:after="0" w:afterAutospacing="0" w:line="276" w:lineRule="auto"/>
        <w:ind w:firstLine="708"/>
        <w:jc w:val="both"/>
        <w:rPr>
          <w:rFonts w:ascii="Book Antiqua" w:hAnsi="Book Antiqua"/>
          <w:sz w:val="22"/>
          <w:szCs w:val="22"/>
        </w:rPr>
      </w:pPr>
      <w:r w:rsidRPr="00476E46">
        <w:rPr>
          <w:rFonts w:ascii="Book Antiqua" w:hAnsi="Book Antiqua"/>
          <w:sz w:val="22"/>
          <w:szCs w:val="22"/>
        </w:rPr>
        <w:t xml:space="preserve">Návrh zákona, </w:t>
      </w:r>
      <w:r w:rsidRPr="00192077" w:rsidR="00192077">
        <w:rPr>
          <w:rFonts w:ascii="Book Antiqua" w:hAnsi="Book Antiqua"/>
          <w:bCs/>
          <w:color w:val="000000"/>
          <w:sz w:val="22"/>
          <w:szCs w:val="22"/>
        </w:rPr>
        <w:t xml:space="preserve">ktorým sa mení a dopĺňa zákon č. </w:t>
      </w:r>
      <w:r w:rsidRPr="00192077" w:rsidR="00192077">
        <w:rPr>
          <w:rFonts w:ascii="Book Antiqua" w:hAnsi="Book Antiqua"/>
          <w:color w:val="000000"/>
          <w:sz w:val="22"/>
          <w:szCs w:val="22"/>
        </w:rPr>
        <w:t>162/2015 Z. z. Správny súdny poriadok</w:t>
      </w:r>
      <w:r w:rsidRPr="00192077" w:rsidR="00192077">
        <w:rPr>
          <w:rFonts w:ascii="Book Antiqua" w:hAnsi="Book Antiqua"/>
          <w:bCs/>
          <w:color w:val="000000"/>
          <w:sz w:val="22"/>
          <w:szCs w:val="22"/>
        </w:rPr>
        <w:t xml:space="preserve"> v znení neskorších predpisov</w:t>
      </w:r>
      <w:r w:rsidRPr="00476E46" w:rsidR="00C926F5">
        <w:rPr>
          <w:rFonts w:ascii="Book Antiqua" w:hAnsi="Book Antiqua"/>
          <w:sz w:val="22"/>
          <w:szCs w:val="22"/>
        </w:rPr>
        <w:t xml:space="preserve"> </w:t>
      </w:r>
      <w:r w:rsidRPr="00476E46">
        <w:rPr>
          <w:rFonts w:ascii="Book Antiqua" w:hAnsi="Book Antiqua"/>
          <w:sz w:val="22"/>
          <w:szCs w:val="22"/>
        </w:rPr>
        <w:t>(ďalej</w:t>
      </w:r>
      <w:r w:rsidR="00944B6C">
        <w:rPr>
          <w:rFonts w:ascii="Book Antiqua" w:hAnsi="Book Antiqua"/>
          <w:sz w:val="22"/>
          <w:szCs w:val="22"/>
        </w:rPr>
        <w:t xml:space="preserve"> len „návrh zákona“) predkladá</w:t>
      </w:r>
      <w:r w:rsidRPr="00476E46" w:rsidR="00696780">
        <w:rPr>
          <w:rFonts w:ascii="Book Antiqua" w:hAnsi="Book Antiqua"/>
          <w:sz w:val="22"/>
          <w:szCs w:val="22"/>
        </w:rPr>
        <w:t xml:space="preserve"> do</w:t>
      </w:r>
      <w:r w:rsidRPr="00476E46" w:rsidR="00C926F5">
        <w:rPr>
          <w:rFonts w:ascii="Book Antiqua" w:hAnsi="Book Antiqua"/>
          <w:sz w:val="22"/>
          <w:szCs w:val="22"/>
        </w:rPr>
        <w:t xml:space="preserve"> legislat</w:t>
      </w:r>
      <w:r w:rsidR="00476E46">
        <w:rPr>
          <w:rFonts w:ascii="Book Antiqua" w:hAnsi="Book Antiqua"/>
          <w:sz w:val="22"/>
          <w:szCs w:val="22"/>
        </w:rPr>
        <w:t>ívneho proc</w:t>
      </w:r>
      <w:r w:rsidR="00762F82">
        <w:rPr>
          <w:rFonts w:ascii="Book Antiqua" w:hAnsi="Book Antiqua"/>
          <w:sz w:val="22"/>
          <w:szCs w:val="22"/>
        </w:rPr>
        <w:t xml:space="preserve">esu </w:t>
      </w:r>
      <w:r w:rsidR="00944B6C">
        <w:rPr>
          <w:rFonts w:ascii="Book Antiqua" w:hAnsi="Book Antiqua"/>
          <w:sz w:val="22"/>
          <w:szCs w:val="22"/>
        </w:rPr>
        <w:t xml:space="preserve">skupina </w:t>
      </w:r>
      <w:r w:rsidR="00762F82">
        <w:rPr>
          <w:rFonts w:ascii="Book Antiqua" w:hAnsi="Book Antiqua"/>
          <w:sz w:val="22"/>
          <w:szCs w:val="22"/>
        </w:rPr>
        <w:t>poslan</w:t>
      </w:r>
      <w:r w:rsidR="00476E46">
        <w:rPr>
          <w:rFonts w:ascii="Book Antiqua" w:hAnsi="Book Antiqua"/>
          <w:sz w:val="22"/>
          <w:szCs w:val="22"/>
        </w:rPr>
        <w:t>c</w:t>
      </w:r>
      <w:r w:rsidR="00944B6C">
        <w:rPr>
          <w:rFonts w:ascii="Book Antiqua" w:hAnsi="Book Antiqua"/>
          <w:sz w:val="22"/>
          <w:szCs w:val="22"/>
        </w:rPr>
        <w:t>ov</w:t>
      </w:r>
      <w:r w:rsidRPr="00476E46" w:rsidR="00C926F5">
        <w:rPr>
          <w:rFonts w:ascii="Book Antiqua" w:hAnsi="Book Antiqua"/>
          <w:sz w:val="22"/>
          <w:szCs w:val="22"/>
        </w:rPr>
        <w:t xml:space="preserve"> </w:t>
      </w:r>
      <w:r w:rsidRPr="00476E46">
        <w:rPr>
          <w:rFonts w:ascii="Book Antiqua" w:hAnsi="Book Antiqua"/>
          <w:sz w:val="22"/>
          <w:szCs w:val="22"/>
        </w:rPr>
        <w:t>Národnej rad</w:t>
      </w:r>
      <w:r w:rsidRPr="00476E46" w:rsidR="005F0314">
        <w:rPr>
          <w:rFonts w:ascii="Book Antiqua" w:hAnsi="Book Antiqua"/>
          <w:sz w:val="22"/>
          <w:szCs w:val="22"/>
        </w:rPr>
        <w:t xml:space="preserve">y Slovenskej </w:t>
      </w:r>
      <w:r w:rsidRPr="00476E46" w:rsidR="005F0314">
        <w:rPr>
          <w:rFonts w:ascii="Book Antiqua" w:hAnsi="Book Antiqua"/>
          <w:sz w:val="22"/>
          <w:szCs w:val="22"/>
        </w:rPr>
        <w:t>republiky</w:t>
      </w:r>
      <w:r w:rsidR="00944B6C">
        <w:rPr>
          <w:rFonts w:ascii="Book Antiqua" w:hAnsi="Book Antiqua"/>
          <w:sz w:val="22"/>
          <w:szCs w:val="22"/>
        </w:rPr>
        <w:t>.</w:t>
      </w:r>
    </w:p>
    <w:p w:rsidR="00C926F5" w:rsidRPr="00476E46" w:rsidP="00192077">
      <w:pPr>
        <w:pStyle w:val="NormalWeb"/>
        <w:spacing w:before="120" w:beforeAutospacing="0" w:after="0" w:afterAutospacing="0" w:line="276" w:lineRule="auto"/>
        <w:ind w:firstLine="708"/>
        <w:jc w:val="both"/>
        <w:rPr>
          <w:rFonts w:ascii="Book Antiqua" w:hAnsi="Book Antiqua"/>
          <w:b/>
          <w:sz w:val="22"/>
          <w:szCs w:val="22"/>
        </w:rPr>
      </w:pPr>
      <w:r w:rsidR="00192077">
        <w:rPr>
          <w:rFonts w:ascii="Book Antiqua" w:hAnsi="Book Antiqua"/>
          <w:b/>
          <w:sz w:val="22"/>
          <w:szCs w:val="22"/>
        </w:rPr>
        <w:t>Súčasťou reformy justície schválenej parlamentom koncom roka 2020 je aj presun agendy súdnej kontroly volieb do orgánov územnej samosprávy. Táto agenda patrila do 31. júla 2021 do právomoci Ústavného súdu Slovenskej republiky a od 1. augusta 2021 prešla do právomoci Najvyššieho správneho súdu Slovenskej republiky avšak bez toho, aby mal Najvyšší správny súd Slovenskej republiky k dispozícii potrebné nástroje a mechanizmy na efektívne rozhodovanie v tejto agende bez prieťahov. Keďže voľby do orgánov územnej samosprávy sú vyhlásené na 31. októbra 2022, je nevyhnutné upraviť Správny súdny poriadok spôsobom, akým bolo v minulosti upravené konanie v tejto agende pred Ústavným súdom Slovenskej republiky. Riadne fungovanie Najvyššieho správneho súdu Slovenskej republiky je aj prioritou z pohľadu Programového vyhlásenia vlády Slovenskej republiky na roky 2020-2024, resp. 2021-2024.</w:t>
      </w:r>
    </w:p>
    <w:p w:rsidR="009F080A" w:rsidRPr="00476E46" w:rsidP="00696780">
      <w:pPr>
        <w:spacing w:before="120" w:line="276" w:lineRule="auto"/>
        <w:ind w:firstLine="709"/>
        <w:jc w:val="both"/>
        <w:rPr>
          <w:rFonts w:ascii="Book Antiqua" w:hAnsi="Book Antiqua"/>
          <w:sz w:val="22"/>
          <w:szCs w:val="22"/>
        </w:rPr>
      </w:pPr>
      <w:r w:rsidRPr="00476E46" w:rsidR="00AC79CE">
        <w:rPr>
          <w:rFonts w:ascii="Book Antiqua" w:hAnsi="Book Antiqua"/>
          <w:sz w:val="22"/>
          <w:szCs w:val="22"/>
        </w:rPr>
        <w:t>Návrh z</w:t>
      </w:r>
      <w:r w:rsidRPr="00476E46" w:rsidR="00423C63">
        <w:rPr>
          <w:rFonts w:ascii="Book Antiqua" w:hAnsi="Book Antiqua"/>
          <w:sz w:val="22"/>
          <w:szCs w:val="22"/>
        </w:rPr>
        <w:t xml:space="preserve">ákona </w:t>
      </w:r>
      <w:r w:rsidRPr="00476E46" w:rsidR="004B5E17">
        <w:rPr>
          <w:rFonts w:ascii="Book Antiqua" w:hAnsi="Book Antiqua"/>
          <w:sz w:val="22"/>
          <w:szCs w:val="22"/>
        </w:rPr>
        <w:t>nemá vplyv na rozpočet verejnej správy</w:t>
      </w:r>
      <w:r w:rsidR="00192077">
        <w:rPr>
          <w:rFonts w:ascii="Book Antiqua" w:hAnsi="Book Antiqua"/>
          <w:sz w:val="22"/>
          <w:szCs w:val="22"/>
        </w:rPr>
        <w:t xml:space="preserve"> ani </w:t>
      </w:r>
      <w:r w:rsidRPr="00476E46" w:rsidR="004B5E17">
        <w:rPr>
          <w:rFonts w:ascii="Book Antiqua" w:hAnsi="Book Antiqua"/>
          <w:sz w:val="22"/>
          <w:szCs w:val="22"/>
        </w:rPr>
        <w:t xml:space="preserve">na </w:t>
      </w:r>
      <w:r w:rsidRPr="00476E46" w:rsidR="00F51036">
        <w:rPr>
          <w:rFonts w:ascii="Book Antiqua" w:hAnsi="Book Antiqua"/>
          <w:sz w:val="22"/>
          <w:szCs w:val="22"/>
        </w:rPr>
        <w:t>podnikateľské prostredie</w:t>
      </w:r>
      <w:r w:rsidRPr="00476E46" w:rsidR="005F0314">
        <w:rPr>
          <w:rFonts w:ascii="Book Antiqua" w:hAnsi="Book Antiqua"/>
          <w:sz w:val="22"/>
          <w:szCs w:val="22"/>
        </w:rPr>
        <w:t>.</w:t>
      </w:r>
      <w:r w:rsidRPr="00476E46" w:rsidR="00F51036">
        <w:rPr>
          <w:rFonts w:ascii="Book Antiqua" w:hAnsi="Book Antiqua"/>
          <w:sz w:val="22"/>
          <w:szCs w:val="22"/>
        </w:rPr>
        <w:t xml:space="preserve"> </w:t>
      </w:r>
      <w:r w:rsidRPr="00476E46">
        <w:rPr>
          <w:rFonts w:ascii="Book Antiqua" w:hAnsi="Book Antiqua"/>
          <w:sz w:val="22"/>
          <w:szCs w:val="22"/>
        </w:rPr>
        <w:t>Návrh zákona nemá vplyv na životné prostr</w:t>
      </w:r>
      <w:r w:rsidRPr="00476E46">
        <w:rPr>
          <w:rFonts w:ascii="Book Antiqua" w:hAnsi="Book Antiqua"/>
          <w:sz w:val="22"/>
          <w:szCs w:val="22"/>
        </w:rPr>
        <w:t>edie</w:t>
      </w:r>
      <w:r w:rsidRPr="00476E46" w:rsidR="00AC79CE">
        <w:rPr>
          <w:rFonts w:ascii="Book Antiqua" w:hAnsi="Book Antiqua"/>
          <w:sz w:val="22"/>
          <w:szCs w:val="22"/>
        </w:rPr>
        <w:t xml:space="preserve"> ani na informatizáciu spoločnosti</w:t>
      </w:r>
      <w:r w:rsidRPr="00476E46" w:rsidR="004B5E17">
        <w:rPr>
          <w:rFonts w:ascii="Book Antiqua" w:hAnsi="Book Antiqua"/>
          <w:sz w:val="22"/>
          <w:szCs w:val="22"/>
        </w:rPr>
        <w:t xml:space="preserve"> a nevyvoláva žiadne</w:t>
      </w:r>
      <w:r w:rsidRPr="00476E46" w:rsidR="008949D7">
        <w:rPr>
          <w:rFonts w:ascii="Book Antiqua" w:hAnsi="Book Antiqua"/>
          <w:sz w:val="22"/>
          <w:szCs w:val="22"/>
        </w:rPr>
        <w:t xml:space="preserve"> sociálne vplyvy</w:t>
      </w:r>
      <w:r w:rsidRPr="00476E46">
        <w:rPr>
          <w:rFonts w:ascii="Book Antiqua" w:hAnsi="Book Antiqua"/>
          <w:sz w:val="22"/>
          <w:szCs w:val="22"/>
        </w:rPr>
        <w:t>.</w:t>
      </w:r>
    </w:p>
    <w:p w:rsidR="009F080A" w:rsidRPr="00476E46" w:rsidP="00696780">
      <w:pPr>
        <w:spacing w:before="120" w:line="276" w:lineRule="auto"/>
        <w:ind w:firstLine="709"/>
        <w:jc w:val="both"/>
        <w:rPr>
          <w:rFonts w:ascii="Book Antiqua" w:hAnsi="Book Antiqua"/>
          <w:sz w:val="22"/>
          <w:szCs w:val="22"/>
        </w:rPr>
      </w:pPr>
      <w:r w:rsidRPr="00476E46">
        <w:rPr>
          <w:rFonts w:ascii="Book Antiqua" w:hAnsi="Book Antiqua"/>
          <w:sz w:val="22"/>
          <w:szCs w:val="22"/>
        </w:rPr>
        <w:t xml:space="preserve">Návrh zákona je v súlade s Ústavou Slovenskej republiky, ústavnými zákonmi a ostatnými všeobecne záväznými právnymi predpismi Slovenskej republiky, medzinárodnými zmluvami a inými </w:t>
      </w:r>
      <w:r w:rsidRPr="00476E46">
        <w:rPr>
          <w:rFonts w:ascii="Book Antiqua" w:hAnsi="Book Antiqua"/>
          <w:sz w:val="22"/>
          <w:szCs w:val="22"/>
        </w:rPr>
        <w:t>medzinárodnými dokumentmi, ktorými je Slovenská republika viazaná, ako aj s právom Európskej únie.</w:t>
      </w:r>
    </w:p>
    <w:p w:rsidR="009F4A5D" w:rsidRPr="00476E46" w:rsidP="00696780">
      <w:pPr>
        <w:spacing w:before="120" w:line="276" w:lineRule="auto"/>
        <w:ind w:firstLine="709"/>
        <w:jc w:val="both"/>
        <w:rPr>
          <w:rFonts w:ascii="Book Antiqua" w:hAnsi="Book Antiqua"/>
          <w:sz w:val="22"/>
          <w:szCs w:val="22"/>
        </w:rPr>
      </w:pPr>
    </w:p>
    <w:p w:rsidR="008949D7" w:rsidRPr="00476E46" w:rsidP="00696780">
      <w:pPr>
        <w:pStyle w:val="NormalWeb"/>
        <w:spacing w:before="120" w:beforeAutospacing="0" w:after="0" w:afterAutospacing="0" w:line="276" w:lineRule="auto"/>
        <w:jc w:val="both"/>
        <w:rPr>
          <w:rFonts w:ascii="Book Antiqua" w:hAnsi="Book Antiqua"/>
          <w:b/>
          <w:bCs/>
          <w:sz w:val="22"/>
          <w:szCs w:val="22"/>
        </w:rPr>
      </w:pPr>
    </w:p>
    <w:p w:rsidR="008949D7" w:rsidRPr="00476E46" w:rsidP="00696780">
      <w:pPr>
        <w:pStyle w:val="NormalWeb"/>
        <w:spacing w:before="120" w:beforeAutospacing="0" w:after="0" w:afterAutospacing="0" w:line="276" w:lineRule="auto"/>
        <w:jc w:val="both"/>
        <w:rPr>
          <w:rFonts w:ascii="Book Antiqua" w:hAnsi="Book Antiqua"/>
          <w:b/>
          <w:bCs/>
          <w:sz w:val="22"/>
          <w:szCs w:val="22"/>
        </w:rPr>
      </w:pPr>
    </w:p>
    <w:p w:rsidR="008949D7" w:rsidRPr="00476E46" w:rsidP="00696780">
      <w:pPr>
        <w:pStyle w:val="NormalWeb"/>
        <w:spacing w:before="120" w:beforeAutospacing="0" w:after="0" w:afterAutospacing="0" w:line="276" w:lineRule="auto"/>
        <w:jc w:val="both"/>
        <w:rPr>
          <w:rFonts w:ascii="Book Antiqua" w:hAnsi="Book Antiqua"/>
          <w:b/>
          <w:bCs/>
          <w:sz w:val="22"/>
          <w:szCs w:val="22"/>
        </w:rPr>
      </w:pPr>
    </w:p>
    <w:p w:rsidR="004B5E17" w:rsidRPr="00476E46" w:rsidP="00696780">
      <w:pPr>
        <w:pStyle w:val="NormalWeb"/>
        <w:spacing w:before="120" w:beforeAutospacing="0" w:after="0" w:afterAutospacing="0" w:line="276" w:lineRule="auto"/>
        <w:jc w:val="both"/>
        <w:rPr>
          <w:rFonts w:ascii="Book Antiqua" w:hAnsi="Book Antiqua"/>
          <w:b/>
          <w:bCs/>
          <w:sz w:val="22"/>
          <w:szCs w:val="22"/>
        </w:rPr>
      </w:pPr>
    </w:p>
    <w:p w:rsidR="004B5E17" w:rsidRPr="00476E46" w:rsidP="00696780">
      <w:pPr>
        <w:pStyle w:val="NormalWeb"/>
        <w:spacing w:before="120" w:beforeAutospacing="0" w:after="0" w:afterAutospacing="0" w:line="276" w:lineRule="auto"/>
        <w:jc w:val="both"/>
        <w:rPr>
          <w:rFonts w:ascii="Book Antiqua" w:hAnsi="Book Antiqua"/>
          <w:b/>
          <w:bCs/>
          <w:sz w:val="22"/>
          <w:szCs w:val="22"/>
        </w:rPr>
      </w:pPr>
    </w:p>
    <w:p w:rsidR="004B5E17" w:rsidRPr="00476E46" w:rsidP="00696780">
      <w:pPr>
        <w:pStyle w:val="NormalWeb"/>
        <w:spacing w:before="120" w:beforeAutospacing="0" w:after="0" w:afterAutospacing="0" w:line="276" w:lineRule="auto"/>
        <w:jc w:val="both"/>
        <w:rPr>
          <w:rFonts w:ascii="Book Antiqua" w:hAnsi="Book Antiqua"/>
          <w:b/>
          <w:bCs/>
          <w:sz w:val="22"/>
          <w:szCs w:val="22"/>
        </w:rPr>
      </w:pPr>
    </w:p>
    <w:p w:rsidR="004B5E17" w:rsidRPr="00476E46" w:rsidP="00696780">
      <w:pPr>
        <w:pStyle w:val="NormalWeb"/>
        <w:spacing w:before="120" w:beforeAutospacing="0" w:after="0" w:afterAutospacing="0" w:line="276" w:lineRule="auto"/>
        <w:jc w:val="both"/>
        <w:rPr>
          <w:rFonts w:ascii="Book Antiqua" w:hAnsi="Book Antiqua"/>
          <w:b/>
          <w:bCs/>
          <w:sz w:val="22"/>
          <w:szCs w:val="22"/>
        </w:rPr>
      </w:pPr>
    </w:p>
    <w:p w:rsidR="004B5E17" w:rsidRPr="00476E46" w:rsidP="00696780">
      <w:pPr>
        <w:pStyle w:val="NormalWeb"/>
        <w:spacing w:before="120" w:beforeAutospacing="0" w:after="0" w:afterAutospacing="0" w:line="276" w:lineRule="auto"/>
        <w:jc w:val="both"/>
        <w:rPr>
          <w:rFonts w:ascii="Book Antiqua" w:hAnsi="Book Antiqua"/>
          <w:b/>
          <w:bCs/>
          <w:sz w:val="22"/>
          <w:szCs w:val="22"/>
        </w:rPr>
      </w:pPr>
    </w:p>
    <w:p w:rsidR="004B5E17" w:rsidRPr="00476E46" w:rsidP="00696780">
      <w:pPr>
        <w:pStyle w:val="NormalWeb"/>
        <w:spacing w:before="120" w:beforeAutospacing="0" w:after="0" w:afterAutospacing="0" w:line="276" w:lineRule="auto"/>
        <w:jc w:val="both"/>
        <w:rPr>
          <w:rFonts w:ascii="Book Antiqua" w:hAnsi="Book Antiqua"/>
          <w:b/>
          <w:bCs/>
          <w:sz w:val="22"/>
          <w:szCs w:val="22"/>
        </w:rPr>
      </w:pPr>
    </w:p>
    <w:p w:rsidR="004B5E17" w:rsidP="00696780">
      <w:pPr>
        <w:pStyle w:val="NormalWeb"/>
        <w:spacing w:before="120" w:beforeAutospacing="0" w:after="0" w:afterAutospacing="0" w:line="276" w:lineRule="auto"/>
        <w:jc w:val="both"/>
        <w:rPr>
          <w:rFonts w:ascii="Book Antiqua" w:hAnsi="Book Antiqua"/>
          <w:b/>
          <w:bCs/>
          <w:sz w:val="22"/>
          <w:szCs w:val="22"/>
        </w:rPr>
      </w:pPr>
    </w:p>
    <w:p w:rsidR="00944B6C" w:rsidRPr="00476E46" w:rsidP="00696780">
      <w:pPr>
        <w:pStyle w:val="NormalWeb"/>
        <w:spacing w:before="120" w:beforeAutospacing="0" w:after="0" w:afterAutospacing="0" w:line="276" w:lineRule="auto"/>
        <w:jc w:val="both"/>
        <w:rPr>
          <w:rFonts w:ascii="Book Antiqua" w:hAnsi="Book Antiqua"/>
          <w:b/>
          <w:bCs/>
          <w:sz w:val="22"/>
          <w:szCs w:val="22"/>
        </w:rPr>
      </w:pPr>
    </w:p>
    <w:p w:rsidR="00437270" w:rsidP="00696780">
      <w:pPr>
        <w:pStyle w:val="NormalWeb"/>
        <w:spacing w:before="120" w:beforeAutospacing="0" w:after="0" w:afterAutospacing="0" w:line="276" w:lineRule="auto"/>
        <w:jc w:val="both"/>
        <w:rPr>
          <w:rFonts w:ascii="Book Antiqua" w:hAnsi="Book Antiqua"/>
          <w:b/>
          <w:bCs/>
          <w:sz w:val="22"/>
          <w:szCs w:val="22"/>
        </w:rPr>
      </w:pPr>
    </w:p>
    <w:p w:rsidR="00706F69"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sz w:val="22"/>
          <w:szCs w:val="22"/>
        </w:rPr>
        <w:t>B. Osobitná časť</w:t>
      </w:r>
    </w:p>
    <w:p w:rsidR="00706F69" w:rsidRPr="00476E46" w:rsidP="00696780">
      <w:pPr>
        <w:pStyle w:val="NormalWeb"/>
        <w:spacing w:before="120" w:beforeAutospacing="0" w:after="0" w:afterAutospacing="0" w:line="276" w:lineRule="auto"/>
        <w:jc w:val="both"/>
        <w:rPr>
          <w:rFonts w:ascii="Book Antiqua" w:hAnsi="Book Antiqua"/>
          <w:sz w:val="22"/>
          <w:szCs w:val="22"/>
        </w:rPr>
      </w:pPr>
    </w:p>
    <w:p w:rsidR="00706F69" w:rsidRPr="00476E46" w:rsidP="00696780">
      <w:pPr>
        <w:pStyle w:val="NormalWeb"/>
        <w:spacing w:before="120" w:beforeAutospacing="0" w:after="0" w:afterAutospacing="0" w:line="276" w:lineRule="auto"/>
        <w:jc w:val="both"/>
        <w:rPr>
          <w:rFonts w:ascii="Book Antiqua" w:hAnsi="Book Antiqua"/>
          <w:b/>
          <w:bCs/>
          <w:sz w:val="22"/>
          <w:szCs w:val="22"/>
        </w:rPr>
      </w:pPr>
      <w:r w:rsidRPr="00476E46">
        <w:rPr>
          <w:rFonts w:ascii="Book Antiqua" w:hAnsi="Book Antiqua"/>
          <w:b/>
          <w:bCs/>
          <w:sz w:val="22"/>
          <w:szCs w:val="22"/>
        </w:rPr>
        <w:t xml:space="preserve">K Čl. I </w:t>
      </w:r>
    </w:p>
    <w:p w:rsidR="009E4880" w:rsidP="003761B1">
      <w:pPr>
        <w:pStyle w:val="NormalWeb"/>
        <w:spacing w:before="120" w:beforeAutospacing="0" w:after="0" w:afterAutospacing="0" w:line="276" w:lineRule="auto"/>
        <w:jc w:val="both"/>
        <w:rPr>
          <w:rFonts w:ascii="Book Antiqua" w:hAnsi="Book Antiqua"/>
          <w:bCs/>
          <w:sz w:val="22"/>
          <w:szCs w:val="22"/>
          <w:u w:val="single"/>
        </w:rPr>
      </w:pPr>
      <w:r w:rsidR="00C75FAC">
        <w:rPr>
          <w:rFonts w:ascii="Book Antiqua" w:hAnsi="Book Antiqua"/>
          <w:bCs/>
          <w:sz w:val="22"/>
          <w:szCs w:val="22"/>
          <w:u w:val="single"/>
        </w:rPr>
        <w:t>K bodu 1</w:t>
      </w:r>
    </w:p>
    <w:p w:rsidR="00437270" w:rsidRPr="00437270" w:rsidP="00437270">
      <w:pPr>
        <w:pStyle w:val="NormalWeb"/>
        <w:spacing w:before="120" w:beforeAutospacing="0" w:after="0" w:afterAutospacing="0" w:line="276" w:lineRule="auto"/>
        <w:jc w:val="both"/>
        <w:rPr>
          <w:rFonts w:ascii="Book Antiqua" w:hAnsi="Book Antiqua"/>
          <w:iCs/>
          <w:color w:val="000000"/>
          <w:sz w:val="22"/>
          <w:szCs w:val="22"/>
        </w:rPr>
      </w:pPr>
      <w:r w:rsidR="00C75FAC">
        <w:rPr>
          <w:rFonts w:ascii="Book Antiqua" w:hAnsi="Book Antiqua"/>
          <w:bCs/>
          <w:sz w:val="22"/>
          <w:szCs w:val="22"/>
        </w:rPr>
        <w:tab/>
      </w:r>
      <w:r>
        <w:rPr>
          <w:rFonts w:ascii="Book Antiqua" w:hAnsi="Book Antiqua"/>
          <w:bCs/>
          <w:sz w:val="22"/>
          <w:szCs w:val="22"/>
        </w:rPr>
        <w:t>Je potrebné spresniť, že žalovaným v konaní vo veciach ústavnosti a zákonnosti volieb do orgánov územnej sa</w:t>
      </w:r>
      <w:r>
        <w:rPr>
          <w:rFonts w:ascii="Book Antiqua" w:hAnsi="Book Antiqua"/>
          <w:bCs/>
          <w:sz w:val="22"/>
          <w:szCs w:val="22"/>
        </w:rPr>
        <w:t xml:space="preserve">mosprávy </w:t>
      </w:r>
      <w:r w:rsidRPr="00437270">
        <w:rPr>
          <w:rFonts w:ascii="Book Antiqua" w:hAnsi="Book Antiqua"/>
          <w:iCs/>
          <w:color w:val="000000"/>
          <w:sz w:val="22"/>
          <w:szCs w:val="22"/>
        </w:rPr>
        <w:t>musí byť každá politická strana/hnutie/koalícia/nezávislý kandidát, ktorí spĺňajú tieto podmienky</w:t>
      </w:r>
      <w:r>
        <w:rPr>
          <w:rFonts w:ascii="Book Antiqua" w:hAnsi="Book Antiqua"/>
          <w:iCs/>
          <w:color w:val="000000"/>
          <w:sz w:val="22"/>
          <w:szCs w:val="22"/>
        </w:rPr>
        <w:t xml:space="preserve"> a teda nemožno si vybrať </w:t>
      </w:r>
      <w:r w:rsidR="00F23D5D">
        <w:rPr>
          <w:rFonts w:ascii="Book Antiqua" w:hAnsi="Book Antiqua"/>
          <w:iCs/>
          <w:color w:val="000000"/>
          <w:sz w:val="22"/>
          <w:szCs w:val="22"/>
        </w:rPr>
        <w:t>len jeden z týchto subjektov.</w:t>
      </w:r>
    </w:p>
    <w:p w:rsidR="00C75FAC" w:rsidRPr="00C75FAC" w:rsidP="00437270">
      <w:pPr>
        <w:pStyle w:val="NormalWeb"/>
        <w:spacing w:before="120" w:beforeAutospacing="0" w:after="0" w:afterAutospacing="0" w:line="276" w:lineRule="auto"/>
        <w:jc w:val="both"/>
        <w:rPr>
          <w:rFonts w:ascii="Book Antiqua" w:hAnsi="Book Antiqua"/>
          <w:bCs/>
          <w:sz w:val="22"/>
          <w:szCs w:val="22"/>
          <w:u w:val="single"/>
        </w:rPr>
      </w:pPr>
      <w:r w:rsidRPr="00C75FAC">
        <w:rPr>
          <w:rFonts w:ascii="Book Antiqua" w:hAnsi="Book Antiqua"/>
          <w:bCs/>
          <w:sz w:val="22"/>
          <w:szCs w:val="22"/>
          <w:u w:val="single"/>
        </w:rPr>
        <w:t>K bodu 2</w:t>
      </w:r>
    </w:p>
    <w:p w:rsidR="00C75FAC" w:rsidP="003761B1">
      <w:pPr>
        <w:pStyle w:val="NormalWeb"/>
        <w:spacing w:before="120" w:beforeAutospacing="0" w:after="0" w:afterAutospacing="0" w:line="276" w:lineRule="auto"/>
        <w:jc w:val="both"/>
        <w:rPr>
          <w:rFonts w:ascii="Book Antiqua" w:hAnsi="Book Antiqua"/>
          <w:iCs/>
          <w:color w:val="000000"/>
          <w:sz w:val="22"/>
          <w:szCs w:val="22"/>
        </w:rPr>
      </w:pPr>
      <w:r>
        <w:rPr>
          <w:rFonts w:ascii="Book Antiqua" w:hAnsi="Book Antiqua"/>
          <w:bCs/>
          <w:sz w:val="22"/>
          <w:szCs w:val="22"/>
        </w:rPr>
        <w:tab/>
      </w:r>
      <w:r w:rsidRPr="00256A9F" w:rsidR="00256A9F">
        <w:rPr>
          <w:rFonts w:ascii="Book Antiqua" w:hAnsi="Book Antiqua"/>
          <w:iCs/>
          <w:color w:val="000000"/>
          <w:sz w:val="22"/>
          <w:szCs w:val="22"/>
        </w:rPr>
        <w:t xml:space="preserve">Zákon č. 180/2014 Z. z. </w:t>
      </w:r>
      <w:r w:rsidR="00D879C2">
        <w:rPr>
          <w:rFonts w:ascii="Book Antiqua" w:hAnsi="Book Antiqua"/>
          <w:iCs/>
          <w:color w:val="000000"/>
          <w:sz w:val="22"/>
          <w:szCs w:val="22"/>
        </w:rPr>
        <w:t>o podmienkach výkonu volebného práva a o zmene a doplnení ni</w:t>
      </w:r>
      <w:r w:rsidR="00D879C2">
        <w:rPr>
          <w:rFonts w:ascii="Book Antiqua" w:hAnsi="Book Antiqua"/>
          <w:iCs/>
          <w:color w:val="000000"/>
          <w:sz w:val="22"/>
          <w:szCs w:val="22"/>
        </w:rPr>
        <w:t xml:space="preserve">ektorých zákonov v znení neskorších predpisov </w:t>
      </w:r>
      <w:r w:rsidR="006A599D">
        <w:rPr>
          <w:rFonts w:ascii="Book Antiqua" w:hAnsi="Book Antiqua"/>
          <w:iCs/>
          <w:color w:val="000000"/>
          <w:sz w:val="22"/>
          <w:szCs w:val="22"/>
        </w:rPr>
        <w:t xml:space="preserve">(ďalej len „volebný zákon“) </w:t>
      </w:r>
      <w:r w:rsidRPr="00256A9F" w:rsidR="00256A9F">
        <w:rPr>
          <w:rFonts w:ascii="Book Antiqua" w:hAnsi="Book Antiqua"/>
          <w:iCs/>
          <w:color w:val="000000"/>
          <w:sz w:val="22"/>
          <w:szCs w:val="22"/>
        </w:rPr>
        <w:t>pozná „vyhlásenie výsledkov“ volieb len pri voľbe prezidenta (§ 114). Inak zákon dôsledne hovorí o „zverejnení výsledkov“ (§ 33). Navyše, pri voľbách do orgánov samosprávnych krajov a samosprávy obcí zákon rozlišuje medzi zverejnením výsledku volieb v príslušnom územnom celku (samosprávnom kraji - § 158, obci - § 190) a zverejnením celkových výsledkov volieb štátnou volebnou komisiou (§ 33 ods. 2). Je prakticky ťažké zisťovať, kedy konkrétne boli uverejnené výsledky volieb (napr. vyvesením na úradnej tabuli) v jednotlive</w:t>
      </w:r>
      <w:r w:rsidR="00D879C2">
        <w:rPr>
          <w:rFonts w:ascii="Book Antiqua" w:hAnsi="Book Antiqua"/>
          <w:iCs/>
          <w:color w:val="000000"/>
          <w:sz w:val="22"/>
          <w:szCs w:val="22"/>
        </w:rPr>
        <w:t xml:space="preserve">j obci. Preto by praktickejšie </w:t>
      </w:r>
      <w:r w:rsidRPr="00256A9F" w:rsidR="00256A9F">
        <w:rPr>
          <w:rFonts w:ascii="Book Antiqua" w:hAnsi="Book Antiqua"/>
          <w:iCs/>
          <w:color w:val="000000"/>
          <w:sz w:val="22"/>
          <w:szCs w:val="22"/>
        </w:rPr>
        <w:t>bolo viazať lehotu na okamih, keď Štátna komisia pre voľby a kontrolu financovania politických strán zverejní celkové výsledky volieb.</w:t>
      </w:r>
    </w:p>
    <w:p w:rsidR="00B007EC" w:rsidP="00B007EC">
      <w:pPr>
        <w:pStyle w:val="NormalWeb"/>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w:t>
      </w:r>
      <w:r>
        <w:rPr>
          <w:rFonts w:ascii="Book Antiqua" w:hAnsi="Book Antiqua"/>
          <w:bCs/>
          <w:sz w:val="22"/>
          <w:szCs w:val="22"/>
          <w:u w:val="single"/>
        </w:rPr>
        <w:t>bodu 3</w:t>
      </w:r>
    </w:p>
    <w:p w:rsidR="00D879C2" w:rsidRPr="00B54E08" w:rsidP="00B007EC">
      <w:pPr>
        <w:pStyle w:val="NormalWeb"/>
        <w:spacing w:before="120" w:beforeAutospacing="0" w:after="0" w:afterAutospacing="0" w:line="276" w:lineRule="auto"/>
        <w:ind w:firstLine="708"/>
        <w:jc w:val="both"/>
        <w:rPr>
          <w:rFonts w:ascii="Book Antiqua" w:hAnsi="Book Antiqua"/>
          <w:bCs/>
          <w:sz w:val="22"/>
          <w:szCs w:val="22"/>
          <w:u w:val="single"/>
        </w:rPr>
      </w:pPr>
      <w:r w:rsidRPr="00B54E08" w:rsidR="00B54E08">
        <w:rPr>
          <w:rFonts w:ascii="Book Antiqua" w:hAnsi="Book Antiqua"/>
          <w:iCs/>
          <w:color w:val="000000"/>
          <w:sz w:val="22"/>
          <w:szCs w:val="22"/>
        </w:rPr>
        <w:t xml:space="preserve">Keďže žalovaným je – na rozdiel od správneho orgánu pri všeobecnej správnej žalobe – súkromnoprávny subjekt (politická strana, hnutie, koalícia, nezávislý kandidát), je len na jeho voľbe, či sa </w:t>
      </w:r>
      <w:r w:rsidR="00B54E08">
        <w:rPr>
          <w:rFonts w:ascii="Book Antiqua" w:hAnsi="Book Antiqua"/>
          <w:iCs/>
          <w:color w:val="000000"/>
          <w:sz w:val="22"/>
          <w:szCs w:val="22"/>
        </w:rPr>
        <w:t xml:space="preserve">k žalobe vyjadrí. Terajšie znenie zákona </w:t>
      </w:r>
      <w:r w:rsidRPr="00B54E08" w:rsidR="00B54E08">
        <w:rPr>
          <w:rFonts w:ascii="Book Antiqua" w:hAnsi="Book Antiqua"/>
          <w:iCs/>
          <w:color w:val="000000"/>
          <w:sz w:val="22"/>
          <w:szCs w:val="22"/>
        </w:rPr>
        <w:t>by mohlo viesť k sporom, či správny súd môže bez vyjadrenia konať alebo sa má vyjadrenie žalovaného vynucovať poriadkovými pokutami.</w:t>
      </w:r>
    </w:p>
    <w:p w:rsidR="00D879C2" w:rsidP="003761B1">
      <w:pPr>
        <w:pStyle w:val="NormalWeb"/>
        <w:spacing w:before="120" w:beforeAutospacing="0" w:after="0" w:afterAutospacing="0" w:line="276" w:lineRule="auto"/>
        <w:jc w:val="both"/>
        <w:rPr>
          <w:rFonts w:ascii="Book Antiqua" w:hAnsi="Book Antiqua"/>
          <w:bCs/>
          <w:sz w:val="22"/>
          <w:szCs w:val="22"/>
          <w:u w:val="single"/>
        </w:rPr>
      </w:pPr>
      <w:r w:rsidR="00B007EC">
        <w:rPr>
          <w:rFonts w:ascii="Book Antiqua" w:hAnsi="Book Antiqua"/>
          <w:bCs/>
          <w:sz w:val="22"/>
          <w:szCs w:val="22"/>
          <w:u w:val="single"/>
        </w:rPr>
        <w:t>K bodu 4</w:t>
      </w:r>
    </w:p>
    <w:p w:rsidR="006A599D" w:rsidP="006A599D">
      <w:pPr>
        <w:pStyle w:val="NormalWeb"/>
        <w:spacing w:before="120" w:beforeAutospacing="0" w:after="0" w:afterAutospacing="0" w:line="276" w:lineRule="auto"/>
        <w:ind w:firstLine="708"/>
        <w:jc w:val="both"/>
        <w:rPr>
          <w:rFonts w:ascii="Book Antiqua" w:hAnsi="Book Antiqua"/>
          <w:iCs/>
          <w:color w:val="000000"/>
          <w:sz w:val="22"/>
          <w:szCs w:val="22"/>
        </w:rPr>
      </w:pPr>
      <w:r>
        <w:rPr>
          <w:rFonts w:ascii="Book Antiqua" w:hAnsi="Book Antiqua"/>
          <w:iCs/>
          <w:color w:val="000000"/>
          <w:sz w:val="22"/>
          <w:szCs w:val="22"/>
        </w:rPr>
        <w:t xml:space="preserve">Pri ustanoveniach týkajúcich sa doručovania treba zohľadniť, že </w:t>
      </w:r>
      <w:r w:rsidRPr="006A599D">
        <w:rPr>
          <w:rFonts w:ascii="Book Antiqua" w:hAnsi="Book Antiqua"/>
          <w:iCs/>
          <w:color w:val="000000"/>
          <w:sz w:val="22"/>
          <w:szCs w:val="22"/>
        </w:rPr>
        <w:t>žalovaným nie je správny orgán (volebná komisia), ale jednotlivé</w:t>
      </w:r>
      <w:r w:rsidRPr="006A599D">
        <w:rPr>
          <w:rFonts w:ascii="Book Antiqua" w:hAnsi="Book Antiqua"/>
          <w:iCs/>
          <w:color w:val="000000"/>
          <w:sz w:val="22"/>
          <w:szCs w:val="22"/>
        </w:rPr>
        <w:t xml:space="preserve"> strany/hnutia/koalície/nezávislí kandidáti. Tieto </w:t>
      </w:r>
      <w:r>
        <w:rPr>
          <w:rFonts w:ascii="Book Antiqua" w:hAnsi="Book Antiqua"/>
          <w:iCs/>
          <w:color w:val="000000"/>
          <w:sz w:val="22"/>
          <w:szCs w:val="22"/>
        </w:rPr>
        <w:t xml:space="preserve">subjekty </w:t>
      </w:r>
      <w:r w:rsidRPr="006A599D">
        <w:rPr>
          <w:rFonts w:ascii="Book Antiqua" w:hAnsi="Book Antiqua"/>
          <w:iCs/>
          <w:color w:val="000000"/>
          <w:sz w:val="22"/>
          <w:szCs w:val="22"/>
        </w:rPr>
        <w:t>si musia pri podaní kandidátnej listiny ustanoviť spln</w:t>
      </w:r>
      <w:r>
        <w:rPr>
          <w:rFonts w:ascii="Book Antiqua" w:hAnsi="Book Antiqua"/>
          <w:iCs/>
          <w:color w:val="000000"/>
          <w:sz w:val="22"/>
          <w:szCs w:val="22"/>
        </w:rPr>
        <w:t>omocnenca vo volebných veciach [§ 139 ods. 5 písm. b)</w:t>
      </w:r>
      <w:r w:rsidRPr="006A599D">
        <w:rPr>
          <w:rFonts w:ascii="Book Antiqua" w:hAnsi="Book Antiqua"/>
          <w:iCs/>
          <w:color w:val="000000"/>
          <w:sz w:val="22"/>
          <w:szCs w:val="22"/>
        </w:rPr>
        <w:t>, § 144 ods. 4 pí</w:t>
      </w:r>
      <w:r>
        <w:rPr>
          <w:rFonts w:ascii="Book Antiqua" w:hAnsi="Book Antiqua"/>
          <w:iCs/>
          <w:color w:val="000000"/>
          <w:sz w:val="22"/>
          <w:szCs w:val="22"/>
        </w:rPr>
        <w:t>sm. b), § 171 ods. 5 písm. b)</w:t>
      </w:r>
      <w:r w:rsidRPr="006A599D">
        <w:rPr>
          <w:rFonts w:ascii="Book Antiqua" w:hAnsi="Book Antiqua"/>
          <w:iCs/>
          <w:color w:val="000000"/>
          <w:sz w:val="22"/>
          <w:szCs w:val="22"/>
        </w:rPr>
        <w:t>, § 176 ods. 4 p</w:t>
      </w:r>
      <w:r>
        <w:rPr>
          <w:rFonts w:ascii="Book Antiqua" w:hAnsi="Book Antiqua"/>
          <w:iCs/>
          <w:color w:val="000000"/>
          <w:sz w:val="22"/>
          <w:szCs w:val="22"/>
        </w:rPr>
        <w:t>ísm. b) volebného zákona]</w:t>
      </w:r>
      <w:r w:rsidRPr="006A599D">
        <w:rPr>
          <w:rFonts w:ascii="Book Antiqua" w:hAnsi="Book Antiqua"/>
          <w:iCs/>
          <w:color w:val="000000"/>
          <w:sz w:val="22"/>
          <w:szCs w:val="22"/>
        </w:rPr>
        <w:t xml:space="preserve">. </w:t>
      </w:r>
    </w:p>
    <w:p w:rsidR="00D879C2" w:rsidRPr="006A599D" w:rsidP="006A599D">
      <w:pPr>
        <w:pStyle w:val="NormalWeb"/>
        <w:spacing w:before="120" w:beforeAutospacing="0" w:after="0" w:afterAutospacing="0" w:line="276" w:lineRule="auto"/>
        <w:ind w:firstLine="708"/>
        <w:jc w:val="both"/>
        <w:rPr>
          <w:rFonts w:ascii="Book Antiqua" w:hAnsi="Book Antiqua"/>
          <w:bCs/>
          <w:sz w:val="22"/>
          <w:szCs w:val="22"/>
          <w:u w:val="single"/>
        </w:rPr>
      </w:pPr>
      <w:r w:rsidRPr="006A599D" w:rsidR="006A599D">
        <w:rPr>
          <w:rFonts w:ascii="Book Antiqua" w:hAnsi="Book Antiqua"/>
          <w:iCs/>
          <w:color w:val="000000"/>
          <w:sz w:val="22"/>
          <w:szCs w:val="22"/>
        </w:rPr>
        <w:t xml:space="preserve">Osoba splnomocnenca je praktická najmä preto, že ide o konkrétnu fyzickú osobu s konkrétnou adresou, ktorá už vo volebnom procese preberá za stranu písomnosti. Najmä vo voľbách do orgánov samosprávy obcí kandidujú často malé miestne strany, ktoré nemajú formálnu štruktúru, ich adresa je často nedostupná a pod., takže doručiť na ňu čokoľvek môže byť problém. Ďalším problémom je existencia volebných koalícií, ktoré nemajú právnu subjektivitu, sú </w:t>
      </w:r>
      <w:r w:rsidRPr="006A599D" w:rsidR="006A599D">
        <w:rPr>
          <w:rFonts w:ascii="Book Antiqua" w:hAnsi="Book Antiqua"/>
          <w:i/>
          <w:iCs/>
          <w:color w:val="000000"/>
          <w:sz w:val="22"/>
          <w:szCs w:val="22"/>
        </w:rPr>
        <w:t>ad hoc</w:t>
      </w:r>
      <w:r w:rsidRPr="006A599D" w:rsidR="006A599D">
        <w:rPr>
          <w:rFonts w:ascii="Book Antiqua" w:hAnsi="Book Antiqua"/>
          <w:iCs/>
          <w:color w:val="000000"/>
          <w:sz w:val="22"/>
          <w:szCs w:val="22"/>
        </w:rPr>
        <w:t xml:space="preserve"> spojením, a tak ani nemajú spoločnú adresu na doručovanie. Splnomocnenca však majú vždy ustanoveného jedného, takže doručenie jemu je možné a aj praktické. Navyše sa tým neprekročí ani účel jeho ustanovenia (aj súdny prieskum volieb </w:t>
      </w:r>
      <w:r w:rsidR="00424B9F">
        <w:rPr>
          <w:rFonts w:ascii="Book Antiqua" w:hAnsi="Book Antiqua"/>
          <w:iCs/>
          <w:color w:val="000000"/>
          <w:sz w:val="22"/>
          <w:szCs w:val="22"/>
        </w:rPr>
        <w:t>možno považovať za súčasť</w:t>
      </w:r>
      <w:r w:rsidRPr="006A599D" w:rsidR="006A599D">
        <w:rPr>
          <w:rFonts w:ascii="Book Antiqua" w:hAnsi="Book Antiqua"/>
          <w:iCs/>
          <w:color w:val="000000"/>
          <w:sz w:val="22"/>
          <w:szCs w:val="22"/>
        </w:rPr>
        <w:t xml:space="preserve"> „volebných vecí“).</w:t>
      </w:r>
    </w:p>
    <w:p w:rsidR="00D879C2" w:rsidP="003761B1">
      <w:pPr>
        <w:pStyle w:val="NormalWeb"/>
        <w:spacing w:before="120" w:beforeAutospacing="0" w:after="0" w:afterAutospacing="0" w:line="276" w:lineRule="auto"/>
        <w:jc w:val="both"/>
        <w:rPr>
          <w:rFonts w:ascii="Book Antiqua" w:hAnsi="Book Antiqua"/>
          <w:bCs/>
          <w:sz w:val="22"/>
          <w:szCs w:val="22"/>
          <w:u w:val="single"/>
        </w:rPr>
      </w:pPr>
      <w:r w:rsidR="00B007EC">
        <w:rPr>
          <w:rFonts w:ascii="Book Antiqua" w:hAnsi="Book Antiqua"/>
          <w:bCs/>
          <w:sz w:val="22"/>
          <w:szCs w:val="22"/>
          <w:u w:val="single"/>
        </w:rPr>
        <w:t>K bodom 5 až 7</w:t>
      </w:r>
    </w:p>
    <w:p w:rsidR="00424B9F" w:rsidRPr="00424B9F" w:rsidP="00424B9F">
      <w:pPr>
        <w:spacing w:before="120" w:line="276" w:lineRule="auto"/>
        <w:ind w:firstLine="708"/>
        <w:jc w:val="both"/>
        <w:rPr>
          <w:rFonts w:ascii="Book Antiqua" w:hAnsi="Book Antiqua"/>
          <w:bCs/>
          <w:iCs/>
          <w:color w:val="000000"/>
          <w:sz w:val="22"/>
          <w:szCs w:val="22"/>
        </w:rPr>
      </w:pPr>
      <w:r w:rsidRPr="00424B9F">
        <w:rPr>
          <w:rFonts w:ascii="Book Antiqua" w:hAnsi="Book Antiqua"/>
          <w:bCs/>
          <w:iCs/>
          <w:color w:val="000000"/>
          <w:sz w:val="22"/>
          <w:szCs w:val="22"/>
        </w:rPr>
        <w:t>Historicky právomoc</w:t>
      </w:r>
      <w:r w:rsidRPr="00424B9F">
        <w:rPr>
          <w:rFonts w:ascii="Book Antiqua" w:hAnsi="Book Antiqua"/>
          <w:bCs/>
          <w:iCs/>
          <w:color w:val="000000"/>
          <w:sz w:val="22"/>
          <w:szCs w:val="22"/>
        </w:rPr>
        <w:t xml:space="preserve"> </w:t>
      </w:r>
      <w:r w:rsidRPr="00E33BBA">
        <w:rPr>
          <w:rFonts w:ascii="Book Antiqua" w:hAnsi="Book Antiqua"/>
          <w:bCs/>
          <w:i/>
          <w:iCs/>
          <w:color w:val="000000"/>
          <w:sz w:val="22"/>
          <w:szCs w:val="22"/>
        </w:rPr>
        <w:t>ex post</w:t>
      </w:r>
      <w:r w:rsidRPr="00424B9F">
        <w:rPr>
          <w:rFonts w:ascii="Book Antiqua" w:hAnsi="Book Antiqua"/>
          <w:bCs/>
          <w:iCs/>
          <w:color w:val="000000"/>
          <w:sz w:val="22"/>
          <w:szCs w:val="22"/>
        </w:rPr>
        <w:t xml:space="preserve"> súdnej kontroly volieb do orgánov územnej samosprávy patrila Ústavnému súdu </w:t>
      </w:r>
      <w:r w:rsidR="00E33BBA">
        <w:rPr>
          <w:rFonts w:ascii="Book Antiqua" w:hAnsi="Book Antiqua"/>
          <w:bCs/>
          <w:iCs/>
          <w:color w:val="000000"/>
          <w:sz w:val="22"/>
          <w:szCs w:val="22"/>
        </w:rPr>
        <w:t xml:space="preserve">Slovenskej republiky </w:t>
      </w:r>
      <w:r w:rsidRPr="00424B9F">
        <w:rPr>
          <w:rFonts w:ascii="Book Antiqua" w:hAnsi="Book Antiqua"/>
          <w:bCs/>
          <w:iCs/>
          <w:color w:val="000000"/>
          <w:sz w:val="22"/>
          <w:szCs w:val="22"/>
        </w:rPr>
        <w:t xml:space="preserve">s ohľadom na čl. 129 ods. 2 Ústavy </w:t>
      </w:r>
      <w:r w:rsidR="008D1897">
        <w:rPr>
          <w:rFonts w:ascii="Book Antiqua" w:hAnsi="Book Antiqua"/>
          <w:bCs/>
          <w:iCs/>
          <w:color w:val="000000"/>
          <w:sz w:val="22"/>
          <w:szCs w:val="22"/>
        </w:rPr>
        <w:t xml:space="preserve">Slovenskej republiky </w:t>
      </w:r>
      <w:r w:rsidRPr="00424B9F">
        <w:rPr>
          <w:rFonts w:ascii="Book Antiqua" w:hAnsi="Book Antiqua"/>
          <w:bCs/>
          <w:iCs/>
          <w:color w:val="000000"/>
          <w:sz w:val="22"/>
          <w:szCs w:val="22"/>
        </w:rPr>
        <w:t>v znení do 31. decembra 2020 v spojení s čl. 154g ods. 5 Ústavy</w:t>
      </w:r>
      <w:r w:rsidR="008D1897">
        <w:rPr>
          <w:rFonts w:ascii="Book Antiqua" w:hAnsi="Book Antiqua"/>
          <w:bCs/>
          <w:iCs/>
          <w:color w:val="000000"/>
          <w:sz w:val="22"/>
          <w:szCs w:val="22"/>
        </w:rPr>
        <w:t xml:space="preserve"> Slovenskej republiky</w:t>
      </w:r>
      <w:r w:rsidRPr="00424B9F">
        <w:rPr>
          <w:rFonts w:ascii="Book Antiqua" w:hAnsi="Book Antiqua"/>
          <w:bCs/>
          <w:iCs/>
          <w:color w:val="000000"/>
          <w:sz w:val="22"/>
          <w:szCs w:val="22"/>
        </w:rPr>
        <w:t xml:space="preserve">, a to do </w:t>
      </w:r>
      <w:r w:rsidRPr="00424B9F">
        <w:rPr>
          <w:rFonts w:ascii="Book Antiqua" w:hAnsi="Book Antiqua"/>
          <w:bCs/>
          <w:iCs/>
          <w:color w:val="000000"/>
          <w:sz w:val="22"/>
          <w:szCs w:val="22"/>
        </w:rPr>
        <w:t xml:space="preserve">31. júla 2021. </w:t>
      </w:r>
      <w:r w:rsidR="008D1897">
        <w:rPr>
          <w:rFonts w:ascii="Book Antiqua" w:hAnsi="Book Antiqua"/>
          <w:bCs/>
          <w:iCs/>
          <w:color w:val="000000"/>
          <w:sz w:val="22"/>
          <w:szCs w:val="22"/>
        </w:rPr>
        <w:t xml:space="preserve">Dňa </w:t>
      </w:r>
      <w:r w:rsidRPr="00424B9F">
        <w:rPr>
          <w:rFonts w:ascii="Book Antiqua" w:hAnsi="Book Antiqua"/>
          <w:bCs/>
          <w:iCs/>
          <w:color w:val="000000"/>
          <w:sz w:val="22"/>
          <w:szCs w:val="22"/>
        </w:rPr>
        <w:t xml:space="preserve">1. augusta 2021 začal Najvyšší správny súd </w:t>
      </w:r>
      <w:r w:rsidR="008D1897">
        <w:rPr>
          <w:rFonts w:ascii="Book Antiqua" w:hAnsi="Book Antiqua"/>
          <w:bCs/>
          <w:iCs/>
          <w:color w:val="000000"/>
          <w:sz w:val="22"/>
          <w:szCs w:val="22"/>
        </w:rPr>
        <w:t xml:space="preserve">Slovenskej republiky </w:t>
      </w:r>
      <w:r w:rsidRPr="00424B9F">
        <w:rPr>
          <w:rFonts w:ascii="Book Antiqua" w:hAnsi="Book Antiqua"/>
          <w:bCs/>
          <w:iCs/>
          <w:color w:val="000000"/>
          <w:sz w:val="22"/>
          <w:szCs w:val="22"/>
        </w:rPr>
        <w:t xml:space="preserve">činnosť a prevzal od Ústavného súdu </w:t>
      </w:r>
      <w:r w:rsidR="008D1897">
        <w:rPr>
          <w:rFonts w:ascii="Book Antiqua" w:hAnsi="Book Antiqua"/>
          <w:bCs/>
          <w:iCs/>
          <w:color w:val="000000"/>
          <w:sz w:val="22"/>
          <w:szCs w:val="22"/>
        </w:rPr>
        <w:t xml:space="preserve">Slovenskej republiky </w:t>
      </w:r>
      <w:r w:rsidRPr="00424B9F">
        <w:rPr>
          <w:rFonts w:ascii="Book Antiqua" w:hAnsi="Book Antiqua"/>
          <w:bCs/>
          <w:iCs/>
          <w:color w:val="000000"/>
          <w:sz w:val="22"/>
          <w:szCs w:val="22"/>
        </w:rPr>
        <w:t>právomoc vo vzťahu k </w:t>
      </w:r>
      <w:r w:rsidRPr="008D1897">
        <w:rPr>
          <w:rFonts w:ascii="Book Antiqua" w:hAnsi="Book Antiqua"/>
          <w:bCs/>
          <w:i/>
          <w:iCs/>
          <w:color w:val="000000"/>
          <w:sz w:val="22"/>
          <w:szCs w:val="22"/>
        </w:rPr>
        <w:t>ex post</w:t>
      </w:r>
      <w:r w:rsidRPr="00424B9F">
        <w:rPr>
          <w:rFonts w:ascii="Book Antiqua" w:hAnsi="Book Antiqua"/>
          <w:bCs/>
          <w:iCs/>
          <w:color w:val="000000"/>
          <w:sz w:val="22"/>
          <w:szCs w:val="22"/>
        </w:rPr>
        <w:t xml:space="preserve"> súdnej kontrole volieb, a to podľa čl. 142 ods. 2 písm. a) Ústavy</w:t>
      </w:r>
      <w:r w:rsidR="008D1897">
        <w:rPr>
          <w:rFonts w:ascii="Book Antiqua" w:hAnsi="Book Antiqua"/>
          <w:bCs/>
          <w:iCs/>
          <w:color w:val="000000"/>
          <w:sz w:val="22"/>
          <w:szCs w:val="22"/>
        </w:rPr>
        <w:t xml:space="preserve"> Slovenskej republiky</w:t>
      </w:r>
      <w:r w:rsidRPr="00424B9F">
        <w:rPr>
          <w:rFonts w:ascii="Book Antiqua" w:hAnsi="Book Antiqua"/>
          <w:bCs/>
          <w:iCs/>
          <w:color w:val="000000"/>
          <w:sz w:val="22"/>
          <w:szCs w:val="22"/>
        </w:rPr>
        <w:t>.</w:t>
      </w:r>
      <w:r w:rsidRPr="00424B9F">
        <w:rPr>
          <w:rFonts w:ascii="Book Antiqua" w:hAnsi="Book Antiqua"/>
          <w:bCs/>
          <w:iCs/>
          <w:color w:val="000000"/>
          <w:sz w:val="22"/>
          <w:szCs w:val="22"/>
        </w:rPr>
        <w:t xml:space="preserve"> </w:t>
      </w:r>
    </w:p>
    <w:p w:rsidR="00424B9F" w:rsidRPr="00424B9F" w:rsidP="00424B9F">
      <w:pPr>
        <w:spacing w:before="120" w:line="276" w:lineRule="auto"/>
        <w:ind w:firstLine="708"/>
        <w:jc w:val="both"/>
        <w:rPr>
          <w:rFonts w:ascii="Book Antiqua" w:hAnsi="Book Antiqua"/>
          <w:iCs/>
          <w:color w:val="000000"/>
          <w:sz w:val="22"/>
          <w:szCs w:val="22"/>
        </w:rPr>
      </w:pPr>
      <w:r w:rsidRPr="00424B9F">
        <w:rPr>
          <w:rFonts w:ascii="Book Antiqua" w:hAnsi="Book Antiqua"/>
          <w:bCs/>
          <w:iCs/>
          <w:color w:val="000000"/>
          <w:sz w:val="22"/>
          <w:szCs w:val="22"/>
        </w:rPr>
        <w:t xml:space="preserve">V príslušnej procesnej úprave naposledy obsiahnutej v zákone č. 314/2018 Z. z. o </w:t>
      </w:r>
      <w:r w:rsidRPr="00424B9F">
        <w:rPr>
          <w:rFonts w:ascii="Book Antiqua" w:hAnsi="Book Antiqua"/>
          <w:iCs/>
          <w:color w:val="000000"/>
          <w:sz w:val="22"/>
          <w:szCs w:val="22"/>
        </w:rPr>
        <w:t xml:space="preserve">Ústavnom súde Slovenskej republiky a o zmene a doplnení niektorých zákonov v znení do 31. decembra 2020 (a predtým v zákone Národnej rady Slovenskej republiky č. 38/1993 Z. </w:t>
      </w:r>
      <w:r w:rsidRPr="00424B9F">
        <w:rPr>
          <w:rFonts w:ascii="Book Antiqua" w:hAnsi="Book Antiqua"/>
          <w:iCs/>
          <w:color w:val="000000"/>
          <w:sz w:val="22"/>
          <w:szCs w:val="22"/>
        </w:rPr>
        <w:t xml:space="preserve">z. o organizácii Ústavného súdu Slovenskej republiky, o konaní pred ním a o postavení jeho sudcov v znení neskorších predpisov) mal Ústavný súd </w:t>
      </w:r>
      <w:r w:rsidR="008D1897">
        <w:rPr>
          <w:rFonts w:ascii="Book Antiqua" w:hAnsi="Book Antiqua"/>
          <w:iCs/>
          <w:color w:val="000000"/>
          <w:sz w:val="22"/>
          <w:szCs w:val="22"/>
        </w:rPr>
        <w:t xml:space="preserve">Slovenskej republiky </w:t>
      </w:r>
      <w:r w:rsidRPr="00424B9F">
        <w:rPr>
          <w:rFonts w:ascii="Book Antiqua" w:hAnsi="Book Antiqua"/>
          <w:iCs/>
          <w:color w:val="000000"/>
          <w:sz w:val="22"/>
          <w:szCs w:val="22"/>
        </w:rPr>
        <w:t>k dispozícii nástroje na efektívne zvládnutie vybavovania volebnej agendy.</w:t>
      </w:r>
    </w:p>
    <w:p w:rsidR="00424B9F" w:rsidRPr="00424B9F" w:rsidP="00424B9F">
      <w:pPr>
        <w:spacing w:before="120" w:line="276" w:lineRule="auto"/>
        <w:ind w:firstLine="708"/>
        <w:jc w:val="both"/>
        <w:rPr>
          <w:rFonts w:ascii="Book Antiqua" w:hAnsi="Book Antiqua"/>
          <w:bCs/>
          <w:iCs/>
          <w:color w:val="000000"/>
          <w:sz w:val="22"/>
          <w:szCs w:val="22"/>
        </w:rPr>
      </w:pPr>
      <w:r w:rsidRPr="00424B9F">
        <w:rPr>
          <w:rFonts w:ascii="Book Antiqua" w:hAnsi="Book Antiqua"/>
          <w:iCs/>
          <w:color w:val="000000"/>
          <w:sz w:val="22"/>
          <w:szCs w:val="22"/>
        </w:rPr>
        <w:t xml:space="preserve">Išlo o možnosť </w:t>
      </w:r>
      <w:r w:rsidR="008D1897">
        <w:rPr>
          <w:rFonts w:ascii="Book Antiqua" w:hAnsi="Book Antiqua"/>
          <w:iCs/>
          <w:color w:val="000000"/>
          <w:sz w:val="22"/>
          <w:szCs w:val="22"/>
        </w:rPr>
        <w:t xml:space="preserve">odmietnuť </w:t>
      </w:r>
      <w:r w:rsidRPr="00424B9F">
        <w:rPr>
          <w:rFonts w:ascii="Book Antiqua" w:hAnsi="Book Antiqua"/>
          <w:iCs/>
          <w:color w:val="000000"/>
          <w:sz w:val="22"/>
          <w:szCs w:val="22"/>
        </w:rPr>
        <w:t>návrh vo volebných veciach už pri predbežnom prerokovaní (</w:t>
      </w:r>
      <w:r w:rsidRPr="008D1897">
        <w:rPr>
          <w:rFonts w:ascii="Book Antiqua" w:hAnsi="Book Antiqua"/>
          <w:i/>
          <w:iCs/>
          <w:color w:val="000000"/>
          <w:sz w:val="22"/>
          <w:szCs w:val="22"/>
        </w:rPr>
        <w:t>a limine</w:t>
      </w:r>
      <w:r w:rsidRPr="00424B9F">
        <w:rPr>
          <w:rFonts w:ascii="Book Antiqua" w:hAnsi="Book Antiqua"/>
          <w:iCs/>
          <w:color w:val="000000"/>
          <w:sz w:val="22"/>
          <w:szCs w:val="22"/>
        </w:rPr>
        <w:t>) bez ústneho konania a bez ďalšej participác</w:t>
      </w:r>
      <w:r w:rsidR="008D1897">
        <w:rPr>
          <w:rFonts w:ascii="Book Antiqua" w:hAnsi="Book Antiqua"/>
          <w:iCs/>
          <w:color w:val="000000"/>
          <w:sz w:val="22"/>
          <w:szCs w:val="22"/>
        </w:rPr>
        <w:t xml:space="preserve">ie účastníkov konania </w:t>
      </w:r>
      <w:r w:rsidRPr="00424B9F">
        <w:rPr>
          <w:rFonts w:ascii="Book Antiqua" w:hAnsi="Book Antiqua"/>
          <w:iCs/>
          <w:color w:val="000000"/>
          <w:sz w:val="22"/>
          <w:szCs w:val="22"/>
        </w:rPr>
        <w:t>pre zjavnú neopodstatnenosť podľa § 56 ods. 2 písm. g) uvedeného zákona</w:t>
      </w:r>
      <w:r w:rsidRPr="00424B9F">
        <w:rPr>
          <w:rFonts w:ascii="Book Antiqua" w:hAnsi="Book Antiqua"/>
          <w:color w:val="000000"/>
          <w:sz w:val="22"/>
          <w:szCs w:val="22"/>
        </w:rPr>
        <w:t>.</w:t>
      </w:r>
    </w:p>
    <w:p w:rsidR="00424B9F" w:rsidRPr="00424B9F" w:rsidP="00424B9F">
      <w:pPr>
        <w:spacing w:before="120" w:line="276" w:lineRule="auto"/>
        <w:ind w:firstLine="708"/>
        <w:jc w:val="both"/>
        <w:rPr>
          <w:rFonts w:ascii="Book Antiqua" w:hAnsi="Book Antiqua"/>
          <w:bCs/>
          <w:iCs/>
          <w:color w:val="000000"/>
          <w:sz w:val="22"/>
          <w:szCs w:val="22"/>
        </w:rPr>
      </w:pPr>
      <w:r w:rsidRPr="00424B9F">
        <w:rPr>
          <w:rFonts w:ascii="Book Antiqua" w:hAnsi="Book Antiqua"/>
          <w:iCs/>
          <w:color w:val="000000"/>
          <w:sz w:val="22"/>
          <w:szCs w:val="22"/>
        </w:rPr>
        <w:t xml:space="preserve">Ústavný súd </w:t>
      </w:r>
      <w:r w:rsidR="008D1897">
        <w:rPr>
          <w:rFonts w:ascii="Book Antiqua" w:hAnsi="Book Antiqua"/>
          <w:iCs/>
          <w:color w:val="000000"/>
          <w:sz w:val="22"/>
          <w:szCs w:val="22"/>
        </w:rPr>
        <w:t xml:space="preserve">Slovenskej republiky </w:t>
      </w:r>
      <w:r w:rsidRPr="00424B9F">
        <w:rPr>
          <w:rFonts w:ascii="Book Antiqua" w:hAnsi="Book Antiqua"/>
          <w:iCs/>
          <w:color w:val="000000"/>
          <w:sz w:val="22"/>
          <w:szCs w:val="22"/>
        </w:rPr>
        <w:t xml:space="preserve">ďalej vo volebných veciach nemusel vykonávať </w:t>
      </w:r>
      <w:r w:rsidR="008D1897">
        <w:rPr>
          <w:rFonts w:ascii="Book Antiqua" w:hAnsi="Book Antiqua"/>
          <w:iCs/>
          <w:color w:val="000000"/>
          <w:sz w:val="22"/>
          <w:szCs w:val="22"/>
        </w:rPr>
        <w:t>ústne pojednávanie (</w:t>
      </w:r>
      <w:r w:rsidRPr="008D1897" w:rsidR="008D1897">
        <w:rPr>
          <w:rFonts w:ascii="Book Antiqua" w:hAnsi="Book Antiqua"/>
          <w:i/>
          <w:iCs/>
          <w:color w:val="000000"/>
          <w:sz w:val="22"/>
          <w:szCs w:val="22"/>
        </w:rPr>
        <w:t>a contrario</w:t>
      </w:r>
      <w:r w:rsidR="008D1897">
        <w:rPr>
          <w:rFonts w:ascii="Book Antiqua" w:hAnsi="Book Antiqua"/>
          <w:iCs/>
          <w:color w:val="000000"/>
          <w:sz w:val="22"/>
          <w:szCs w:val="22"/>
        </w:rPr>
        <w:t xml:space="preserve"> </w:t>
      </w:r>
      <w:r w:rsidRPr="00424B9F">
        <w:rPr>
          <w:rFonts w:ascii="Book Antiqua" w:hAnsi="Book Antiqua"/>
          <w:iCs/>
          <w:color w:val="000000"/>
          <w:sz w:val="22"/>
          <w:szCs w:val="22"/>
        </w:rPr>
        <w:t>§ 58 uvedeného zákona) a dokazovanie vypočutím svedkov mohol vykonávať prostredníctvom sudcu spravodajcu (§ 161 ods. 4 citovaného zákona).</w:t>
      </w:r>
    </w:p>
    <w:p w:rsidR="00424B9F" w:rsidRPr="00424B9F" w:rsidP="00424B9F">
      <w:pPr>
        <w:spacing w:before="120" w:line="276" w:lineRule="auto"/>
        <w:ind w:firstLine="708"/>
        <w:jc w:val="both"/>
        <w:rPr>
          <w:rFonts w:ascii="Book Antiqua" w:hAnsi="Book Antiqua"/>
          <w:bCs/>
          <w:iCs/>
          <w:color w:val="000000"/>
          <w:sz w:val="22"/>
          <w:szCs w:val="22"/>
        </w:rPr>
      </w:pPr>
      <w:r w:rsidRPr="00424B9F">
        <w:rPr>
          <w:rFonts w:ascii="Book Antiqua" w:hAnsi="Book Antiqua"/>
          <w:iCs/>
          <w:color w:val="000000"/>
          <w:sz w:val="22"/>
          <w:szCs w:val="22"/>
        </w:rPr>
        <w:t xml:space="preserve">Pokiaľ ide o prieskum volieb do orgánov územnej samosprávy, tento mal v prípade volieb do orgánov samosprávy obcí charakter nárazového nápadu desiatok vecí. Tu je potrebné dodať, že takéto značné počty vecí nezvykli napádať v prípade volieb do orgánov samosprávnych krajov, ktoré sa do tohto roku konali </w:t>
      </w:r>
      <w:r w:rsidRPr="00424B9F">
        <w:rPr>
          <w:rFonts w:ascii="Book Antiqua" w:hAnsi="Book Antiqua"/>
          <w:iCs/>
          <w:color w:val="000000"/>
          <w:sz w:val="22"/>
          <w:szCs w:val="22"/>
        </w:rPr>
        <w:t xml:space="preserve">termínovo oddelene od volieb do orgánov samosprávy obcí, </w:t>
      </w:r>
      <w:r w:rsidR="008D1897">
        <w:rPr>
          <w:rFonts w:ascii="Book Antiqua" w:hAnsi="Book Antiqua"/>
          <w:iCs/>
          <w:color w:val="000000"/>
          <w:sz w:val="22"/>
          <w:szCs w:val="22"/>
        </w:rPr>
        <w:t xml:space="preserve">v tomto roku sa však oba druhy </w:t>
      </w:r>
      <w:r w:rsidRPr="00424B9F">
        <w:rPr>
          <w:rFonts w:ascii="Book Antiqua" w:hAnsi="Book Antiqua"/>
          <w:iCs/>
          <w:color w:val="000000"/>
          <w:sz w:val="22"/>
          <w:szCs w:val="22"/>
        </w:rPr>
        <w:t>volieb budú konať spoločne v jeden deň, čo</w:t>
      </w:r>
      <w:r w:rsidR="008D1897">
        <w:rPr>
          <w:rFonts w:ascii="Book Antiqua" w:hAnsi="Book Antiqua"/>
          <w:iCs/>
          <w:color w:val="000000"/>
          <w:sz w:val="22"/>
          <w:szCs w:val="22"/>
        </w:rPr>
        <w:t xml:space="preserve"> bude číselne predstavovať </w:t>
      </w:r>
      <w:r w:rsidRPr="00424B9F">
        <w:rPr>
          <w:rFonts w:ascii="Book Antiqua" w:hAnsi="Book Antiqua"/>
          <w:iCs/>
          <w:color w:val="000000"/>
          <w:sz w:val="22"/>
          <w:szCs w:val="22"/>
        </w:rPr>
        <w:t>vyšší nápad volebných vecí v relatívnej krátkom období</w:t>
      </w:r>
      <w:r w:rsidR="008D1897">
        <w:rPr>
          <w:rFonts w:ascii="Book Antiqua" w:hAnsi="Book Antiqua"/>
          <w:iCs/>
          <w:color w:val="000000"/>
          <w:sz w:val="22"/>
          <w:szCs w:val="22"/>
        </w:rPr>
        <w:t xml:space="preserve"> ako tomu bolo doteraz</w:t>
      </w:r>
      <w:r w:rsidRPr="00424B9F">
        <w:rPr>
          <w:rFonts w:ascii="Book Antiqua" w:hAnsi="Book Antiqua"/>
          <w:iCs/>
          <w:color w:val="000000"/>
          <w:sz w:val="22"/>
          <w:szCs w:val="22"/>
        </w:rPr>
        <w:t>.</w:t>
      </w:r>
    </w:p>
    <w:p w:rsidR="00424B9F" w:rsidRPr="00424B9F" w:rsidP="00424B9F">
      <w:pPr>
        <w:spacing w:before="120" w:line="276" w:lineRule="auto"/>
        <w:ind w:firstLine="708"/>
        <w:jc w:val="both"/>
        <w:rPr>
          <w:rFonts w:ascii="Book Antiqua" w:hAnsi="Book Antiqua"/>
          <w:bCs/>
          <w:iCs/>
          <w:color w:val="000000"/>
          <w:sz w:val="22"/>
          <w:szCs w:val="22"/>
        </w:rPr>
      </w:pPr>
      <w:r w:rsidRPr="00424B9F">
        <w:rPr>
          <w:rFonts w:ascii="Book Antiqua" w:hAnsi="Book Antiqua"/>
          <w:iCs/>
          <w:color w:val="000000"/>
          <w:sz w:val="22"/>
          <w:szCs w:val="22"/>
        </w:rPr>
        <w:t xml:space="preserve">Štatistika Ústavného </w:t>
      </w:r>
      <w:r w:rsidRPr="00424B9F">
        <w:rPr>
          <w:rFonts w:ascii="Book Antiqua" w:hAnsi="Book Antiqua"/>
          <w:iCs/>
          <w:color w:val="000000"/>
          <w:sz w:val="22"/>
          <w:szCs w:val="22"/>
        </w:rPr>
        <w:t>súdu</w:t>
      </w:r>
      <w:r w:rsidR="008D1897">
        <w:rPr>
          <w:rFonts w:ascii="Book Antiqua" w:hAnsi="Book Antiqua"/>
          <w:iCs/>
          <w:color w:val="000000"/>
          <w:sz w:val="22"/>
          <w:szCs w:val="22"/>
        </w:rPr>
        <w:t xml:space="preserve"> Slovenskej republiky</w:t>
      </w:r>
      <w:r w:rsidRPr="00424B9F">
        <w:rPr>
          <w:rFonts w:ascii="Book Antiqua" w:hAnsi="Book Antiqua"/>
          <w:iCs/>
          <w:color w:val="000000"/>
          <w:sz w:val="22"/>
          <w:szCs w:val="22"/>
        </w:rPr>
        <w:t xml:space="preserve">, zverejnená na jeho webe, poskytuje informácie o počte volebných vecí, pokiaľ ide o voľby do orgánov územnej samosprávy. Napríklad v roku 2018 bolo Ústavnému súdu </w:t>
      </w:r>
      <w:r w:rsidR="008D1897">
        <w:rPr>
          <w:rFonts w:ascii="Book Antiqua" w:hAnsi="Book Antiqua"/>
          <w:iCs/>
          <w:color w:val="000000"/>
          <w:sz w:val="22"/>
          <w:szCs w:val="22"/>
        </w:rPr>
        <w:t xml:space="preserve">Slovenskej republiky </w:t>
      </w:r>
      <w:r w:rsidRPr="00424B9F">
        <w:rPr>
          <w:rFonts w:ascii="Book Antiqua" w:hAnsi="Book Antiqua"/>
          <w:iCs/>
          <w:color w:val="000000"/>
          <w:sz w:val="22"/>
          <w:szCs w:val="22"/>
        </w:rPr>
        <w:t xml:space="preserve">doručených 92 návrhov vo veci prieskumu komunálnych volieb, z toho až 66 z nich Ústavný súd </w:t>
      </w:r>
      <w:r w:rsidR="008D1897">
        <w:rPr>
          <w:rFonts w:ascii="Book Antiqua" w:hAnsi="Book Antiqua"/>
          <w:iCs/>
          <w:color w:val="000000"/>
          <w:sz w:val="22"/>
          <w:szCs w:val="22"/>
        </w:rPr>
        <w:t xml:space="preserve">Slovenskej republiky </w:t>
      </w:r>
      <w:r w:rsidRPr="00424B9F">
        <w:rPr>
          <w:rFonts w:ascii="Book Antiqua" w:hAnsi="Book Antiqua"/>
          <w:iCs/>
          <w:color w:val="000000"/>
          <w:sz w:val="22"/>
          <w:szCs w:val="22"/>
        </w:rPr>
        <w:t xml:space="preserve">vybavil </w:t>
      </w:r>
      <w:r w:rsidRPr="008D1897">
        <w:rPr>
          <w:rFonts w:ascii="Book Antiqua" w:hAnsi="Book Antiqua"/>
          <w:i/>
          <w:iCs/>
          <w:color w:val="000000"/>
          <w:sz w:val="22"/>
          <w:szCs w:val="22"/>
        </w:rPr>
        <w:t>a</w:t>
      </w:r>
      <w:r w:rsidR="008D1897">
        <w:rPr>
          <w:rFonts w:ascii="Book Antiqua" w:hAnsi="Book Antiqua"/>
          <w:i/>
          <w:iCs/>
          <w:color w:val="000000"/>
          <w:sz w:val="22"/>
          <w:szCs w:val="22"/>
        </w:rPr>
        <w:t> </w:t>
      </w:r>
      <w:r w:rsidRPr="008D1897">
        <w:rPr>
          <w:rFonts w:ascii="Book Antiqua" w:hAnsi="Book Antiqua"/>
          <w:i/>
          <w:iCs/>
          <w:color w:val="000000"/>
          <w:sz w:val="22"/>
          <w:szCs w:val="22"/>
        </w:rPr>
        <w:t>limine</w:t>
      </w:r>
      <w:r w:rsidR="008D1897">
        <w:rPr>
          <w:rFonts w:ascii="Book Antiqua" w:hAnsi="Book Antiqua"/>
          <w:iCs/>
          <w:color w:val="000000"/>
          <w:sz w:val="22"/>
          <w:szCs w:val="22"/>
        </w:rPr>
        <w:t>, a to buď</w:t>
      </w:r>
      <w:r w:rsidRPr="00424B9F">
        <w:rPr>
          <w:rFonts w:ascii="Book Antiqua" w:hAnsi="Book Antiqua"/>
          <w:iCs/>
          <w:color w:val="000000"/>
          <w:sz w:val="22"/>
          <w:szCs w:val="22"/>
        </w:rPr>
        <w:t xml:space="preserve"> odložením (31), resp. odmietnutím (okrem iného aj pre zjavnú neopodstatnenosť) (30), prípadne zastavením (3), alebo spojením vecí (2). Rovnako v prípade komunálnych volieb uskutočnených v roku 2014 bolo Ústavnému súdu</w:t>
      </w:r>
      <w:r w:rsidR="008D1897">
        <w:rPr>
          <w:rFonts w:ascii="Book Antiqua" w:hAnsi="Book Antiqua"/>
          <w:iCs/>
          <w:color w:val="000000"/>
          <w:sz w:val="22"/>
          <w:szCs w:val="22"/>
        </w:rPr>
        <w:t xml:space="preserve"> Slovenskej republiky</w:t>
      </w:r>
      <w:r w:rsidRPr="00424B9F">
        <w:rPr>
          <w:rFonts w:ascii="Book Antiqua" w:hAnsi="Book Antiqua"/>
          <w:iCs/>
          <w:color w:val="000000"/>
          <w:sz w:val="22"/>
          <w:szCs w:val="22"/>
        </w:rPr>
        <w:t xml:space="preserve"> doručených 85 návrhov vo veci prieskumu komunálnych volieb, z toho až 56 z nich Ústavný súd </w:t>
      </w:r>
      <w:r w:rsidR="008D1897">
        <w:rPr>
          <w:rFonts w:ascii="Book Antiqua" w:hAnsi="Book Antiqua"/>
          <w:iCs/>
          <w:color w:val="000000"/>
          <w:sz w:val="22"/>
          <w:szCs w:val="22"/>
        </w:rPr>
        <w:t xml:space="preserve">Slovenskej republiky </w:t>
      </w:r>
      <w:r w:rsidRPr="00424B9F">
        <w:rPr>
          <w:rFonts w:ascii="Book Antiqua" w:hAnsi="Book Antiqua"/>
          <w:iCs/>
          <w:color w:val="000000"/>
          <w:sz w:val="22"/>
          <w:szCs w:val="22"/>
        </w:rPr>
        <w:t xml:space="preserve">vybavil </w:t>
      </w:r>
      <w:r w:rsidRPr="008D1897">
        <w:rPr>
          <w:rFonts w:ascii="Book Antiqua" w:hAnsi="Book Antiqua"/>
          <w:i/>
          <w:iCs/>
          <w:color w:val="000000"/>
          <w:sz w:val="22"/>
          <w:szCs w:val="22"/>
        </w:rPr>
        <w:t>a</w:t>
      </w:r>
      <w:r w:rsidR="008D1897">
        <w:rPr>
          <w:rFonts w:ascii="Book Antiqua" w:hAnsi="Book Antiqua"/>
          <w:i/>
          <w:iCs/>
          <w:color w:val="000000"/>
          <w:sz w:val="22"/>
          <w:szCs w:val="22"/>
        </w:rPr>
        <w:t> </w:t>
      </w:r>
      <w:r w:rsidRPr="008D1897">
        <w:rPr>
          <w:rFonts w:ascii="Book Antiqua" w:hAnsi="Book Antiqua"/>
          <w:i/>
          <w:iCs/>
          <w:color w:val="000000"/>
          <w:sz w:val="22"/>
          <w:szCs w:val="22"/>
        </w:rPr>
        <w:t>limine</w:t>
      </w:r>
      <w:r w:rsidR="008D1897">
        <w:rPr>
          <w:rFonts w:ascii="Book Antiqua" w:hAnsi="Book Antiqua"/>
          <w:iCs/>
          <w:color w:val="000000"/>
          <w:sz w:val="22"/>
          <w:szCs w:val="22"/>
        </w:rPr>
        <w:t>, a to buď</w:t>
      </w:r>
      <w:r w:rsidRPr="00424B9F">
        <w:rPr>
          <w:rFonts w:ascii="Book Antiqua" w:hAnsi="Book Antiqua"/>
          <w:iCs/>
          <w:color w:val="000000"/>
          <w:sz w:val="22"/>
          <w:szCs w:val="22"/>
        </w:rPr>
        <w:t xml:space="preserve"> odložením (22), resp. odmietnutím (okrem iného aj pre zjavnú neopodstatnenosť) (31), prípadne zastavením (3). Aj keď Ústavný súd </w:t>
      </w:r>
      <w:r w:rsidR="008D1897">
        <w:rPr>
          <w:rFonts w:ascii="Book Antiqua" w:hAnsi="Book Antiqua"/>
          <w:iCs/>
          <w:color w:val="000000"/>
          <w:sz w:val="22"/>
          <w:szCs w:val="22"/>
        </w:rPr>
        <w:t xml:space="preserve">Slovenskej republiky </w:t>
      </w:r>
      <w:r w:rsidRPr="00424B9F">
        <w:rPr>
          <w:rFonts w:ascii="Book Antiqua" w:hAnsi="Book Antiqua"/>
          <w:iCs/>
          <w:color w:val="000000"/>
          <w:sz w:val="22"/>
          <w:szCs w:val="22"/>
        </w:rPr>
        <w:t xml:space="preserve">vo veciach rozhodoval meritórne nálezom či meritórnym uznesením, v oboch sledovaných obdobiach tak mohol urobiť bez ústneho pojednávania na neverejnom zasadnutí a dokazovanie vykonávať prostredníctvom sudcu spravodajcu, ktorý následne príslušnú formáciu Ústavného súdu </w:t>
      </w:r>
      <w:r w:rsidR="008D1897">
        <w:rPr>
          <w:rFonts w:ascii="Book Antiqua" w:hAnsi="Book Antiqua"/>
          <w:iCs/>
          <w:color w:val="000000"/>
          <w:sz w:val="22"/>
          <w:szCs w:val="22"/>
        </w:rPr>
        <w:t xml:space="preserve">Slovenskej republiky </w:t>
      </w:r>
      <w:r w:rsidRPr="00424B9F">
        <w:rPr>
          <w:rFonts w:ascii="Book Antiqua" w:hAnsi="Book Antiqua"/>
          <w:iCs/>
          <w:color w:val="000000"/>
          <w:sz w:val="22"/>
          <w:szCs w:val="22"/>
        </w:rPr>
        <w:t>(plénum) oboznámil s jeho výsledkami.</w:t>
      </w:r>
    </w:p>
    <w:p w:rsidR="00424B9F" w:rsidRPr="00424B9F" w:rsidP="00424B9F">
      <w:pPr>
        <w:spacing w:before="120" w:line="276" w:lineRule="auto"/>
        <w:ind w:firstLine="708"/>
        <w:jc w:val="both"/>
        <w:rPr>
          <w:rFonts w:ascii="Book Antiqua" w:hAnsi="Book Antiqua"/>
          <w:bCs/>
          <w:iCs/>
          <w:color w:val="000000"/>
          <w:sz w:val="22"/>
          <w:szCs w:val="22"/>
        </w:rPr>
      </w:pPr>
      <w:r w:rsidRPr="00424B9F">
        <w:rPr>
          <w:rFonts w:ascii="Book Antiqua" w:hAnsi="Book Antiqua"/>
          <w:bCs/>
          <w:iCs/>
          <w:color w:val="000000"/>
          <w:sz w:val="22"/>
          <w:szCs w:val="22"/>
        </w:rPr>
        <w:t xml:space="preserve">V súčasnej úprave Správneho súdneho poriadku Najvyšší správny súd </w:t>
      </w:r>
      <w:r w:rsidR="008D1897">
        <w:rPr>
          <w:rFonts w:ascii="Book Antiqua" w:hAnsi="Book Antiqua"/>
          <w:bCs/>
          <w:iCs/>
          <w:color w:val="000000"/>
          <w:sz w:val="22"/>
          <w:szCs w:val="22"/>
        </w:rPr>
        <w:t xml:space="preserve">Slovenskej republiky </w:t>
      </w:r>
      <w:r w:rsidRPr="00424B9F">
        <w:rPr>
          <w:rFonts w:ascii="Book Antiqua" w:hAnsi="Book Antiqua"/>
          <w:bCs/>
          <w:iCs/>
          <w:color w:val="000000"/>
          <w:sz w:val="22"/>
          <w:szCs w:val="22"/>
        </w:rPr>
        <w:t>vyššie opísané nástroje na efektívne zvládanie volebnej agendy nemá. Ustanovenia § 312a až § 312k Správneho súdneho poriadku neobsahujú osobitné pravidlá o odmietaní žaloby, preto je potrebné použiť všeobecnú ú</w:t>
      </w:r>
      <w:r w:rsidR="008D1897">
        <w:rPr>
          <w:rFonts w:ascii="Book Antiqua" w:hAnsi="Book Antiqua"/>
          <w:bCs/>
          <w:iCs/>
          <w:color w:val="000000"/>
          <w:sz w:val="22"/>
          <w:szCs w:val="22"/>
        </w:rPr>
        <w:t xml:space="preserve">pravu uvedenú v § 59 ods. 3 a </w:t>
      </w:r>
      <w:r w:rsidRPr="00424B9F">
        <w:rPr>
          <w:rFonts w:ascii="Book Antiqua" w:hAnsi="Book Antiqua"/>
          <w:bCs/>
          <w:iCs/>
          <w:color w:val="000000"/>
          <w:sz w:val="22"/>
          <w:szCs w:val="22"/>
        </w:rPr>
        <w:t xml:space="preserve">§ 98 Správneho súdneho poriadku, ktorá však ako dôvod odmietnutia nepozná dôvod obdobný zjavnej neopodstatnenosti. Kým absencia tohto dôvodu je prijateľná pre konanie o rôznych správnych žalobách, to isté neplatí pre volebnú agendu, a to vzhľadom aj na skúsenosť Ústavného súdu </w:t>
      </w:r>
      <w:r w:rsidR="008D1897">
        <w:rPr>
          <w:rFonts w:ascii="Book Antiqua" w:hAnsi="Book Antiqua"/>
          <w:bCs/>
          <w:iCs/>
          <w:color w:val="000000"/>
          <w:sz w:val="22"/>
          <w:szCs w:val="22"/>
        </w:rPr>
        <w:t xml:space="preserve">Slovenskej republiky </w:t>
      </w:r>
      <w:r w:rsidRPr="00424B9F">
        <w:rPr>
          <w:rFonts w:ascii="Book Antiqua" w:hAnsi="Book Antiqua"/>
          <w:bCs/>
          <w:iCs/>
          <w:color w:val="000000"/>
          <w:sz w:val="22"/>
          <w:szCs w:val="22"/>
        </w:rPr>
        <w:t xml:space="preserve">s nárazovým nápadom veľkého počtu vecí. </w:t>
      </w:r>
    </w:p>
    <w:p w:rsidR="00424B9F" w:rsidRPr="00424B9F" w:rsidP="00424B9F">
      <w:pPr>
        <w:spacing w:before="120" w:line="276" w:lineRule="auto"/>
        <w:ind w:firstLine="708"/>
        <w:jc w:val="both"/>
        <w:rPr>
          <w:rFonts w:ascii="Book Antiqua" w:hAnsi="Book Antiqua"/>
          <w:bCs/>
          <w:iCs/>
          <w:color w:val="000000"/>
          <w:sz w:val="22"/>
          <w:szCs w:val="22"/>
        </w:rPr>
      </w:pPr>
      <w:r w:rsidR="00DE7CAB">
        <w:rPr>
          <w:rFonts w:ascii="Book Antiqua" w:hAnsi="Book Antiqua"/>
          <w:bCs/>
          <w:iCs/>
          <w:color w:val="000000"/>
          <w:sz w:val="22"/>
          <w:szCs w:val="22"/>
        </w:rPr>
        <w:t xml:space="preserve">V prípade odmietnutia z </w:t>
      </w:r>
      <w:r w:rsidRPr="00424B9F">
        <w:rPr>
          <w:rFonts w:ascii="Book Antiqua" w:hAnsi="Book Antiqua"/>
          <w:bCs/>
          <w:iCs/>
          <w:color w:val="000000"/>
          <w:sz w:val="22"/>
          <w:szCs w:val="22"/>
        </w:rPr>
        <w:t>dôvodu formulovaného ako „</w:t>
      </w:r>
      <w:r w:rsidRPr="00DE7CAB">
        <w:rPr>
          <w:rFonts w:ascii="Book Antiqua" w:hAnsi="Book Antiqua"/>
          <w:i/>
          <w:iCs/>
          <w:color w:val="000000"/>
          <w:sz w:val="22"/>
          <w:szCs w:val="22"/>
        </w:rPr>
        <w:t>aj keby dôvody uvedené v žalobe podľa § 312f písm. e) boli pravdivé, nebolo by možné žalobe vyhovieť</w:t>
      </w:r>
      <w:r w:rsidRPr="00424B9F">
        <w:rPr>
          <w:rFonts w:ascii="Book Antiqua" w:hAnsi="Book Antiqua"/>
          <w:bCs/>
          <w:iCs/>
          <w:color w:val="000000"/>
          <w:sz w:val="22"/>
          <w:szCs w:val="22"/>
        </w:rPr>
        <w:t>“ pôjde o použitie nástroja na odmietnutie takých žalôb vo volebných veciach, ktoré skutkovo a právne nemajú šancu na úspech za žiadnych okolností. Pokiaľ ide o apl</w:t>
      </w:r>
      <w:r w:rsidR="00DE7CAB">
        <w:rPr>
          <w:rFonts w:ascii="Book Antiqua" w:hAnsi="Book Antiqua"/>
          <w:bCs/>
          <w:iCs/>
          <w:color w:val="000000"/>
          <w:sz w:val="22"/>
          <w:szCs w:val="22"/>
        </w:rPr>
        <w:t>ikovateľný právny štandard</w:t>
      </w:r>
      <w:r w:rsidRPr="00424B9F">
        <w:rPr>
          <w:rFonts w:ascii="Book Antiqua" w:hAnsi="Book Antiqua"/>
          <w:bCs/>
          <w:iCs/>
          <w:color w:val="000000"/>
          <w:sz w:val="22"/>
          <w:szCs w:val="22"/>
        </w:rPr>
        <w:t xml:space="preserve"> potrebný pre odmietnutie veci pre zjavnú neopodstatnenosť, Najvyšší správny súd </w:t>
      </w:r>
      <w:r w:rsidR="00DE7CAB">
        <w:rPr>
          <w:rFonts w:ascii="Book Antiqua" w:hAnsi="Book Antiqua"/>
          <w:bCs/>
          <w:iCs/>
          <w:color w:val="000000"/>
          <w:sz w:val="22"/>
          <w:szCs w:val="22"/>
        </w:rPr>
        <w:t xml:space="preserve">Slovenskej republiky </w:t>
      </w:r>
      <w:r w:rsidRPr="00424B9F">
        <w:rPr>
          <w:rFonts w:ascii="Book Antiqua" w:hAnsi="Book Antiqua"/>
          <w:bCs/>
          <w:iCs/>
          <w:color w:val="000000"/>
          <w:sz w:val="22"/>
          <w:szCs w:val="22"/>
        </w:rPr>
        <w:t>bude celkom pochopiteľne vychádzať z ustálenej rozhodovacej praxe Ústavného súdu</w:t>
      </w:r>
      <w:r w:rsidR="00DE7CAB">
        <w:rPr>
          <w:rFonts w:ascii="Book Antiqua" w:hAnsi="Book Antiqua"/>
          <w:bCs/>
          <w:iCs/>
          <w:color w:val="000000"/>
          <w:sz w:val="22"/>
          <w:szCs w:val="22"/>
        </w:rPr>
        <w:t xml:space="preserve"> Slovenskej republiky</w:t>
      </w:r>
      <w:r w:rsidRPr="00424B9F">
        <w:rPr>
          <w:rFonts w:ascii="Book Antiqua" w:hAnsi="Book Antiqua"/>
          <w:bCs/>
          <w:iCs/>
          <w:color w:val="000000"/>
          <w:sz w:val="22"/>
          <w:szCs w:val="22"/>
        </w:rPr>
        <w:t xml:space="preserve"> v týchto veciach, ako aj z vlastnej ustálenej rozhodovacej praxe, keď sa táto sformuje. Ako poistku sa do právnej úpravy zavádza požiadavka, aby senát mohol žalobu vo volebných veciach odmietnuť pre zjavnú neopodstatnenosť len jednomyseľne. Rozhodovanie Najvyššieho správneho súdu </w:t>
      </w:r>
      <w:r w:rsidR="00DE7CAB">
        <w:rPr>
          <w:rFonts w:ascii="Book Antiqua" w:hAnsi="Book Antiqua"/>
          <w:bCs/>
          <w:iCs/>
          <w:color w:val="000000"/>
          <w:sz w:val="22"/>
          <w:szCs w:val="22"/>
        </w:rPr>
        <w:t xml:space="preserve">Slovenskej republiky </w:t>
      </w:r>
      <w:r w:rsidRPr="00424B9F">
        <w:rPr>
          <w:rFonts w:ascii="Book Antiqua" w:hAnsi="Book Antiqua"/>
          <w:bCs/>
          <w:iCs/>
          <w:color w:val="000000"/>
          <w:sz w:val="22"/>
          <w:szCs w:val="22"/>
        </w:rPr>
        <w:t xml:space="preserve">bude podliehať kontrole Ústavným súdom </w:t>
      </w:r>
      <w:r w:rsidR="00DE7CAB">
        <w:rPr>
          <w:rFonts w:ascii="Book Antiqua" w:hAnsi="Book Antiqua"/>
          <w:bCs/>
          <w:iCs/>
          <w:color w:val="000000"/>
          <w:sz w:val="22"/>
          <w:szCs w:val="22"/>
        </w:rPr>
        <w:t xml:space="preserve">Slovenskej republiky </w:t>
      </w:r>
      <w:r w:rsidRPr="00424B9F">
        <w:rPr>
          <w:rFonts w:ascii="Book Antiqua" w:hAnsi="Book Antiqua"/>
          <w:bCs/>
          <w:iCs/>
          <w:color w:val="000000"/>
          <w:sz w:val="22"/>
          <w:szCs w:val="22"/>
        </w:rPr>
        <w:t>cestou podania ústavnej sťažnosti.</w:t>
      </w:r>
    </w:p>
    <w:p w:rsidR="00424B9F" w:rsidRPr="00424B9F" w:rsidP="00424B9F">
      <w:pPr>
        <w:spacing w:before="120" w:line="276" w:lineRule="auto"/>
        <w:ind w:firstLine="708"/>
        <w:jc w:val="both"/>
        <w:rPr>
          <w:rFonts w:ascii="Book Antiqua" w:hAnsi="Book Antiqua"/>
          <w:bCs/>
          <w:iCs/>
          <w:color w:val="000000"/>
          <w:sz w:val="22"/>
          <w:szCs w:val="22"/>
        </w:rPr>
      </w:pPr>
      <w:r w:rsidRPr="00424B9F">
        <w:rPr>
          <w:rFonts w:ascii="Book Antiqua" w:hAnsi="Book Antiqua"/>
          <w:bCs/>
          <w:iCs/>
          <w:color w:val="000000"/>
          <w:sz w:val="22"/>
          <w:szCs w:val="22"/>
        </w:rPr>
        <w:t xml:space="preserve">Najvyšší správny súd </w:t>
      </w:r>
      <w:r w:rsidR="00DE7CAB">
        <w:rPr>
          <w:rFonts w:ascii="Book Antiqua" w:hAnsi="Book Antiqua"/>
          <w:bCs/>
          <w:iCs/>
          <w:color w:val="000000"/>
          <w:sz w:val="22"/>
          <w:szCs w:val="22"/>
        </w:rPr>
        <w:t xml:space="preserve">Slovenskej republiky </w:t>
      </w:r>
      <w:r w:rsidRPr="00424B9F">
        <w:rPr>
          <w:rFonts w:ascii="Book Antiqua" w:hAnsi="Book Antiqua"/>
          <w:bCs/>
          <w:iCs/>
          <w:color w:val="000000"/>
          <w:sz w:val="22"/>
          <w:szCs w:val="22"/>
        </w:rPr>
        <w:t>je taktiež povinný vo volebných veciach vždy vykonávať aj pojednávanie s ohľadom na § 312h ods. 2 Správneho súdneho poriadku. Uvedené riešenie nie je možné považovať za efektívne, a to vzhľadom na predpokladaný počet vecí, regionálnu rôznorodosť účastníkov konania, a krátke lehoty pre rozhodovanie. Ak je účelom pojednávania bezprostredný kontakt s účastníkmi konania, tento je možné zabezpečiť aj prostredníctvom člena senátu povereného senátom, ako to už teraz predpokladá (na účely prípravy pojednávania) Správny súdny poriadok v § 312h ods. 4 a 6. Podobné riešenie bolo zvolené aj v prípade Ústavného súdu</w:t>
      </w:r>
      <w:r w:rsidR="00DE7CAB">
        <w:rPr>
          <w:rFonts w:ascii="Book Antiqua" w:hAnsi="Book Antiqua"/>
          <w:bCs/>
          <w:iCs/>
          <w:color w:val="000000"/>
          <w:sz w:val="22"/>
          <w:szCs w:val="22"/>
        </w:rPr>
        <w:t xml:space="preserve"> Slovenskej republiky v minulosti</w:t>
      </w:r>
      <w:r w:rsidRPr="00424B9F">
        <w:rPr>
          <w:rFonts w:ascii="Book Antiqua" w:hAnsi="Book Antiqua"/>
          <w:bCs/>
          <w:iCs/>
          <w:color w:val="000000"/>
          <w:sz w:val="22"/>
          <w:szCs w:val="22"/>
        </w:rPr>
        <w:t>, ktorý nebol povinný vo volebných veciach konať ústne pojednávanie.</w:t>
      </w:r>
    </w:p>
    <w:p w:rsidR="00424B9F" w:rsidP="00424B9F">
      <w:pPr>
        <w:spacing w:before="120" w:line="276" w:lineRule="auto"/>
        <w:ind w:firstLine="708"/>
        <w:jc w:val="both"/>
        <w:rPr>
          <w:rFonts w:ascii="Book Antiqua" w:hAnsi="Book Antiqua"/>
          <w:bCs/>
          <w:iCs/>
          <w:color w:val="000000"/>
          <w:sz w:val="22"/>
          <w:szCs w:val="22"/>
        </w:rPr>
      </w:pPr>
      <w:r w:rsidRPr="00424B9F">
        <w:rPr>
          <w:rFonts w:ascii="Book Antiqua" w:hAnsi="Book Antiqua"/>
          <w:bCs/>
          <w:iCs/>
          <w:color w:val="000000"/>
          <w:sz w:val="22"/>
          <w:szCs w:val="22"/>
        </w:rPr>
        <w:t xml:space="preserve">Participácia účastníkov konania na dokazovaní aj mimo pojednávania sa zabezpečuje odkazom na terajší štandard ustanovený v § 124 Správneho súdneho poriadku s potrebnými úpravami vyplývajúcimi z § 312h ods. 4 a 6 Správneho súdneho poriadku. Pokiaľ ide o listinné dôkazy zadovažované podľa doterajšieho § 312h ods. 3 Správneho súdneho poriadku a v novom znení podľa § 312h ods. 2 Správneho súdneho poriadku, tieto sa budú nachádzať v spise, ktorý je účastníkom konania dostupný, a to podobne ako podľa § 124 </w:t>
      </w:r>
      <w:r w:rsidR="00DE7CAB">
        <w:rPr>
          <w:rFonts w:ascii="Book Antiqua" w:hAnsi="Book Antiqua"/>
          <w:bCs/>
          <w:iCs/>
          <w:color w:val="000000"/>
          <w:sz w:val="22"/>
          <w:szCs w:val="22"/>
        </w:rPr>
        <w:t xml:space="preserve"> </w:t>
      </w:r>
      <w:r w:rsidRPr="00424B9F">
        <w:rPr>
          <w:rFonts w:ascii="Book Antiqua" w:hAnsi="Book Antiqua"/>
          <w:bCs/>
          <w:iCs/>
          <w:color w:val="000000"/>
          <w:sz w:val="22"/>
          <w:szCs w:val="22"/>
        </w:rPr>
        <w:t>ods. 3 Správneho súdneho poriadku.</w:t>
      </w:r>
    </w:p>
    <w:p w:rsidR="00424B9F" w:rsidP="00424B9F">
      <w:pPr>
        <w:spacing w:before="120" w:line="276" w:lineRule="auto"/>
        <w:jc w:val="both"/>
        <w:rPr>
          <w:rFonts w:ascii="Book Antiqua" w:hAnsi="Book Antiqua"/>
          <w:bCs/>
          <w:sz w:val="22"/>
          <w:szCs w:val="22"/>
          <w:u w:val="single"/>
        </w:rPr>
      </w:pPr>
      <w:r w:rsidR="00B007EC">
        <w:rPr>
          <w:rFonts w:ascii="Book Antiqua" w:hAnsi="Book Antiqua"/>
          <w:bCs/>
          <w:sz w:val="22"/>
          <w:szCs w:val="22"/>
          <w:u w:val="single"/>
        </w:rPr>
        <w:t>K bodu 8</w:t>
      </w:r>
    </w:p>
    <w:p w:rsidR="00424B9F" w:rsidRPr="00AD0E47" w:rsidP="00AD0E47">
      <w:pPr>
        <w:spacing w:before="120" w:line="276" w:lineRule="auto"/>
        <w:ind w:firstLine="708"/>
        <w:jc w:val="both"/>
        <w:rPr>
          <w:rFonts w:ascii="Book Antiqua" w:hAnsi="Book Antiqua"/>
          <w:iCs/>
          <w:color w:val="000000"/>
          <w:sz w:val="22"/>
          <w:szCs w:val="22"/>
        </w:rPr>
      </w:pPr>
      <w:r w:rsidRPr="00AD0E47">
        <w:rPr>
          <w:rFonts w:ascii="Book Antiqua" w:hAnsi="Book Antiqua"/>
          <w:iCs/>
          <w:color w:val="000000"/>
          <w:sz w:val="22"/>
          <w:szCs w:val="22"/>
        </w:rPr>
        <w:t xml:space="preserve">Ústavný súd </w:t>
      </w:r>
      <w:r w:rsidR="00762F82">
        <w:rPr>
          <w:rFonts w:ascii="Book Antiqua" w:hAnsi="Book Antiqua"/>
          <w:iCs/>
          <w:color w:val="000000"/>
          <w:sz w:val="22"/>
          <w:szCs w:val="22"/>
        </w:rPr>
        <w:t xml:space="preserve">Slovenskej republiky </w:t>
      </w:r>
      <w:r w:rsidRPr="00AD0E47">
        <w:rPr>
          <w:rFonts w:ascii="Book Antiqua" w:hAnsi="Book Antiqua"/>
          <w:iCs/>
          <w:color w:val="000000"/>
          <w:sz w:val="22"/>
          <w:szCs w:val="22"/>
        </w:rPr>
        <w:t xml:space="preserve">mal </w:t>
      </w:r>
      <w:r w:rsidR="00762F82">
        <w:rPr>
          <w:rFonts w:ascii="Book Antiqua" w:hAnsi="Book Antiqua"/>
          <w:iCs/>
          <w:color w:val="000000"/>
          <w:sz w:val="22"/>
          <w:szCs w:val="22"/>
        </w:rPr>
        <w:t xml:space="preserve">v minulosti </w:t>
      </w:r>
      <w:r w:rsidRPr="00AD0E47">
        <w:rPr>
          <w:rFonts w:ascii="Book Antiqua" w:hAnsi="Book Antiqua"/>
          <w:iCs/>
          <w:color w:val="000000"/>
          <w:sz w:val="22"/>
          <w:szCs w:val="22"/>
        </w:rPr>
        <w:t xml:space="preserve">lehotu na rozhodnutie </w:t>
      </w:r>
      <w:r w:rsidR="00762F82">
        <w:rPr>
          <w:rFonts w:ascii="Book Antiqua" w:hAnsi="Book Antiqua"/>
          <w:iCs/>
          <w:color w:val="000000"/>
          <w:sz w:val="22"/>
          <w:szCs w:val="22"/>
        </w:rPr>
        <w:t xml:space="preserve">v agende prieskumu ústavnosti a zákonnosti volieb do orgánov územnej samosprávy </w:t>
      </w:r>
      <w:r w:rsidRPr="00AD0E47">
        <w:rPr>
          <w:rFonts w:ascii="Book Antiqua" w:hAnsi="Book Antiqua"/>
          <w:iCs/>
          <w:color w:val="000000"/>
          <w:sz w:val="22"/>
          <w:szCs w:val="22"/>
        </w:rPr>
        <w:t xml:space="preserve">stanovenú na 90 dní. </w:t>
      </w:r>
    </w:p>
    <w:p w:rsidR="00424B9F" w:rsidRPr="00AD0E47" w:rsidP="00AD0E47">
      <w:pPr>
        <w:spacing w:before="120" w:line="276" w:lineRule="auto"/>
        <w:ind w:firstLine="708"/>
        <w:jc w:val="both"/>
        <w:rPr>
          <w:rFonts w:ascii="Book Antiqua" w:hAnsi="Book Antiqua"/>
          <w:bCs/>
          <w:iCs/>
          <w:color w:val="000000"/>
          <w:sz w:val="22"/>
          <w:szCs w:val="22"/>
        </w:rPr>
      </w:pPr>
      <w:r w:rsidRPr="00AD0E47">
        <w:rPr>
          <w:rFonts w:ascii="Book Antiqua" w:hAnsi="Book Antiqua"/>
          <w:bCs/>
          <w:iCs/>
          <w:color w:val="000000"/>
          <w:sz w:val="22"/>
          <w:szCs w:val="22"/>
        </w:rPr>
        <w:t>Potreba urýchleného rozhodovania vo volebných veciach je zjavná, avšak základná lehota 30 dní je príliš krátka, a bolo by ju vhodné trvalo nastaviť na pôvodných 90 d</w:t>
      </w:r>
      <w:r w:rsidR="00B007EC">
        <w:rPr>
          <w:rFonts w:ascii="Book Antiqua" w:hAnsi="Book Antiqua"/>
          <w:bCs/>
          <w:iCs/>
          <w:color w:val="000000"/>
          <w:sz w:val="22"/>
          <w:szCs w:val="22"/>
        </w:rPr>
        <w:t xml:space="preserve">ní </w:t>
      </w:r>
      <w:r w:rsidRPr="00AD0E47">
        <w:rPr>
          <w:rFonts w:ascii="Book Antiqua" w:hAnsi="Book Antiqua"/>
          <w:bCs/>
          <w:iCs/>
          <w:color w:val="000000"/>
          <w:sz w:val="22"/>
          <w:szCs w:val="22"/>
        </w:rPr>
        <w:t>. Popri kasačnej agende musí Najvyšší správny súd</w:t>
      </w:r>
      <w:r w:rsidR="00762F82">
        <w:rPr>
          <w:rFonts w:ascii="Book Antiqua" w:hAnsi="Book Antiqua"/>
          <w:bCs/>
          <w:iCs/>
          <w:color w:val="000000"/>
          <w:sz w:val="22"/>
          <w:szCs w:val="22"/>
        </w:rPr>
        <w:t xml:space="preserve"> Slovenskej republiky</w:t>
      </w:r>
      <w:r w:rsidRPr="00AD0E47">
        <w:rPr>
          <w:rFonts w:ascii="Book Antiqua" w:hAnsi="Book Antiqua"/>
          <w:bCs/>
          <w:iCs/>
          <w:color w:val="000000"/>
          <w:sz w:val="22"/>
          <w:szCs w:val="22"/>
        </w:rPr>
        <w:t xml:space="preserve"> vybavovať aj disciplinárnu agendu, ktorá </w:t>
      </w:r>
      <w:r w:rsidR="00762F82">
        <w:rPr>
          <w:rFonts w:ascii="Book Antiqua" w:hAnsi="Book Antiqua"/>
          <w:bCs/>
          <w:iCs/>
          <w:color w:val="000000"/>
          <w:sz w:val="22"/>
          <w:szCs w:val="22"/>
        </w:rPr>
        <w:t xml:space="preserve">má tiež stanovené pomerne krátke lehoty s poukazom na </w:t>
      </w:r>
      <w:r w:rsidRPr="00AD0E47">
        <w:rPr>
          <w:rFonts w:ascii="Book Antiqua" w:hAnsi="Book Antiqua"/>
          <w:bCs/>
          <w:iCs/>
          <w:color w:val="000000"/>
          <w:sz w:val="22"/>
          <w:szCs w:val="22"/>
        </w:rPr>
        <w:t xml:space="preserve">§ 31 zákona </w:t>
      </w:r>
      <w:r w:rsidR="00B007EC">
        <w:rPr>
          <w:rFonts w:ascii="Book Antiqua" w:hAnsi="Book Antiqua"/>
          <w:bCs/>
          <w:iCs/>
          <w:color w:val="000000"/>
          <w:sz w:val="22"/>
          <w:szCs w:val="22"/>
        </w:rPr>
        <w:t xml:space="preserve">              </w:t>
      </w:r>
      <w:r w:rsidRPr="00AD0E47">
        <w:rPr>
          <w:rFonts w:ascii="Book Antiqua" w:hAnsi="Book Antiqua"/>
          <w:bCs/>
          <w:iCs/>
          <w:color w:val="000000"/>
          <w:sz w:val="22"/>
          <w:szCs w:val="22"/>
        </w:rPr>
        <w:t xml:space="preserve">č. 432/2021 Z. z. o </w:t>
      </w:r>
      <w:r w:rsidRPr="00AD0E47">
        <w:rPr>
          <w:rFonts w:ascii="Book Antiqua" w:hAnsi="Book Antiqua"/>
          <w:b/>
          <w:bCs/>
          <w:iCs/>
          <w:color w:val="000000"/>
          <w:sz w:val="22"/>
          <w:szCs w:val="22"/>
          <w:shd w:val="clear" w:color="auto" w:fill="FFFFFF"/>
        </w:rPr>
        <w:t xml:space="preserve"> </w:t>
      </w:r>
      <w:r w:rsidRPr="00AD0E47">
        <w:rPr>
          <w:rFonts w:ascii="Book Antiqua" w:hAnsi="Book Antiqua"/>
          <w:iCs/>
          <w:color w:val="000000"/>
          <w:sz w:val="22"/>
          <w:szCs w:val="22"/>
        </w:rPr>
        <w:t>disciplinárnom poriadku Najvyššieho správneho súdu Slovenskej republiky a o zmene a doplnení niektorých zákonov (disciplinárny súdny poriadok). Príliš krátka lehota na vybavenie jednorazovo značného množstv</w:t>
      </w:r>
      <w:r w:rsidR="00762F82">
        <w:rPr>
          <w:rFonts w:ascii="Book Antiqua" w:hAnsi="Book Antiqua"/>
          <w:iCs/>
          <w:color w:val="000000"/>
          <w:sz w:val="22"/>
          <w:szCs w:val="22"/>
        </w:rPr>
        <w:t xml:space="preserve">a volebných vecí môže ohroziť </w:t>
      </w:r>
      <w:r w:rsidRPr="00AD0E47">
        <w:rPr>
          <w:rFonts w:ascii="Book Antiqua" w:hAnsi="Book Antiqua"/>
          <w:iCs/>
          <w:color w:val="000000"/>
          <w:sz w:val="22"/>
          <w:szCs w:val="22"/>
        </w:rPr>
        <w:t>až paralyzovať vybavovanie iných agend v pôsobnosti Najvyššieho správneho súdu</w:t>
      </w:r>
      <w:r w:rsidR="00762F82">
        <w:rPr>
          <w:rFonts w:ascii="Book Antiqua" w:hAnsi="Book Antiqua"/>
          <w:iCs/>
          <w:color w:val="000000"/>
          <w:sz w:val="22"/>
          <w:szCs w:val="22"/>
        </w:rPr>
        <w:t xml:space="preserve"> Slovenskej republiky</w:t>
      </w:r>
      <w:r w:rsidRPr="00AD0E47">
        <w:rPr>
          <w:rFonts w:ascii="Book Antiqua" w:hAnsi="Book Antiqua"/>
          <w:iCs/>
          <w:color w:val="000000"/>
          <w:sz w:val="22"/>
          <w:szCs w:val="22"/>
        </w:rPr>
        <w:t>.</w:t>
      </w:r>
    </w:p>
    <w:p w:rsidR="00473E18" w:rsidRPr="00476E46" w:rsidP="00473E18">
      <w:pPr>
        <w:pStyle w:val="NormalWeb"/>
        <w:spacing w:before="120" w:beforeAutospacing="0" w:after="0" w:afterAutospacing="0" w:line="276" w:lineRule="auto"/>
        <w:jc w:val="both"/>
        <w:rPr>
          <w:rFonts w:ascii="Book Antiqua" w:hAnsi="Book Antiqua"/>
          <w:bCs/>
          <w:sz w:val="22"/>
          <w:szCs w:val="22"/>
        </w:rPr>
      </w:pPr>
      <w:r w:rsidRPr="00476E46" w:rsidR="00706F69">
        <w:rPr>
          <w:rFonts w:ascii="Book Antiqua" w:hAnsi="Book Antiqua"/>
          <w:bCs/>
          <w:sz w:val="22"/>
          <w:szCs w:val="22"/>
        </w:rPr>
        <w:tab/>
      </w:r>
    </w:p>
    <w:p w:rsidR="00706F69" w:rsidRPr="00476E46" w:rsidP="00696780">
      <w:pPr>
        <w:pStyle w:val="NormalWeb"/>
        <w:spacing w:before="120" w:beforeAutospacing="0" w:after="0" w:afterAutospacing="0" w:line="276" w:lineRule="auto"/>
        <w:jc w:val="both"/>
        <w:rPr>
          <w:rFonts w:ascii="Book Antiqua" w:hAnsi="Book Antiqua"/>
          <w:b/>
          <w:bCs/>
          <w:sz w:val="22"/>
          <w:szCs w:val="22"/>
        </w:rPr>
      </w:pPr>
      <w:r w:rsidRPr="00476E46">
        <w:rPr>
          <w:rFonts w:ascii="Book Antiqua" w:hAnsi="Book Antiqua"/>
          <w:b/>
          <w:bCs/>
          <w:sz w:val="22"/>
          <w:szCs w:val="22"/>
        </w:rPr>
        <w:t>K Čl. II</w:t>
      </w:r>
    </w:p>
    <w:p w:rsidR="00706F69" w:rsidRPr="00476E46" w:rsidP="003761B1">
      <w:pPr>
        <w:pStyle w:val="NormalWeb"/>
        <w:spacing w:before="120" w:beforeAutospacing="0" w:after="0" w:afterAutospacing="0" w:line="276" w:lineRule="auto"/>
        <w:ind w:firstLine="708"/>
        <w:jc w:val="both"/>
        <w:rPr>
          <w:rFonts w:ascii="Book Antiqua" w:hAnsi="Book Antiqua"/>
          <w:b/>
          <w:bCs/>
          <w:sz w:val="22"/>
          <w:szCs w:val="22"/>
        </w:rPr>
      </w:pPr>
      <w:r w:rsidRPr="00476E46">
        <w:rPr>
          <w:rFonts w:ascii="Book Antiqua" w:hAnsi="Book Antiqua"/>
          <w:bCs/>
          <w:sz w:val="22"/>
          <w:szCs w:val="22"/>
        </w:rPr>
        <w:t>Navrhuje sa účinnosť predkladaného zákona so zohľadnením le</w:t>
      </w:r>
      <w:r w:rsidRPr="00476E46" w:rsidR="00815EDB">
        <w:rPr>
          <w:rFonts w:ascii="Book Antiqua" w:hAnsi="Book Antiqua"/>
          <w:bCs/>
          <w:sz w:val="22"/>
          <w:szCs w:val="22"/>
        </w:rPr>
        <w:t>gisvakančnej lehoty, a</w:t>
      </w:r>
      <w:r w:rsidRPr="00476E46" w:rsidR="00473E18">
        <w:rPr>
          <w:rFonts w:ascii="Book Antiqua" w:hAnsi="Book Antiqua"/>
          <w:bCs/>
          <w:sz w:val="22"/>
          <w:szCs w:val="22"/>
        </w:rPr>
        <w:t xml:space="preserve"> to </w:t>
      </w:r>
      <w:r w:rsidRPr="00476E46" w:rsidR="00311BBC">
        <w:rPr>
          <w:rFonts w:ascii="Book Antiqua" w:hAnsi="Book Antiqua"/>
          <w:bCs/>
          <w:sz w:val="22"/>
          <w:szCs w:val="22"/>
        </w:rPr>
        <w:t xml:space="preserve">od </w:t>
      </w:r>
      <w:r w:rsidRPr="00476E46" w:rsidR="00473E18">
        <w:rPr>
          <w:rFonts w:ascii="Book Antiqua" w:hAnsi="Book Antiqua"/>
          <w:bCs/>
          <w:sz w:val="22"/>
          <w:szCs w:val="22"/>
        </w:rPr>
        <w:t xml:space="preserve"> 1</w:t>
      </w:r>
      <w:r w:rsidR="003761B1">
        <w:rPr>
          <w:rFonts w:ascii="Book Antiqua" w:hAnsi="Book Antiqua"/>
          <w:bCs/>
          <w:sz w:val="22"/>
          <w:szCs w:val="22"/>
        </w:rPr>
        <w:t>5. novembra 2022</w:t>
      </w:r>
      <w:r w:rsidRPr="00476E46" w:rsidR="00473E18">
        <w:rPr>
          <w:rFonts w:ascii="Book Antiqua" w:hAnsi="Book Antiqua"/>
          <w:bCs/>
          <w:sz w:val="22"/>
          <w:szCs w:val="22"/>
        </w:rPr>
        <w:t>.</w:t>
      </w:r>
    </w:p>
    <w:p w:rsidR="00706F69" w:rsidRPr="00476E46" w:rsidP="00696780">
      <w:pPr>
        <w:pStyle w:val="NormalWeb"/>
        <w:spacing w:before="120" w:beforeAutospacing="0" w:after="0" w:afterAutospacing="0" w:line="276" w:lineRule="auto"/>
        <w:jc w:val="both"/>
        <w:rPr>
          <w:rFonts w:ascii="Book Antiqua" w:hAnsi="Book Antiqua"/>
          <w:b/>
          <w:bCs/>
          <w:sz w:val="22"/>
          <w:szCs w:val="22"/>
        </w:rPr>
      </w:pPr>
    </w:p>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sidR="00AA4420">
        <w:rPr>
          <w:rFonts w:ascii="Book Antiqua" w:hAnsi="Book Antiqua"/>
          <w:b/>
          <w:bCs/>
          <w:caps/>
          <w:spacing w:val="30"/>
          <w:sz w:val="22"/>
          <w:szCs w:val="22"/>
        </w:rPr>
        <w:br w:type="page"/>
      </w:r>
      <w:r w:rsidRPr="00476E46">
        <w:rPr>
          <w:rFonts w:ascii="Book Antiqua" w:hAnsi="Book Antiqua"/>
          <w:b/>
          <w:bCs/>
          <w:caps/>
          <w:spacing w:val="30"/>
          <w:sz w:val="22"/>
          <w:szCs w:val="22"/>
        </w:rPr>
        <w:t>DOLOŽKA ZLUČITEĽNOSTI</w:t>
      </w:r>
    </w:p>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sz w:val="22"/>
          <w:szCs w:val="22"/>
        </w:rPr>
        <w:t>návrhu zákona</w:t>
      </w:r>
      <w:r w:rsidRPr="00476E46">
        <w:rPr>
          <w:rFonts w:ascii="Book Antiqua" w:hAnsi="Book Antiqua"/>
          <w:sz w:val="22"/>
          <w:szCs w:val="22"/>
        </w:rPr>
        <w:t xml:space="preserve"> </w:t>
      </w:r>
      <w:r w:rsidRPr="00476E46">
        <w:rPr>
          <w:rFonts w:ascii="Book Antiqua" w:hAnsi="Book Antiqua"/>
          <w:b/>
          <w:bCs/>
          <w:sz w:val="22"/>
          <w:szCs w:val="22"/>
        </w:rPr>
        <w:t>s právom Európskej únie</w:t>
      </w: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sz w:val="22"/>
          <w:szCs w:val="22"/>
        </w:rPr>
        <w:t> </w:t>
      </w:r>
    </w:p>
    <w:p w:rsidR="007C2704" w:rsidRPr="00476E46" w:rsidP="00696780">
      <w:pPr>
        <w:pStyle w:val="NormalWeb"/>
        <w:numPr>
          <w:ilvl w:val="0"/>
          <w:numId w:val="6"/>
        </w:numPr>
        <w:spacing w:before="120" w:beforeAutospacing="0" w:after="0" w:afterAutospacing="0" w:line="276" w:lineRule="auto"/>
        <w:ind w:left="426"/>
        <w:jc w:val="both"/>
        <w:rPr>
          <w:rFonts w:ascii="Book Antiqua" w:hAnsi="Book Antiqua"/>
          <w:sz w:val="22"/>
          <w:szCs w:val="22"/>
        </w:rPr>
      </w:pPr>
      <w:r w:rsidRPr="00476E46">
        <w:rPr>
          <w:rFonts w:ascii="Book Antiqua" w:hAnsi="Book Antiqua"/>
          <w:b/>
          <w:bCs/>
          <w:sz w:val="22"/>
          <w:szCs w:val="22"/>
        </w:rPr>
        <w:t>Navrhovateľ zákona:</w:t>
      </w:r>
      <w:r w:rsidR="00762F82">
        <w:rPr>
          <w:rFonts w:ascii="Book Antiqua" w:hAnsi="Book Antiqua"/>
          <w:sz w:val="22"/>
          <w:szCs w:val="22"/>
        </w:rPr>
        <w:t xml:space="preserve"> </w:t>
      </w:r>
      <w:r w:rsidR="00944B6C">
        <w:rPr>
          <w:rFonts w:ascii="Book Antiqua" w:hAnsi="Book Antiqua"/>
          <w:sz w:val="22"/>
          <w:szCs w:val="22"/>
        </w:rPr>
        <w:t>skupina poslancov</w:t>
      </w:r>
      <w:r w:rsidR="003761B1">
        <w:rPr>
          <w:rFonts w:ascii="Book Antiqua" w:hAnsi="Book Antiqua"/>
          <w:sz w:val="22"/>
          <w:szCs w:val="22"/>
        </w:rPr>
        <w:t xml:space="preserve"> </w:t>
      </w:r>
      <w:r w:rsidRPr="00476E46">
        <w:rPr>
          <w:rFonts w:ascii="Book Antiqua" w:hAnsi="Book Antiqua"/>
          <w:sz w:val="22"/>
          <w:szCs w:val="22"/>
        </w:rPr>
        <w:t>Národnej rady Slovenskej republiky</w:t>
      </w: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sz w:val="22"/>
          <w:szCs w:val="22"/>
        </w:rPr>
        <w:t> </w:t>
      </w:r>
    </w:p>
    <w:p w:rsidR="007C2704" w:rsidRPr="00476E46" w:rsidP="00696780">
      <w:pPr>
        <w:pStyle w:val="NormalWeb"/>
        <w:numPr>
          <w:ilvl w:val="0"/>
          <w:numId w:val="6"/>
        </w:numPr>
        <w:spacing w:before="120" w:beforeAutospacing="0" w:after="0" w:afterAutospacing="0" w:line="276" w:lineRule="auto"/>
        <w:ind w:left="426"/>
        <w:jc w:val="both"/>
        <w:rPr>
          <w:rFonts w:ascii="Book Antiqua" w:hAnsi="Book Antiqua"/>
          <w:bCs/>
          <w:sz w:val="22"/>
          <w:szCs w:val="22"/>
        </w:rPr>
      </w:pPr>
      <w:r w:rsidRPr="00476E46">
        <w:rPr>
          <w:rFonts w:ascii="Book Antiqua" w:hAnsi="Book Antiqua"/>
          <w:b/>
          <w:bCs/>
          <w:sz w:val="22"/>
          <w:szCs w:val="22"/>
        </w:rPr>
        <w:t>Názov návrhu zákona</w:t>
      </w:r>
      <w:r w:rsidRPr="00476E46">
        <w:rPr>
          <w:rFonts w:ascii="Book Antiqua" w:hAnsi="Book Antiqua"/>
          <w:bCs/>
          <w:sz w:val="22"/>
          <w:szCs w:val="22"/>
        </w:rPr>
        <w:t xml:space="preserve">: </w:t>
      </w:r>
      <w:r w:rsidRPr="00476E46" w:rsidR="00815EDB">
        <w:rPr>
          <w:rFonts w:ascii="Book Antiqua" w:hAnsi="Book Antiqua"/>
          <w:bCs/>
          <w:sz w:val="22"/>
          <w:szCs w:val="22"/>
        </w:rPr>
        <w:t xml:space="preserve">návrh </w:t>
      </w:r>
      <w:r w:rsidRPr="00476E46" w:rsidR="00762F82">
        <w:rPr>
          <w:rFonts w:ascii="Book Antiqua" w:hAnsi="Book Antiqua"/>
          <w:sz w:val="22"/>
          <w:szCs w:val="22"/>
        </w:rPr>
        <w:t xml:space="preserve">zákona, </w:t>
      </w:r>
      <w:r w:rsidRPr="00192077" w:rsidR="00762F82">
        <w:rPr>
          <w:rFonts w:ascii="Book Antiqua" w:hAnsi="Book Antiqua"/>
          <w:bCs/>
          <w:color w:val="000000"/>
          <w:sz w:val="22"/>
          <w:szCs w:val="22"/>
        </w:rPr>
        <w:t xml:space="preserve">ktorým sa mení a dopĺňa zákon č. </w:t>
      </w:r>
      <w:r w:rsidRPr="00192077" w:rsidR="00762F82">
        <w:rPr>
          <w:rFonts w:ascii="Book Antiqua" w:hAnsi="Book Antiqua"/>
          <w:color w:val="000000"/>
          <w:sz w:val="22"/>
          <w:szCs w:val="22"/>
        </w:rPr>
        <w:t>162/2015 Z. z. Správny súdny poriadok</w:t>
      </w:r>
      <w:r w:rsidRPr="00192077" w:rsidR="00762F82">
        <w:rPr>
          <w:rFonts w:ascii="Book Antiqua" w:hAnsi="Book Antiqua"/>
          <w:bCs/>
          <w:color w:val="000000"/>
          <w:sz w:val="22"/>
          <w:szCs w:val="22"/>
        </w:rPr>
        <w:t xml:space="preserve"> v znení neskorších predpisov</w:t>
      </w:r>
    </w:p>
    <w:p w:rsidR="007C2704" w:rsidRPr="00476E46" w:rsidP="00696780">
      <w:pPr>
        <w:pStyle w:val="NormalWeb"/>
        <w:spacing w:before="120" w:beforeAutospacing="0" w:after="0" w:afterAutospacing="0" w:line="276" w:lineRule="auto"/>
        <w:jc w:val="both"/>
        <w:rPr>
          <w:rFonts w:ascii="Book Antiqua" w:hAnsi="Book Antiqua"/>
          <w:bCs/>
          <w:sz w:val="22"/>
          <w:szCs w:val="22"/>
        </w:rPr>
      </w:pPr>
    </w:p>
    <w:p w:rsidR="004264B2" w:rsidRPr="00476E46" w:rsidP="00696780">
      <w:pPr>
        <w:pStyle w:val="NormalWeb"/>
        <w:spacing w:before="120" w:beforeAutospacing="0" w:after="0" w:afterAutospacing="0" w:line="276" w:lineRule="auto"/>
        <w:jc w:val="both"/>
        <w:rPr>
          <w:rFonts w:ascii="Book Antiqua" w:hAnsi="Book Antiqua"/>
          <w:b/>
          <w:bCs/>
          <w:sz w:val="22"/>
          <w:szCs w:val="22"/>
        </w:rPr>
      </w:pPr>
      <w:r w:rsidRPr="00476E46">
        <w:rPr>
          <w:rFonts w:ascii="Book Antiqua" w:hAnsi="Book Antiqua"/>
          <w:b/>
          <w:bCs/>
          <w:sz w:val="22"/>
          <w:szCs w:val="22"/>
        </w:rPr>
        <w:t>3. Predmet návrhu zákona:</w:t>
      </w:r>
    </w:p>
    <w:p w:rsidR="004264B2" w:rsidRPr="00476E46" w:rsidP="00696780">
      <w:pPr>
        <w:pStyle w:val="NormalWeb"/>
        <w:numPr>
          <w:ilvl w:val="0"/>
          <w:numId w:val="5"/>
        </w:numPr>
        <w:spacing w:before="120" w:beforeAutospacing="0" w:after="0" w:afterAutospacing="0" w:line="276" w:lineRule="auto"/>
        <w:jc w:val="both"/>
        <w:rPr>
          <w:rFonts w:ascii="Book Antiqua" w:hAnsi="Book Antiqua"/>
          <w:bCs/>
          <w:sz w:val="22"/>
          <w:szCs w:val="22"/>
        </w:rPr>
      </w:pPr>
      <w:r w:rsidR="00762F82">
        <w:rPr>
          <w:rFonts w:ascii="Book Antiqua" w:hAnsi="Book Antiqua"/>
          <w:bCs/>
          <w:sz w:val="22"/>
          <w:szCs w:val="22"/>
        </w:rPr>
        <w:t xml:space="preserve">nie </w:t>
      </w:r>
      <w:r w:rsidRPr="00476E46">
        <w:rPr>
          <w:rFonts w:ascii="Book Antiqua" w:hAnsi="Book Antiqua"/>
          <w:bCs/>
          <w:sz w:val="22"/>
          <w:szCs w:val="22"/>
        </w:rPr>
        <w:t>je upravený v primárnom práve Európskej únie</w:t>
      </w:r>
      <w:r w:rsidRPr="00476E46" w:rsidR="00423C63">
        <w:rPr>
          <w:rFonts w:ascii="Book Antiqua" w:hAnsi="Book Antiqua"/>
          <w:bCs/>
          <w:sz w:val="22"/>
          <w:szCs w:val="22"/>
        </w:rPr>
        <w:t>,</w:t>
      </w:r>
    </w:p>
    <w:p w:rsidR="004264B2" w:rsidRPr="00476E46" w:rsidP="00696780">
      <w:pPr>
        <w:pStyle w:val="NormalWeb"/>
        <w:numPr>
          <w:ilvl w:val="0"/>
          <w:numId w:val="5"/>
        </w:numPr>
        <w:spacing w:before="120" w:beforeAutospacing="0" w:after="0" w:afterAutospacing="0" w:line="276" w:lineRule="auto"/>
        <w:jc w:val="both"/>
        <w:rPr>
          <w:rFonts w:ascii="Book Antiqua" w:hAnsi="Book Antiqua"/>
          <w:bCs/>
          <w:sz w:val="22"/>
          <w:szCs w:val="22"/>
        </w:rPr>
      </w:pPr>
      <w:r w:rsidR="00762F82">
        <w:rPr>
          <w:rFonts w:ascii="Book Antiqua" w:hAnsi="Book Antiqua"/>
          <w:bCs/>
          <w:sz w:val="22"/>
          <w:szCs w:val="22"/>
        </w:rPr>
        <w:t xml:space="preserve">nie </w:t>
      </w:r>
      <w:r w:rsidRPr="00476E46">
        <w:rPr>
          <w:rFonts w:ascii="Book Antiqua" w:hAnsi="Book Antiqua"/>
          <w:bCs/>
          <w:sz w:val="22"/>
          <w:szCs w:val="22"/>
        </w:rPr>
        <w:t>je upravený v s</w:t>
      </w:r>
      <w:r w:rsidR="00762F82">
        <w:rPr>
          <w:rFonts w:ascii="Book Antiqua" w:hAnsi="Book Antiqua"/>
          <w:bCs/>
          <w:sz w:val="22"/>
          <w:szCs w:val="22"/>
        </w:rPr>
        <w:t>ekundárnom práve Európskej únie</w:t>
      </w:r>
      <w:r w:rsidR="00555043">
        <w:rPr>
          <w:rFonts w:ascii="Book Antiqua" w:hAnsi="Book Antiqua"/>
          <w:bCs/>
          <w:color w:val="000000"/>
          <w:sz w:val="22"/>
          <w:szCs w:val="22"/>
        </w:rPr>
        <w:t>,</w:t>
      </w:r>
    </w:p>
    <w:p w:rsidR="004264B2" w:rsidRPr="00476E46" w:rsidP="00696780">
      <w:pPr>
        <w:pStyle w:val="NormalWeb"/>
        <w:numPr>
          <w:ilvl w:val="0"/>
          <w:numId w:val="5"/>
        </w:numPr>
        <w:spacing w:before="120" w:beforeAutospacing="0" w:after="0" w:afterAutospacing="0" w:line="276" w:lineRule="auto"/>
        <w:jc w:val="both"/>
        <w:rPr>
          <w:rFonts w:ascii="Book Antiqua" w:hAnsi="Book Antiqua"/>
          <w:bCs/>
          <w:sz w:val="22"/>
          <w:szCs w:val="22"/>
        </w:rPr>
      </w:pPr>
      <w:r w:rsidRPr="00476E46">
        <w:rPr>
          <w:rFonts w:ascii="Book Antiqua" w:hAnsi="Book Antiqua"/>
          <w:bCs/>
          <w:sz w:val="22"/>
          <w:szCs w:val="22"/>
        </w:rPr>
        <w:t>nie je obsiahnutý v judikatúre Súdneho dvora Európskej únie.</w:t>
      </w:r>
    </w:p>
    <w:p w:rsidR="00E73FE8" w:rsidRPr="00362DBB" w:rsidP="00E73FE8">
      <w:pPr>
        <w:pStyle w:val="NormalWeb"/>
        <w:spacing w:before="120" w:beforeAutospacing="0" w:after="0" w:afterAutospacing="0" w:line="300" w:lineRule="exact"/>
        <w:jc w:val="both"/>
        <w:rPr>
          <w:rFonts w:ascii="Book Antiqua" w:hAnsi="Book Antiqua"/>
          <w:b/>
          <w:bCs/>
          <w:sz w:val="22"/>
          <w:szCs w:val="22"/>
        </w:rPr>
      </w:pPr>
    </w:p>
    <w:p w:rsidR="00E73FE8" w:rsidRPr="00762F82" w:rsidP="00E73FE8">
      <w:pPr>
        <w:pStyle w:val="NormalWeb"/>
        <w:spacing w:before="120" w:beforeAutospacing="0" w:after="0" w:afterAutospacing="0" w:line="276" w:lineRule="auto"/>
        <w:jc w:val="both"/>
        <w:rPr>
          <w:rFonts w:ascii="Book Antiqua" w:hAnsi="Book Antiqua"/>
          <w:sz w:val="22"/>
          <w:szCs w:val="22"/>
        </w:rPr>
      </w:pPr>
      <w:r w:rsidRPr="00762F82" w:rsidR="00762F82">
        <w:rPr>
          <w:rFonts w:ascii="Book Antiqua" w:hAnsi="Book Antiqua"/>
          <w:b/>
          <w:bCs/>
          <w:color w:val="000000"/>
          <w:sz w:val="22"/>
          <w:szCs w:val="22"/>
        </w:rPr>
        <w:t>Vzhľadom</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na</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to,</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že</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predmet</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návrhu</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zákona</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nie</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je</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upravený</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v práve</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Európskej</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únie,</w:t>
      </w:r>
      <w:r w:rsidRPr="00762F82" w:rsidR="00762F82">
        <w:rPr>
          <w:rFonts w:ascii="Book Antiqua" w:hAnsi="Book Antiqua"/>
          <w:b/>
          <w:bCs/>
          <w:color w:val="000000"/>
          <w:spacing w:val="29"/>
          <w:sz w:val="22"/>
          <w:szCs w:val="22"/>
        </w:rPr>
        <w:t xml:space="preserve"> </w:t>
      </w:r>
      <w:r w:rsidRPr="00762F82" w:rsidR="00762F82">
        <w:rPr>
          <w:rFonts w:ascii="Book Antiqua" w:hAnsi="Book Antiqua"/>
          <w:b/>
          <w:bCs/>
          <w:color w:val="000000"/>
          <w:sz w:val="22"/>
          <w:szCs w:val="22"/>
        </w:rPr>
        <w:t>je bezpredmetné vyjadrovať sa k bodom 4. a 5.</w:t>
      </w:r>
    </w:p>
    <w:p w:rsidR="007C2704" w:rsidRPr="00762F82" w:rsidP="000F6F50">
      <w:pPr>
        <w:pStyle w:val="NormalWeb"/>
        <w:spacing w:before="120" w:beforeAutospacing="0" w:after="0" w:afterAutospacing="0" w:line="276" w:lineRule="auto"/>
        <w:jc w:val="both"/>
        <w:rPr>
          <w:rFonts w:ascii="Book Antiqua" w:hAnsi="Book Antiqua"/>
          <w:b/>
          <w:bCs/>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7C2704" w:rsidRPr="00476E46" w:rsidP="00696780">
      <w:pPr>
        <w:pStyle w:val="NormalWeb"/>
        <w:spacing w:before="120" w:beforeAutospacing="0" w:after="0" w:afterAutospacing="0" w:line="276" w:lineRule="auto"/>
        <w:rPr>
          <w:rFonts w:ascii="Book Antiqua" w:hAnsi="Book Antiqua"/>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9E136E" w:rsidP="00125657">
      <w:pPr>
        <w:pStyle w:val="NormalWeb"/>
        <w:spacing w:before="120" w:beforeAutospacing="0" w:after="0" w:afterAutospacing="0" w:line="276" w:lineRule="auto"/>
        <w:jc w:val="center"/>
        <w:rPr>
          <w:rFonts w:ascii="Book Antiqua" w:hAnsi="Book Antiqua"/>
          <w:b/>
          <w:bCs/>
          <w:caps/>
          <w:color w:val="000000"/>
          <w:spacing w:val="30"/>
          <w:sz w:val="22"/>
          <w:szCs w:val="22"/>
        </w:rPr>
      </w:pPr>
    </w:p>
    <w:p w:rsidR="007C2704" w:rsidRPr="00476E46" w:rsidP="00125657">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caps/>
          <w:color w:val="000000"/>
          <w:spacing w:val="30"/>
          <w:sz w:val="22"/>
          <w:szCs w:val="22"/>
        </w:rPr>
        <w:t>Doložka</w:t>
      </w:r>
    </w:p>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b/>
          <w:bCs/>
          <w:color w:val="000000"/>
          <w:sz w:val="22"/>
          <w:szCs w:val="22"/>
        </w:rPr>
        <w:t>vybraných vplyvov</w:t>
      </w:r>
    </w:p>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p w:rsidR="007C2704" w:rsidRPr="00476E46" w:rsidP="00696780">
      <w:pPr>
        <w:spacing w:before="120" w:line="276" w:lineRule="auto"/>
        <w:jc w:val="both"/>
        <w:rPr>
          <w:rFonts w:ascii="Book Antiqua" w:hAnsi="Book Antiqua"/>
          <w:sz w:val="22"/>
          <w:szCs w:val="22"/>
        </w:rPr>
      </w:pPr>
      <w:r w:rsidRPr="00476E46">
        <w:rPr>
          <w:rFonts w:ascii="Book Antiqua" w:hAnsi="Book Antiqua"/>
          <w:b/>
          <w:bCs/>
          <w:color w:val="000000"/>
          <w:sz w:val="22"/>
          <w:szCs w:val="22"/>
        </w:rPr>
        <w:t xml:space="preserve">A.1. Názov materiálu: </w:t>
      </w:r>
      <w:r w:rsidRPr="00476E46" w:rsidR="009E136E">
        <w:rPr>
          <w:rFonts w:ascii="Book Antiqua" w:hAnsi="Book Antiqua"/>
          <w:bCs/>
          <w:sz w:val="22"/>
          <w:szCs w:val="22"/>
        </w:rPr>
        <w:t xml:space="preserve">návrh </w:t>
      </w:r>
      <w:r w:rsidRPr="00476E46" w:rsidR="009E136E">
        <w:rPr>
          <w:rFonts w:ascii="Book Antiqua" w:hAnsi="Book Antiqua"/>
          <w:sz w:val="22"/>
          <w:szCs w:val="22"/>
        </w:rPr>
        <w:t xml:space="preserve">zákona, </w:t>
      </w:r>
      <w:r w:rsidRPr="00192077" w:rsidR="009E136E">
        <w:rPr>
          <w:rFonts w:ascii="Book Antiqua" w:hAnsi="Book Antiqua"/>
          <w:bCs/>
          <w:color w:val="000000"/>
          <w:sz w:val="22"/>
          <w:szCs w:val="22"/>
        </w:rPr>
        <w:t xml:space="preserve">ktorým sa mení a dopĺňa zákon č. </w:t>
      </w:r>
      <w:r w:rsidRPr="00192077" w:rsidR="009E136E">
        <w:rPr>
          <w:rFonts w:ascii="Book Antiqua" w:hAnsi="Book Antiqua"/>
          <w:color w:val="000000"/>
          <w:sz w:val="22"/>
          <w:szCs w:val="22"/>
        </w:rPr>
        <w:t>162/2015 Z. z. Správny súdny poriadok</w:t>
      </w:r>
      <w:r w:rsidRPr="00192077" w:rsidR="009E136E">
        <w:rPr>
          <w:rFonts w:ascii="Book Antiqua" w:hAnsi="Book Antiqua"/>
          <w:bCs/>
          <w:color w:val="000000"/>
          <w:sz w:val="22"/>
          <w:szCs w:val="22"/>
        </w:rPr>
        <w:t xml:space="preserve"> v znení neskorších predpisov</w:t>
      </w:r>
    </w:p>
    <w:p w:rsidR="00423C63" w:rsidRPr="00476E46" w:rsidP="009E136E">
      <w:pPr>
        <w:pStyle w:val="NormalWeb"/>
        <w:tabs>
          <w:tab w:val="left" w:pos="2580"/>
        </w:tabs>
        <w:spacing w:before="120" w:beforeAutospacing="0" w:after="0" w:afterAutospacing="0" w:line="276" w:lineRule="auto"/>
        <w:jc w:val="both"/>
        <w:rPr>
          <w:rFonts w:ascii="Book Antiqua" w:hAnsi="Book Antiqua"/>
          <w:b/>
          <w:bCs/>
          <w:color w:val="000000"/>
          <w:sz w:val="22"/>
          <w:szCs w:val="22"/>
        </w:rPr>
      </w:pPr>
      <w:r w:rsidR="009E136E">
        <w:rPr>
          <w:rFonts w:ascii="Book Antiqua" w:hAnsi="Book Antiqua"/>
          <w:b/>
          <w:bCs/>
          <w:color w:val="000000"/>
          <w:sz w:val="22"/>
          <w:szCs w:val="22"/>
        </w:rPr>
        <w:tab/>
      </w: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Termín začatia a ukončenia PPK:</w:t>
      </w:r>
      <w:r w:rsidRPr="00476E46">
        <w:rPr>
          <w:rFonts w:ascii="Book Antiqua" w:hAnsi="Book Antiqua"/>
          <w:color w:val="000000"/>
          <w:sz w:val="22"/>
          <w:szCs w:val="22"/>
        </w:rPr>
        <w:t xml:space="preserve"> </w:t>
      </w:r>
      <w:r w:rsidRPr="00476E46">
        <w:rPr>
          <w:rFonts w:ascii="Book Antiqua" w:hAnsi="Book Antiqua"/>
          <w:i/>
          <w:iCs/>
          <w:color w:val="000000"/>
          <w:sz w:val="22"/>
          <w:szCs w:val="22"/>
        </w:rPr>
        <w:t>bezpredmetné</w:t>
      </w:r>
    </w:p>
    <w:p w:rsidR="007C2704" w:rsidRPr="00476E46" w:rsidP="00696780">
      <w:pPr>
        <w:pStyle w:val="NormalWeb"/>
        <w:spacing w:before="120" w:beforeAutospacing="0" w:after="0" w:afterAutospacing="0" w:line="276" w:lineRule="auto"/>
        <w:jc w:val="both"/>
        <w:rPr>
          <w:rFonts w:ascii="Book Antiqua" w:hAnsi="Book Antiqua"/>
          <w:sz w:val="22"/>
          <w:szCs w:val="22"/>
        </w:rPr>
      </w:pP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A.2. Vplyvy:</w:t>
      </w:r>
    </w:p>
    <w:tbl>
      <w:tblPr>
        <w:tblStyle w:val="TableNormal"/>
        <w:tblW w:w="5000" w:type="pct"/>
        <w:tblCellMar>
          <w:left w:w="0" w:type="dxa"/>
          <w:right w:w="0" w:type="dxa"/>
        </w:tblCellMar>
        <w:tblLook w:val="0000"/>
      </w:tblPr>
      <w:tblGrid>
        <w:gridCol w:w="5518"/>
        <w:gridCol w:w="1192"/>
        <w:gridCol w:w="1181"/>
        <w:gridCol w:w="1197"/>
      </w:tblGrid>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Negatívne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sidR="00E4766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009E136E">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sidR="00E4766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sidR="009F4A5D">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476E46" w:rsidP="00696780">
            <w:pPr>
              <w:pStyle w:val="NormalWeb"/>
              <w:spacing w:before="120" w:beforeAutospacing="0" w:after="0" w:afterAutospacing="0" w:line="276" w:lineRule="auto"/>
              <w:jc w:val="center"/>
              <w:rPr>
                <w:rFonts w:ascii="Book Antiqua" w:hAnsi="Book Antiqua"/>
                <w:sz w:val="22"/>
                <w:szCs w:val="22"/>
              </w:rPr>
            </w:pPr>
            <w:r w:rsidRPr="00476E46">
              <w:rPr>
                <w:rFonts w:ascii="Book Antiqua" w:hAnsi="Book Antiqua"/>
                <w:color w:val="000000"/>
                <w:sz w:val="22"/>
                <w:szCs w:val="22"/>
              </w:rPr>
              <w:t> </w:t>
            </w:r>
          </w:p>
        </w:tc>
      </w:tr>
    </w:tbl>
    <w:p w:rsidR="007C2704" w:rsidRPr="00476E46" w:rsidP="00696780">
      <w:pPr>
        <w:pStyle w:val="NormalWeb"/>
        <w:spacing w:before="120" w:beforeAutospacing="0" w:after="0" w:afterAutospacing="0" w:line="276" w:lineRule="auto"/>
        <w:rPr>
          <w:rFonts w:ascii="Book Antiqua" w:hAnsi="Book Antiqua"/>
          <w:sz w:val="22"/>
          <w:szCs w:val="22"/>
        </w:rPr>
      </w:pPr>
      <w:r w:rsidRPr="00476E46">
        <w:rPr>
          <w:rFonts w:ascii="Book Antiqua" w:hAnsi="Book Antiqua"/>
          <w:color w:val="000000"/>
          <w:sz w:val="22"/>
          <w:szCs w:val="22"/>
        </w:rPr>
        <w:t> </w:t>
      </w: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A.3. Poznámky</w:t>
      </w:r>
    </w:p>
    <w:p w:rsidR="00815EDB" w:rsidRPr="00476E46" w:rsidP="00696780">
      <w:pPr>
        <w:pStyle w:val="NormalWeb"/>
        <w:spacing w:before="120" w:beforeAutospacing="0" w:after="0" w:afterAutospacing="0" w:line="276" w:lineRule="auto"/>
        <w:jc w:val="both"/>
        <w:rPr>
          <w:rFonts w:ascii="Book Antiqua" w:hAnsi="Book Antiqua"/>
          <w:i/>
          <w:sz w:val="22"/>
          <w:szCs w:val="22"/>
        </w:rPr>
      </w:pPr>
      <w:r w:rsidRPr="00476E46" w:rsidR="00E4766B">
        <w:rPr>
          <w:rFonts w:ascii="Book Antiqua" w:hAnsi="Book Antiqua"/>
          <w:bCs/>
          <w:i/>
          <w:color w:val="000000"/>
          <w:sz w:val="22"/>
          <w:szCs w:val="22"/>
        </w:rPr>
        <w:t xml:space="preserve">Predkladaný návrh zákona </w:t>
      </w:r>
      <w:r w:rsidRPr="00476E46" w:rsidR="00E4766B">
        <w:rPr>
          <w:rFonts w:ascii="Book Antiqua" w:hAnsi="Book Antiqua"/>
          <w:i/>
          <w:sz w:val="22"/>
          <w:szCs w:val="22"/>
        </w:rPr>
        <w:t>nemá vplyv na rozpočet verejnej s</w:t>
      </w:r>
      <w:r w:rsidR="009E136E">
        <w:rPr>
          <w:rFonts w:ascii="Book Antiqua" w:hAnsi="Book Antiqua"/>
          <w:i/>
          <w:sz w:val="22"/>
          <w:szCs w:val="22"/>
        </w:rPr>
        <w:t xml:space="preserve">právy ani </w:t>
      </w:r>
      <w:r w:rsidRPr="00476E46" w:rsidR="00E4766B">
        <w:rPr>
          <w:rFonts w:ascii="Book Antiqua" w:hAnsi="Book Antiqua"/>
          <w:i/>
          <w:sz w:val="22"/>
          <w:szCs w:val="22"/>
        </w:rPr>
        <w:t>na podnikateľské prostredie. Návrh zákona nemá vplyv na životné prostredie ani na informatizáciu spoločnosti a nevyvoláva žiadne sociálne vplyvy.</w:t>
      </w:r>
    </w:p>
    <w:p w:rsidR="00E4766B" w:rsidRPr="00476E46" w:rsidP="00696780">
      <w:pPr>
        <w:pStyle w:val="NormalWeb"/>
        <w:spacing w:before="120" w:beforeAutospacing="0" w:after="0" w:afterAutospacing="0" w:line="276" w:lineRule="auto"/>
        <w:jc w:val="both"/>
        <w:rPr>
          <w:rFonts w:ascii="Book Antiqua" w:hAnsi="Book Antiqua"/>
          <w:bCs/>
          <w:i/>
          <w:color w:val="000000"/>
          <w:sz w:val="22"/>
          <w:szCs w:val="22"/>
        </w:rPr>
      </w:pPr>
    </w:p>
    <w:p w:rsidR="007C2704" w:rsidRPr="00476E46" w:rsidP="00696780">
      <w:pPr>
        <w:pStyle w:val="NormalWeb"/>
        <w:spacing w:before="120" w:beforeAutospacing="0" w:after="0" w:afterAutospacing="0" w:line="276" w:lineRule="auto"/>
        <w:jc w:val="both"/>
        <w:rPr>
          <w:rFonts w:ascii="Book Antiqua" w:hAnsi="Book Antiqua"/>
          <w:bCs/>
          <w:i/>
          <w:color w:val="000000"/>
          <w:sz w:val="22"/>
          <w:szCs w:val="22"/>
        </w:rPr>
      </w:pPr>
      <w:r w:rsidRPr="00476E46">
        <w:rPr>
          <w:rFonts w:ascii="Book Antiqua" w:hAnsi="Book Antiqua"/>
          <w:b/>
          <w:bCs/>
          <w:color w:val="000000"/>
          <w:sz w:val="22"/>
          <w:szCs w:val="22"/>
        </w:rPr>
        <w:t>A.4. Alternatívne riešenia</w:t>
      </w:r>
    </w:p>
    <w:p w:rsidR="007C2704" w:rsidRPr="00476E46" w:rsidP="00696780">
      <w:pPr>
        <w:pStyle w:val="NormalWeb"/>
        <w:spacing w:before="120" w:beforeAutospacing="0" w:after="0" w:afterAutospacing="0" w:line="276" w:lineRule="auto"/>
        <w:jc w:val="both"/>
        <w:rPr>
          <w:rFonts w:ascii="Book Antiqua" w:hAnsi="Book Antiqua"/>
          <w:i/>
          <w:iCs/>
          <w:color w:val="000000"/>
          <w:sz w:val="22"/>
          <w:szCs w:val="22"/>
        </w:rPr>
      </w:pPr>
      <w:r w:rsidRPr="00476E46">
        <w:rPr>
          <w:rFonts w:ascii="Book Antiqua" w:hAnsi="Book Antiqua"/>
          <w:i/>
          <w:iCs/>
          <w:color w:val="000000"/>
          <w:sz w:val="22"/>
          <w:szCs w:val="22"/>
        </w:rPr>
        <w:t>bezpredmetné</w:t>
      </w:r>
    </w:p>
    <w:p w:rsidR="00423C63" w:rsidRPr="00476E46" w:rsidP="00696780">
      <w:pPr>
        <w:pStyle w:val="NormalWeb"/>
        <w:spacing w:before="120" w:beforeAutospacing="0" w:after="0" w:afterAutospacing="0" w:line="276" w:lineRule="auto"/>
        <w:jc w:val="both"/>
        <w:rPr>
          <w:rFonts w:ascii="Book Antiqua" w:hAnsi="Book Antiqua"/>
          <w:b/>
          <w:bCs/>
          <w:color w:val="000000"/>
          <w:sz w:val="22"/>
          <w:szCs w:val="22"/>
        </w:rPr>
      </w:pPr>
    </w:p>
    <w:p w:rsidR="007C2704" w:rsidRPr="00476E46" w:rsidP="00696780">
      <w:pPr>
        <w:pStyle w:val="NormalWeb"/>
        <w:spacing w:before="120" w:beforeAutospacing="0" w:after="0" w:afterAutospacing="0" w:line="276" w:lineRule="auto"/>
        <w:jc w:val="both"/>
        <w:rPr>
          <w:rFonts w:ascii="Book Antiqua" w:hAnsi="Book Antiqua"/>
          <w:sz w:val="22"/>
          <w:szCs w:val="22"/>
        </w:rPr>
      </w:pPr>
      <w:r w:rsidRPr="00476E46">
        <w:rPr>
          <w:rFonts w:ascii="Book Antiqua" w:hAnsi="Book Antiqua"/>
          <w:b/>
          <w:bCs/>
          <w:color w:val="000000"/>
          <w:sz w:val="22"/>
          <w:szCs w:val="22"/>
        </w:rPr>
        <w:t>A.5. Stanovisko gestorov</w:t>
      </w:r>
    </w:p>
    <w:p w:rsidR="001B1849" w:rsidRPr="00476E46" w:rsidP="00815EDB">
      <w:pPr>
        <w:pStyle w:val="NormalWeb"/>
        <w:spacing w:before="120" w:beforeAutospacing="0" w:after="0" w:afterAutospacing="0" w:line="276" w:lineRule="auto"/>
        <w:jc w:val="both"/>
        <w:rPr>
          <w:rFonts w:ascii="Book Antiqua" w:hAnsi="Book Antiqua"/>
          <w:sz w:val="22"/>
          <w:szCs w:val="22"/>
        </w:rPr>
      </w:pPr>
      <w:r w:rsidRPr="00476E46" w:rsidR="007C2704">
        <w:rPr>
          <w:rFonts w:ascii="Book Antiqua" w:hAnsi="Book Antiqua"/>
          <w:i/>
          <w:iCs/>
          <w:color w:val="000000"/>
          <w:sz w:val="22"/>
          <w:szCs w:val="22"/>
        </w:rPr>
        <w:t>Návrh zákona bol zaslaný na vyjadrenie Ministerstvu financií SR a stanovisko tohto ministerstva tvorí súčasť predkladaného materiálu.</w:t>
      </w:r>
    </w:p>
    <w:sectPr w:rsidSect="00421A64">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20">
    <w:pPr>
      <w:pStyle w:val="Footer"/>
      <w:jc w:val="right"/>
    </w:pPr>
    <w:r>
      <w:fldChar w:fldCharType="begin"/>
    </w:r>
    <w:r>
      <w:instrText>PAGE   \* MERGEFORMAT</w:instrText>
    </w:r>
    <w:r>
      <w:fldChar w:fldCharType="separate"/>
    </w:r>
    <w:r w:rsidR="00944B6C">
      <w:rPr>
        <w:noProof/>
      </w:rPr>
      <w:t>7</w:t>
    </w:r>
    <w:r>
      <w:fldChar w:fldCharType="end"/>
    </w:r>
  </w:p>
  <w:p w:rsidR="00AA442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2EB"/>
    <w:multiLevelType w:val="hybridMultilevel"/>
    <w:tmpl w:val="752CB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4B065F"/>
    <w:multiLevelType w:val="hybridMultilevel"/>
    <w:tmpl w:val="41C6BF3C"/>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24D113D1"/>
    <w:multiLevelType w:val="hybridMultilevel"/>
    <w:tmpl w:val="45D8BA8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55639C9"/>
    <w:multiLevelType w:val="hybridMultilevel"/>
    <w:tmpl w:val="38F69CA4"/>
    <w:lvl w:ilvl="0">
      <w:start w:val="5"/>
      <w:numFmt w:val="decimal"/>
      <w:lvlText w:val="%1."/>
      <w:lvlJc w:val="left"/>
      <w:pPr>
        <w:tabs>
          <w:tab w:val="num" w:pos="341"/>
        </w:tabs>
        <w:ind w:left="341" w:hanging="284"/>
      </w:pPr>
      <w:rPr>
        <w:rFonts w:cs="Times New Roman"/>
        <w:b/>
        <w:i w:val="0"/>
      </w:rPr>
    </w:lvl>
    <w:lvl w:ilvl="1">
      <w:start w:val="6"/>
      <w:numFmt w:val="decimal"/>
      <w:lvlText w:val="%2."/>
      <w:lvlJc w:val="left"/>
      <w:pPr>
        <w:tabs>
          <w:tab w:val="num" w:pos="284"/>
        </w:tabs>
        <w:ind w:left="284" w:hanging="284"/>
      </w:pPr>
      <w:rPr>
        <w:rFonts w:cs="Times New Roman"/>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4C4D7151"/>
    <w:multiLevelType w:val="hybridMultilevel"/>
    <w:tmpl w:val="8C1A3B50"/>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60060C7F"/>
    <w:multiLevelType w:val="hybridMultilevel"/>
    <w:tmpl w:val="3DAEB0C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Pr>
    </w:lvl>
    <w:lvl w:ilvl="3">
      <w:start w:val="4"/>
      <w:numFmt w:val="decimal"/>
      <w:lvlText w:val="%4."/>
      <w:lvlJc w:val="left"/>
      <w:pPr>
        <w:tabs>
          <w:tab w:val="num" w:pos="284"/>
        </w:tabs>
        <w:ind w:left="284" w:hanging="284"/>
      </w:pPr>
      <w:rPr>
        <w:rFonts w:cs="Times New Roman"/>
        <w:b/>
        <w:i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6CFB3903"/>
    <w:multiLevelType w:val="hybridMultilevel"/>
    <w:tmpl w:val="B62C5DD0"/>
    <w:lvl w:ilvl="0">
      <w:start w:val="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
    <w:nsid w:val="6EE87ACD"/>
    <w:multiLevelType w:val="hybridMultilevel"/>
    <w:tmpl w:val="AA3680E4"/>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lvlOverride w:ilvl="1"/>
    <w:lvlOverride w:ilvl="2">
      <w:startOverride w:val="2"/>
    </w:lvlOverride>
    <w:lvlOverride w:ilvl="3">
      <w:startOverride w:val="4"/>
    </w:lvlOverride>
    <w:lvlOverride w:ilvl="4"/>
    <w:lvlOverride w:ilvl="5"/>
    <w:lvlOverride w:ilvl="6"/>
    <w:lvlOverride w:ilvl="7"/>
    <w:lvlOverride w:ilvl="8"/>
  </w:num>
  <w:num w:numId="4">
    <w:abstractNumId w:val="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8"/>
  </w:num>
  <w:num w:numId="8">
    <w:abstractNumId w:val="2"/>
  </w:num>
  <w:num w:numId="9">
    <w:abstractNumId w:val="0"/>
  </w:num>
  <w:num w:numId="10">
    <w:abstractNumId w:val="6"/>
    <w:lvlOverride w:ilvl="0"/>
    <w:lvlOverride w:ilvl="1"/>
    <w:lvlOverride w:ilvl="2">
      <w:startOverride w:val="2"/>
    </w:lvlOverride>
    <w:lvlOverride w:ilvl="3">
      <w:startOverride w:val="4"/>
    </w:lvlOverride>
    <w:lvlOverride w:ilvl="4"/>
    <w:lvlOverride w:ilvl="5"/>
    <w:lvlOverride w:ilvl="6"/>
    <w:lvlOverride w:ilvl="7"/>
    <w:lvlOverride w:ilv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1849"/>
    <w:rsid w:val="00013790"/>
    <w:rsid w:val="000A3002"/>
    <w:rsid w:val="000D1A73"/>
    <w:rsid w:val="000D6E98"/>
    <w:rsid w:val="000E634B"/>
    <w:rsid w:val="000F6F50"/>
    <w:rsid w:val="00125657"/>
    <w:rsid w:val="001847B2"/>
    <w:rsid w:val="00192077"/>
    <w:rsid w:val="001B1849"/>
    <w:rsid w:val="001F7749"/>
    <w:rsid w:val="001F7FF8"/>
    <w:rsid w:val="0020696C"/>
    <w:rsid w:val="00256A9F"/>
    <w:rsid w:val="00270D5E"/>
    <w:rsid w:val="00276370"/>
    <w:rsid w:val="002B572C"/>
    <w:rsid w:val="002B7167"/>
    <w:rsid w:val="002F3CE2"/>
    <w:rsid w:val="00311BBC"/>
    <w:rsid w:val="00330137"/>
    <w:rsid w:val="00362DBB"/>
    <w:rsid w:val="003761B1"/>
    <w:rsid w:val="003C3147"/>
    <w:rsid w:val="00421A64"/>
    <w:rsid w:val="004221BC"/>
    <w:rsid w:val="00423C63"/>
    <w:rsid w:val="00424B9F"/>
    <w:rsid w:val="004264B2"/>
    <w:rsid w:val="00437270"/>
    <w:rsid w:val="00473E18"/>
    <w:rsid w:val="00474D57"/>
    <w:rsid w:val="00476E46"/>
    <w:rsid w:val="00484751"/>
    <w:rsid w:val="004B5E17"/>
    <w:rsid w:val="004F07C9"/>
    <w:rsid w:val="00503E0D"/>
    <w:rsid w:val="0052044D"/>
    <w:rsid w:val="005324AB"/>
    <w:rsid w:val="00533875"/>
    <w:rsid w:val="00547F1D"/>
    <w:rsid w:val="00555043"/>
    <w:rsid w:val="00555548"/>
    <w:rsid w:val="005F0314"/>
    <w:rsid w:val="00635DDA"/>
    <w:rsid w:val="0063763F"/>
    <w:rsid w:val="00691A3C"/>
    <w:rsid w:val="00696780"/>
    <w:rsid w:val="006A599D"/>
    <w:rsid w:val="00706F69"/>
    <w:rsid w:val="00762F82"/>
    <w:rsid w:val="00766307"/>
    <w:rsid w:val="007810BE"/>
    <w:rsid w:val="007A049D"/>
    <w:rsid w:val="007B30CF"/>
    <w:rsid w:val="007C2704"/>
    <w:rsid w:val="00815EDB"/>
    <w:rsid w:val="008226C4"/>
    <w:rsid w:val="008274C0"/>
    <w:rsid w:val="00837BF6"/>
    <w:rsid w:val="00840385"/>
    <w:rsid w:val="008949D7"/>
    <w:rsid w:val="008B275A"/>
    <w:rsid w:val="008C40E0"/>
    <w:rsid w:val="008D1897"/>
    <w:rsid w:val="00917299"/>
    <w:rsid w:val="00944B6C"/>
    <w:rsid w:val="00974559"/>
    <w:rsid w:val="00976220"/>
    <w:rsid w:val="00990651"/>
    <w:rsid w:val="009D5C96"/>
    <w:rsid w:val="009E136E"/>
    <w:rsid w:val="009E4880"/>
    <w:rsid w:val="009F080A"/>
    <w:rsid w:val="009F4A5D"/>
    <w:rsid w:val="00A36B3B"/>
    <w:rsid w:val="00A403B6"/>
    <w:rsid w:val="00A60270"/>
    <w:rsid w:val="00A726BA"/>
    <w:rsid w:val="00A7396D"/>
    <w:rsid w:val="00A8027F"/>
    <w:rsid w:val="00A93934"/>
    <w:rsid w:val="00AA4420"/>
    <w:rsid w:val="00AC79CE"/>
    <w:rsid w:val="00AD0E47"/>
    <w:rsid w:val="00AF4DFD"/>
    <w:rsid w:val="00AF7C1A"/>
    <w:rsid w:val="00B007EC"/>
    <w:rsid w:val="00B00A04"/>
    <w:rsid w:val="00B1662B"/>
    <w:rsid w:val="00B21950"/>
    <w:rsid w:val="00B32675"/>
    <w:rsid w:val="00B54E08"/>
    <w:rsid w:val="00B909E7"/>
    <w:rsid w:val="00B92E78"/>
    <w:rsid w:val="00BA27A0"/>
    <w:rsid w:val="00BC1F08"/>
    <w:rsid w:val="00BC24DA"/>
    <w:rsid w:val="00BD4528"/>
    <w:rsid w:val="00BE1D75"/>
    <w:rsid w:val="00BE2453"/>
    <w:rsid w:val="00C144DC"/>
    <w:rsid w:val="00C179A1"/>
    <w:rsid w:val="00C75FAC"/>
    <w:rsid w:val="00C91346"/>
    <w:rsid w:val="00C926F5"/>
    <w:rsid w:val="00D0414D"/>
    <w:rsid w:val="00D34483"/>
    <w:rsid w:val="00D41A81"/>
    <w:rsid w:val="00D83D94"/>
    <w:rsid w:val="00D852B1"/>
    <w:rsid w:val="00D879C2"/>
    <w:rsid w:val="00DE7CAB"/>
    <w:rsid w:val="00DF0FA5"/>
    <w:rsid w:val="00DF1D35"/>
    <w:rsid w:val="00E0387A"/>
    <w:rsid w:val="00E06317"/>
    <w:rsid w:val="00E1384D"/>
    <w:rsid w:val="00E157DD"/>
    <w:rsid w:val="00E17C58"/>
    <w:rsid w:val="00E33BBA"/>
    <w:rsid w:val="00E4766B"/>
    <w:rsid w:val="00E73FE8"/>
    <w:rsid w:val="00E753F7"/>
    <w:rsid w:val="00E96CD8"/>
    <w:rsid w:val="00F03989"/>
    <w:rsid w:val="00F12F0E"/>
    <w:rsid w:val="00F23D5D"/>
    <w:rsid w:val="00F51036"/>
    <w:rsid w:val="00F737EC"/>
    <w:rsid w:val="00F8338B"/>
    <w:rsid w:val="00F84932"/>
    <w:rsid w:val="00FA66AC"/>
    <w:rsid w:val="00FF4F1B"/>
  </w:rsids>
  <m:mathPr>
    <m:mathFont m:val="Cambria Math"/>
    <m:smallFrac/>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49"/>
    <w:rPr>
      <w:rFonts w:ascii="Times New Roman" w:eastAsia="Times New Roman" w:hAnsi="Times New Roman"/>
      <w:sz w:val="24"/>
      <w:szCs w:val="24"/>
      <w:lang w:val="sk-SK" w:eastAsia="sk-SK" w:bidi="ar-SA"/>
    </w:rPr>
  </w:style>
  <w:style w:type="paragraph" w:styleId="Heading1">
    <w:name w:val="heading 1"/>
    <w:basedOn w:val="Normal"/>
    <w:next w:val="Normal"/>
    <w:link w:val="Nadpis1Char"/>
    <w:qFormat/>
    <w:rsid w:val="001B1849"/>
    <w:pPr>
      <w:keepNext/>
      <w:autoSpaceDE w:val="0"/>
      <w:autoSpaceDN w:val="0"/>
      <w:adjustRightInd w:val="0"/>
      <w:jc w:val="center"/>
      <w:outlineLvl w:val="0"/>
    </w:pPr>
    <w:rPr>
      <w:rFonts w:ascii="Cambria" w:hAnsi="Cambria"/>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1B1849"/>
    <w:rPr>
      <w:rFonts w:ascii="Cambria" w:eastAsia="Times New Roman" w:hAnsi="Cambria" w:cs="Times New Roman"/>
      <w:b/>
      <w:kern w:val="32"/>
      <w:sz w:val="32"/>
      <w:szCs w:val="20"/>
      <w:lang w:val="x-none" w:eastAsia="x-none"/>
    </w:rPr>
  </w:style>
  <w:style w:type="paragraph" w:styleId="NormalWeb">
    <w:name w:val="Normal (Web)"/>
    <w:basedOn w:val="Normal"/>
    <w:uiPriority w:val="99"/>
    <w:unhideWhenUsed/>
    <w:rsid w:val="001B1849"/>
    <w:pPr>
      <w:spacing w:before="100" w:beforeAutospacing="1" w:after="100" w:afterAutospacing="1"/>
    </w:pPr>
  </w:style>
  <w:style w:type="paragraph" w:styleId="FootnoteText">
    <w:name w:val="footnote text"/>
    <w:basedOn w:val="Normal"/>
    <w:link w:val="TextpoznmkypodiarouChar"/>
    <w:uiPriority w:val="99"/>
    <w:semiHidden/>
    <w:unhideWhenUsed/>
    <w:rsid w:val="007810BE"/>
    <w:rPr>
      <w:sz w:val="20"/>
      <w:szCs w:val="20"/>
    </w:rPr>
  </w:style>
  <w:style w:type="character" w:customStyle="1" w:styleId="TextpoznmkypodiarouChar">
    <w:name w:val="Text poznámky pod čiarou Char"/>
    <w:link w:val="FootnoteText"/>
    <w:uiPriority w:val="99"/>
    <w:semiHidden/>
    <w:rsid w:val="007810BE"/>
    <w:rPr>
      <w:rFonts w:ascii="Times New Roman" w:eastAsia="Times New Roman" w:hAnsi="Times New Roman" w:cs="Times New Roman"/>
      <w:sz w:val="20"/>
      <w:szCs w:val="20"/>
      <w:lang w:eastAsia="sk-SK"/>
    </w:rPr>
  </w:style>
  <w:style w:type="character" w:styleId="FootnoteReference">
    <w:name w:val="footnote reference"/>
    <w:uiPriority w:val="99"/>
    <w:semiHidden/>
    <w:unhideWhenUsed/>
    <w:rsid w:val="007810BE"/>
    <w:rPr>
      <w:vertAlign w:val="superscript"/>
    </w:rPr>
  </w:style>
  <w:style w:type="paragraph" w:styleId="Header">
    <w:name w:val="header"/>
    <w:basedOn w:val="Normal"/>
    <w:link w:val="HlavikaChar"/>
    <w:uiPriority w:val="99"/>
    <w:unhideWhenUsed/>
    <w:rsid w:val="00AA4420"/>
    <w:pPr>
      <w:tabs>
        <w:tab w:val="center" w:pos="4536"/>
        <w:tab w:val="right" w:pos="9072"/>
      </w:tabs>
    </w:pPr>
  </w:style>
  <w:style w:type="character" w:customStyle="1" w:styleId="HlavikaChar">
    <w:name w:val="Hlavička Char"/>
    <w:link w:val="Header"/>
    <w:uiPriority w:val="99"/>
    <w:rsid w:val="00AA4420"/>
    <w:rPr>
      <w:rFonts w:ascii="Times New Roman" w:eastAsia="Times New Roman" w:hAnsi="Times New Roman"/>
      <w:sz w:val="24"/>
      <w:szCs w:val="24"/>
    </w:rPr>
  </w:style>
  <w:style w:type="paragraph" w:styleId="Footer">
    <w:name w:val="footer"/>
    <w:basedOn w:val="Normal"/>
    <w:link w:val="PtaChar"/>
    <w:uiPriority w:val="99"/>
    <w:unhideWhenUsed/>
    <w:rsid w:val="00AA4420"/>
    <w:pPr>
      <w:tabs>
        <w:tab w:val="center" w:pos="4536"/>
        <w:tab w:val="right" w:pos="9072"/>
      </w:tabs>
    </w:pPr>
  </w:style>
  <w:style w:type="character" w:customStyle="1" w:styleId="PtaChar">
    <w:name w:val="Päta Char"/>
    <w:link w:val="Footer"/>
    <w:uiPriority w:val="99"/>
    <w:rsid w:val="00AA4420"/>
    <w:rPr>
      <w:rFonts w:ascii="Times New Roman" w:eastAsia="Times New Roman" w:hAnsi="Times New Roman"/>
      <w:sz w:val="24"/>
      <w:szCs w:val="24"/>
    </w:rPr>
  </w:style>
  <w:style w:type="character" w:styleId="Hyperlink">
    <w:name w:val="Hyperlink"/>
    <w:uiPriority w:val="99"/>
    <w:semiHidden/>
    <w:unhideWhenUsed/>
    <w:rsid w:val="00D34483"/>
    <w:rPr>
      <w:color w:val="0000FF"/>
      <w:u w:val="single"/>
    </w:rPr>
  </w:style>
  <w:style w:type="character" w:customStyle="1" w:styleId="ablnaChar">
    <w:name w:val="Šablóna Char"/>
    <w:link w:val="ablna"/>
    <w:locked/>
    <w:rsid w:val="00473E18"/>
    <w:rPr>
      <w:sz w:val="24"/>
      <w:szCs w:val="24"/>
      <w:lang w:eastAsia="ar-SA"/>
    </w:rPr>
  </w:style>
  <w:style w:type="paragraph" w:customStyle="1" w:styleId="ablna">
    <w:name w:val="Šablóna"/>
    <w:basedOn w:val="Normal"/>
    <w:link w:val="ablnaChar"/>
    <w:qFormat/>
    <w:rsid w:val="00473E18"/>
    <w:pPr>
      <w:tabs>
        <w:tab w:val="left" w:pos="2880"/>
        <w:tab w:val="left" w:pos="5040"/>
        <w:tab w:val="left" w:pos="7380"/>
      </w:tabs>
      <w:suppressAutoHyphens/>
    </w:pPr>
    <w:rPr>
      <w:rFonts w:ascii="Calibri" w:eastAsia="Calibri" w:hAnsi="Calibri"/>
      <w:lang w:eastAsia="ar-SA"/>
    </w:rPr>
  </w:style>
  <w:style w:type="paragraph" w:styleId="NoSpacing">
    <w:name w:val="No Spacing"/>
    <w:uiPriority w:val="1"/>
    <w:qFormat/>
    <w:rsid w:val="00424B9F"/>
    <w:rPr>
      <w:sz w:val="22"/>
      <w:szCs w:val="22"/>
      <w:lang w:val="sk-SK" w:eastAsia="en-US" w:bidi="ar-SA"/>
    </w:rPr>
  </w:style>
</w:styles>
</file>

<file path=word/webSettings.xml><?xml version="1.0" encoding="utf-8"?>
<w:webSettings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A6E2-724A-4253-910D-220DD759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1972</Words>
  <Characters>11246</Characters>
  <Application>Microsoft Office Word</Application>
  <DocSecurity>0</DocSecurity>
  <Lines>93</Lines>
  <Paragraphs>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 SR</Company>
  <LinksUpToDate>false</LinksUpToDate>
  <CharactersWithSpaces>13192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Milan</cp:lastModifiedBy>
  <cp:revision>3</cp:revision>
  <dcterms:created xsi:type="dcterms:W3CDTF">2022-08-23T23:54:00Z</dcterms:created>
  <dcterms:modified xsi:type="dcterms:W3CDTF">2022-08-26T11:59:00Z</dcterms:modified>
</cp:coreProperties>
</file>