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jc w:val="center"/>
        <w:rPr>
          <w:rFonts w:ascii="Times New Roman" w:cs="Times New Roman" w:eastAsia="Times New Roman" w:hAnsi="Times New Roman"/>
          <w:b w:val="1"/>
          <w:smallCap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rtl w:val="0"/>
        </w:rPr>
        <w:t xml:space="preserve">DÔVODOVÁ SPRÁVA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Všeobecná časť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firstLine="35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Návrh zákona, ktorým sa mení a dopĺňa zákon č. 222/2004 Z. z. o dani z pridanej hodnoty v znení neskorších predpisov (ďalej len „návrh zákona“) predkladá poslanec Národnej rady Slovenskej republiky Patrick Linhart z vlastnej iniciatívy. </w:t>
      </w:r>
    </w:p>
    <w:p w:rsidR="00000000" w:rsidDel="00000000" w:rsidP="00000000" w:rsidRDefault="00000000" w:rsidRPr="00000000" w14:paraId="00000005">
      <w:pPr>
        <w:widowControl w:val="1"/>
        <w:spacing w:line="276" w:lineRule="auto"/>
        <w:ind w:firstLine="35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firstLine="35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Účelom návrhu zákona je ustanoviť zníženú sadzbu dane 5 % zo základu dane z pridanej hodnoty na potraviny, ktoré sú používané na prípravu a poskytovanie jedál a nápojov v zariadení školského stravovania, vysokou školou pre študentov, u poskytovateľa zdravotnej starostlivosti, u poskytovateľa sociálnej služby a v centre pre deti a rodiny. Cieľom tohto opatrenia je zníženie ceny týchto potravín a nápojov. </w:t>
      </w:r>
    </w:p>
    <w:p w:rsidR="00000000" w:rsidDel="00000000" w:rsidP="00000000" w:rsidRDefault="00000000" w:rsidRPr="00000000" w14:paraId="00000007">
      <w:pPr>
        <w:widowControl w:val="1"/>
        <w:ind w:firstLine="35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firstLine="35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Prijatie návrhu zákona bude mať negatívny vplyv na rozpočet verejnej správy a pozitívny vplyv na podnikateľské prostredie a nebude mať vplyvy na informatizáciu spoločnosti, vplyvy na životné prostredie, vplyvy na služby verejnej správy pre občana, sociálne vplyvy a ani vplyvy na manželstvo, rodičovstvo a rodinu.</w:t>
      </w:r>
    </w:p>
    <w:p w:rsidR="00000000" w:rsidDel="00000000" w:rsidP="00000000" w:rsidRDefault="00000000" w:rsidRPr="00000000" w14:paraId="00000009">
      <w:pPr>
        <w:widowControl w:val="1"/>
        <w:ind w:firstLine="35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firstLine="35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Návrh zákona je v súlade s Ústavou Slovenskej republiky, ústavnými zákonmi, nálezmi Ústavného súdu Slovenskej republiky, inými zákonmi Slovenskej republiky, medzinárodnými zmluvami a inými medzinárodnými dokumentmi, ktorými je Slovenská republika viazaná, a s právom Európskej únie.</w:t>
      </w:r>
    </w:p>
    <w:p w:rsidR="00000000" w:rsidDel="00000000" w:rsidP="00000000" w:rsidRDefault="00000000" w:rsidRPr="00000000" w14:paraId="0000000B">
      <w:pPr>
        <w:widowControl w:val="1"/>
        <w:spacing w:before="60" w:lineRule="auto"/>
        <w:ind w:firstLine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before="60" w:lineRule="auto"/>
        <w:ind w:firstLine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Účinnosť návrhu zákona sa navrhuje od 1. januára 2023.</w:t>
      </w:r>
    </w:p>
    <w:p w:rsidR="00000000" w:rsidDel="00000000" w:rsidP="00000000" w:rsidRDefault="00000000" w:rsidRPr="00000000" w14:paraId="0000000D">
      <w:pPr>
        <w:widowControl w:val="1"/>
        <w:spacing w:before="60" w:lineRule="auto"/>
        <w:ind w:firstLine="70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60" w:before="60" w:lineRule="auto"/>
        <w:ind w:firstLine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B. Osobitná časť</w:t>
      </w:r>
    </w:p>
    <w:p w:rsidR="00000000" w:rsidDel="00000000" w:rsidP="00000000" w:rsidRDefault="00000000" w:rsidRPr="00000000" w14:paraId="0000000F">
      <w:pPr>
        <w:widowControl w:val="1"/>
        <w:spacing w:after="60" w:before="6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60" w:before="6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K Čl. I</w:t>
      </w:r>
    </w:p>
    <w:p w:rsidR="00000000" w:rsidDel="00000000" w:rsidP="00000000" w:rsidRDefault="00000000" w:rsidRPr="00000000" w14:paraId="00000011">
      <w:pPr>
        <w:widowControl w:val="1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K bodu 1</w:t>
      </w:r>
    </w:p>
    <w:p w:rsidR="00000000" w:rsidDel="00000000" w:rsidP="00000000" w:rsidRDefault="00000000" w:rsidRPr="00000000" w14:paraId="00000012">
      <w:pPr>
        <w:widowControl w:val="1"/>
        <w:ind w:firstLine="35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Navrhuje sa ustanoviť zníženú sadzbu dane 5 % zo základu dane z pridanej hodnoty na potraviny, ktoré sú používané na prípravu a poskytovanie jedál a nápojov v zariadení školského stravovania, vysokou školou pre študentov, u poskytovateľa zdravotnej starostlivosti, u poskytovateľa sociálnej služby a v centre pre deti a rodiny. Cieľom tohto opatrenia je zníženie ceny týchto potravín a nápojov, ako jedného z nástrojov na zmiernenie neprimeraného nárastu cien potravín a nápojov.</w:t>
      </w:r>
    </w:p>
    <w:p w:rsidR="00000000" w:rsidDel="00000000" w:rsidP="00000000" w:rsidRDefault="00000000" w:rsidRPr="00000000" w14:paraId="00000013">
      <w:pPr>
        <w:widowControl w:val="1"/>
        <w:spacing w:line="276" w:lineRule="auto"/>
        <w:ind w:firstLine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K bodu 2</w:t>
      </w:r>
    </w:p>
    <w:p w:rsidR="00000000" w:rsidDel="00000000" w:rsidP="00000000" w:rsidRDefault="00000000" w:rsidRPr="00000000" w14:paraId="00000015">
      <w:pPr>
        <w:widowControl w:val="1"/>
        <w:ind w:firstLine="35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Navrhuje sa, aby opatrenie v podobe zníženia sadzby dane z pridanej hodnoty bolo časovo obmedzené, a to do 31. decembra 2023.</w:t>
      </w:r>
    </w:p>
    <w:p w:rsidR="00000000" w:rsidDel="00000000" w:rsidP="00000000" w:rsidRDefault="00000000" w:rsidRPr="00000000" w14:paraId="00000016">
      <w:pPr>
        <w:widowControl w:val="1"/>
        <w:spacing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K Čl. II</w:t>
      </w:r>
    </w:p>
    <w:p w:rsidR="00000000" w:rsidDel="00000000" w:rsidP="00000000" w:rsidRDefault="00000000" w:rsidRPr="00000000" w14:paraId="00000018">
      <w:pPr>
        <w:widowControl w:val="1"/>
        <w:ind w:firstLine="35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Účinnosť návrhu zákona sa navrhuje 1. januára 2023 v súlade s § 5a zákona č. 400/2015 Z. z. o tvorbe právnych predpisov a o Zbierke zákonov Slovenskej republiky a o zmene a doplnení niektorých zákonov v znení zákona č. 198/2020 Z. z.</w:t>
      </w:r>
    </w:p>
    <w:p w:rsidR="00000000" w:rsidDel="00000000" w:rsidP="00000000" w:rsidRDefault="00000000" w:rsidRPr="00000000" w14:paraId="00000019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DOLOŽKA ZLUČITEĽNOSTI</w:t>
      </w:r>
    </w:p>
    <w:p w:rsidR="00000000" w:rsidDel="00000000" w:rsidP="00000000" w:rsidRDefault="00000000" w:rsidRPr="00000000" w14:paraId="0000001A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návrhu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zákona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s právom Európskej únie</w:t>
      </w:r>
    </w:p>
    <w:p w:rsidR="00000000" w:rsidDel="00000000" w:rsidP="00000000" w:rsidRDefault="00000000" w:rsidRPr="00000000" w14:paraId="0000001B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1. Navrhovateľ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zákona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poslanec Národnej rady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1F">
      <w:pPr>
        <w:widowControl w:val="1"/>
        <w:spacing w:after="160" w:line="259" w:lineRule="auto"/>
        <w:ind w:left="284"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2. Názov návrhu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zákona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Návrh zákona, ktorým sa mení a dopĺňa zákon č. 222/2004 Z. z. o dani z pridanej hodnoty v 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ind w:left="360" w:hanging="36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Predmet návrhu zákona je upravený v práve Európskej únie:</w:t>
      </w:r>
    </w:p>
    <w:p w:rsidR="00000000" w:rsidDel="00000000" w:rsidP="00000000" w:rsidRDefault="00000000" w:rsidRPr="00000000" w14:paraId="00000021">
      <w:pPr>
        <w:widowControl w:val="1"/>
        <w:spacing w:before="120" w:lineRule="auto"/>
        <w:ind w:left="357" w:hanging="357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a) v primárnom práve: </w:t>
      </w:r>
    </w:p>
    <w:p w:rsidR="00000000" w:rsidDel="00000000" w:rsidP="00000000" w:rsidRDefault="00000000" w:rsidRPr="00000000" w14:paraId="00000022">
      <w:pPr>
        <w:widowControl w:val="1"/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čl. 110 až 113, čl. 349 a 355 ods. 1 Zmluvy o fungovaní Európskej únie (konsolidované znenie) (Ú. v. EÚ C 202, 7.6.2016) v platnom znení.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1"/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b) v sekundárnom práve: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1"/>
        <w:ind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</w:t>
        <w:tab/>
        <w:t xml:space="preserve">smernica Rady 2006/112/ES z 28. novembra 2006 o spoločnom systéme dane z pridanej hodnoty (Ú. v. EÚ L 347, 11.12.2006) v platnom znení, gestor: MF SR</w:t>
      </w:r>
    </w:p>
    <w:p w:rsidR="00000000" w:rsidDel="00000000" w:rsidP="00000000" w:rsidRDefault="00000000" w:rsidRPr="00000000" w14:paraId="00000025">
      <w:pPr>
        <w:widowControl w:val="1"/>
        <w:ind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  <w:tab/>
        <w:t xml:space="preserve">vykonávacie nariadenie Rady (EÚ) č. 282/2011 z 15. marca 2011, ktorým sa ustanovujú vykonávacie opatrenia smernice 2006/112/ES o spoločnom systéme dane z pridanej hodnoty (prepracované znenie) (Ú. v. EÚ L 77, 23.3.2011) v platnom znení, gestor: MF SR, </w:t>
      </w:r>
    </w:p>
    <w:p w:rsidR="00000000" w:rsidDel="00000000" w:rsidP="00000000" w:rsidRDefault="00000000" w:rsidRPr="00000000" w14:paraId="00000026">
      <w:pPr>
        <w:widowControl w:val="1"/>
        <w:spacing w:before="120" w:lineRule="auto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c) v judikatúre Súdneho dvora Európskej únie </w:t>
      </w:r>
    </w:p>
    <w:p w:rsidR="00000000" w:rsidDel="00000000" w:rsidP="00000000" w:rsidRDefault="00000000" w:rsidRPr="00000000" w14:paraId="00000027">
      <w:pPr>
        <w:widowControl w:val="1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</w:t>
        <w:tab/>
        <w:t xml:space="preserve">Záväzky Slovenskej republiky vo vzťahu k Európskej únii: </w:t>
      </w:r>
    </w:p>
    <w:p w:rsidR="00000000" w:rsidDel="00000000" w:rsidP="00000000" w:rsidRDefault="00000000" w:rsidRPr="00000000" w14:paraId="00000029">
      <w:pPr>
        <w:widowControl w:val="1"/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a) uviesť lehotu na prebranie príslušného právneho aktu Európskej únie, príp. aj osobitnú lehotu účinnosti jeho ustanovení,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widowControl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uviesť informáciu o právnych predpisoch, v ktorých sú uvádzané právne akty Európskej únie už prebrané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  <w:tab/>
        <w:t xml:space="preserve">smernica Rady 2006/112/ES z 28. novembra 2006 o spoločnom systéme dane z pridanej hodnoty v platnom znení je prebratá do zákona č. 222/2004 Z. z. o dani z pridanej hodnoty v znení neskorších predpisov v plnom rozsahu. </w:t>
      </w:r>
    </w:p>
    <w:p w:rsidR="00000000" w:rsidDel="00000000" w:rsidP="00000000" w:rsidRDefault="00000000" w:rsidRPr="00000000" w14:paraId="0000002F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</w:t>
        <w:tab/>
        <w:t xml:space="preserve">Stupeň zlučiteľnosti návrhu právneho predpisu s právom Európskej únie:</w:t>
      </w:r>
    </w:p>
    <w:p w:rsidR="00000000" w:rsidDel="00000000" w:rsidP="00000000" w:rsidRDefault="00000000" w:rsidRPr="00000000" w14:paraId="00000031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Stupeň zlučiteľnosti - úplný</w:t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b w:val="1"/>
          <w:smallCaps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rtl w:val="0"/>
        </w:rPr>
        <w:t xml:space="preserve">DOLOŽKA</w:t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vybraných vplyvov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A.1. Názov materiálu: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Návrh zákona,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ktorým sa mení a dopĺňa zákon č. 222/2004 Z. z. o dani z pridanej hodnoty v znení neskorších predpisov.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after="200" w:before="120"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Termín začatia a ukončenia PPK: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 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bezpredmetné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A.2. Vplyvy:</w:t>
      </w:r>
    </w:p>
    <w:tbl>
      <w:tblPr>
        <w:tblStyle w:val="Table1"/>
        <w:tblW w:w="9344.0" w:type="dxa"/>
        <w:jc w:val="left"/>
        <w:tblInd w:w="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5738"/>
        <w:gridCol w:w="1202"/>
        <w:gridCol w:w="1202"/>
        <w:gridCol w:w="1202"/>
        <w:tblGridChange w:id="0">
          <w:tblGrid>
            <w:gridCol w:w="5738"/>
            <w:gridCol w:w="1202"/>
            <w:gridCol w:w="1202"/>
            <w:gridCol w:w="12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Negatívne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jc w:val="center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3. Sociálne vplyvy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– vplyvy na hospodárenie obyvateľstva,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– sociálnu exklúziu,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* Predkladateľ označí znakom x zodpovedajúci vplyv (pozitívny, negatívny, žiadny), ktorý návrh prináša v každej oblasti posudzovania vplyvov. Návrh môže mať v jednej oblasti zároveň pozitívny aj negatívny vplyv, v tom prípade predkladateľ označí obe možnosti. Bližšie vysvetlenie označených vplyvov bude obsahovať analýza vplyvov. Isté vysvetlenie, či bilanciu vplyvov (sumárne zhodnotenie, ktorý vplyv v danej oblasti prevažuje) môže predkladateľ uviesť v poznámke.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A.3. Poznámky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A.4. Alternatívne riešenia</w:t>
      </w:r>
    </w:p>
    <w:p w:rsidR="00000000" w:rsidDel="00000000" w:rsidP="00000000" w:rsidRDefault="00000000" w:rsidRPr="00000000" w14:paraId="00000064">
      <w:pPr>
        <w:widowControl w:val="1"/>
        <w:spacing w:after="200" w:before="120" w:line="276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bezpredmetné</w:t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A.5. Stanovisko gestorov</w:t>
      </w:r>
    </w:p>
    <w:p w:rsidR="00000000" w:rsidDel="00000000" w:rsidP="00000000" w:rsidRDefault="00000000" w:rsidRPr="00000000" w14:paraId="00000066">
      <w:pPr>
        <w:widowControl w:val="1"/>
        <w:spacing w:before="12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Návrh zákona bol zaslaný na vyjadrenie Ministerstvu financií SR.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