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 á r o d n á   r a d a   S l o v e n s k e j   r e p u b l i k y</w:t>
      </w:r>
    </w:p>
    <w:p w:rsidR="00000000" w:rsidDel="00000000" w:rsidP="00000000" w:rsidRDefault="00000000" w:rsidRPr="00000000" w14:paraId="00000002">
      <w:pPr>
        <w:jc w:val="both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jc w:val="center"/>
        <w:rPr>
          <w:b w:val="1"/>
        </w:rPr>
      </w:pPr>
      <w:r w:rsidDel="00000000" w:rsidR="00000000" w:rsidRPr="00000000">
        <w:rPr>
          <w:b w:val="1"/>
          <w:smallCaps w:val="1"/>
          <w:rtl w:val="0"/>
        </w:rPr>
        <w:t xml:space="preserve">VIII. </w:t>
      </w:r>
      <w:r w:rsidDel="00000000" w:rsidR="00000000" w:rsidRPr="00000000">
        <w:rPr>
          <w:b w:val="1"/>
          <w:rtl w:val="0"/>
        </w:rPr>
        <w:t xml:space="preserve">volebné obdobie</w:t>
      </w:r>
    </w:p>
    <w:p w:rsidR="00000000" w:rsidDel="00000000" w:rsidP="00000000" w:rsidRDefault="00000000" w:rsidRPr="00000000" w14:paraId="0000000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Návrh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 Á K O N</w:t>
      </w:r>
    </w:p>
    <w:p w:rsidR="00000000" w:rsidDel="00000000" w:rsidP="00000000" w:rsidRDefault="00000000" w:rsidRPr="00000000" w14:paraId="0000000A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z ... 2022,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b w:val="1"/>
          <w:rtl w:val="0"/>
        </w:rPr>
        <w:t xml:space="preserve">zákona, ktorým sa mení a dopĺňa zákon č. 222/2004 Z. z. o dani z pridanej hodnoty v znení neskorších predpisov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bottom w:color="000000" w:space="1" w:sz="4" w:val="single"/>
        </w:pBd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Zákon č. 222/2004 Z. z. o dani z pridanej hodnoty v znení zákona č. 350/2004 Z. z., zákona </w:t>
        <w:br w:type="textWrapping"/>
        <w:t xml:space="preserve">č. 651/2004 Z. z., zákona č. 340/2005 Z. z., zákona č. 523/2005 Z. z., zákona č. 656/2006 Z. z., zákona č. 215/2007 Z. z., zákona č. 593/2007 Z. z., zákona č. 378/2008 Z. z., zákona</w:t>
        <w:br w:type="textWrapping"/>
        <w:t xml:space="preserve"> č. 465/2008 Z. z., zákona č. 83/2009 Z. z., zákona č. 258/2009 Z. z., zákona č. 471/2009 Z. z., zákona č. 563/2009 Z. z., zákona č. 83/2010 Z. z., zákona č. 490/2010 Z. z., zákona č. 331/2011 Z. z., zákona č. 406/2011 Z. z., zákona č. 246/2012 Z. z., zákona č. 440/2012 Z. z., zákona</w:t>
        <w:br w:type="textWrapping"/>
        <w:t xml:space="preserve"> č. 360/2013 Z. z., zákona č. 218/2014 Z. z., zákona č. 268/2015 Z. z., zákona č. 360/2015 </w:t>
        <w:br w:type="textWrapping"/>
        <w:t xml:space="preserve">Z. z., zákona č. 297/2016 Z. z., zákona č. 298/2016 Z. z., zákona č. 334/2017 Z. z., zákona</w:t>
        <w:br w:type="textWrapping"/>
        <w:t xml:space="preserve"> č. 112/2018 Z. z., zákona č. 323/2018 Z. z., zákona č. 368/2018 Z. z., zákona č. 369/2018 </w:t>
        <w:br w:type="textWrapping"/>
        <w:t xml:space="preserve">Z. z., zákona č. 317/2019 Z. z., zákona č. 318/2019 Z. z., zákona č. 368/2019 Z. z., zákona</w:t>
        <w:br w:type="textWrapping"/>
        <w:t xml:space="preserve"> č. 344/2020 Z. z., zákona č. 186/2021 Z. z., zákona č. 346/2021 Z. z., zákona č. 408/2021</w:t>
        <w:br w:type="textWrapping"/>
        <w:t xml:space="preserve"> Z. z. a zákona č. 222/2022 Z. z. sa mení a dopĺňa takto: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27 sa za odsek 3 vkladá nový odsek 4, ktorý znie:</w:t>
      </w:r>
    </w:p>
    <w:p w:rsidR="00000000" w:rsidDel="00000000" w:rsidP="00000000" w:rsidRDefault="00000000" w:rsidRPr="00000000" w14:paraId="0000001C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360" w:firstLine="0"/>
        <w:jc w:val="both"/>
        <w:rPr/>
      </w:pPr>
      <w:r w:rsidDel="00000000" w:rsidR="00000000" w:rsidRPr="00000000">
        <w:rPr>
          <w:rtl w:val="0"/>
        </w:rPr>
        <w:t xml:space="preserve">„(4) Znížená sadzba dane 5 % zo základu dane sa uplatňuje na potraviny, ktoré sú používané na prípravu a poskytovanie jedál a nápojov </w:t>
      </w:r>
    </w:p>
    <w:p w:rsidR="00000000" w:rsidDel="00000000" w:rsidP="00000000" w:rsidRDefault="00000000" w:rsidRPr="00000000" w14:paraId="0000001E">
      <w:pPr>
        <w:ind w:left="360" w:firstLine="0"/>
        <w:rPr/>
      </w:pPr>
      <w:r w:rsidDel="00000000" w:rsidR="00000000" w:rsidRPr="00000000">
        <w:rPr>
          <w:rtl w:val="0"/>
        </w:rPr>
        <w:t xml:space="preserve">a) v zariadení školského stravovania, </w:t>
      </w:r>
    </w:p>
    <w:p w:rsidR="00000000" w:rsidDel="00000000" w:rsidP="00000000" w:rsidRDefault="00000000" w:rsidRPr="00000000" w14:paraId="0000001F">
      <w:pPr>
        <w:ind w:left="360" w:firstLine="0"/>
        <w:rPr/>
      </w:pPr>
      <w:r w:rsidDel="00000000" w:rsidR="00000000" w:rsidRPr="00000000">
        <w:rPr>
          <w:rtl w:val="0"/>
        </w:rPr>
        <w:t xml:space="preserve">b) vysokou školou pre študentov,</w:t>
      </w:r>
    </w:p>
    <w:p w:rsidR="00000000" w:rsidDel="00000000" w:rsidP="00000000" w:rsidRDefault="00000000" w:rsidRPr="00000000" w14:paraId="00000020">
      <w:pPr>
        <w:ind w:left="360" w:firstLine="0"/>
        <w:rPr/>
      </w:pPr>
      <w:r w:rsidDel="00000000" w:rsidR="00000000" w:rsidRPr="00000000">
        <w:rPr>
          <w:rtl w:val="0"/>
        </w:rPr>
        <w:t xml:space="preserve">c) u poskytovateľa zdravotnej starostlivosti,</w:t>
      </w:r>
    </w:p>
    <w:p w:rsidR="00000000" w:rsidDel="00000000" w:rsidP="00000000" w:rsidRDefault="00000000" w:rsidRPr="00000000" w14:paraId="00000021">
      <w:pPr>
        <w:ind w:left="360" w:firstLine="0"/>
        <w:rPr/>
      </w:pPr>
      <w:r w:rsidDel="00000000" w:rsidR="00000000" w:rsidRPr="00000000">
        <w:rPr>
          <w:rtl w:val="0"/>
        </w:rPr>
        <w:t xml:space="preserve">d) u poskytovateľa sociálnej služby,</w:t>
      </w:r>
    </w:p>
    <w:p w:rsidR="00000000" w:rsidDel="00000000" w:rsidP="00000000" w:rsidRDefault="00000000" w:rsidRPr="00000000" w14:paraId="00000022">
      <w:pPr>
        <w:ind w:left="360" w:firstLine="0"/>
        <w:rPr/>
      </w:pPr>
      <w:r w:rsidDel="00000000" w:rsidR="00000000" w:rsidRPr="00000000">
        <w:rPr>
          <w:rtl w:val="0"/>
        </w:rPr>
        <w:t xml:space="preserve">e) v centre pre deti a rodiny.“.</w:t>
      </w:r>
    </w:p>
    <w:p w:rsidR="00000000" w:rsidDel="00000000" w:rsidP="00000000" w:rsidRDefault="00000000" w:rsidRPr="00000000" w14:paraId="00000023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360" w:firstLine="0"/>
        <w:rPr/>
      </w:pPr>
      <w:r w:rsidDel="00000000" w:rsidR="00000000" w:rsidRPr="00000000">
        <w:rPr>
          <w:rtl w:val="0"/>
        </w:rPr>
        <w:t xml:space="preserve">Doterajší odsek 4 sa označuje ako odsek 5.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§ 85kl sa vkladá § 85km, ktorý vrátane nadpisu znie:</w:t>
      </w:r>
    </w:p>
    <w:p w:rsidR="00000000" w:rsidDel="00000000" w:rsidP="00000000" w:rsidRDefault="00000000" w:rsidRPr="00000000" w14:paraId="00000027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360" w:firstLine="0"/>
        <w:jc w:val="center"/>
        <w:rPr>
          <w:b w:val="1"/>
        </w:rPr>
      </w:pP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b w:val="1"/>
          <w:rtl w:val="0"/>
        </w:rPr>
        <w:t xml:space="preserve">§ 85km</w:t>
      </w:r>
    </w:p>
    <w:p w:rsidR="00000000" w:rsidDel="00000000" w:rsidP="00000000" w:rsidRDefault="00000000" w:rsidRPr="00000000" w14:paraId="00000029">
      <w:pPr>
        <w:ind w:left="36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Prechodné ustanovenie k úprave účinnej od 1. januára 2023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360" w:firstLine="0"/>
        <w:jc w:val="both"/>
        <w:rPr/>
      </w:pPr>
      <w:r w:rsidDel="00000000" w:rsidR="00000000" w:rsidRPr="00000000">
        <w:rPr>
          <w:rtl w:val="0"/>
        </w:rPr>
        <w:t xml:space="preserve">Ustanovenie § 31a sa neuplatňuje od 1. januára 2024.“.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II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360" w:firstLine="0"/>
        <w:jc w:val="both"/>
        <w:rPr/>
      </w:pPr>
      <w:r w:rsidDel="00000000" w:rsidR="00000000" w:rsidRPr="00000000">
        <w:rPr>
          <w:rtl w:val="0"/>
        </w:rPr>
        <w:t xml:space="preserve">Tento zákon nadobúda účinnosť 1. januára 2023.</w:t>
      </w:r>
    </w:p>
    <w:p w:rsidR="00000000" w:rsidDel="00000000" w:rsidP="00000000" w:rsidRDefault="00000000" w:rsidRPr="00000000" w14:paraId="00000031">
      <w:pPr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k-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</w:pPr>
    <w:rPr>
      <w:rFonts w:ascii="Arial" w:cs="Arial" w:eastAsia="Arial" w:hAnsi="Arial"/>
      <w:b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