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16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897"/>
        <w:gridCol w:w="4500"/>
        <w:gridCol w:w="1265"/>
        <w:gridCol w:w="1260"/>
        <w:gridCol w:w="1260"/>
        <w:gridCol w:w="4498"/>
        <w:gridCol w:w="720"/>
        <w:gridCol w:w="1760"/>
      </w:tblGrid>
      <w:tr w:rsidTr="00B01823">
        <w:tblPrEx>
          <w:tblW w:w="16160" w:type="dxa"/>
          <w:tblInd w:w="-5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6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A1" w:rsidRPr="0011558D" w:rsidP="00932DD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58D">
              <w:rPr>
                <w:rFonts w:ascii="Times New Roman" w:hAnsi="Times New Roman" w:cs="Times New Roman"/>
                <w:sz w:val="20"/>
                <w:szCs w:val="20"/>
              </w:rPr>
              <w:t>TABUĽKA  ZHODY</w:t>
            </w:r>
          </w:p>
          <w:p w:rsidR="00A221A1" w:rsidP="00A221A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="00B01823">
              <w:rPr>
                <w:rFonts w:ascii="Times New Roman" w:hAnsi="Times New Roman" w:cs="Times New Roman"/>
                <w:bCs w:val="0"/>
                <w:sz w:val="20"/>
                <w:szCs w:val="20"/>
              </w:rPr>
              <w:t>návrhu p</w:t>
            </w:r>
            <w:r w:rsidRPr="0011558D" w:rsidR="005C0FE9">
              <w:rPr>
                <w:rFonts w:ascii="Times New Roman" w:hAnsi="Times New Roman" w:cs="Times New Roman"/>
                <w:bCs w:val="0"/>
                <w:sz w:val="20"/>
                <w:szCs w:val="20"/>
              </w:rPr>
              <w:t>rávneho predpisu s právom Európskej únie</w:t>
            </w:r>
          </w:p>
          <w:p w:rsidR="00B01823" w:rsidRPr="00B01823" w:rsidP="00B01823"/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21A1" w:rsidRPr="00B01823" w:rsidP="00B01823">
            <w:pPr>
              <w:spacing w:before="150" w:after="150"/>
              <w:ind w:right="750"/>
              <w:rPr>
                <w:b/>
              </w:rPr>
            </w:pPr>
            <w:r w:rsidRPr="0011558D" w:rsidR="00B01823">
              <w:rPr>
                <w:b/>
              </w:rPr>
              <w:t xml:space="preserve">Smernica Rady 92/85/EHS z 19. októbra 1992 o zavedení opatrení na podporu zlepšenia bezpečnosti a ochrany zdravia pri práci tehotných pracovníčok a pracovníčok krátko po pôrode alebo dojčiacich pracovníčok (desiata samostatná smernica v zmysle článku 16 ods. 1 smernice 89/391/EHS) </w:t>
            </w:r>
            <w:r w:rsidR="0080743A">
              <w:rPr>
                <w:b/>
              </w:rPr>
              <w:t xml:space="preserve">(Ú. v. ES L 348, 28. 11. 1992; Mimoriadne vydanie Ú. V. EÚ, kap. 5/zv. 2) </w:t>
            </w:r>
            <w:r w:rsidRPr="0011558D" w:rsidR="00B01823">
              <w:rPr>
                <w:b/>
              </w:rPr>
              <w:t xml:space="preserve">v znení smernice Európskeho parlamentu a Rady 2007/30/ES z 20. júna 2007 (Ú. v. EÚ L 165, </w:t>
            </w:r>
            <w:r w:rsidRPr="0011558D" w:rsidR="00B01823">
              <w:rPr>
                <w:b/>
              </w:rPr>
              <w:t>27. 6. 2007) a smernice Európskeho parlamentu a Rady 2014/27/EÚ z 26. februára 2014 (Ú. v. EÚ L 65, 5.3.2014)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321D2" w:rsidRPr="0011558D" w:rsidP="0052270D">
            <w:pPr>
              <w:spacing w:before="120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Zákon č. 281/2015 Z. z. o štátnej službe profesionálnych vojakov a o zmene a doplnení niektorých zákonov (ďalej len „zákon č. 281/2015 Z. z.“)</w:t>
            </w:r>
          </w:p>
          <w:p w:rsidR="0052270D" w:rsidRPr="0011558D" w:rsidP="005E3B1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11558D">
              <w:rPr>
                <w:b/>
                <w:sz w:val="20"/>
                <w:szCs w:val="20"/>
              </w:rPr>
              <w:t>N</w:t>
            </w:r>
            <w:r w:rsidRPr="0011558D" w:rsidR="005E3B12">
              <w:rPr>
                <w:b/>
                <w:sz w:val="20"/>
                <w:szCs w:val="20"/>
              </w:rPr>
              <w:t>áv</w:t>
            </w:r>
            <w:r w:rsidRPr="0011558D" w:rsidR="005E3B12">
              <w:rPr>
                <w:b/>
                <w:sz w:val="20"/>
                <w:szCs w:val="20"/>
              </w:rPr>
              <w:t>rh</w:t>
            </w:r>
            <w:r w:rsidRPr="0011558D">
              <w:rPr>
                <w:b/>
                <w:sz w:val="20"/>
                <w:szCs w:val="20"/>
              </w:rPr>
              <w:t xml:space="preserve"> zákona</w:t>
            </w:r>
            <w:r w:rsidRPr="0011558D" w:rsidR="005E3B12">
              <w:rPr>
                <w:b/>
                <w:sz w:val="20"/>
                <w:szCs w:val="20"/>
              </w:rPr>
              <w:t xml:space="preserve">, ktorým sa mení a dopĺňa zákon </w:t>
            </w:r>
            <w:r w:rsidRPr="0011558D">
              <w:rPr>
                <w:b/>
                <w:sz w:val="20"/>
                <w:szCs w:val="20"/>
              </w:rPr>
              <w:t xml:space="preserve">č. 281/2015 Z. z. o štátnej službe profesionálnych vojakov a o zmene a doplnení niektorých zákonov </w:t>
            </w:r>
            <w:r w:rsidRPr="0011558D" w:rsidR="005E3B12">
              <w:rPr>
                <w:b/>
                <w:sz w:val="20"/>
                <w:szCs w:val="20"/>
              </w:rPr>
              <w:t xml:space="preserve">v znení neskorších predpisov a ktorým sa menia </w:t>
            </w:r>
            <w:r w:rsidR="001E4F9C">
              <w:rPr>
                <w:b/>
                <w:sz w:val="20"/>
                <w:szCs w:val="20"/>
              </w:rPr>
              <w:t xml:space="preserve">a dopĺňajú </w:t>
            </w:r>
            <w:r w:rsidRPr="0011558D" w:rsidR="005E3B12">
              <w:rPr>
                <w:b/>
                <w:sz w:val="20"/>
                <w:szCs w:val="20"/>
              </w:rPr>
              <w:t xml:space="preserve">niektoré zákony </w:t>
            </w:r>
            <w:r w:rsidRPr="0011558D">
              <w:rPr>
                <w:b/>
                <w:sz w:val="20"/>
                <w:szCs w:val="20"/>
              </w:rPr>
              <w:t>(ďalej len „novela zákona č. 281/2015 Z. z</w:t>
            </w:r>
            <w:r w:rsidRPr="0011558D">
              <w:rPr>
                <w:b/>
                <w:sz w:val="20"/>
                <w:szCs w:val="20"/>
              </w:rPr>
              <w:t>.“)</w:t>
            </w:r>
          </w:p>
          <w:p w:rsidR="00A221A1" w:rsidRPr="0011558D" w:rsidP="00932DDD">
            <w:pPr>
              <w:pStyle w:val="Header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BodyText2"/>
              <w:spacing w:line="240" w:lineRule="exact"/>
            </w:pPr>
            <w:r w:rsidRPr="0011558D"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BodyText2"/>
              <w:spacing w:line="240" w:lineRule="exact"/>
            </w:pPr>
            <w:r w:rsidRPr="0011558D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8</w:t>
            </w:r>
          </w:p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Článok</w:t>
            </w:r>
          </w:p>
          <w:p w:rsidR="002729DC" w:rsidRPr="0011558D" w:rsidP="00507EA9">
            <w:pPr>
              <w:pStyle w:val="Normlny"/>
              <w:jc w:val="center"/>
            </w:pPr>
            <w:r w:rsidRPr="0011558D">
              <w:t>(Č, O,</w:t>
            </w:r>
          </w:p>
          <w:p w:rsidR="002729DC" w:rsidRPr="0011558D" w:rsidP="00507EA9">
            <w:pPr>
              <w:pStyle w:val="Normlny"/>
              <w:jc w:val="center"/>
            </w:pPr>
            <w:r w:rsidRPr="0011558D">
              <w:t>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Text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Spôsob transp</w:t>
            </w:r>
            <w:r w:rsidR="00B01823">
              <w:t>ozície</w:t>
            </w:r>
          </w:p>
          <w:p w:rsidR="002729DC" w:rsidRPr="0011558D" w:rsidP="00507EA9">
            <w:pPr>
              <w:pStyle w:val="Normlny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Číslo</w:t>
            </w:r>
          </w:p>
          <w:p w:rsidR="002729DC" w:rsidRPr="0011558D" w:rsidP="00507EA9">
            <w:pPr>
              <w:pStyle w:val="Normlny"/>
              <w:jc w:val="center"/>
            </w:pPr>
            <w:r w:rsidRPr="0011558D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0" w:rsidRPr="0011558D" w:rsidP="00507EA9">
            <w:pPr>
              <w:pStyle w:val="Normlny"/>
              <w:jc w:val="center"/>
            </w:pPr>
            <w:r w:rsidRPr="0011558D" w:rsidR="002729DC">
              <w:t>Článok</w:t>
            </w:r>
          </w:p>
          <w:p w:rsidR="002729DC" w:rsidRPr="0011558D" w:rsidP="00507EA9">
            <w:pPr>
              <w:pStyle w:val="Normlny"/>
              <w:jc w:val="center"/>
            </w:pPr>
            <w:r w:rsidRPr="0011558D">
              <w:t xml:space="preserve"> (Č, §, O, V, P)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Zhoda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507EA9">
            <w:pPr>
              <w:pStyle w:val="Normlny"/>
              <w:jc w:val="center"/>
            </w:pPr>
            <w:r w:rsidRPr="0011558D">
              <w:t>Poznámky</w:t>
            </w:r>
          </w:p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 w:rsidR="00744E94">
              <w:rPr>
                <w:sz w:val="20"/>
                <w:szCs w:val="20"/>
              </w:rPr>
              <w:t>Č: 4</w:t>
            </w:r>
          </w:p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O: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4" w:rsidRPr="0011558D" w:rsidP="00744E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Hodnotenie a informovanie</w:t>
            </w:r>
          </w:p>
          <w:p w:rsidR="002729DC" w:rsidRPr="0011558D" w:rsidP="00744E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8D" w:rsidR="00744E94">
              <w:rPr>
                <w:sz w:val="20"/>
                <w:szCs w:val="20"/>
              </w:rPr>
              <w:t>1. Pri všetkých činnostiach, ktoré môžu byť spojené so špecifickým rizikom vystavenia látkam a vplyvom, procesom alebo pracovným podmienkam, ktorých neúplný zoznam je uvedený v prílohe I, zamestnávateľ zhodnotí charakter, stupeň a trvanie takéhoto vystavenia pracovníčok v zmysle článku 2 v príslušnom podniku alebo závode, a to buď</w:t>
            </w:r>
            <w:r w:rsidRPr="0011558D" w:rsidR="00020D1F">
              <w:rPr>
                <w:sz w:val="20"/>
                <w:szCs w:val="20"/>
              </w:rPr>
              <w:t xml:space="preserve"> </w:t>
            </w:r>
            <w:r w:rsidRPr="0011558D" w:rsidR="00744E94">
              <w:rPr>
                <w:sz w:val="20"/>
                <w:szCs w:val="20"/>
              </w:rPr>
              <w:t>priamo, alebo prostredníctvom ochranných a preventívnych služieb uvedených v článku 7 smernice 89/391/EHS s tým, aby:</w:t>
            </w:r>
          </w:p>
          <w:p w:rsidR="00744E94" w:rsidRPr="0011558D" w:rsidP="00744E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— vyhodnotil všetky riziká pre bezpečnosť alebo zdravie a všetky možné účinky na tehotenstvo alebo dojčenie pracovníčok v zmysle článku 2,</w:t>
            </w:r>
          </w:p>
          <w:p w:rsidR="00744E94" w:rsidRPr="0011558D" w:rsidP="00744E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— rozhodol o tom, aké opatrenia treba prijať.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7D14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558D" w:rsidR="007D145B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Zákon č. 281/2015 Z. z.</w:t>
            </w: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6321D2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Zákon č. 281/2015 Z. z.</w:t>
            </w:r>
          </w:p>
          <w:p w:rsidR="00F96BBE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96BBE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novely zákona č. 281/2015 Z.z.</w:t>
            </w: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31193E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31193E">
            <w:pPr>
              <w:jc w:val="center"/>
              <w:rPr>
                <w:sz w:val="20"/>
                <w:szCs w:val="20"/>
              </w:rPr>
            </w:pPr>
          </w:p>
          <w:p w:rsidR="0080743A" w:rsidP="0031193E">
            <w:pPr>
              <w:jc w:val="center"/>
              <w:rPr>
                <w:sz w:val="20"/>
                <w:szCs w:val="20"/>
              </w:rPr>
            </w:pPr>
          </w:p>
          <w:p w:rsidR="0080743A" w:rsidP="0031193E">
            <w:pPr>
              <w:jc w:val="center"/>
              <w:rPr>
                <w:sz w:val="20"/>
                <w:szCs w:val="20"/>
              </w:rPr>
            </w:pPr>
          </w:p>
          <w:p w:rsidR="0080743A" w:rsidP="0031193E">
            <w:pPr>
              <w:jc w:val="center"/>
              <w:rPr>
                <w:sz w:val="20"/>
                <w:szCs w:val="20"/>
              </w:rPr>
            </w:pPr>
          </w:p>
          <w:p w:rsidR="0080743A" w:rsidP="0031193E">
            <w:pPr>
              <w:jc w:val="center"/>
              <w:rPr>
                <w:sz w:val="20"/>
                <w:szCs w:val="20"/>
              </w:rPr>
            </w:pPr>
          </w:p>
          <w:p w:rsidR="0031193E" w:rsidRPr="00F96BBE" w:rsidP="00311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281/2015 Z. z.</w:t>
            </w:r>
          </w:p>
          <w:p w:rsidR="0031193E" w:rsidRPr="00F96BBE" w:rsidP="00507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2" w:rsidRPr="0011558D" w:rsidP="00F82B1D">
            <w:pPr>
              <w:pStyle w:val="Normlny"/>
              <w:jc w:val="center"/>
            </w:pPr>
            <w:r w:rsidRPr="0011558D">
              <w:t>§ 9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>P: c)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 xml:space="preserve">P: e) </w:t>
            </w: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  <w:r w:rsidRPr="0011558D">
              <w:t>§ 70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>O: 1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>O</w:t>
            </w:r>
            <w:r w:rsidRPr="0011558D">
              <w:t>: 2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>O: 3</w:t>
            </w:r>
          </w:p>
          <w:p w:rsidR="006321D2" w:rsidRPr="0011558D" w:rsidP="00F82B1D">
            <w:pPr>
              <w:pStyle w:val="Normlny"/>
              <w:jc w:val="center"/>
            </w:pPr>
            <w:r w:rsidRPr="0011558D">
              <w:t>O: 4</w:t>
            </w: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6321D2" w:rsidRPr="0011558D" w:rsidP="00F82B1D">
            <w:pPr>
              <w:pStyle w:val="Normlny"/>
              <w:jc w:val="center"/>
            </w:pPr>
          </w:p>
          <w:p w:rsidR="00F82B1D" w:rsidRPr="0011558D" w:rsidP="00F82B1D">
            <w:pPr>
              <w:pStyle w:val="Normlny"/>
              <w:jc w:val="center"/>
            </w:pPr>
            <w:r w:rsidRPr="0011558D">
              <w:t>§ 112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1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2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3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4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5</w:t>
            </w:r>
          </w:p>
          <w:p w:rsidR="00F82B1D" w:rsidRPr="0011558D" w:rsidP="00F82B1D">
            <w:pPr>
              <w:pStyle w:val="Normlny"/>
              <w:jc w:val="center"/>
            </w:pPr>
            <w:r w:rsidRPr="0011558D">
              <w:t>O: 6</w:t>
            </w:r>
          </w:p>
          <w:p w:rsidR="00E40DE2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31193E" w:rsidP="00F82B1D">
            <w:pPr>
              <w:pStyle w:val="Normlny"/>
              <w:jc w:val="center"/>
            </w:pPr>
          </w:p>
          <w:p w:rsidR="0080743A" w:rsidP="0031193E">
            <w:pPr>
              <w:pStyle w:val="Normlny"/>
              <w:jc w:val="center"/>
            </w:pPr>
          </w:p>
          <w:p w:rsidR="0080743A" w:rsidP="0031193E">
            <w:pPr>
              <w:pStyle w:val="Normlny"/>
              <w:jc w:val="center"/>
            </w:pPr>
          </w:p>
          <w:p w:rsidR="0080743A" w:rsidP="0031193E">
            <w:pPr>
              <w:pStyle w:val="Normlny"/>
              <w:jc w:val="center"/>
            </w:pPr>
          </w:p>
          <w:p w:rsidR="0080743A" w:rsidP="0031193E">
            <w:pPr>
              <w:pStyle w:val="Normlny"/>
              <w:jc w:val="center"/>
            </w:pPr>
          </w:p>
          <w:p w:rsidR="0080743A" w:rsidP="0031193E">
            <w:pPr>
              <w:pStyle w:val="Normlny"/>
              <w:jc w:val="center"/>
            </w:pPr>
          </w:p>
          <w:p w:rsidR="0031193E" w:rsidRPr="0011558D" w:rsidP="0031193E">
            <w:pPr>
              <w:pStyle w:val="Normlny"/>
              <w:jc w:val="center"/>
            </w:pPr>
            <w:r w:rsidRPr="0011558D">
              <w:t>§ 172</w:t>
            </w:r>
          </w:p>
          <w:p w:rsidR="0031193E" w:rsidRPr="0011558D" w:rsidP="0031193E">
            <w:pPr>
              <w:pStyle w:val="Normlny"/>
              <w:jc w:val="center"/>
            </w:pPr>
          </w:p>
          <w:p w:rsidR="0031193E" w:rsidRPr="0011558D" w:rsidP="00F82B1D">
            <w:pPr>
              <w:pStyle w:val="Normlny"/>
              <w:jc w:val="center"/>
            </w:pPr>
          </w:p>
          <w:p w:rsidR="007D145B" w:rsidRPr="0011558D" w:rsidP="007D145B">
            <w:pPr>
              <w:pStyle w:val="Normlny"/>
              <w:jc w:val="center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>Veliteľ je povinný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 xml:space="preserve">c) vytvárať podriadeným profesionálnym vojakom podmienky na riadny výkon štátnej služby, najmä zabezpečovať materiálne a technické podmienky pracoviska vrátane osobných ochranných pracovných prostriedkov nevyhnutných na riadny a bezpečný výkon štátnej služby, 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>e) zaisťovať bezpečnosť a ochranu zdravia podriadených profesionálnych vojakov pri výkone štátnej služby a kontrolovať dodržiavanie predpisov v oblasti bezpečnosti a ochrany zdravia pri výkone štátnej služby a v oblasti prevádzky technických zariadení; ak veliteľ zistí nedostatky, je povinný urobiť opatrenia na ich odstránenie.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>(1) Služobný úrad preruší tehotnej profesionálnej vojačke výkon funkcie, ak činnosti vyplývajúce z funkcie sú tehotným profesionálnym vojačkám zakázané alebo ktoré podľa lekárskeho posudku ohrozujú jej tehotenstvo a ak ju nemožno ustanoviť do inej vhodnej funkcie; to platí rovnako o matke do konca deviateho mesiaca po pôrode a o dojčiacej profesionálnej vojačke.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>(2) Profesionálna vojačka počas prerušenia výkonu funkcie vykonáva podľa rozhodnutia veliteľa činnosti, ktorých výkon nie je tehotným profesionálnym vojačkám zakázaný alebo ktoré neohrozujú jej teh</w:t>
            </w:r>
            <w:r w:rsidRPr="0011558D">
              <w:rPr>
                <w:sz w:val="20"/>
                <w:szCs w:val="20"/>
                <w:lang w:eastAsia="cs-CZ"/>
              </w:rPr>
              <w:t>otenstvo.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 xml:space="preserve">(3) Za inú vhodnú funkciu podľa odseku 1 sa považuje funkcia v tom istom služobnom úrade a v tom istom mieste výkonu štátnej služby, do ktorej možno profesionálnu vojačku ustanoviť podľa § 64 alebo § 65, a ktorá nie je tehotným profesionálnym vojačkám zakázaná alebo ktorá neohrozuje tehotenstvo profesionálnej vojačky.  </w:t>
            </w:r>
          </w:p>
          <w:p w:rsidR="006321D2" w:rsidRPr="0011558D" w:rsidP="006321D2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1558D">
              <w:rPr>
                <w:sz w:val="20"/>
                <w:szCs w:val="20"/>
                <w:lang w:eastAsia="cs-CZ"/>
              </w:rPr>
              <w:t>(4) Ak pominú dôvody podľa odseku 1, prerušenie výkonu funkcie služobný úrad skončí.</w:t>
            </w:r>
          </w:p>
          <w:p w:rsidR="006321D2" w:rsidRPr="0011558D" w:rsidP="003513BF">
            <w:pPr>
              <w:ind w:firstLine="567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F82B1D" w:rsidRPr="0011558D" w:rsidP="00F82B1D">
            <w:pPr>
              <w:pStyle w:val="Normlny"/>
              <w:ind w:firstLine="342"/>
              <w:jc w:val="both"/>
            </w:pPr>
            <w:r w:rsidRPr="0011558D">
              <w:t>(1) Profesionálny vojak má nárok na dodatkovú dovolenku v dĺžke šiestich služobných dní, ak po</w:t>
            </w:r>
            <w:r w:rsidRPr="0011558D">
              <w:t xml:space="preserve"> celý kalendárny rok vykonával  </w:t>
            </w:r>
          </w:p>
          <w:p w:rsidR="00F82B1D" w:rsidRPr="0011558D" w:rsidP="00F82B1D">
            <w:pPr>
              <w:pStyle w:val="Normlny"/>
              <w:ind w:firstLine="342"/>
              <w:jc w:val="both"/>
            </w:pPr>
            <w:r w:rsidRPr="0011558D">
              <w:t>a) rizikové práce,</w:t>
            </w:r>
            <w:r w:rsidRPr="0011558D">
              <w:rPr>
                <w:vertAlign w:val="superscript"/>
              </w:rPr>
              <w:t>73</w:t>
            </w:r>
            <w:r w:rsidRPr="0011558D">
              <w:t xml:space="preserve">)  </w:t>
            </w:r>
          </w:p>
          <w:p w:rsidR="00F82B1D" w:rsidRPr="0011558D" w:rsidP="00F82B1D">
            <w:pPr>
              <w:pStyle w:val="Normlny"/>
              <w:ind w:firstLine="342"/>
              <w:jc w:val="both"/>
            </w:pPr>
            <w:r w:rsidRPr="0011558D">
              <w:t>b) činnosti v mimoriadne náročnom prostredí, v ktorom by mohlo dôjsť k ohrozeniu života alebo zdravia alebo</w:t>
            </w:r>
          </w:p>
          <w:p w:rsidR="00F82B1D" w:rsidP="00F82B1D">
            <w:pPr>
              <w:pStyle w:val="Normlny"/>
              <w:ind w:firstLine="342"/>
              <w:jc w:val="both"/>
            </w:pPr>
            <w:r w:rsidRPr="0011558D">
              <w:t>c) mimoriadne náročnú činnosť, pri ktorej by mohlo dôjsť k ohrozeniu života alebo zdravia.</w:t>
            </w:r>
          </w:p>
          <w:p w:rsidR="0080743A" w:rsidP="00F82B1D">
            <w:pPr>
              <w:pStyle w:val="Normlny"/>
              <w:ind w:firstLine="342"/>
              <w:jc w:val="both"/>
            </w:pPr>
          </w:p>
          <w:p w:rsidR="0080743A" w:rsidRPr="000D4BA9" w:rsidP="0080743A">
            <w:pPr>
              <w:pStyle w:val="FootnoteText"/>
              <w:ind w:left="-16"/>
              <w:rPr>
                <w:sz w:val="18"/>
                <w:szCs w:val="18"/>
              </w:rPr>
            </w:pPr>
            <w:r w:rsidRPr="000D4BA9">
              <w:rPr>
                <w:sz w:val="18"/>
                <w:szCs w:val="18"/>
                <w:vertAlign w:val="superscript"/>
              </w:rPr>
              <w:t>73</w:t>
            </w:r>
            <w:r w:rsidRPr="000D4BA9">
              <w:rPr>
                <w:sz w:val="18"/>
                <w:szCs w:val="18"/>
              </w:rPr>
              <w:t xml:space="preserve">) </w:t>
            </w:r>
            <w:r w:rsidRPr="000D4BA9">
              <w:rPr>
                <w:sz w:val="18"/>
                <w:szCs w:val="18"/>
                <w:lang w:eastAsia="sk-SK"/>
              </w:rPr>
              <w:t>§ 31 ods. 6 zákona č. 355/2007 Z. z. o ochrane, podpore a rozvoji verejného zdravia a o doplnení niektorých zákonov</w:t>
            </w:r>
            <w:r>
              <w:rPr>
                <w:sz w:val="18"/>
                <w:szCs w:val="18"/>
                <w:lang w:eastAsia="sk-SK"/>
              </w:rPr>
              <w:t xml:space="preserve"> v znení zákona č.204/2014 Z. z.</w:t>
            </w:r>
            <w:r w:rsidRPr="000D4BA9">
              <w:rPr>
                <w:sz w:val="18"/>
                <w:szCs w:val="18"/>
                <w:lang w:eastAsia="sk-SK"/>
              </w:rPr>
              <w:t>.</w:t>
            </w:r>
          </w:p>
          <w:p w:rsidR="0080743A" w:rsidRPr="000D4BA9" w:rsidP="0080743A">
            <w:pPr>
              <w:rPr>
                <w:sz w:val="18"/>
                <w:szCs w:val="18"/>
              </w:rPr>
            </w:pPr>
          </w:p>
          <w:p w:rsidR="00F82B1D" w:rsidRPr="0011558D" w:rsidP="00F82B1D">
            <w:pPr>
              <w:pStyle w:val="Normlny"/>
              <w:ind w:firstLine="342"/>
              <w:jc w:val="both"/>
            </w:pPr>
            <w:r w:rsidRPr="0011558D">
              <w:t xml:space="preserve">(2) Ak profesionálny vojak vykonával činnosti podľa odseku 1 len časť kalendárneho roka, patrí mu za každých 21 dní, v ktorých tieto činnosti vykonával,  jedna dvanástina dodatkovej dovolenky. </w:t>
            </w:r>
          </w:p>
          <w:p w:rsidR="00F82B1D" w:rsidRPr="00F96BBE" w:rsidP="00F82B1D">
            <w:pPr>
              <w:pStyle w:val="Normlny"/>
              <w:ind w:firstLine="342"/>
              <w:jc w:val="both"/>
              <w:rPr>
                <w:b/>
              </w:rPr>
            </w:pPr>
            <w:r w:rsidRPr="00F96BBE">
              <w:rPr>
                <w:b/>
              </w:rPr>
              <w:t xml:space="preserve">(3) </w:t>
            </w:r>
            <w:r w:rsidR="00F96BBE">
              <w:rPr>
                <w:b/>
              </w:rPr>
              <w:t>Veliteľ určí ná</w:t>
            </w:r>
            <w:r w:rsidR="000A371E">
              <w:rPr>
                <w:b/>
              </w:rPr>
              <w:t>stup dodatkovej dovolenky tak, že</w:t>
            </w:r>
            <w:r w:rsidR="00F96BBE">
              <w:rPr>
                <w:b/>
              </w:rPr>
              <w:t xml:space="preserve"> ju profesionálny vojak vyčerp</w:t>
            </w:r>
            <w:r w:rsidR="000A371E">
              <w:rPr>
                <w:b/>
              </w:rPr>
              <w:t>á</w:t>
            </w:r>
            <w:r w:rsidR="00F96BBE">
              <w:rPr>
                <w:b/>
              </w:rPr>
              <w:t xml:space="preserve"> prednostne pred čerpaním dovolenky.</w:t>
            </w:r>
          </w:p>
          <w:p w:rsidR="00F82B1D" w:rsidRPr="00F96BBE" w:rsidP="00F82B1D">
            <w:pPr>
              <w:pStyle w:val="Normlny"/>
              <w:ind w:firstLine="342"/>
              <w:jc w:val="both"/>
              <w:rPr>
                <w:b/>
              </w:rPr>
            </w:pPr>
            <w:r w:rsidRPr="00F96BBE">
              <w:rPr>
                <w:b/>
              </w:rPr>
              <w:t>(4) Pri skončení služobného pomeru profesio</w:t>
            </w:r>
            <w:r w:rsidRPr="00F96BBE">
              <w:rPr>
                <w:b/>
              </w:rPr>
              <w:t xml:space="preserve">nálny vojak </w:t>
            </w:r>
            <w:r w:rsidR="000A371E">
              <w:rPr>
                <w:b/>
              </w:rPr>
              <w:t>čerpá dodatkovú dovolenku tak, že</w:t>
            </w:r>
            <w:r w:rsidRPr="00F96BBE">
              <w:rPr>
                <w:b/>
              </w:rPr>
              <w:t xml:space="preserve"> ju vyčerp</w:t>
            </w:r>
            <w:r w:rsidR="000A371E">
              <w:rPr>
                <w:b/>
              </w:rPr>
              <w:t>á</w:t>
            </w:r>
            <w:r w:rsidRPr="00F96BBE">
              <w:rPr>
                <w:b/>
              </w:rPr>
              <w:t xml:space="preserve"> do skončenia služobného pomeru</w:t>
            </w:r>
            <w:r w:rsidR="00F96BBE">
              <w:rPr>
                <w:b/>
              </w:rPr>
              <w:t>; za nevyčerpanú dodatkovú dovolenku nepatrí náhrada platu</w:t>
            </w:r>
            <w:r w:rsidRPr="00F96BBE">
              <w:rPr>
                <w:b/>
              </w:rPr>
              <w:t xml:space="preserve">. </w:t>
            </w:r>
          </w:p>
          <w:p w:rsidR="00F82B1D" w:rsidRPr="0011558D" w:rsidP="00F82B1D">
            <w:pPr>
              <w:pStyle w:val="Normlny"/>
              <w:ind w:firstLine="342"/>
              <w:jc w:val="both"/>
            </w:pPr>
            <w:r w:rsidRPr="0011558D">
              <w:t>(5) Činnosti v mimoriadne náročnom prostredí, v ktorom by mohlo dôjsť k ohrozeniu života alebo zdravia a mimoriadne náročné činnosti, pri ktorých by mohlo dôjsť k ohrozeniu života alebo zdravia na účely nároku na dodatkovú dovolenku ustanoví všeobecne záväzný právny predpis, ktorý vydá ministerstvo po dohode s Ministerstvom zdravotníctva Slovenskej republiky.</w:t>
            </w:r>
          </w:p>
          <w:p w:rsidR="00F82B1D" w:rsidP="00F82B1D">
            <w:pPr>
              <w:pStyle w:val="Normlny"/>
              <w:ind w:firstLine="342"/>
              <w:jc w:val="both"/>
            </w:pPr>
            <w:r w:rsidRPr="0011558D">
              <w:t>(6) Na prerušenie dodatkovej dovolenky sa použije § 110.</w:t>
            </w:r>
          </w:p>
          <w:p w:rsidR="0031193E" w:rsidP="00F82B1D">
            <w:pPr>
              <w:pStyle w:val="Normlny"/>
              <w:ind w:firstLine="342"/>
              <w:jc w:val="both"/>
            </w:pPr>
          </w:p>
          <w:p w:rsidR="0031193E" w:rsidRPr="00F96BBE" w:rsidP="0031193E">
            <w:pPr>
              <w:ind w:firstLine="414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F96BBE">
              <w:rPr>
                <w:sz w:val="20"/>
                <w:szCs w:val="20"/>
                <w:lang w:eastAsia="cs-CZ"/>
              </w:rPr>
              <w:t>Profesionálnej vojačke počas prerušenia výkonu funkcie patrí služobný plat, ktorý by jej patril, ak by jej výkon funkcie nebol prerušený.</w:t>
            </w:r>
          </w:p>
          <w:p w:rsidR="0031193E" w:rsidRPr="0011558D" w:rsidP="00F82B1D">
            <w:pPr>
              <w:pStyle w:val="Normlny"/>
              <w:ind w:firstLine="342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 w:rsidR="007645A4">
              <w:rPr>
                <w:sz w:val="20"/>
                <w:szCs w:val="20"/>
              </w:rPr>
              <w:t>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C80746">
            <w:pPr>
              <w:pStyle w:val="Heading1"/>
              <w:spacing w:before="0"/>
              <w:rPr>
                <w:b w:val="0"/>
                <w:bCs w:val="0"/>
                <w:sz w:val="20"/>
                <w:szCs w:val="20"/>
              </w:rPr>
            </w:pPr>
          </w:p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/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C80746" w:rsidRPr="0011558D" w:rsidP="00C80746">
            <w:pPr>
              <w:rPr>
                <w:sz w:val="20"/>
                <w:szCs w:val="20"/>
              </w:rPr>
            </w:pPr>
          </w:p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460BCF"/>
          <w:p w:rsidR="00460BCF" w:rsidRPr="0011558D" w:rsidP="00D3668A"/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193E" w:rsidP="00311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10</w:t>
            </w:r>
          </w:p>
          <w:p w:rsidR="0031193E" w:rsidRPr="0011558D" w:rsidP="00507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E" w:rsidRPr="002E3552" w:rsidP="003119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552">
              <w:rPr>
                <w:sz w:val="20"/>
                <w:szCs w:val="20"/>
              </w:rPr>
              <w:t xml:space="preserve">Zákaz </w:t>
            </w:r>
            <w:r w:rsidRPr="002E3552">
              <w:rPr>
                <w:sz w:val="20"/>
                <w:szCs w:val="20"/>
              </w:rPr>
              <w:t>prepustenia</w:t>
            </w:r>
          </w:p>
          <w:p w:rsidR="0031193E" w:rsidRPr="002E3552" w:rsidP="003119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552">
              <w:rPr>
                <w:sz w:val="20"/>
                <w:szCs w:val="20"/>
              </w:rPr>
              <w:t>Aby sa pracovníčkam v zmysle článku 2 zaručilo uplatňovanie ich práv</w:t>
            </w:r>
            <w:r>
              <w:rPr>
                <w:sz w:val="20"/>
                <w:szCs w:val="20"/>
              </w:rPr>
              <w:t xml:space="preserve"> na ochranu zdravia a </w:t>
            </w:r>
            <w:r w:rsidRPr="002E3552">
              <w:rPr>
                <w:sz w:val="20"/>
                <w:szCs w:val="20"/>
              </w:rPr>
              <w:t>bezpečnosť, ako ich ustanovuje uvedený článok,</w:t>
            </w:r>
          </w:p>
          <w:p w:rsidR="0031193E" w:rsidRPr="002E3552" w:rsidP="003119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552">
              <w:rPr>
                <w:sz w:val="20"/>
                <w:szCs w:val="20"/>
              </w:rPr>
              <w:t>zabezpečí sa, že:</w:t>
            </w:r>
          </w:p>
          <w:p w:rsidR="0031193E" w:rsidRPr="002E3552" w:rsidP="003119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3552">
              <w:rPr>
                <w:sz w:val="20"/>
                <w:szCs w:val="20"/>
              </w:rPr>
              <w:t>1. členské štáty prijmú potrebné opatrenia na zákaz prepustenia pracovníčok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v zmysle článku 2 počas obdobia od začiatku tehotenstva do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konca materskej dovolenky stanovenej v článku 8 ods. 1 okrem</w:t>
            </w:r>
          </w:p>
          <w:p w:rsidR="0031193E" w:rsidP="003119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 w:rsidRPr="002E3552">
              <w:rPr>
                <w:sz w:val="20"/>
                <w:szCs w:val="20"/>
              </w:rPr>
              <w:t>výnimočných prípadov nesúvisiacich s ich stavom, ktoré povoľujú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vnútroštátne právne predpisy a/alebo vnútroštátna prax a kde to je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uplatniteľné, pod podmienkou, že na to dá súhlas príslušný orgán;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</w:p>
          <w:p w:rsidR="0031193E" w:rsidP="0031193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9"/>
                <w:szCs w:val="19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t>2</w:t>
            </w:r>
            <w:r w:rsidRPr="002E3552">
              <w:rPr>
                <w:sz w:val="20"/>
                <w:szCs w:val="20"/>
              </w:rPr>
              <w:t>. ak zamestnávateľ prepustí pracovníčku v zmysle článku 2 v</w:t>
            </w:r>
            <w:r>
              <w:rPr>
                <w:sz w:val="20"/>
                <w:szCs w:val="20"/>
              </w:rPr>
              <w:t> </w:t>
            </w:r>
            <w:r w:rsidRPr="002E3552">
              <w:rPr>
                <w:sz w:val="20"/>
                <w:szCs w:val="20"/>
              </w:rPr>
              <w:t>období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uvedenom v bode 1, musí písomne uviesť riadne opodstatnené dôvody jej prepustenia;</w:t>
            </w:r>
            <w:r>
              <w:rPr>
                <w:rFonts w:ascii="TimesNewRoman" w:hAnsi="TimesNewRoman" w:cs="TimesNewRoman"/>
                <w:sz w:val="19"/>
                <w:szCs w:val="19"/>
              </w:rPr>
              <w:t xml:space="preserve"> </w:t>
            </w:r>
          </w:p>
          <w:p w:rsidR="0031193E" w:rsidRPr="0011558D" w:rsidP="003119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19"/>
                <w:szCs w:val="19"/>
              </w:rPr>
              <w:t>3</w:t>
            </w:r>
            <w:r w:rsidRPr="002E3552">
              <w:rPr>
                <w:sz w:val="20"/>
                <w:szCs w:val="20"/>
              </w:rPr>
              <w:t>. členské štáty prijmú potrebné opatrenia na ochranu pracovníčok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v zmysle článku 2 pred dôsledkami prepustenia, ktoré je v</w:t>
            </w:r>
            <w:r>
              <w:rPr>
                <w:sz w:val="20"/>
                <w:szCs w:val="20"/>
              </w:rPr>
              <w:t> </w:t>
            </w:r>
            <w:r w:rsidRPr="002E3552">
              <w:rPr>
                <w:sz w:val="20"/>
                <w:szCs w:val="20"/>
              </w:rPr>
              <w:t>zmysle</w:t>
            </w:r>
            <w:r>
              <w:rPr>
                <w:sz w:val="20"/>
                <w:szCs w:val="20"/>
              </w:rPr>
              <w:t xml:space="preserve"> </w:t>
            </w:r>
            <w:r w:rsidRPr="002E3552">
              <w:rPr>
                <w:sz w:val="20"/>
                <w:szCs w:val="20"/>
              </w:rPr>
              <w:t>bodu 1 protiprávne.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93E" w:rsidRPr="0011558D" w:rsidP="007D14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3E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281/2015 Z. z.</w:t>
            </w: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sz w:val="20"/>
                <w:szCs w:val="20"/>
              </w:rPr>
            </w:pPr>
          </w:p>
          <w:p w:rsidR="0034429C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 č. 281/2015 Z. z.</w:t>
            </w:r>
          </w:p>
          <w:p w:rsidR="0034429C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34429C" w:rsidRPr="0034429C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novela zákona č. 281/2015 Z.z.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E" w:rsidP="00F82B1D">
            <w:pPr>
              <w:pStyle w:val="Normlny"/>
              <w:jc w:val="center"/>
            </w:pPr>
            <w:r>
              <w:t>§ 86</w:t>
            </w:r>
          </w:p>
          <w:p w:rsidR="0031193E" w:rsidP="00F82B1D">
            <w:pPr>
              <w:pStyle w:val="Normlny"/>
              <w:jc w:val="center"/>
            </w:pPr>
            <w:r>
              <w:t>O:</w:t>
            </w:r>
            <w:r w:rsidR="0034429C">
              <w:t xml:space="preserve"> </w:t>
            </w:r>
            <w:r>
              <w:t>1</w:t>
            </w:r>
          </w:p>
          <w:p w:rsidR="0031193E" w:rsidP="00F82B1D">
            <w:pPr>
              <w:pStyle w:val="Normlny"/>
              <w:jc w:val="center"/>
            </w:pPr>
            <w:r>
              <w:t>P: b)</w:t>
            </w:r>
          </w:p>
          <w:p w:rsidR="0034429C" w:rsidP="00F82B1D">
            <w:pPr>
              <w:pStyle w:val="Normlny"/>
              <w:jc w:val="center"/>
            </w:pPr>
            <w:r>
              <w:t>O: 2</w:t>
            </w: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</w:p>
          <w:p w:rsidR="0080743A" w:rsidP="00F82B1D">
            <w:pPr>
              <w:pStyle w:val="Normlny"/>
              <w:jc w:val="center"/>
            </w:pPr>
          </w:p>
          <w:p w:rsidR="0080743A" w:rsidP="00F82B1D">
            <w:pPr>
              <w:pStyle w:val="Normlny"/>
              <w:jc w:val="center"/>
            </w:pPr>
          </w:p>
          <w:p w:rsidR="0080743A" w:rsidP="00F82B1D">
            <w:pPr>
              <w:pStyle w:val="Normlny"/>
              <w:jc w:val="center"/>
            </w:pPr>
          </w:p>
          <w:p w:rsidR="0080743A" w:rsidP="00F82B1D">
            <w:pPr>
              <w:pStyle w:val="Normlny"/>
              <w:jc w:val="center"/>
            </w:pPr>
          </w:p>
          <w:p w:rsidR="0034429C" w:rsidP="00F82B1D">
            <w:pPr>
              <w:pStyle w:val="Normlny"/>
              <w:jc w:val="center"/>
            </w:pPr>
            <w:r>
              <w:t>§ 88</w:t>
            </w:r>
          </w:p>
          <w:p w:rsidR="0034429C" w:rsidP="00F82B1D">
            <w:pPr>
              <w:pStyle w:val="Normlny"/>
              <w:jc w:val="center"/>
            </w:pPr>
            <w:r>
              <w:t>O: 1</w:t>
            </w:r>
          </w:p>
          <w:p w:rsidR="00691AD0" w:rsidP="00F82B1D">
            <w:pPr>
              <w:pStyle w:val="Normlny"/>
              <w:jc w:val="center"/>
            </w:pPr>
            <w:r>
              <w:t>P: a)</w:t>
            </w:r>
          </w:p>
          <w:p w:rsidR="00691AD0" w:rsidP="00F82B1D">
            <w:pPr>
              <w:pStyle w:val="Normlny"/>
              <w:jc w:val="center"/>
            </w:pPr>
            <w:r>
              <w:t xml:space="preserve">P: </w:t>
            </w:r>
            <w:r>
              <w:t>b)</w:t>
            </w:r>
          </w:p>
          <w:p w:rsidR="0034429C" w:rsidP="00F82B1D">
            <w:pPr>
              <w:pStyle w:val="Normlny"/>
              <w:jc w:val="center"/>
            </w:pPr>
            <w:r>
              <w:t>O: 2</w:t>
            </w:r>
          </w:p>
          <w:p w:rsidR="0034429C" w:rsidRPr="0011558D" w:rsidP="00F82B1D">
            <w:pPr>
              <w:pStyle w:val="Normlny"/>
              <w:jc w:val="center"/>
            </w:pPr>
            <w:r>
              <w:t>O: 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E" w:rsidP="0031193E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(1) Konanie o prepustení podľa § 83 ods. 1 písm. a) sa nezačne v ochrannej dobe, ak je</w:t>
            </w:r>
          </w:p>
          <w:p w:rsidR="0031193E" w:rsidP="0031193E">
            <w:pPr>
              <w:ind w:left="273" w:hanging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b) </w:t>
            </w:r>
            <w:r w:rsidR="0034429C">
              <w:rPr>
                <w:sz w:val="20"/>
                <w:szCs w:val="20"/>
                <w:lang w:eastAsia="cs-CZ"/>
              </w:rPr>
              <w:t xml:space="preserve">profesionálna vojačka tehotná alebo na materskej dovolenke, keď je profesionálny vojak na rodičovskej dovolenke, počas ktorej má nárok na materské podľa </w:t>
            </w:r>
            <w:r w:rsidR="0034429C">
              <w:rPr>
                <w:sz w:val="20"/>
                <w:szCs w:val="20"/>
                <w:lang w:eastAsia="cs-CZ"/>
              </w:rPr>
              <w:t>osobitného predpisu,</w:t>
            </w:r>
            <w:r w:rsidR="0034429C">
              <w:rPr>
                <w:sz w:val="20"/>
                <w:szCs w:val="20"/>
                <w:vertAlign w:val="superscript"/>
                <w:lang w:eastAsia="cs-CZ"/>
              </w:rPr>
              <w:t>40</w:t>
            </w:r>
            <w:r w:rsidR="0034429C">
              <w:rPr>
                <w:sz w:val="20"/>
                <w:szCs w:val="20"/>
                <w:lang w:eastAsia="cs-CZ"/>
              </w:rPr>
              <w:t>) alebo keď sa osamelý profesionálny vojak trvale stará o dieťa mladšie ako tri roky.</w:t>
            </w:r>
          </w:p>
          <w:p w:rsidR="0080743A" w:rsidP="0031193E">
            <w:pPr>
              <w:ind w:left="273" w:hanging="273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80743A" w:rsidP="0080743A">
            <w:pPr>
              <w:ind w:left="273" w:hanging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0D4BA9">
              <w:rPr>
                <w:sz w:val="18"/>
                <w:szCs w:val="18"/>
                <w:vertAlign w:val="superscript"/>
              </w:rPr>
              <w:t>40</w:t>
            </w:r>
            <w:r w:rsidRPr="000D4BA9">
              <w:rPr>
                <w:sz w:val="18"/>
                <w:szCs w:val="18"/>
              </w:rPr>
              <w:t>) § 10 zákona č. 328/2002 Z. z. v znení neskorších predpisov.</w:t>
            </w:r>
          </w:p>
          <w:p w:rsidR="0080743A" w:rsidP="0034429C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34429C" w:rsidP="0034429C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(2) Ak sa konanie o prepustení podľa § 83 ods. 1 písm. a) už začalo a nastane skutočnosť, ktorá zakladá ochrannú dobu podľa odseku 1, toto konanie sa preruší.</w:t>
            </w:r>
          </w:p>
          <w:p w:rsidR="0034429C" w:rsidP="0034429C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34429C" w:rsidP="0034429C">
            <w:pPr>
              <w:numPr>
                <w:ilvl w:val="0"/>
                <w:numId w:val="20"/>
              </w:numPr>
              <w:ind w:left="0"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Ak bol personálny rozkaz o prepustení právoplatne zrušený, služobný pomer profesionálneho vojaka trvá a profesionálny vojak dňom nadobudnutia právoplatnosti rozhodnutia o zrušení</w:t>
            </w:r>
            <w:r>
              <w:rPr>
                <w:sz w:val="20"/>
                <w:szCs w:val="20"/>
                <w:lang w:eastAsia="cs-CZ"/>
              </w:rPr>
              <w:t xml:space="preserve"> personálneho rozkazu o prepustení</w:t>
            </w:r>
          </w:p>
          <w:p w:rsidR="0034429C" w:rsidP="0034429C">
            <w:pPr>
              <w:numPr>
                <w:ilvl w:val="0"/>
                <w:numId w:val="21"/>
              </w:numPr>
              <w:ind w:left="273" w:hanging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pokračuje vo výkone funkcie, do ktorej bol ustanovený pred prepustením, alebo</w:t>
            </w:r>
          </w:p>
          <w:p w:rsidR="0034429C" w:rsidP="0034429C">
            <w:pPr>
              <w:numPr>
                <w:ilvl w:val="0"/>
                <w:numId w:val="21"/>
              </w:numPr>
              <w:ind w:left="273" w:hanging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je zaradený do zálohy pre prechodne nezaradených profesionálnych vojakov podľa </w:t>
            </w:r>
            <w:r>
              <w:rPr>
                <w:b/>
                <w:sz w:val="20"/>
                <w:szCs w:val="20"/>
                <w:lang w:eastAsia="cs-CZ"/>
              </w:rPr>
              <w:t>§ 73 ods. 3, 4 alebo</w:t>
            </w:r>
            <w:r w:rsidR="000A371E">
              <w:rPr>
                <w:b/>
                <w:sz w:val="20"/>
                <w:szCs w:val="20"/>
                <w:lang w:eastAsia="cs-CZ"/>
              </w:rPr>
              <w:t xml:space="preserve"> ods.</w:t>
            </w:r>
            <w:r>
              <w:rPr>
                <w:b/>
                <w:sz w:val="20"/>
                <w:szCs w:val="20"/>
                <w:lang w:eastAsia="cs-CZ"/>
              </w:rPr>
              <w:t xml:space="preserve"> 5</w:t>
            </w:r>
            <w:r>
              <w:rPr>
                <w:sz w:val="20"/>
                <w:szCs w:val="20"/>
                <w:lang w:eastAsia="cs-CZ"/>
              </w:rPr>
              <w:t>.</w:t>
            </w:r>
          </w:p>
          <w:p w:rsidR="0034429C" w:rsidP="0034429C">
            <w:pPr>
              <w:numPr>
                <w:ilvl w:val="0"/>
                <w:numId w:val="20"/>
              </w:numPr>
              <w:ind w:left="0"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Ak po zrušení personálneho rozkazu o prepustení nie je funkcia podľa odseku 1 písm. a) voľná alebo bola zrušená, profesionálny vojak sa ustanoví do inej funkcie podľa tohto zákona.</w:t>
            </w:r>
          </w:p>
          <w:p w:rsidR="0034429C" w:rsidRPr="0034429C" w:rsidP="001A4C49">
            <w:pPr>
              <w:ind w:left="-11" w:firstLine="284"/>
              <w:contextualSpacing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(4) </w:t>
            </w:r>
            <w:r w:rsidR="001A4C49">
              <w:rPr>
                <w:sz w:val="20"/>
                <w:szCs w:val="20"/>
                <w:lang w:eastAsia="cs-CZ"/>
              </w:rPr>
              <w:t>Profesionálnemu vojakovi sa za čas neplatného prepustenia doplatí plat, aktivačný príspevok a stabilizačný príspevok, ktorý by mu patril, ak by k prepusteniu nedošlo. Ak celkový čas, za ktorý by sa mal profesionálnemu vojakovi doplatiť plat, aktivačný príspevok a stabilizačný príspevok, presiahne 12 mesiacov, môže súd na základe dôvodov uvedených v žiadosti služobného úradu jeho povinnosť doplatiť plat, aktivačný príspevok a stabilizačný príspevok za čas presahujúci 12 mesiacov primerane znížiť, prípadne plat, aktivačný príspevok a stabilizačný príspevok za čas presahujúci 12 mesiacov profesionálnemu vojakovi vôbec nepriznať. Plat, aktivačný príspevok a stabilizačný príspevok môže byť priznaný najviac za čas 36 mesiacov.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3E" w:rsidRPr="0011558D" w:rsidP="00507EA9">
            <w:pPr>
              <w:jc w:val="center"/>
              <w:rPr>
                <w:sz w:val="20"/>
                <w:szCs w:val="20"/>
              </w:rPr>
            </w:pPr>
            <w:r w:rsidR="0034429C">
              <w:rPr>
                <w:sz w:val="20"/>
                <w:szCs w:val="20"/>
              </w:rPr>
              <w:t>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29C" w:rsidRPr="0034429C" w:rsidP="0034429C">
            <w:pPr>
              <w:rPr>
                <w:sz w:val="20"/>
                <w:szCs w:val="20"/>
              </w:rPr>
            </w:pPr>
          </w:p>
        </w:tc>
      </w:tr>
      <w:tr w:rsidTr="00A221A1">
        <w:tblPrEx>
          <w:tblW w:w="16160" w:type="dxa"/>
          <w:tblInd w:w="-524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 w:rsidR="00346763">
              <w:rPr>
                <w:sz w:val="20"/>
                <w:szCs w:val="20"/>
              </w:rPr>
              <w:t>Č: 1</w:t>
            </w:r>
            <w:r w:rsidR="001A4C49">
              <w:rPr>
                <w:sz w:val="20"/>
                <w:szCs w:val="20"/>
              </w:rPr>
              <w:t>2</w:t>
            </w:r>
          </w:p>
          <w:p w:rsidR="00F717F6" w:rsidRPr="0011558D" w:rsidP="00507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49" w:rsidRPr="00C71336" w:rsidP="001A4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336">
              <w:rPr>
                <w:sz w:val="20"/>
                <w:szCs w:val="20"/>
              </w:rPr>
              <w:t>Ochrana práv</w:t>
            </w:r>
          </w:p>
          <w:p w:rsidR="002729DC" w:rsidRPr="0011558D" w:rsidP="001A4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336" w:rsidR="001A4C49">
              <w:rPr>
                <w:sz w:val="20"/>
                <w:szCs w:val="20"/>
              </w:rPr>
              <w:t>Členské štáty zavedú do vnútroštátnych právnych systémov potrebné</w:t>
            </w:r>
            <w:r w:rsidR="001A4C49">
              <w:rPr>
                <w:sz w:val="20"/>
                <w:szCs w:val="20"/>
              </w:rPr>
              <w:t xml:space="preserve"> </w:t>
            </w:r>
            <w:r w:rsidRPr="00C71336" w:rsidR="001A4C49">
              <w:rPr>
                <w:sz w:val="20"/>
                <w:szCs w:val="20"/>
              </w:rPr>
              <w:t>opatrenia umožňujúce všetkým pracovníčkam, ktoré sa p</w:t>
            </w:r>
            <w:r w:rsidRPr="00C71336" w:rsidR="001A4C49">
              <w:rPr>
                <w:sz w:val="20"/>
                <w:szCs w:val="20"/>
              </w:rPr>
              <w:t>okladajú za</w:t>
            </w:r>
            <w:r w:rsidR="001A4C49">
              <w:rPr>
                <w:sz w:val="20"/>
                <w:szCs w:val="20"/>
              </w:rPr>
              <w:t xml:space="preserve"> </w:t>
            </w:r>
            <w:r w:rsidRPr="00C71336" w:rsidR="001A4C49">
              <w:rPr>
                <w:sz w:val="20"/>
                <w:szCs w:val="20"/>
              </w:rPr>
              <w:t>poškodené v dôsledku nedodržania povinností vyplývajúcich z</w:t>
            </w:r>
            <w:r w:rsidR="001A4C49">
              <w:rPr>
                <w:sz w:val="20"/>
                <w:szCs w:val="20"/>
              </w:rPr>
              <w:t> </w:t>
            </w:r>
            <w:r w:rsidRPr="00C71336" w:rsidR="001A4C49">
              <w:rPr>
                <w:sz w:val="20"/>
                <w:szCs w:val="20"/>
              </w:rPr>
              <w:t>tejto</w:t>
            </w:r>
            <w:r w:rsidR="001A4C49">
              <w:rPr>
                <w:sz w:val="20"/>
                <w:szCs w:val="20"/>
              </w:rPr>
              <w:t xml:space="preserve"> </w:t>
            </w:r>
            <w:r w:rsidRPr="00C71336" w:rsidR="001A4C49">
              <w:rPr>
                <w:sz w:val="20"/>
                <w:szCs w:val="20"/>
              </w:rPr>
              <w:t>smernice, domáhať sa svojich práv súdnou cestou (a/alebo v</w:t>
            </w:r>
            <w:r w:rsidR="001A4C49">
              <w:rPr>
                <w:sz w:val="20"/>
                <w:szCs w:val="20"/>
              </w:rPr>
              <w:t> </w:t>
            </w:r>
            <w:r w:rsidRPr="00C71336" w:rsidR="001A4C49">
              <w:rPr>
                <w:sz w:val="20"/>
                <w:szCs w:val="20"/>
              </w:rPr>
              <w:t>súlade</w:t>
            </w:r>
            <w:r w:rsidR="001A4C49">
              <w:rPr>
                <w:sz w:val="20"/>
                <w:szCs w:val="20"/>
              </w:rPr>
              <w:t xml:space="preserve"> </w:t>
            </w:r>
            <w:r w:rsidRPr="00C71336" w:rsidR="001A4C49">
              <w:rPr>
                <w:sz w:val="20"/>
                <w:szCs w:val="20"/>
              </w:rPr>
              <w:t>s vnútroštátnymi právnymi predpismi a/alebo vnútroštátnou praxou)</w:t>
            </w:r>
            <w:r w:rsidR="001A4C49">
              <w:rPr>
                <w:sz w:val="20"/>
                <w:szCs w:val="20"/>
              </w:rPr>
              <w:t xml:space="preserve"> </w:t>
            </w:r>
            <w:r w:rsidRPr="00C71336" w:rsidR="001A4C49">
              <w:rPr>
                <w:sz w:val="20"/>
                <w:szCs w:val="20"/>
              </w:rPr>
              <w:t>po prípadnom posúdení inými príslušnými orgánm</w:t>
            </w:r>
            <w:r w:rsidRPr="00C71336" w:rsidR="001A4C49">
              <w:rPr>
                <w:sz w:val="20"/>
                <w:szCs w:val="20"/>
              </w:rPr>
              <w:t>i.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 w:rsidR="00B83C42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B1D" w:rsidP="00507EA9">
            <w:pPr>
              <w:jc w:val="center"/>
              <w:rPr>
                <w:sz w:val="20"/>
                <w:szCs w:val="20"/>
              </w:rPr>
            </w:pPr>
            <w:r w:rsidRPr="0011558D">
              <w:rPr>
                <w:sz w:val="20"/>
                <w:szCs w:val="20"/>
              </w:rPr>
              <w:t>Zákon č. 281/2015 Z. z.</w:t>
            </w:r>
          </w:p>
          <w:p w:rsidR="001A4C49" w:rsidP="0050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1A4C49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novela zákona č. 281/2015 Z.z.</w:t>
            </w: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80743A" w:rsidP="00507EA9">
            <w:pPr>
              <w:jc w:val="center"/>
              <w:rPr>
                <w:b/>
                <w:sz w:val="20"/>
                <w:szCs w:val="20"/>
              </w:rPr>
            </w:pPr>
          </w:p>
          <w:p w:rsidR="00C83BF2" w:rsidRPr="001A4C49" w:rsidP="00507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Čl. I – novela zákona č. 281/2015 Z.z.</w:t>
            </w: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F82B1D" w:rsidRPr="0011558D" w:rsidP="00507EA9">
            <w:pPr>
              <w:jc w:val="center"/>
              <w:rPr>
                <w:sz w:val="20"/>
                <w:szCs w:val="20"/>
              </w:rPr>
            </w:pPr>
          </w:p>
          <w:p w:rsidR="002729DC" w:rsidRPr="0011558D" w:rsidP="002E30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1D" w:rsidP="00F82B1D">
            <w:pPr>
              <w:pStyle w:val="Normlny"/>
              <w:jc w:val="center"/>
            </w:pPr>
            <w:r w:rsidR="001A4C49">
              <w:t>§ 4</w:t>
            </w:r>
          </w:p>
          <w:p w:rsidR="001A4C49" w:rsidP="00F82B1D">
            <w:pPr>
              <w:pStyle w:val="Normlny"/>
              <w:jc w:val="center"/>
            </w:pPr>
            <w:r>
              <w:t>O: 4</w:t>
            </w:r>
          </w:p>
          <w:p w:rsidR="001A4C49" w:rsidRPr="0011558D" w:rsidP="00F82B1D">
            <w:pPr>
              <w:pStyle w:val="Normlny"/>
              <w:jc w:val="center"/>
            </w:pPr>
            <w:r>
              <w:t>O: 5</w:t>
            </w: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F82B1D" w:rsidP="00B20E69">
            <w:pPr>
              <w:pStyle w:val="Normlny"/>
              <w:jc w:val="center"/>
            </w:pPr>
            <w:r w:rsidR="00C83BF2">
              <w:t>§ 4a</w:t>
            </w:r>
          </w:p>
          <w:p w:rsidR="00C83BF2" w:rsidP="00B20E69">
            <w:pPr>
              <w:pStyle w:val="Normlny"/>
              <w:jc w:val="center"/>
            </w:pPr>
            <w:r>
              <w:t>O: 1</w:t>
            </w:r>
          </w:p>
          <w:p w:rsidR="00C83BF2" w:rsidP="00B20E69">
            <w:pPr>
              <w:pStyle w:val="Normlny"/>
              <w:jc w:val="center"/>
            </w:pPr>
            <w:r>
              <w:t>O: 2</w:t>
            </w:r>
          </w:p>
          <w:p w:rsidR="00691AD0" w:rsidP="00B20E69">
            <w:pPr>
              <w:pStyle w:val="Normlny"/>
              <w:jc w:val="center"/>
            </w:pPr>
            <w:r>
              <w:t>P: a)</w:t>
            </w:r>
          </w:p>
          <w:p w:rsidR="00691AD0" w:rsidP="00B20E69">
            <w:pPr>
              <w:pStyle w:val="Normlny"/>
              <w:jc w:val="center"/>
            </w:pPr>
            <w:r>
              <w:t>P: b)</w:t>
            </w:r>
          </w:p>
          <w:p w:rsidR="00691AD0" w:rsidP="00B20E69">
            <w:pPr>
              <w:pStyle w:val="Normlny"/>
              <w:jc w:val="center"/>
            </w:pPr>
            <w:r>
              <w:t>P: c)</w:t>
            </w:r>
          </w:p>
          <w:p w:rsidR="00691AD0" w:rsidP="00B20E69">
            <w:pPr>
              <w:pStyle w:val="Normlny"/>
              <w:jc w:val="center"/>
            </w:pPr>
            <w:r>
              <w:t>P: d)</w:t>
            </w:r>
          </w:p>
          <w:p w:rsidR="00691AD0" w:rsidP="00B20E69">
            <w:pPr>
              <w:pStyle w:val="Normlny"/>
              <w:jc w:val="center"/>
            </w:pPr>
            <w:r>
              <w:t>P: e)</w:t>
            </w:r>
          </w:p>
          <w:p w:rsidR="00C83BF2" w:rsidP="00B20E69">
            <w:pPr>
              <w:pStyle w:val="Normlny"/>
              <w:jc w:val="center"/>
            </w:pPr>
            <w:r>
              <w:t>O: 3</w:t>
            </w: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</w:p>
          <w:p w:rsidR="000A371E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80743A" w:rsidP="00B20E69">
            <w:pPr>
              <w:pStyle w:val="Normlny"/>
              <w:jc w:val="center"/>
            </w:pPr>
          </w:p>
          <w:p w:rsidR="00C83BF2" w:rsidP="00B20E69">
            <w:pPr>
              <w:pStyle w:val="Normlny"/>
              <w:jc w:val="center"/>
            </w:pPr>
            <w:r>
              <w:t>§ 4c</w:t>
            </w:r>
          </w:p>
          <w:p w:rsidR="00C83BF2" w:rsidP="00B20E69">
            <w:pPr>
              <w:pStyle w:val="Normlny"/>
              <w:jc w:val="center"/>
            </w:pPr>
            <w:r>
              <w:t>O: 1</w:t>
            </w:r>
          </w:p>
          <w:p w:rsidR="00C83BF2" w:rsidP="00B20E69">
            <w:pPr>
              <w:pStyle w:val="Normlny"/>
              <w:jc w:val="center"/>
            </w:pPr>
            <w:r>
              <w:t>O: 2</w:t>
            </w:r>
          </w:p>
          <w:p w:rsidR="00C83BF2" w:rsidP="00B20E69">
            <w:pPr>
              <w:pStyle w:val="Normlny"/>
              <w:jc w:val="center"/>
            </w:pPr>
            <w:r>
              <w:t>O: 3</w:t>
            </w:r>
          </w:p>
          <w:p w:rsidR="00C83BF2" w:rsidP="00B20E69">
            <w:pPr>
              <w:pStyle w:val="Normlny"/>
              <w:jc w:val="center"/>
            </w:pPr>
            <w:r>
              <w:t>O: 4</w:t>
            </w:r>
          </w:p>
          <w:p w:rsidR="00C83BF2" w:rsidP="00B20E69">
            <w:pPr>
              <w:pStyle w:val="Normlny"/>
              <w:jc w:val="center"/>
            </w:pPr>
            <w:r>
              <w:t>O: 5</w:t>
            </w:r>
          </w:p>
          <w:p w:rsidR="00C83BF2" w:rsidP="00B20E69">
            <w:pPr>
              <w:pStyle w:val="Normlny"/>
              <w:jc w:val="center"/>
            </w:pPr>
            <w:r>
              <w:t>O: 6</w:t>
            </w: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691AD0" w:rsidP="00B20E69">
            <w:pPr>
              <w:pStyle w:val="Normlny"/>
              <w:jc w:val="center"/>
            </w:pPr>
            <w:r>
              <w:t>§ 4d</w:t>
            </w:r>
          </w:p>
          <w:p w:rsidR="00691AD0" w:rsidP="00B20E69">
            <w:pPr>
              <w:pStyle w:val="Normlny"/>
              <w:jc w:val="center"/>
            </w:pPr>
            <w:r>
              <w:t>O: 1</w:t>
            </w:r>
          </w:p>
          <w:p w:rsidR="00691AD0" w:rsidP="00B20E69">
            <w:pPr>
              <w:pStyle w:val="Normlny"/>
              <w:jc w:val="center"/>
            </w:pPr>
            <w:r>
              <w:t>O: 2</w:t>
            </w:r>
          </w:p>
          <w:p w:rsidR="00691AD0" w:rsidP="00B20E69">
            <w:pPr>
              <w:pStyle w:val="Normlny"/>
              <w:jc w:val="center"/>
            </w:pPr>
            <w:r>
              <w:t>O: 3</w:t>
            </w:r>
          </w:p>
          <w:p w:rsidR="00691AD0" w:rsidP="00B20E69">
            <w:pPr>
              <w:pStyle w:val="Normlny"/>
              <w:jc w:val="center"/>
            </w:pPr>
            <w:r>
              <w:t>P: a)</w:t>
            </w:r>
          </w:p>
          <w:p w:rsidR="00691AD0" w:rsidP="00B20E69">
            <w:pPr>
              <w:pStyle w:val="Normlny"/>
              <w:jc w:val="center"/>
            </w:pPr>
            <w:r>
              <w:t>P: b)</w:t>
            </w:r>
          </w:p>
          <w:p w:rsidR="00691AD0" w:rsidP="00B20E69">
            <w:pPr>
              <w:pStyle w:val="Normlny"/>
              <w:jc w:val="center"/>
            </w:pPr>
            <w:r>
              <w:t>P: c)</w:t>
            </w:r>
          </w:p>
          <w:p w:rsidR="00691AD0" w:rsidP="00B20E69">
            <w:pPr>
              <w:pStyle w:val="Normlny"/>
              <w:jc w:val="center"/>
            </w:pPr>
            <w:r>
              <w:t>P: d)</w:t>
            </w:r>
          </w:p>
          <w:p w:rsidR="00691AD0" w:rsidP="00B20E69">
            <w:pPr>
              <w:pStyle w:val="Normlny"/>
              <w:jc w:val="center"/>
            </w:pPr>
            <w:r>
              <w:t>P: e)</w:t>
            </w:r>
          </w:p>
          <w:p w:rsidR="00691AD0" w:rsidP="00B20E69">
            <w:pPr>
              <w:pStyle w:val="Normlny"/>
              <w:jc w:val="center"/>
            </w:pPr>
            <w:r>
              <w:t>P: f)</w:t>
            </w:r>
          </w:p>
          <w:p w:rsidR="00691AD0" w:rsidP="00B20E69">
            <w:pPr>
              <w:pStyle w:val="Normlny"/>
              <w:jc w:val="center"/>
            </w:pPr>
            <w:r>
              <w:t>P: g)</w:t>
            </w:r>
          </w:p>
          <w:p w:rsidR="00691AD0" w:rsidP="00B20E69">
            <w:pPr>
              <w:pStyle w:val="Normlny"/>
              <w:jc w:val="center"/>
            </w:pPr>
            <w:r>
              <w:t>P: h)</w:t>
            </w:r>
          </w:p>
          <w:p w:rsidR="00691AD0" w:rsidP="00B20E69">
            <w:pPr>
              <w:pStyle w:val="Normlny"/>
              <w:jc w:val="center"/>
            </w:pPr>
            <w:r>
              <w:t>P: i)</w:t>
            </w:r>
          </w:p>
          <w:p w:rsidR="00691AD0" w:rsidP="00B20E69">
            <w:pPr>
              <w:pStyle w:val="Normlny"/>
              <w:jc w:val="center"/>
            </w:pPr>
            <w:r>
              <w:t>P: j)</w:t>
            </w:r>
          </w:p>
          <w:p w:rsidR="00691AD0" w:rsidP="00B20E69">
            <w:pPr>
              <w:pStyle w:val="Normlny"/>
              <w:jc w:val="center"/>
            </w:pPr>
            <w:r>
              <w:t>O: 4</w:t>
            </w:r>
          </w:p>
          <w:p w:rsidR="00691AD0" w:rsidP="00B20E69">
            <w:pPr>
              <w:pStyle w:val="Normlny"/>
              <w:jc w:val="center"/>
            </w:pPr>
            <w:r>
              <w:t>O: 5</w:t>
            </w:r>
          </w:p>
          <w:p w:rsidR="00691AD0" w:rsidP="00B20E69">
            <w:pPr>
              <w:pStyle w:val="Normlny"/>
              <w:jc w:val="center"/>
            </w:pPr>
            <w:r>
              <w:t>O: 6</w:t>
            </w: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  <w:r>
              <w:t>§ 4e</w:t>
            </w:r>
          </w:p>
          <w:p w:rsidR="00352D95" w:rsidP="00B20E69">
            <w:pPr>
              <w:pStyle w:val="Normlny"/>
              <w:jc w:val="center"/>
            </w:pPr>
            <w:r>
              <w:t>O: 1</w:t>
            </w:r>
          </w:p>
          <w:p w:rsidR="00352D95" w:rsidP="00B20E69">
            <w:pPr>
              <w:pStyle w:val="Normlny"/>
              <w:jc w:val="center"/>
            </w:pPr>
            <w:r>
              <w:t>P: a)</w:t>
            </w:r>
          </w:p>
          <w:p w:rsidR="00352D95" w:rsidP="00B20E69">
            <w:pPr>
              <w:pStyle w:val="Normlny"/>
              <w:jc w:val="center"/>
            </w:pPr>
            <w:r>
              <w:t>P: b)</w:t>
            </w:r>
          </w:p>
          <w:p w:rsidR="00352D95" w:rsidP="00B20E69">
            <w:pPr>
              <w:pStyle w:val="Normlny"/>
              <w:jc w:val="center"/>
            </w:pPr>
            <w:r>
              <w:t>P: c)</w:t>
            </w:r>
          </w:p>
          <w:p w:rsidR="00352D95" w:rsidP="00B20E69">
            <w:pPr>
              <w:pStyle w:val="Normlny"/>
              <w:jc w:val="center"/>
            </w:pPr>
            <w:r>
              <w:t>P: d)</w:t>
            </w:r>
          </w:p>
          <w:p w:rsidR="00352D95" w:rsidP="00B20E69">
            <w:pPr>
              <w:pStyle w:val="Normlny"/>
              <w:jc w:val="center"/>
            </w:pPr>
            <w:r>
              <w:t>O: 2</w:t>
            </w:r>
          </w:p>
          <w:p w:rsidR="00352D95" w:rsidP="00B20E69">
            <w:pPr>
              <w:pStyle w:val="Normlny"/>
              <w:jc w:val="center"/>
            </w:pPr>
            <w:r>
              <w:t>P: a)</w:t>
            </w:r>
          </w:p>
          <w:p w:rsidR="00352D95" w:rsidP="00B20E69">
            <w:pPr>
              <w:pStyle w:val="Normlny"/>
              <w:jc w:val="center"/>
            </w:pPr>
            <w:r>
              <w:t>P: b)</w:t>
            </w:r>
          </w:p>
          <w:p w:rsidR="00352D95" w:rsidP="00B20E69">
            <w:pPr>
              <w:pStyle w:val="Normlny"/>
              <w:jc w:val="center"/>
            </w:pPr>
            <w:r>
              <w:t>P: c)</w:t>
            </w:r>
          </w:p>
          <w:p w:rsidR="00352D95" w:rsidP="00B20E69">
            <w:pPr>
              <w:pStyle w:val="Normlny"/>
              <w:jc w:val="center"/>
            </w:pPr>
            <w:r>
              <w:t>P: d)</w:t>
            </w:r>
          </w:p>
          <w:p w:rsidR="00352D95" w:rsidP="00B20E69">
            <w:pPr>
              <w:pStyle w:val="Normlny"/>
              <w:jc w:val="center"/>
            </w:pPr>
            <w:r>
              <w:t>P: e)</w:t>
            </w:r>
          </w:p>
          <w:p w:rsidR="00352D95" w:rsidP="00B20E69">
            <w:pPr>
              <w:pStyle w:val="Normlny"/>
              <w:jc w:val="center"/>
            </w:pPr>
            <w:r>
              <w:t>O: 3</w:t>
            </w:r>
          </w:p>
          <w:p w:rsidR="00352D95" w:rsidP="00B20E69">
            <w:pPr>
              <w:pStyle w:val="Normlny"/>
              <w:jc w:val="center"/>
            </w:pPr>
            <w:r>
              <w:t>O: 4</w:t>
            </w:r>
          </w:p>
          <w:p w:rsidR="00352D95" w:rsidP="00B20E69">
            <w:pPr>
              <w:pStyle w:val="Normlny"/>
              <w:jc w:val="center"/>
            </w:pPr>
            <w:r>
              <w:t>O: 5</w:t>
            </w:r>
          </w:p>
          <w:p w:rsidR="00352D95" w:rsidP="00B20E69">
            <w:pPr>
              <w:pStyle w:val="Normlny"/>
              <w:jc w:val="center"/>
            </w:pPr>
            <w:r>
              <w:t>O: 6</w:t>
            </w:r>
          </w:p>
          <w:p w:rsidR="00352D95" w:rsidP="00B20E69">
            <w:pPr>
              <w:pStyle w:val="Normlny"/>
              <w:jc w:val="center"/>
            </w:pPr>
            <w:r w:rsidR="00F85F3E">
              <w:t>O: 7</w:t>
            </w: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F85F3E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86B19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  <w:r>
              <w:t>§ 4f</w:t>
            </w:r>
          </w:p>
          <w:p w:rsidR="00352D95" w:rsidP="00B20E69">
            <w:pPr>
              <w:pStyle w:val="Normlny"/>
              <w:jc w:val="center"/>
            </w:pPr>
            <w:r>
              <w:t>O: 1</w:t>
            </w:r>
          </w:p>
          <w:p w:rsidR="00352D95" w:rsidP="00B20E69">
            <w:pPr>
              <w:pStyle w:val="Normlny"/>
              <w:jc w:val="center"/>
            </w:pPr>
            <w:r>
              <w:t>O: 2</w:t>
            </w:r>
          </w:p>
          <w:p w:rsidR="00352D95" w:rsidP="00B20E69">
            <w:pPr>
              <w:pStyle w:val="Normlny"/>
              <w:jc w:val="center"/>
            </w:pPr>
            <w:r>
              <w:t>O: 3</w:t>
            </w:r>
          </w:p>
          <w:p w:rsidR="00352D95" w:rsidP="00B20E69">
            <w:pPr>
              <w:pStyle w:val="Normlny"/>
              <w:jc w:val="center"/>
            </w:pPr>
            <w:r>
              <w:t>P: a)</w:t>
            </w:r>
          </w:p>
          <w:p w:rsidR="00352D95" w:rsidP="00B20E69">
            <w:pPr>
              <w:pStyle w:val="Normlny"/>
              <w:jc w:val="center"/>
            </w:pPr>
            <w:r>
              <w:t>P: b)</w:t>
            </w:r>
          </w:p>
          <w:p w:rsidR="00352D95" w:rsidP="00B20E69">
            <w:pPr>
              <w:pStyle w:val="Normlny"/>
              <w:jc w:val="center"/>
            </w:pPr>
            <w:r>
              <w:t>O: 4</w:t>
            </w:r>
          </w:p>
          <w:p w:rsidR="00352D95" w:rsidP="00B20E69">
            <w:pPr>
              <w:pStyle w:val="Normlny"/>
              <w:jc w:val="center"/>
            </w:pPr>
            <w:r>
              <w:t>O: 5</w:t>
            </w:r>
          </w:p>
          <w:p w:rsidR="00352D95" w:rsidP="00B20E69">
            <w:pPr>
              <w:pStyle w:val="Normlny"/>
              <w:jc w:val="center"/>
            </w:pPr>
          </w:p>
          <w:p w:rsidR="00352D95" w:rsidP="00B20E69">
            <w:pPr>
              <w:pStyle w:val="Normlny"/>
              <w:jc w:val="center"/>
            </w:pPr>
          </w:p>
          <w:p w:rsidR="00C83BF2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F82B1D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3F5AC0" w:rsidRPr="0011558D" w:rsidP="00B20E69">
            <w:pPr>
              <w:pStyle w:val="Normlny"/>
              <w:jc w:val="center"/>
            </w:pPr>
          </w:p>
          <w:p w:rsidR="002729DC" w:rsidRPr="0011558D" w:rsidP="00C83BF2">
            <w:pPr>
              <w:pStyle w:val="Normlny"/>
              <w:jc w:val="center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49" w:rsidP="00C83BF2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  <w:r w:rsidRPr="001A4C49">
              <w:rPr>
                <w:sz w:val="20"/>
                <w:szCs w:val="20"/>
                <w:lang w:eastAsia="cs-CZ"/>
              </w:rPr>
              <w:t xml:space="preserve">(4) </w:t>
            </w:r>
            <w:r w:rsidRPr="001A4C49">
              <w:rPr>
                <w:sz w:val="20"/>
                <w:szCs w:val="20"/>
                <w:lang w:eastAsia="cs-CZ"/>
              </w:rPr>
              <w:t>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1A4C49">
              <w:rPr>
                <w:sz w:val="20"/>
                <w:szCs w:val="20"/>
                <w:vertAlign w:val="superscript"/>
                <w:lang w:eastAsia="cs-CZ"/>
              </w:rPr>
              <w:t>4</w:t>
            </w:r>
            <w:r w:rsidRPr="001A4C49">
              <w:rPr>
                <w:sz w:val="20"/>
                <w:szCs w:val="20"/>
                <w:lang w:eastAsia="cs-CZ"/>
              </w:rPr>
              <w:t>)</w:t>
            </w:r>
            <w:r w:rsidRPr="0011558D">
              <w:rPr>
                <w:sz w:val="20"/>
                <w:szCs w:val="20"/>
                <w:lang w:eastAsia="cs-CZ"/>
              </w:rPr>
              <w:t xml:space="preserve"> </w:t>
            </w:r>
          </w:p>
          <w:p w:rsidR="0080743A" w:rsidP="00C83BF2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80743A" w:rsidRPr="0080743A" w:rsidP="0080743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80743A">
              <w:rPr>
                <w:sz w:val="18"/>
                <w:szCs w:val="18"/>
                <w:vertAlign w:val="superscript"/>
              </w:rPr>
              <w:t>4</w:t>
            </w:r>
            <w:r w:rsidRPr="0080743A">
              <w:rPr>
                <w:bCs/>
                <w:sz w:val="18"/>
                <w:szCs w:val="18"/>
              </w:rPr>
              <w:t>) Zákon č. 365/2004 Z. z. o rovnakom zaobchádzaní v niektorých oblastiach a o ochrane pred diskrimináciou a o zmene a doplnení niektorých zákonov (antidiskriminačný zákon) v znení neskorších predpisov.</w:t>
            </w:r>
          </w:p>
          <w:p w:rsidR="0080743A" w:rsidP="00C83BF2">
            <w:pPr>
              <w:ind w:firstLine="273"/>
              <w:contextualSpacing/>
              <w:jc w:val="both"/>
              <w:rPr>
                <w:sz w:val="20"/>
                <w:szCs w:val="20"/>
                <w:lang w:eastAsia="cs-CZ"/>
              </w:rPr>
            </w:pPr>
          </w:p>
          <w:p w:rsidR="00C83BF2" w:rsidP="00C83BF2">
            <w:pPr>
              <w:ind w:firstLine="273"/>
              <w:contextualSpacing/>
              <w:jc w:val="both"/>
              <w:rPr>
                <w:sz w:val="20"/>
                <w:szCs w:val="20"/>
              </w:rPr>
            </w:pPr>
            <w:r w:rsidRPr="007941EE">
              <w:rPr>
                <w:sz w:val="20"/>
                <w:szCs w:val="20"/>
              </w:rPr>
              <w:t xml:space="preserve">(5) Služobný úrad alebo veliteľ nesmie profesionálneho vojaka žiadnym spôsobom postihovať alebo znevýhodňovať preto, že sa zákonným spôsobom domáha svojich práv vyplývajúcich z </w:t>
            </w:r>
            <w:r w:rsidRPr="007941EE">
              <w:rPr>
                <w:rFonts w:cs="Calibri"/>
                <w:sz w:val="20"/>
                <w:szCs w:val="20"/>
              </w:rPr>
              <w:t xml:space="preserve"> výkonu </w:t>
            </w:r>
            <w:r w:rsidRPr="007941EE">
              <w:rPr>
                <w:sz w:val="20"/>
                <w:szCs w:val="20"/>
              </w:rPr>
              <w:t xml:space="preserve">štátnej služby </w:t>
            </w:r>
            <w:r w:rsidRPr="007941EE">
              <w:rPr>
                <w:rFonts w:cs="Calibri"/>
                <w:sz w:val="20"/>
                <w:szCs w:val="20"/>
              </w:rPr>
              <w:t>alebo z uplatňovania zásady rovnakého zaobchádzania</w:t>
            </w:r>
            <w:r w:rsidRPr="007941EE">
              <w:rPr>
                <w:sz w:val="20"/>
                <w:szCs w:val="20"/>
              </w:rPr>
              <w:t xml:space="preserve">. </w:t>
            </w:r>
          </w:p>
          <w:p w:rsidR="00C83BF2" w:rsidP="0080743A">
            <w:pPr>
              <w:spacing w:before="120"/>
              <w:ind w:firstLine="567"/>
              <w:contextualSpacing/>
              <w:jc w:val="both"/>
              <w:rPr>
                <w:sz w:val="20"/>
                <w:szCs w:val="20"/>
              </w:rPr>
            </w:pPr>
          </w:p>
          <w:p w:rsidR="00C83BF2" w:rsidRPr="00A50DE0" w:rsidP="00C83BF2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(1) Vojenský ombudsman chráni základné práva a slobody profesionálnych vojakov pred ich porušovaním pri konaní, rozhodovaní alebo nečinnosti niektorého zo subjektov uvedených v odseku 2, ktoré v mene štátu konajú a rozhodujú vo veciach týkajúcich sa služobného pomeru profesionálneho vojaka podľa tohto zákona a v právnych vzťahoch súvisiacich so štátnou službou profesionálneho vojaka podľa osobitn</w:t>
            </w:r>
            <w:r w:rsidR="000A371E">
              <w:rPr>
                <w:b/>
                <w:sz w:val="20"/>
                <w:szCs w:val="20"/>
              </w:rPr>
              <w:t>ých</w:t>
            </w:r>
            <w:r w:rsidRPr="00A50DE0">
              <w:rPr>
                <w:b/>
                <w:sz w:val="20"/>
                <w:szCs w:val="20"/>
              </w:rPr>
              <w:t xml:space="preserve"> predpis</w:t>
            </w:r>
            <w:r w:rsidR="000A371E">
              <w:rPr>
                <w:b/>
                <w:sz w:val="20"/>
                <w:szCs w:val="20"/>
              </w:rPr>
              <w:t>ov</w:t>
            </w:r>
            <w:r w:rsidRPr="00A50DE0">
              <w:rPr>
                <w:b/>
                <w:sz w:val="20"/>
                <w:szCs w:val="20"/>
              </w:rPr>
              <w:t>.</w:t>
            </w:r>
            <w:r w:rsidRPr="00A50DE0">
              <w:rPr>
                <w:b/>
                <w:sz w:val="20"/>
                <w:szCs w:val="20"/>
                <w:vertAlign w:val="superscript"/>
              </w:rPr>
              <w:t>5a</w:t>
            </w:r>
            <w:r w:rsidRPr="00A50DE0">
              <w:rPr>
                <w:b/>
                <w:sz w:val="20"/>
                <w:szCs w:val="20"/>
              </w:rPr>
              <w:t>)</w:t>
            </w:r>
          </w:p>
          <w:p w:rsidR="00C83BF2" w:rsidRPr="00A50DE0" w:rsidP="00C83BF2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(2) Pôsobnosť vojenského ombudsmana sa vzťahuje na</w:t>
            </w:r>
          </w:p>
          <w:p w:rsidR="00C83BF2" w:rsidRPr="00A50DE0" w:rsidP="00C83BF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hlavný služobný úrad,</w:t>
            </w:r>
          </w:p>
          <w:p w:rsidR="00C83BF2" w:rsidRPr="00A50DE0" w:rsidP="00C83BF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služobný úrad a služobný úrad podľa osobitného predpisu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5b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 okrem služobného úradu, kt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orým je Vojenské spravodajstvo,</w:t>
            </w:r>
          </w:p>
          <w:p w:rsidR="00C83BF2" w:rsidRPr="00A50DE0" w:rsidP="00C83BF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veliteľa v pôsobnosti služobného úradu podľa písmena b),</w:t>
            </w:r>
          </w:p>
          <w:p w:rsidR="00C83BF2" w:rsidRPr="00A50DE0" w:rsidP="00C83BF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Vojenský úrad sociálneho zabezpečenia vo veciach týkajúcich sa konania o dávkach úrazového zabezpečenia a poskytovania služieb sociálneho zabezpečenia počas trvania štátnej služby profesionálneho vojaka,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5c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C83BF2" w:rsidRPr="00A50DE0" w:rsidP="00C83BF2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Vojenskú políciu pri plnení úloh podľa osobitného predpisu.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5d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C83BF2" w:rsidP="00C83BF2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(3) Pôsobnosť vojenského ombudsmana sa nevzťahuje na rozhodovacie právomoci poverených príslušníkov Vojenskej polície v konaní o trestných činoch profesionálnych vojakov vedenom podľa osobitného predpisu.</w:t>
            </w:r>
            <w:r w:rsidRPr="00A50DE0">
              <w:rPr>
                <w:b/>
                <w:sz w:val="20"/>
                <w:szCs w:val="20"/>
                <w:vertAlign w:val="superscript"/>
              </w:rPr>
              <w:t>5e</w:t>
            </w:r>
            <w:r w:rsidRPr="00A50DE0">
              <w:rPr>
                <w:b/>
                <w:sz w:val="20"/>
                <w:szCs w:val="20"/>
              </w:rPr>
              <w:t>)</w:t>
            </w:r>
          </w:p>
          <w:p w:rsidR="0080743A" w:rsidP="00C83BF2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5a</w:t>
            </w:r>
            <w:r w:rsidRPr="000D4BA9">
              <w:rPr>
                <w:kern w:val="32"/>
                <w:sz w:val="18"/>
                <w:szCs w:val="18"/>
              </w:rPr>
              <w:t>) Zákon č. 124/1992 Zb.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 Vojenskej polícii v znení neskorších predpisov.</w:t>
            </w: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</w:rPr>
              <w:t>Zákon č. 328/2002 Z. z.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o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sociálnom zabezpečení policajtov a vojakov a o zmene                     a doplnení niektorých záko</w:t>
            </w:r>
            <w:r w:rsidRPr="000D4BA9">
              <w:rPr>
                <w:kern w:val="32"/>
                <w:sz w:val="18"/>
                <w:szCs w:val="18"/>
              </w:rPr>
              <w:t>nov v znení neskorších predpisov.</w:t>
            </w: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5b</w:t>
            </w:r>
            <w:r w:rsidRPr="000D4BA9">
              <w:rPr>
                <w:kern w:val="32"/>
                <w:sz w:val="18"/>
                <w:szCs w:val="18"/>
              </w:rPr>
              <w:t>)</w:t>
              <w:tab/>
              <w:t>§ 80 ods. 1 zákona č. 328/2002 Z. z. v znení neskorších predpisov.</w:t>
            </w: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5c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5 až 24, § 69 a 70 zákona č. 328/2002 Z. z. v znení neskorších predpisov.</w:t>
            </w: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5d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3 ods. 1 písm. a), b) a d) zákona č. 124/1992 Zb. v znení neskorš</w:t>
            </w:r>
            <w:r w:rsidRPr="000D4BA9">
              <w:rPr>
                <w:kern w:val="32"/>
                <w:sz w:val="18"/>
                <w:szCs w:val="18"/>
              </w:rPr>
              <w:t>ích predpisov.</w:t>
            </w:r>
          </w:p>
          <w:p w:rsidR="0080743A" w:rsidRPr="000D4BA9" w:rsidP="0080743A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5e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10 ods. 7 písm. e) a § 202 ods. 2 Trestného poriadku.</w:t>
            </w: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</w:p>
          <w:p w:rsidR="00691AD0" w:rsidRPr="00A50DE0" w:rsidP="0080743A">
            <w:pPr>
              <w:spacing w:before="120"/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(1) Vojenský ombudsman prešetruje podozrenia z porušenia základných práv a slobôd profesionálnych vojakov na základe podnetu alebo z vlastnej iniciatívy.</w:t>
            </w: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(2) Na vojenského ombudsma</w:t>
            </w:r>
            <w:r w:rsidRPr="00A50DE0">
              <w:rPr>
                <w:b/>
                <w:sz w:val="20"/>
                <w:szCs w:val="20"/>
              </w:rPr>
              <w:t xml:space="preserve">na sa môže obrátiť každý profesionálny vojak, ktorý sa domnieva, že pri konaní, rozhodovaní alebo nečinnosti niektorého zo subjektov podľa § 4a ods. 2 boli porušené jeho základné práva a slobody v rozpore s právnym poriadkom alebo princípmi demokratického a právneho štátu. Na vojenského ombudsmana sa z rovnakého dôvodu môže obrátiť aj občan, ktorého služobný pomer sa skončil podľa § 94 ods. 6, a to v lehote do  </w:t>
            </w:r>
            <w:r w:rsidR="000A371E">
              <w:rPr>
                <w:b/>
                <w:sz w:val="20"/>
                <w:szCs w:val="20"/>
              </w:rPr>
              <w:t>šiestich</w:t>
            </w:r>
            <w:r w:rsidRPr="00A50DE0">
              <w:rPr>
                <w:b/>
                <w:sz w:val="20"/>
                <w:szCs w:val="20"/>
              </w:rPr>
              <w:t xml:space="preserve"> mesiacov odo dňa doručenia personálneho rozkazu o prepustení.</w:t>
            </w: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(3) Ak sa profesionálny vojak domnieva, že jeho základné práva a slobody porušil niektorý zo subjektov podľa § 4a ods. 2 vydaním rozhodnutia v rozpore s právnym poriadkom alebo princípmi demokratického a právneho štátu, môže sa na vojenského ombud</w:t>
            </w:r>
            <w:r w:rsidRPr="00A50DE0">
              <w:rPr>
                <w:b/>
                <w:sz w:val="20"/>
                <w:szCs w:val="20"/>
              </w:rPr>
              <w:t>smana obrátiť až po nadobudnutí právoplatnosti tohto rozhodnutia.</w:t>
            </w: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(4) Ak sa profesionálny vojak domnieva, že jeho základné práva a slobody porušil veliteľ vydaním vojenského rozkazu, nariadenia, príkazu alebo pokynu na vykonávanie štátnej služby alebo v súvislosti s jej výkonom alebo nečinnosťou v rozpore s právnym poriadkom alebo princípmi demokratického a právneho štátu, môže sa na vojenského ombudsmana obrátiť až po uplatnení postupu podľa § 132 ods. 3 a 5 alebo § 133 ods. 1 písm. h).</w:t>
            </w:r>
          </w:p>
          <w:p w:rsidR="00691AD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(5) Vojenský ombudsman neprešetruje podnety, ktoré sú podľa obsahu podaním, na základe ktorého sa začína konanie vo veciach správnych alebo súdnych, opravným prostriedkom podľa predpisov o konaní vo veciach správnych alebo súdnych, žalobou alebo opravným prostriedkom v správnom súdnictve, ústavnou sťažnosťou, podnetom na vykonanie kontroly v štátnej správe podľa osobitného predpisu,</w:t>
            </w:r>
            <w:r w:rsidRPr="00A50DE0">
              <w:rPr>
                <w:b/>
                <w:sz w:val="20"/>
                <w:szCs w:val="20"/>
                <w:vertAlign w:val="superscript"/>
              </w:rPr>
              <w:t>5h</w:t>
            </w:r>
            <w:r w:rsidRPr="00A50DE0">
              <w:rPr>
                <w:b/>
                <w:sz w:val="20"/>
                <w:szCs w:val="20"/>
              </w:rPr>
              <w:t>) sťažnosťou,</w:t>
            </w:r>
            <w:r w:rsidRPr="00A50DE0">
              <w:rPr>
                <w:b/>
                <w:sz w:val="20"/>
                <w:szCs w:val="20"/>
                <w:vertAlign w:val="superscript"/>
              </w:rPr>
              <w:t>5i</w:t>
            </w:r>
            <w:r w:rsidRPr="00A50DE0">
              <w:rPr>
                <w:b/>
                <w:sz w:val="20"/>
                <w:szCs w:val="20"/>
              </w:rPr>
              <w:t>) petíciou,</w:t>
            </w:r>
            <w:r w:rsidRPr="00A50DE0">
              <w:rPr>
                <w:b/>
                <w:sz w:val="20"/>
                <w:szCs w:val="20"/>
                <w:vertAlign w:val="superscript"/>
              </w:rPr>
              <w:t>5j</w:t>
            </w:r>
            <w:r w:rsidRPr="00A50DE0">
              <w:rPr>
                <w:b/>
                <w:sz w:val="20"/>
                <w:szCs w:val="20"/>
              </w:rPr>
              <w:t>) oznámením alebo kvalifikovaným oznámením vo veciach protispoločenskej činnosti podľa osobitného predpisu</w:t>
            </w:r>
            <w:r w:rsidRPr="00A50DE0">
              <w:rPr>
                <w:b/>
                <w:sz w:val="20"/>
                <w:szCs w:val="20"/>
                <w:vertAlign w:val="superscript"/>
              </w:rPr>
              <w:t>5k</w:t>
            </w:r>
            <w:r w:rsidRPr="00A50DE0">
              <w:rPr>
                <w:b/>
                <w:sz w:val="20"/>
                <w:szCs w:val="20"/>
              </w:rPr>
              <w:t>) alebo podnetom na prešetrenie postupu orgánov zodpovedných za výkon kontroly dodržiavania právnych predpisov a ostatných predpisov na zaistenie bezpečnosti a ochrany zdravia pri práci a inšpekcie práce podľa osobitných predpisov.</w:t>
            </w:r>
            <w:r w:rsidRPr="00A50DE0">
              <w:rPr>
                <w:b/>
                <w:sz w:val="20"/>
                <w:szCs w:val="20"/>
                <w:vertAlign w:val="superscript"/>
              </w:rPr>
              <w:t>5l</w:t>
            </w:r>
            <w:r w:rsidRPr="00A50DE0">
              <w:rPr>
                <w:b/>
                <w:sz w:val="20"/>
                <w:szCs w:val="20"/>
              </w:rPr>
              <w:t>)</w:t>
            </w:r>
          </w:p>
          <w:p w:rsidR="0080743A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5h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Zákon Národnej rady Slovenskej republiky č. 10/1996 Z. z. o kontrole v štátnej správe v znení neskorších predpisov.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5i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3 ods. 1 zákona č. 9/2010 Z. z. o sťažnostiach.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5j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1 ods. 1 zákona č. 85/1990 Zb. o petičnom práve v znení neskorších predpisov.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5k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 písm. b) a c) zákona č. 54/2019 Z. z.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o ochrane oznamovateľov protispoločenskej činnosti a o zmene a doplnení niektorých zákonov.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5l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Zákon č. 124/2006 Z. z. o bezpečnosti a ochrane zdravia pri práci a o zmene a doplnení niektorých zákonov v znení neskorších predpisov.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</w:rPr>
              <w:t>Zákon č. 125/2006 Z. z. o inšpekcii práce a o zmene a doplnení zákona č. 82/2005 Z. z. o nelegálnej práci a nelegálnom zamestnávaní a o zmene a doplnení niektorých zákonov v znení neskorších predpisov.</w:t>
            </w:r>
          </w:p>
          <w:p w:rsidR="00386B19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(6) Vojenský ombudsman môže v rámci svojej pôsobnosti podľa § 4a ods. 2 z vlastnej iniciatívy prešetriť podozrenia z porušenia základných práv a slobôd profesionálnych vojakov, o ktorých sa dozvedel v súvislosti s výkonom svojej funkcie, ak na ich základe dospeje k záveru, že pri konaní, rozhodovaní alebo nečinnosti niektorého zo subjektov podľa § 4a ods. 2 boli porušené základné práva a slobody profesionálneho vojaka v rozpore s právnym poriadkom alebo princípmi demokratického a právneho štátu. Na prešetrovanie podľa prvej vety sa primerane použijú ustanovenia § 4d až 4f.</w:t>
            </w:r>
          </w:p>
          <w:p w:rsidR="00691AD0" w:rsidRPr="00A50DE0" w:rsidP="00691AD0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</w:p>
          <w:p w:rsidR="00691AD0" w:rsidRPr="00A50DE0" w:rsidP="00386B19">
            <w:pPr>
              <w:spacing w:before="120"/>
              <w:ind w:firstLine="272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(1) Vojenský ombudsman podnet profesionálneho vojaka alebo občana podľa § 4c ods. 2 druhej vety (ďalej len „podávateľ podnetu“) preskúma v lehote do 15 pracovných dní od jeho doručenia.</w:t>
            </w:r>
          </w:p>
          <w:p w:rsidR="00691AD0" w:rsidRPr="00A50DE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 xml:space="preserve">(2) Vojenský ombudsman začne prešetrovanie podozrení z porušenia základných práv a slobôd </w:t>
            </w:r>
            <w:r w:rsidR="00F85F3E">
              <w:rPr>
                <w:b/>
                <w:sz w:val="20"/>
                <w:szCs w:val="20"/>
              </w:rPr>
              <w:t>podávateľa podnetu</w:t>
            </w:r>
            <w:r w:rsidRPr="00A50DE0">
              <w:rPr>
                <w:b/>
                <w:sz w:val="20"/>
                <w:szCs w:val="20"/>
              </w:rPr>
              <w:t xml:space="preserve">, ak po preskúmaní podnetu podľa odseku 1 dospeje k záveru, že podozrenia z porušenia základných práv a slobôd </w:t>
            </w:r>
            <w:r w:rsidR="00F85F3E">
              <w:rPr>
                <w:b/>
                <w:sz w:val="20"/>
                <w:szCs w:val="20"/>
              </w:rPr>
              <w:t>podávateľa podnetu</w:t>
            </w:r>
            <w:r w:rsidRPr="00A50DE0">
              <w:rPr>
                <w:b/>
                <w:sz w:val="20"/>
                <w:szCs w:val="20"/>
              </w:rPr>
              <w:t xml:space="preserve"> sú dôvodné. O začatí prešetrovania podľa prvej vety vojenský ombudsman podávateľa podnetu upovedomí doručením písomného oznámenia.</w:t>
            </w:r>
          </w:p>
          <w:p w:rsidR="00691AD0" w:rsidRPr="00A50DE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(3) Vojenský ombudsman podnet odloží, ak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po preskúmaní podnetu podľa odseku 1 dospeje k záveru, že podozrenia z porušenia základných práv a slobôd 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nie sú dôvodné,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vec, ktorej sa podnet týka, nepatrí do jeho pôsobnosti,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ide o podnet, ktorý podľa § 4c ods. 5 nie je oprávnený prešetriť,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 podnetu nedodr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ží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postup podľa § 4c ods. 3 a 4;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vec, ktorej sa podnet týka, preskúmava alebo už preskúmala prokuratúra, 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vo veci, ktorej sa podnet týka, koná alebo rozhoduje príslušný orgán verejnej správy alebo iný orgán verejnej moci, ktorý nepatrí do jeho pôsobnosti, alebo o veci, ktorej sa podnet týka, už rozhodol príslušný orgán verejnej správy alebo iný orgán verejnej moci, ktorý nepatrí do jeho pôsobnosti,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pri prešetrovaní podozrení z porušenia základných práv a slobôd 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vyšlo najavo, že základné práva a slobody p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odávateľa podnetu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neboli porušené,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 podnetu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vezme svoj podnet späť alebo oznámi, že na ďalšom prešetrovaní podozrení z porušenia jeho základných práv a slobôd netrvá,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ide o opakovaný podnet toho istého 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podávateľa podnetu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v tej istej veci, ak v ňom neuvádza nové skutočnosti,</w:t>
            </w:r>
          </w:p>
          <w:p w:rsidR="00691AD0" w:rsidRPr="00A50DE0" w:rsidP="00691AD0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ide o podnet, ktorý je anonymný.</w:t>
            </w:r>
          </w:p>
          <w:p w:rsidR="00691AD0" w:rsidRPr="00A50DE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(4) O odložení podnetu a o dôvodoch jeho odloženia vojenský ombudsman upovedomí podávateľa podnetu doručením písomného oznámenia; to neplatí, ak ide o podnet, ktorý je anonymný. Ak vojenský ombudsman podnet odloží z dôvodov podľa odseku 3 písm. b) a c), písomné oznámenie podľa prvej vety obsahuje aj poučenie o správnom postupe.</w:t>
            </w:r>
          </w:p>
          <w:p w:rsidR="00691AD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(5) Ak podávateľ podnetu požiada vojenského ombudsmana</w:t>
            </w:r>
            <w:r w:rsidR="00F85F3E">
              <w:rPr>
                <w:b/>
                <w:sz w:val="20"/>
                <w:szCs w:val="20"/>
              </w:rPr>
              <w:t xml:space="preserve"> o utajenie svojej totožnosti,</w:t>
            </w:r>
            <w:r w:rsidRPr="00A50DE0">
              <w:rPr>
                <w:b/>
                <w:sz w:val="20"/>
                <w:szCs w:val="20"/>
              </w:rPr>
              <w:t xml:space="preserve"> alebo ak je utajenie totožnosti v záujme prešetrenia podozrení z porušenia základných práv a slobôd podávateľa podnetu, vojenský ombudsman pri vykonávaní procesných úkonov postupuje len na základe odpisu podnetu, v ktorom sa neuvádzajú osobné údaje.</w:t>
            </w:r>
            <w:r w:rsidRPr="00A50DE0">
              <w:rPr>
                <w:b/>
                <w:sz w:val="20"/>
                <w:szCs w:val="20"/>
                <w:vertAlign w:val="superscript"/>
              </w:rPr>
              <w:t>5m</w:t>
            </w:r>
            <w:r w:rsidRPr="00A50DE0">
              <w:rPr>
                <w:b/>
                <w:sz w:val="20"/>
                <w:szCs w:val="20"/>
              </w:rPr>
              <w:t>) Každý zúčastnený na prešetrovaní podozrení z porušenia základných práv a slobôd podávateľa podnetu, komu je totožnosť podávateľa podnetu známa, je povinný o nej zachovať mlčanlivosť.</w:t>
            </w:r>
          </w:p>
          <w:p w:rsidR="00386B19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5m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 zákona č. 18/2018 Z. z. o ochrane osobných údajov a o zmene a doplnení niektorých zákonov.</w:t>
            </w:r>
          </w:p>
          <w:p w:rsidR="00386B19" w:rsidRPr="00A50DE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</w:p>
          <w:p w:rsidR="00691AD0" w:rsidRPr="00A50DE0" w:rsidP="00691AD0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(6) Ak podávateľ podnetu požiada o utajenie svojej totožnosti, ale charakter prešetrovaných podozrení z porušenia základných práv a slobôd podávateľa podnetu neumožňuje vybavenie podnetu bez uvedenia niektorého z osobných údajov, vojenský ombudsman podávateľa podnetu o tejto skutočnosti bezodkladne upovedomí. Vojenský ombudsman zároveň podávateľa podnetu upovedomí o tom, že v  prešetrovaní podozrení z porušenia jeho základných práv a slobôd sa bude pokračovať len vtedy, ak v určenej lehote písomne udelí súhlas s uvedením určitého potrebného údaja o svojej osobe.</w:t>
            </w:r>
          </w:p>
          <w:p w:rsidR="00C83BF2" w:rsidRPr="00A50DE0" w:rsidP="00691AD0">
            <w:pPr>
              <w:ind w:firstLine="273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(1) Pri prešetrovaní podozrení z porušenia základných práv a slobôd profesionálnych vojakov je vojenský ombudsman oprávnený</w:t>
            </w:r>
          </w:p>
          <w:p w:rsidR="00352D95" w:rsidRPr="00A50DE0" w:rsidP="00352D95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vstupovať do objektov a priestorov subjektov podľa § 4a ods. 2,</w:t>
            </w:r>
          </w:p>
          <w:p w:rsidR="00352D95" w:rsidRPr="00A50DE0" w:rsidP="00352D95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vyžadovať od subjektov podľa § 4a ods. 2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poskytnutie spisov a dokladov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, ako aj vysvetlenie k veci, ktorej sa podnet týka, a to aj ak osobitný predpis obmedzuje právo nahliadať do spisov len 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vymedzenému okruhu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subjektov,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5n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352D95" w:rsidRPr="00A50DE0" w:rsidP="00352D95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klásť otázky profesionálnym vojakom a zamestnancom  subjektov podľa § 4a ods. 2,</w:t>
            </w:r>
          </w:p>
          <w:p w:rsidR="00352D95" w:rsidP="00352D95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hovoriť aj bez prítomnosti iných osôb s podávateľ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om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podnetu alebo osob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ou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ktor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podávate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ľ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podnetu označ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í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ako osob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, ktor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á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sa môž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e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k veci vyjadriť.</w:t>
            </w:r>
          </w:p>
          <w:p w:rsidR="00386B19" w:rsidP="00386B19">
            <w:pPr>
              <w:pStyle w:val="ListParagraph"/>
              <w:spacing w:after="0" w:line="240" w:lineRule="auto"/>
              <w:ind w:left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5n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23 zákona č. 71/1967 Zb. o správnom konaní (správny poriadok) v znení neskorších predpisov.</w:t>
            </w:r>
          </w:p>
          <w:p w:rsidR="00386B19" w:rsidRPr="00A50DE0" w:rsidP="00386B19">
            <w:pPr>
              <w:pStyle w:val="ListParagraph"/>
              <w:spacing w:after="0" w:line="240" w:lineRule="auto"/>
              <w:ind w:left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(2) Subjekt podľa § 4a ods. 2 je povinný na žiadosť vojenského ombudsmana</w:t>
            </w:r>
          </w:p>
          <w:p w:rsidR="00352D95" w:rsidRPr="00A50DE0" w:rsidP="00352D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poskytnúť mu informácie a vysvetlenia,</w:t>
            </w:r>
          </w:p>
          <w:p w:rsidR="00352D95" w:rsidRPr="00A50DE0" w:rsidP="00352D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umožniť mu nahliadnutie do spisu alebo mu spis zapožičať,</w:t>
            </w:r>
          </w:p>
          <w:p w:rsidR="00352D95" w:rsidRPr="00A50DE0" w:rsidP="00352D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predložiť mu písomné stanovisko ku skutkovým a k právnym otázkam prešetrovanej veci,</w:t>
            </w:r>
          </w:p>
          <w:p w:rsidR="00352D95" w:rsidRPr="00A50DE0" w:rsidP="00352D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vysporiadať sa s dôkazmi, ktoré navrhne,</w:t>
            </w:r>
          </w:p>
          <w:p w:rsidR="00352D95" w:rsidRPr="00A50DE0" w:rsidP="00352D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vykonať opatrenia, ktoré navrhne </w:t>
            </w:r>
            <w:r w:rsidR="00F85F3E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pri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="004869D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ich 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nečinnosti, ak vykonanie takých opatrení vyplýva zo zákona alebo z iného všeobecne záväzného právneho predpisu.</w:t>
            </w:r>
          </w:p>
          <w:p w:rsidR="00352D95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(3) Subjekt podľa § 4a ods. 2 je povinný umožniť vojenskému ombudsmanovi využiť  oprávnenia podľa odseku 1 a vyhovieť žiadosti vojenského ombudsmana podľa odseku 2 písm. a) a b) bezodkladne a vyhovieť žiadosti vojenského ombudsmana podľa odseku 2 písm. c) až e) do desiatich pracovných dní odo dňa jej doručenia; tým nie sú dotknuté ustanovenia osobitných predpisov.</w:t>
            </w:r>
            <w:r w:rsidRPr="00A50DE0">
              <w:rPr>
                <w:b/>
                <w:sz w:val="20"/>
                <w:szCs w:val="20"/>
                <w:vertAlign w:val="superscript"/>
              </w:rPr>
              <w:t>5o</w:t>
            </w:r>
            <w:r w:rsidRPr="00A50DE0">
              <w:rPr>
                <w:b/>
                <w:sz w:val="20"/>
                <w:szCs w:val="20"/>
              </w:rPr>
              <w:t>) Vojenský ombudsman môže na žiadosť subjektu podľa § 4a ods. 2 predĺžiť lehotu na splnenie povinností podľa odseku 2 písm. c) až e) o desať pracovných dní. Lehota na prešetrenie podozrení z porušenia základných práv a slobôd profesionálnych vojakov počas plnenia povinností podľa odseku 2 písm. c) až e) neplynie.</w:t>
            </w:r>
          </w:p>
          <w:p w:rsidR="00386B19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5o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Zákon Národnej rady Slovenskej republiky č. 198/1994 Z. z. o Vojenskom spravodajstve v znení neskorších predpisov.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>
              <w:rPr>
                <w:kern w:val="32"/>
                <w:sz w:val="18"/>
                <w:szCs w:val="18"/>
              </w:rPr>
              <w:t xml:space="preserve">Zákon č. 215/2004 Z. </w:t>
            </w:r>
            <w:r w:rsidRPr="000D4BA9">
              <w:rPr>
                <w:kern w:val="32"/>
                <w:sz w:val="18"/>
                <w:szCs w:val="18"/>
              </w:rPr>
              <w:t>z.</w:t>
            </w:r>
            <w:r>
              <w:rPr>
                <w:kern w:val="32"/>
                <w:sz w:val="18"/>
                <w:szCs w:val="18"/>
              </w:rPr>
              <w:t xml:space="preserve"> o ochrane </w:t>
            </w:r>
            <w:r w:rsidRPr="000D4BA9">
              <w:rPr>
                <w:kern w:val="32"/>
                <w:sz w:val="18"/>
                <w:szCs w:val="18"/>
              </w:rPr>
              <w:t>utajovaných skutočností a o zmene a doplnení niektorých zákonov v znení neskorších predpisov.</w:t>
            </w:r>
          </w:p>
          <w:p w:rsidR="00386B19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 xml:space="preserve">(4) Ak subjekt podľa § 4a ods. 2 nevyhovie žiadosti vojenského ombudsmana podľa odseku 2, vojenský ombudsman túto skutočnosť oznámi ministrovi. Týmto nie je dotknuté ustanovenie odseku </w:t>
            </w:r>
            <w:r w:rsidR="00F85F3E">
              <w:rPr>
                <w:b/>
                <w:sz w:val="20"/>
                <w:szCs w:val="20"/>
              </w:rPr>
              <w:t>7</w:t>
            </w:r>
            <w:r w:rsidRPr="00A50DE0">
              <w:rPr>
                <w:b/>
                <w:sz w:val="20"/>
                <w:szCs w:val="20"/>
              </w:rPr>
              <w:t xml:space="preserve">. </w:t>
            </w:r>
          </w:p>
          <w:p w:rsidR="00352D95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(5) Minister po doručení oznámenia podľa odseku 4 v primeranej lehote rozhodne o ďalšom postupe a oznámi vojenskému ombudsmanovi opatrenia, ktoré vo veci prijal.</w:t>
            </w:r>
          </w:p>
          <w:p w:rsidR="00F85F3E" w:rsidRPr="00F85F3E" w:rsidP="00F85F3E">
            <w:pPr>
              <w:ind w:left="-11" w:firstLine="284"/>
              <w:jc w:val="both"/>
              <w:rPr>
                <w:b/>
                <w:sz w:val="20"/>
                <w:szCs w:val="20"/>
              </w:rPr>
            </w:pPr>
            <w:r w:rsidRPr="00F85F3E">
              <w:rPr>
                <w:b/>
                <w:sz w:val="20"/>
                <w:szCs w:val="20"/>
              </w:rPr>
              <w:t>(6) Ak vojenský ombudsman môže procesný úkon vykonať len s ťažkosťami alebo ak je to účelné z iných dôvodov, je oprávnený písomne poveriť jeho vykonaním podriadeného štátneho zamestnanca. Poverený štátny zamestnanec má pri vykonávaní procesného úkonu oprávnenia a povinnosti v rozsahu podľa odsekov 1, 3 a 4. Subjekty podľa § 4a ods. 2 sú poverenému štátnemu zamestnancovi povinné poskytnúť súčinnosť v rozsahu podľa odsekov 2 a 3.</w:t>
            </w: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</w:t>
            </w:r>
            <w:r w:rsidR="00F85F3E">
              <w:rPr>
                <w:b/>
                <w:sz w:val="20"/>
                <w:szCs w:val="20"/>
              </w:rPr>
              <w:t>7</w:t>
            </w:r>
            <w:r w:rsidRPr="00A50DE0">
              <w:rPr>
                <w:b/>
                <w:sz w:val="20"/>
                <w:szCs w:val="20"/>
              </w:rPr>
              <w:t>) Ustanovením § 4c ods. 2 nie je dotknutá povinnosť zachovávať mlčanlivosť podľa osobitného predpisu.</w:t>
            </w:r>
            <w:r w:rsidRPr="00A50DE0">
              <w:rPr>
                <w:b/>
                <w:sz w:val="20"/>
                <w:szCs w:val="20"/>
                <w:vertAlign w:val="superscript"/>
              </w:rPr>
              <w:t>5p</w:t>
            </w:r>
            <w:r w:rsidRPr="00A50DE0">
              <w:rPr>
                <w:b/>
                <w:sz w:val="20"/>
                <w:szCs w:val="20"/>
              </w:rPr>
              <w:t>) Pri prešetrovaní podozrení z porušenia základných práv a slobôd profesionálnych vojakov, ktoré súvisia s plnením úloh podľa osobitného predpisu,</w:t>
            </w:r>
            <w:r w:rsidRPr="00A50DE0">
              <w:rPr>
                <w:b/>
                <w:sz w:val="20"/>
                <w:szCs w:val="20"/>
                <w:vertAlign w:val="superscript"/>
              </w:rPr>
              <w:t>5q</w:t>
            </w:r>
            <w:r w:rsidRPr="00A50DE0">
              <w:rPr>
                <w:b/>
                <w:sz w:val="20"/>
                <w:szCs w:val="20"/>
              </w:rPr>
              <w:t>) môže Vojenské spravodajstvo poskytnúť vojenskému ombudsmanovi súčinnosť, ak tým nedôjde k ohrozeniu plnenia konkrétnej úlohy Vojenského spravodajstva alebo k odhaleniu jeho zdrojov, prostriedkov, totožnosti jeho príslušníkov alebo osôb konajúcich v jeho prospech, alebo k ohrozeniu medzinárodnej spravodajskej spolupráce.</w:t>
            </w:r>
          </w:p>
          <w:p w:rsidR="00C83BF2" w:rsidP="00352D95">
            <w:pPr>
              <w:ind w:firstLine="13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5p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20 zákona Národnej rady Slovenskej republiky č. 198/1994 Z. z. v znení neskorších predpisov.</w:t>
            </w: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5q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 ods. 1 zákona Národnej rady Slovenskej republiky č. 198/1994 Z. z. v znení neskorších predpisov.</w:t>
            </w:r>
          </w:p>
          <w:p w:rsidR="00386B19" w:rsidRPr="00A50DE0" w:rsidP="00352D95">
            <w:pPr>
              <w:ind w:firstLine="131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(1) Vojenský ombudsman je povinný prešetriť podozrenia z porušenia základných práv a slobôd profesionálnych vojakov v lehote do 30 pracovných dní odo dňa začatia prešetrovania podľa § 4d ods. 2. Vo zvlášť zložitých prípadoch môže vojenský ombudsman túto lehotu predĺžiť o ďalších 30 pracovných dní, o čom podávateľa podnetu bezodkladne upovedomí.</w:t>
            </w: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(2) Vojenský ombudsman je povinný poskytnúť podávateľovi podnetu na jeho žiadosť informácie o stave prešetrovania podozrení z porušenia základných práv a slobôd profesionálnych vojakov vedeného v jeho veci.</w:t>
            </w: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 xml:space="preserve">(3) Ak pri prešetrovaní podozrení z porušenia základných práv a slobôd </w:t>
            </w:r>
            <w:r w:rsidR="00F85F3E">
              <w:rPr>
                <w:b/>
                <w:sz w:val="20"/>
                <w:szCs w:val="20"/>
              </w:rPr>
              <w:t>podávateľa podnetu</w:t>
            </w:r>
            <w:r w:rsidRPr="00A50DE0">
              <w:rPr>
                <w:b/>
                <w:sz w:val="20"/>
                <w:szCs w:val="20"/>
              </w:rPr>
              <w:t xml:space="preserve"> vojenský ombudsman dospeje k záveru, že pri konaní, rozhodovaní alebo nečinnosti niektorého zo subjektov podľa § 4a ods. 2 boli porušené základné práva a slobody p</w:t>
            </w:r>
            <w:r w:rsidR="00F85F3E">
              <w:rPr>
                <w:b/>
                <w:sz w:val="20"/>
                <w:szCs w:val="20"/>
              </w:rPr>
              <w:t>odávateľa podnetu</w:t>
            </w:r>
            <w:r w:rsidRPr="00A50DE0">
              <w:rPr>
                <w:b/>
                <w:sz w:val="20"/>
                <w:szCs w:val="20"/>
              </w:rPr>
              <w:t xml:space="preserve"> v rozpore s právnym poriadkom alebo princípmi demokratického a právneho štátu, vojenský ombudsman</w:t>
            </w:r>
          </w:p>
          <w:p w:rsidR="00352D95" w:rsidRPr="00A50DE0" w:rsidP="00352D95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postúpi vec na vybavenie príslušnému prokurátorovi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5r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 alebo urobí iné vhodné opatrenie na nápravu zisteného protiprávneho stavu,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sk-SK"/>
              </w:rPr>
              <w:t>5s</w:t>
            </w: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)</w:t>
            </w:r>
          </w:p>
          <w:p w:rsidR="00352D95" w:rsidP="00352D95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50DE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podá ministrovi návrh na prijatie iných primeraných opatrení na odstránenie zisteného protiprávneho stavu alebo iných nedostatkov.</w:t>
            </w:r>
          </w:p>
          <w:p w:rsidR="00386B19" w:rsidP="00386B19">
            <w:pPr>
              <w:pStyle w:val="ListParagraph"/>
              <w:spacing w:after="0" w:line="240" w:lineRule="auto"/>
              <w:ind w:left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386B19" w:rsidRPr="000D4BA9" w:rsidP="00386B19">
            <w:pPr>
              <w:ind w:left="16"/>
              <w:jc w:val="both"/>
              <w:rPr>
                <w:kern w:val="32"/>
                <w:sz w:val="18"/>
                <w:szCs w:val="18"/>
              </w:rPr>
            </w:pPr>
            <w:r w:rsidRPr="000D4BA9">
              <w:rPr>
                <w:kern w:val="32"/>
                <w:sz w:val="18"/>
                <w:szCs w:val="18"/>
                <w:vertAlign w:val="superscript"/>
              </w:rPr>
              <w:t>5r</w:t>
            </w:r>
            <w:r w:rsidRPr="000D4BA9">
              <w:rPr>
                <w:kern w:val="32"/>
                <w:sz w:val="18"/>
                <w:szCs w:val="18"/>
              </w:rPr>
              <w:t>)</w:t>
            </w:r>
            <w:r>
              <w:rPr>
                <w:kern w:val="32"/>
                <w:sz w:val="18"/>
                <w:szCs w:val="18"/>
              </w:rPr>
              <w:t xml:space="preserve"> </w:t>
            </w:r>
            <w:r w:rsidRPr="000D4BA9">
              <w:rPr>
                <w:kern w:val="32"/>
                <w:sz w:val="18"/>
                <w:szCs w:val="18"/>
              </w:rPr>
              <w:t>§ 20 až 36b zákona č. 153/2001 Z. z. o prokuratúre v znení neskorších predpisov.</w:t>
            </w:r>
          </w:p>
          <w:p w:rsidR="00386B19" w:rsidRPr="00386B19" w:rsidP="00386B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32"/>
                <w:sz w:val="18"/>
                <w:szCs w:val="18"/>
                <w:lang w:eastAsia="sk-SK"/>
              </w:rPr>
            </w:pPr>
            <w:r w:rsidRPr="00386B19">
              <w:rPr>
                <w:rFonts w:ascii="Times New Roman" w:eastAsia="Times New Roman" w:hAnsi="Times New Roman"/>
                <w:kern w:val="32"/>
                <w:sz w:val="18"/>
                <w:szCs w:val="18"/>
                <w:lang w:eastAsia="sk-SK"/>
              </w:rPr>
              <w:t>5s) § 62 až 68 zákona č. 71/1967 Zb.  v znení neskorších predpisov.</w:t>
            </w:r>
          </w:p>
          <w:p w:rsidR="00386B19" w:rsidRPr="00A50DE0" w:rsidP="00386B19">
            <w:pPr>
              <w:pStyle w:val="ListParagraph"/>
              <w:spacing w:after="0" w:line="240" w:lineRule="auto"/>
              <w:ind w:left="2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352D95" w:rsidRPr="00A50DE0" w:rsidP="00352D95">
            <w:pPr>
              <w:ind w:firstLine="273"/>
              <w:jc w:val="both"/>
              <w:rPr>
                <w:b/>
                <w:sz w:val="20"/>
                <w:szCs w:val="20"/>
              </w:rPr>
            </w:pPr>
            <w:r w:rsidRPr="00A50DE0">
              <w:rPr>
                <w:b/>
                <w:sz w:val="20"/>
                <w:szCs w:val="20"/>
              </w:rPr>
              <w:t>(4) O spôsobe ukončenia prešetrovania podozrení z porušenia základných práv a slobôd profesionálnych vojakov podľa odseku 3 vojenský ombudsman upovedomí podávateľa podnetu, dotknutý subjekt podľa § 4a ods. 2 a ministra doručením písomného oznámenia.</w:t>
            </w:r>
          </w:p>
          <w:p w:rsidR="00E32B1B" w:rsidRPr="005A752A" w:rsidP="005A752A">
            <w:pPr>
              <w:ind w:firstLine="273"/>
              <w:jc w:val="both"/>
              <w:rPr>
                <w:sz w:val="20"/>
                <w:szCs w:val="20"/>
              </w:rPr>
            </w:pPr>
            <w:r w:rsidRPr="00A50DE0" w:rsidR="00352D95">
              <w:rPr>
                <w:b/>
                <w:sz w:val="20"/>
                <w:szCs w:val="20"/>
              </w:rPr>
              <w:t>(5) Na doručovanie písomností podávateľovi podnetu v súvislosti s prešetrovaním podozrení z porušenia základných práv a slobôd profesionálnych vojakov sa primerane vzťahuje § 218.</w:t>
            </w:r>
            <w:r w:rsidRPr="00352D95" w:rsidR="00352D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11558D" w:rsidP="00507EA9">
            <w:pPr>
              <w:jc w:val="center"/>
              <w:rPr>
                <w:sz w:val="20"/>
                <w:szCs w:val="20"/>
              </w:rPr>
            </w:pPr>
            <w:r w:rsidRPr="0011558D" w:rsidR="004C65E3">
              <w:rPr>
                <w:sz w:val="20"/>
                <w:szCs w:val="20"/>
              </w:rPr>
              <w:t>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11558D" w:rsidP="000D4BA9">
            <w:pPr>
              <w:pStyle w:val="Heading1"/>
              <w:spacing w:before="0" w:after="0"/>
              <w:ind w:left="16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729DC" w:rsidRPr="0011558D" w:rsidP="002729DC">
      <w:pPr>
        <w:ind w:left="360"/>
        <w:rPr>
          <w:sz w:val="20"/>
          <w:szCs w:val="20"/>
        </w:rPr>
      </w:pPr>
    </w:p>
    <w:p w:rsidR="005B74D8" w:rsidP="005B74D8">
      <w:pPr>
        <w:rPr>
          <w:sz w:val="18"/>
          <w:szCs w:val="18"/>
        </w:rPr>
      </w:pPr>
      <w:r>
        <w:rPr>
          <w:sz w:val="18"/>
          <w:szCs w:val="18"/>
        </w:rPr>
        <w:t>LEGENDA:</w:t>
      </w:r>
    </w:p>
    <w:tbl>
      <w:tblPr>
        <w:tblStyle w:val="TableNormal"/>
        <w:tblW w:w="14482" w:type="dxa"/>
        <w:tblCellMar>
          <w:left w:w="70" w:type="dxa"/>
          <w:right w:w="70" w:type="dxa"/>
        </w:tblCellMar>
        <w:tblLook w:val="04A0"/>
      </w:tblPr>
      <w:tblGrid>
        <w:gridCol w:w="2219"/>
        <w:gridCol w:w="3480"/>
        <w:gridCol w:w="2154"/>
        <w:gridCol w:w="6629"/>
      </w:tblGrid>
      <w:tr w:rsidTr="005B74D8">
        <w:tblPrEx>
          <w:tblW w:w="14482" w:type="dxa"/>
          <w:tblCellMar>
            <w:left w:w="70" w:type="dxa"/>
            <w:right w:w="70" w:type="dxa"/>
          </w:tblCellMar>
          <w:tblLook w:val="04A0"/>
        </w:tblPrEx>
        <w:trPr>
          <w:trHeight w:val="1786"/>
        </w:trPr>
        <w:tc>
          <w:tcPr>
            <w:tcW w:w="2219" w:type="dxa"/>
          </w:tcPr>
          <w:p w:rsidR="005B74D8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(1):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článok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odsek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– veta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písmeno (číslo)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80" w:type="dxa"/>
            <w:hideMark/>
          </w:tcPr>
          <w:p w:rsidR="005B74D8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(3):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– bežná transpozícia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transpozícia s možnosťou voľby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– transpozícia podľa úvahy (dobrovoľná)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 – transpozícia sa neuskutočňuje</w:t>
            </w:r>
          </w:p>
        </w:tc>
        <w:tc>
          <w:tcPr>
            <w:tcW w:w="2154" w:type="dxa"/>
            <w:hideMark/>
          </w:tcPr>
          <w:p w:rsidR="005B74D8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(5):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článok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– paragraf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– odsek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– veta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– písmeno (číslo)</w:t>
            </w:r>
          </w:p>
        </w:tc>
        <w:tc>
          <w:tcPr>
            <w:tcW w:w="6629" w:type="dxa"/>
            <w:hideMark/>
          </w:tcPr>
          <w:p w:rsidR="005B74D8">
            <w:pPr>
              <w:pStyle w:val="Normlny"/>
              <w:autoSpaceDE/>
              <w:spacing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stĺpci (7):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 – úplná zhoda</w:t>
            </w:r>
          </w:p>
          <w:p w:rsidR="005B7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 – čiastočná zhoda</w:t>
            </w:r>
          </w:p>
          <w:p w:rsidR="005B74D8">
            <w:pPr>
              <w:pStyle w:val="BodyTextIndent2"/>
              <w:ind w:left="362" w:right="1410" w:hanging="36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Ž – žiadna zhoda (ak nebola dosiahnutá ani čiast. ani úplná zhoda alebo k prebratiu dôjde v budúcnosti)</w:t>
            </w:r>
          </w:p>
          <w:p w:rsidR="005B74D8">
            <w:pPr>
              <w:spacing w:line="276" w:lineRule="auto"/>
              <w:ind w:left="504" w:hanging="5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 –  neaplikovateľnosť (ak sa ustanovenie smernice netýka SR alebo nie je potrebné ho prebrať)</w:t>
            </w:r>
          </w:p>
        </w:tc>
      </w:tr>
    </w:tbl>
    <w:p w:rsidR="002729DC" w:rsidRPr="0011558D" w:rsidP="00206138">
      <w:pPr>
        <w:ind w:right="-1418"/>
      </w:pPr>
    </w:p>
    <w:sectPr w:rsidSect="00054C9F">
      <w:footerReference w:type="even" r:id="rId4"/>
      <w:footerReference w:type="default" r:id="rId5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29" w:rsidP="00BD5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4129" w:rsidP="00ED5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9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54C9F">
      <w:rPr>
        <w:noProof/>
      </w:rPr>
      <w:t>4</w:t>
    </w:r>
    <w:r>
      <w:fldChar w:fldCharType="end"/>
    </w:r>
  </w:p>
  <w:p w:rsidR="00744129" w:rsidP="00ED5B6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>
    <w:nsid w:val="16B25519"/>
    <w:multiLevelType w:val="hybridMultilevel"/>
    <w:tmpl w:val="EF78549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>
    <w:nsid w:val="1B8F6180"/>
    <w:multiLevelType w:val="hybridMultilevel"/>
    <w:tmpl w:val="65BEC976"/>
    <w:lvl w:ilvl="0">
      <w:start w:val="1"/>
      <w:numFmt w:val="decimal"/>
      <w:lvlText w:val="%1."/>
      <w:lvlJc w:val="left"/>
      <w:pPr>
        <w:ind w:left="1062" w:hanging="360"/>
      </w:pPr>
    </w:lvl>
    <w:lvl w:ilvl="1" w:tentative="1">
      <w:start w:val="1"/>
      <w:numFmt w:val="lowerLetter"/>
      <w:lvlText w:val="%2."/>
      <w:lvlJc w:val="left"/>
      <w:pPr>
        <w:ind w:left="1782" w:hanging="360"/>
      </w:pPr>
    </w:lvl>
    <w:lvl w:ilvl="2" w:tentative="1">
      <w:start w:val="1"/>
      <w:numFmt w:val="lowerRoman"/>
      <w:lvlText w:val="%3."/>
      <w:lvlJc w:val="right"/>
      <w:pPr>
        <w:ind w:left="2502" w:hanging="180"/>
      </w:pPr>
    </w:lvl>
    <w:lvl w:ilvl="3" w:tentative="1">
      <w:start w:val="1"/>
      <w:numFmt w:val="decimal"/>
      <w:lvlText w:val="%4."/>
      <w:lvlJc w:val="left"/>
      <w:pPr>
        <w:ind w:left="3222" w:hanging="360"/>
      </w:pPr>
    </w:lvl>
    <w:lvl w:ilvl="4" w:tentative="1">
      <w:start w:val="1"/>
      <w:numFmt w:val="lowerLetter"/>
      <w:lvlText w:val="%5."/>
      <w:lvlJc w:val="left"/>
      <w:pPr>
        <w:ind w:left="3942" w:hanging="360"/>
      </w:pPr>
    </w:lvl>
    <w:lvl w:ilvl="5" w:tentative="1">
      <w:start w:val="1"/>
      <w:numFmt w:val="lowerRoman"/>
      <w:lvlText w:val="%6."/>
      <w:lvlJc w:val="right"/>
      <w:pPr>
        <w:ind w:left="4662" w:hanging="180"/>
      </w:pPr>
    </w:lvl>
    <w:lvl w:ilvl="6" w:tentative="1">
      <w:start w:val="1"/>
      <w:numFmt w:val="decimal"/>
      <w:lvlText w:val="%7."/>
      <w:lvlJc w:val="left"/>
      <w:pPr>
        <w:ind w:left="5382" w:hanging="360"/>
      </w:pPr>
    </w:lvl>
    <w:lvl w:ilvl="7" w:tentative="1">
      <w:start w:val="1"/>
      <w:numFmt w:val="lowerLetter"/>
      <w:lvlText w:val="%8."/>
      <w:lvlJc w:val="left"/>
      <w:pPr>
        <w:ind w:left="6102" w:hanging="360"/>
      </w:pPr>
    </w:lvl>
    <w:lvl w:ilvl="8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5FC5F29"/>
    <w:multiLevelType w:val="hybridMultilevel"/>
    <w:tmpl w:val="49C2EB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30597"/>
    <w:multiLevelType w:val="hybridMultilevel"/>
    <w:tmpl w:val="F6E2CCB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2B00DA"/>
    <w:multiLevelType w:val="hybridMultilevel"/>
    <w:tmpl w:val="4F6EC0E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24931"/>
    <w:multiLevelType w:val="hybridMultilevel"/>
    <w:tmpl w:val="73B67F70"/>
    <w:lvl w:ilvl="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0C3B91"/>
    <w:multiLevelType w:val="hybridMultilevel"/>
    <w:tmpl w:val="857C847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F374A"/>
    <w:multiLevelType w:val="hybridMultilevel"/>
    <w:tmpl w:val="A124682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42BCD"/>
    <w:multiLevelType w:val="hybridMultilevel"/>
    <w:tmpl w:val="A5149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257CD"/>
    <w:multiLevelType w:val="hybridMultilevel"/>
    <w:tmpl w:val="5DD65CC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00D70"/>
    <w:multiLevelType w:val="hybridMultilevel"/>
    <w:tmpl w:val="EAF2DB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6C7B85"/>
    <w:multiLevelType w:val="hybridMultilevel"/>
    <w:tmpl w:val="DD6AEC16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9251CF"/>
    <w:multiLevelType w:val="hybridMultilevel"/>
    <w:tmpl w:val="346CA39C"/>
    <w:lvl w:ilvl="0">
      <w:start w:val="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FA34DB4"/>
    <w:multiLevelType w:val="hybridMultilevel"/>
    <w:tmpl w:val="83F490B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A94026"/>
    <w:multiLevelType w:val="hybridMultilevel"/>
    <w:tmpl w:val="884A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67A1C"/>
    <w:multiLevelType w:val="hybridMultilevel"/>
    <w:tmpl w:val="B53AF6B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992D65"/>
    <w:multiLevelType w:val="hybridMultilevel"/>
    <w:tmpl w:val="099E518C"/>
    <w:lvl w:ilvl="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2">
    <w:nsid w:val="6C815142"/>
    <w:multiLevelType w:val="hybridMultilevel"/>
    <w:tmpl w:val="D42E68A0"/>
    <w:lvl w:ilvl="0">
      <w:start w:val="3"/>
      <w:numFmt w:val="lowerLetter"/>
      <w:lvlText w:val="%1)"/>
      <w:lvlJc w:val="left"/>
      <w:pPr>
        <w:tabs>
          <w:tab w:val="num" w:pos="1022"/>
        </w:tabs>
        <w:ind w:left="1022" w:hanging="7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3">
    <w:nsid w:val="73ED13F6"/>
    <w:multiLevelType w:val="hybridMultilevel"/>
    <w:tmpl w:val="25BAA1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2553E3"/>
    <w:multiLevelType w:val="hybridMultilevel"/>
    <w:tmpl w:val="6DC0C66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15"/>
  </w:num>
  <w:num w:numId="9">
    <w:abstractNumId w:val="9"/>
  </w:num>
  <w:num w:numId="10">
    <w:abstractNumId w:val="22"/>
  </w:num>
  <w:num w:numId="11">
    <w:abstractNumId w:val="23"/>
  </w:num>
  <w:num w:numId="12">
    <w:abstractNumId w:val="5"/>
  </w:num>
  <w:num w:numId="13">
    <w:abstractNumId w:val="18"/>
  </w:num>
  <w:num w:numId="14">
    <w:abstractNumId w:val="20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13"/>
  </w:num>
  <w:num w:numId="20">
    <w:abstractNumId w:val="8"/>
  </w:num>
  <w:num w:numId="21">
    <w:abstractNumId w:val="12"/>
  </w:num>
  <w:num w:numId="22">
    <w:abstractNumId w:val="11"/>
  </w:num>
  <w:num w:numId="23">
    <w:abstractNumId w:val="7"/>
  </w:num>
  <w:num w:numId="24">
    <w:abstractNumId w:val="24"/>
  </w:num>
  <w:num w:numId="25">
    <w:abstractNumId w:val="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9DC"/>
    <w:rsid w:val="00020D1F"/>
    <w:rsid w:val="000303AE"/>
    <w:rsid w:val="00036363"/>
    <w:rsid w:val="00051BE2"/>
    <w:rsid w:val="00054C9F"/>
    <w:rsid w:val="00057BD8"/>
    <w:rsid w:val="00064DF4"/>
    <w:rsid w:val="000674B3"/>
    <w:rsid w:val="00072607"/>
    <w:rsid w:val="00074164"/>
    <w:rsid w:val="000768FA"/>
    <w:rsid w:val="00077A97"/>
    <w:rsid w:val="00097093"/>
    <w:rsid w:val="000A371E"/>
    <w:rsid w:val="000C121B"/>
    <w:rsid w:val="000C3BA7"/>
    <w:rsid w:val="000D4BA9"/>
    <w:rsid w:val="0011558D"/>
    <w:rsid w:val="001A204B"/>
    <w:rsid w:val="001A4C49"/>
    <w:rsid w:val="001A5EFB"/>
    <w:rsid w:val="001A7BBA"/>
    <w:rsid w:val="001A7FB2"/>
    <w:rsid w:val="001B0D3C"/>
    <w:rsid w:val="001B3469"/>
    <w:rsid w:val="001C37B1"/>
    <w:rsid w:val="001D00FC"/>
    <w:rsid w:val="001E4F9C"/>
    <w:rsid w:val="00206138"/>
    <w:rsid w:val="00213A0C"/>
    <w:rsid w:val="00221955"/>
    <w:rsid w:val="0022259B"/>
    <w:rsid w:val="002326D0"/>
    <w:rsid w:val="00234DC3"/>
    <w:rsid w:val="00241B26"/>
    <w:rsid w:val="0025541D"/>
    <w:rsid w:val="00262D7A"/>
    <w:rsid w:val="002729DC"/>
    <w:rsid w:val="00282DF8"/>
    <w:rsid w:val="002A1A76"/>
    <w:rsid w:val="002A55B9"/>
    <w:rsid w:val="002A5C04"/>
    <w:rsid w:val="002B7086"/>
    <w:rsid w:val="002D02F2"/>
    <w:rsid w:val="002D309E"/>
    <w:rsid w:val="002E2E22"/>
    <w:rsid w:val="002E301E"/>
    <w:rsid w:val="002E3552"/>
    <w:rsid w:val="003026BC"/>
    <w:rsid w:val="0031193E"/>
    <w:rsid w:val="003138E5"/>
    <w:rsid w:val="00315594"/>
    <w:rsid w:val="0033232E"/>
    <w:rsid w:val="00333FBA"/>
    <w:rsid w:val="0034429C"/>
    <w:rsid w:val="0034490F"/>
    <w:rsid w:val="003462D8"/>
    <w:rsid w:val="00346511"/>
    <w:rsid w:val="00346763"/>
    <w:rsid w:val="003513BF"/>
    <w:rsid w:val="00352D95"/>
    <w:rsid w:val="00360021"/>
    <w:rsid w:val="00372267"/>
    <w:rsid w:val="00385779"/>
    <w:rsid w:val="00386B19"/>
    <w:rsid w:val="003A545A"/>
    <w:rsid w:val="003B5A8F"/>
    <w:rsid w:val="003B79D1"/>
    <w:rsid w:val="003C0078"/>
    <w:rsid w:val="003C519D"/>
    <w:rsid w:val="003C62C5"/>
    <w:rsid w:val="003D0D41"/>
    <w:rsid w:val="003D18AF"/>
    <w:rsid w:val="003E0D41"/>
    <w:rsid w:val="003F4254"/>
    <w:rsid w:val="003F5AC0"/>
    <w:rsid w:val="0040431C"/>
    <w:rsid w:val="00423334"/>
    <w:rsid w:val="0043398E"/>
    <w:rsid w:val="00460BCF"/>
    <w:rsid w:val="004637ED"/>
    <w:rsid w:val="004667E2"/>
    <w:rsid w:val="00470202"/>
    <w:rsid w:val="004869D0"/>
    <w:rsid w:val="004B2623"/>
    <w:rsid w:val="004B26CD"/>
    <w:rsid w:val="004C65E3"/>
    <w:rsid w:val="004D339E"/>
    <w:rsid w:val="004D6214"/>
    <w:rsid w:val="004F45C3"/>
    <w:rsid w:val="005003BB"/>
    <w:rsid w:val="005035A2"/>
    <w:rsid w:val="005067BF"/>
    <w:rsid w:val="00507EA9"/>
    <w:rsid w:val="00511955"/>
    <w:rsid w:val="005215B7"/>
    <w:rsid w:val="0052270D"/>
    <w:rsid w:val="005277D1"/>
    <w:rsid w:val="00532A49"/>
    <w:rsid w:val="0054631C"/>
    <w:rsid w:val="00586958"/>
    <w:rsid w:val="005A752A"/>
    <w:rsid w:val="005B14BF"/>
    <w:rsid w:val="005B58D8"/>
    <w:rsid w:val="005B6AB1"/>
    <w:rsid w:val="005B74D8"/>
    <w:rsid w:val="005B7B67"/>
    <w:rsid w:val="005C030D"/>
    <w:rsid w:val="005C0FE9"/>
    <w:rsid w:val="005C43AD"/>
    <w:rsid w:val="005C5703"/>
    <w:rsid w:val="005E3B12"/>
    <w:rsid w:val="005F106A"/>
    <w:rsid w:val="00604603"/>
    <w:rsid w:val="00621FD5"/>
    <w:rsid w:val="00624543"/>
    <w:rsid w:val="006321D2"/>
    <w:rsid w:val="00643024"/>
    <w:rsid w:val="00644D56"/>
    <w:rsid w:val="006475AD"/>
    <w:rsid w:val="006670E9"/>
    <w:rsid w:val="00670E6B"/>
    <w:rsid w:val="00691AD0"/>
    <w:rsid w:val="006A18E7"/>
    <w:rsid w:val="006A60DC"/>
    <w:rsid w:val="006B2051"/>
    <w:rsid w:val="006B24A2"/>
    <w:rsid w:val="006B3F5D"/>
    <w:rsid w:val="006B7BF1"/>
    <w:rsid w:val="006C07DA"/>
    <w:rsid w:val="006C5581"/>
    <w:rsid w:val="006D670E"/>
    <w:rsid w:val="006D7CF8"/>
    <w:rsid w:val="006E5719"/>
    <w:rsid w:val="006E6C32"/>
    <w:rsid w:val="0070055A"/>
    <w:rsid w:val="0070546A"/>
    <w:rsid w:val="0071197B"/>
    <w:rsid w:val="00711F40"/>
    <w:rsid w:val="00724245"/>
    <w:rsid w:val="00724AFA"/>
    <w:rsid w:val="00725004"/>
    <w:rsid w:val="007276B7"/>
    <w:rsid w:val="00730B40"/>
    <w:rsid w:val="007362DD"/>
    <w:rsid w:val="007413B9"/>
    <w:rsid w:val="00744129"/>
    <w:rsid w:val="00744E94"/>
    <w:rsid w:val="00753632"/>
    <w:rsid w:val="007645A4"/>
    <w:rsid w:val="00767EF7"/>
    <w:rsid w:val="00784A5C"/>
    <w:rsid w:val="007941EE"/>
    <w:rsid w:val="007A0DCF"/>
    <w:rsid w:val="007B2C21"/>
    <w:rsid w:val="007B483E"/>
    <w:rsid w:val="007B58D6"/>
    <w:rsid w:val="007D145B"/>
    <w:rsid w:val="007D50EE"/>
    <w:rsid w:val="007E7C60"/>
    <w:rsid w:val="0080031C"/>
    <w:rsid w:val="0080519A"/>
    <w:rsid w:val="0080743A"/>
    <w:rsid w:val="00820337"/>
    <w:rsid w:val="00840866"/>
    <w:rsid w:val="00850780"/>
    <w:rsid w:val="00852EE5"/>
    <w:rsid w:val="00862424"/>
    <w:rsid w:val="0086376E"/>
    <w:rsid w:val="00880164"/>
    <w:rsid w:val="008914A0"/>
    <w:rsid w:val="008B4905"/>
    <w:rsid w:val="008C0591"/>
    <w:rsid w:val="008C432F"/>
    <w:rsid w:val="008D06ED"/>
    <w:rsid w:val="008D40FB"/>
    <w:rsid w:val="008E7011"/>
    <w:rsid w:val="008F602E"/>
    <w:rsid w:val="00902773"/>
    <w:rsid w:val="009028C6"/>
    <w:rsid w:val="00921A8B"/>
    <w:rsid w:val="00921C78"/>
    <w:rsid w:val="00932DDD"/>
    <w:rsid w:val="00957F90"/>
    <w:rsid w:val="009600B5"/>
    <w:rsid w:val="0096113A"/>
    <w:rsid w:val="009979DF"/>
    <w:rsid w:val="009E7A7C"/>
    <w:rsid w:val="009F3BE9"/>
    <w:rsid w:val="009F42D9"/>
    <w:rsid w:val="00A1074B"/>
    <w:rsid w:val="00A221A1"/>
    <w:rsid w:val="00A26BF5"/>
    <w:rsid w:val="00A32089"/>
    <w:rsid w:val="00A33B67"/>
    <w:rsid w:val="00A50DE0"/>
    <w:rsid w:val="00AA3230"/>
    <w:rsid w:val="00AC0736"/>
    <w:rsid w:val="00AC6815"/>
    <w:rsid w:val="00AD3B5E"/>
    <w:rsid w:val="00AD495D"/>
    <w:rsid w:val="00B01823"/>
    <w:rsid w:val="00B1141D"/>
    <w:rsid w:val="00B20E69"/>
    <w:rsid w:val="00B2298A"/>
    <w:rsid w:val="00B30944"/>
    <w:rsid w:val="00B36E46"/>
    <w:rsid w:val="00B419B8"/>
    <w:rsid w:val="00B52606"/>
    <w:rsid w:val="00B62F85"/>
    <w:rsid w:val="00B662B6"/>
    <w:rsid w:val="00B83C42"/>
    <w:rsid w:val="00B84C99"/>
    <w:rsid w:val="00B87F98"/>
    <w:rsid w:val="00B97468"/>
    <w:rsid w:val="00BA7238"/>
    <w:rsid w:val="00BB0937"/>
    <w:rsid w:val="00BB5D09"/>
    <w:rsid w:val="00BD53D4"/>
    <w:rsid w:val="00BE4F37"/>
    <w:rsid w:val="00BF02F2"/>
    <w:rsid w:val="00BF0B5C"/>
    <w:rsid w:val="00BF7DC7"/>
    <w:rsid w:val="00C04AF5"/>
    <w:rsid w:val="00C1378E"/>
    <w:rsid w:val="00C15601"/>
    <w:rsid w:val="00C21F94"/>
    <w:rsid w:val="00C2333A"/>
    <w:rsid w:val="00C347A9"/>
    <w:rsid w:val="00C44A67"/>
    <w:rsid w:val="00C52037"/>
    <w:rsid w:val="00C544AA"/>
    <w:rsid w:val="00C562D0"/>
    <w:rsid w:val="00C6471D"/>
    <w:rsid w:val="00C71336"/>
    <w:rsid w:val="00C80746"/>
    <w:rsid w:val="00C83BF2"/>
    <w:rsid w:val="00C90A45"/>
    <w:rsid w:val="00CA0567"/>
    <w:rsid w:val="00CA541D"/>
    <w:rsid w:val="00CB4C99"/>
    <w:rsid w:val="00CC4862"/>
    <w:rsid w:val="00CD770A"/>
    <w:rsid w:val="00CD7854"/>
    <w:rsid w:val="00CE45F4"/>
    <w:rsid w:val="00CF02A1"/>
    <w:rsid w:val="00CF1616"/>
    <w:rsid w:val="00CF7095"/>
    <w:rsid w:val="00D12DA7"/>
    <w:rsid w:val="00D16EA5"/>
    <w:rsid w:val="00D20EF8"/>
    <w:rsid w:val="00D3668A"/>
    <w:rsid w:val="00D4411F"/>
    <w:rsid w:val="00D53901"/>
    <w:rsid w:val="00D54DCD"/>
    <w:rsid w:val="00D74A3F"/>
    <w:rsid w:val="00D7681E"/>
    <w:rsid w:val="00D81FCA"/>
    <w:rsid w:val="00D90395"/>
    <w:rsid w:val="00D94668"/>
    <w:rsid w:val="00DA3621"/>
    <w:rsid w:val="00DC0F9D"/>
    <w:rsid w:val="00DD0CBA"/>
    <w:rsid w:val="00DF3F10"/>
    <w:rsid w:val="00E01C55"/>
    <w:rsid w:val="00E22A18"/>
    <w:rsid w:val="00E32B1B"/>
    <w:rsid w:val="00E40DE2"/>
    <w:rsid w:val="00E5351D"/>
    <w:rsid w:val="00E55333"/>
    <w:rsid w:val="00E657BD"/>
    <w:rsid w:val="00E81C11"/>
    <w:rsid w:val="00E82160"/>
    <w:rsid w:val="00E97EC8"/>
    <w:rsid w:val="00EA440F"/>
    <w:rsid w:val="00EC4489"/>
    <w:rsid w:val="00ED019A"/>
    <w:rsid w:val="00ED5B67"/>
    <w:rsid w:val="00EF08F1"/>
    <w:rsid w:val="00F07BEC"/>
    <w:rsid w:val="00F105C0"/>
    <w:rsid w:val="00F15B40"/>
    <w:rsid w:val="00F169F2"/>
    <w:rsid w:val="00F23E54"/>
    <w:rsid w:val="00F31A3F"/>
    <w:rsid w:val="00F408C9"/>
    <w:rsid w:val="00F512E0"/>
    <w:rsid w:val="00F5457E"/>
    <w:rsid w:val="00F60904"/>
    <w:rsid w:val="00F61FD5"/>
    <w:rsid w:val="00F717F6"/>
    <w:rsid w:val="00F72D92"/>
    <w:rsid w:val="00F80B9F"/>
    <w:rsid w:val="00F82B1D"/>
    <w:rsid w:val="00F85F3E"/>
    <w:rsid w:val="00F94EB7"/>
    <w:rsid w:val="00F9680F"/>
    <w:rsid w:val="00F9693B"/>
    <w:rsid w:val="00F96BBE"/>
    <w:rsid w:val="00FA203C"/>
    <w:rsid w:val="00FB6CFA"/>
    <w:rsid w:val="00FC565B"/>
    <w:rsid w:val="00FD1D7E"/>
    <w:rsid w:val="00FF1AD7"/>
    <w:rsid w:val="00FF26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29D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272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9DC"/>
    <w:pPr>
      <w:keepNext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rsid w:val="002729DC"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paragraph" w:styleId="Heading5">
    <w:name w:val="heading 5"/>
    <w:basedOn w:val="Normal"/>
    <w:next w:val="Normal"/>
    <w:qFormat/>
    <w:rsid w:val="002729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rsid w:val="002729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rsid w:val="002729DC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rsid w:val="002729DC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rsid w:val="002729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2729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lockText">
    <w:name w:val="Block Text"/>
    <w:basedOn w:val="Normal"/>
    <w:rsid w:val="002729DC"/>
    <w:pPr>
      <w:tabs>
        <w:tab w:val="num" w:pos="540"/>
      </w:tabs>
      <w:spacing w:line="360" w:lineRule="auto"/>
      <w:ind w:left="540" w:right="108"/>
      <w:jc w:val="both"/>
    </w:pPr>
    <w:rPr>
      <w:szCs w:val="12"/>
      <w:lang w:eastAsia="cs-CZ"/>
    </w:rPr>
  </w:style>
  <w:style w:type="paragraph" w:styleId="BodyTextIndent">
    <w:name w:val="Body Text Indent"/>
    <w:basedOn w:val="Normal"/>
    <w:link w:val="ZarkazkladnhotextuChar"/>
    <w:rsid w:val="002729DC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link w:val="BodyTextIndent"/>
    <w:rsid w:val="002729DC"/>
    <w:rPr>
      <w:sz w:val="24"/>
      <w:szCs w:val="24"/>
      <w:lang w:val="sk-SK" w:eastAsia="cs-CZ" w:bidi="ar-SA"/>
    </w:rPr>
  </w:style>
  <w:style w:type="paragraph" w:styleId="BodyText">
    <w:name w:val="Body Text"/>
    <w:basedOn w:val="Normal"/>
    <w:rsid w:val="002729DC"/>
    <w:pPr>
      <w:spacing w:after="120"/>
    </w:pPr>
  </w:style>
  <w:style w:type="paragraph" w:styleId="BodyText3">
    <w:name w:val="Body Text 3"/>
    <w:basedOn w:val="Normal"/>
    <w:rsid w:val="002729DC"/>
    <w:pPr>
      <w:spacing w:after="120"/>
    </w:pPr>
    <w:rPr>
      <w:sz w:val="16"/>
      <w:szCs w:val="16"/>
    </w:rPr>
  </w:style>
  <w:style w:type="character" w:styleId="FootnoteReference">
    <w:name w:val="footnote reference"/>
    <w:uiPriority w:val="99"/>
    <w:semiHidden/>
    <w:rsid w:val="002729DC"/>
    <w:rPr>
      <w:vertAlign w:val="superscript"/>
    </w:rPr>
  </w:style>
  <w:style w:type="paragraph" w:styleId="FootnoteText">
    <w:name w:val="footnote text"/>
    <w:basedOn w:val="Normal"/>
    <w:link w:val="TextpoznmkypodiarouChar"/>
    <w:uiPriority w:val="99"/>
    <w:semiHidden/>
    <w:rsid w:val="002729DC"/>
    <w:rPr>
      <w:lang w:eastAsia="cs-CZ"/>
    </w:rPr>
  </w:style>
  <w:style w:type="paragraph" w:styleId="Header">
    <w:name w:val="header"/>
    <w:basedOn w:val="Normal"/>
    <w:link w:val="HlavikaChar"/>
    <w:rsid w:val="0027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2729DC"/>
    <w:rPr>
      <w:sz w:val="24"/>
      <w:szCs w:val="24"/>
      <w:lang w:val="sk-SK" w:eastAsia="sk-SK" w:bidi="ar-SA"/>
    </w:rPr>
  </w:style>
  <w:style w:type="paragraph" w:customStyle="1" w:styleId="Nadpis1orobas">
    <w:name w:val="Nadpis 1.Čo robí (časť)"/>
    <w:basedOn w:val="Normal"/>
    <w:next w:val="Nosite"/>
    <w:rsid w:val="002729DC"/>
    <w:pPr>
      <w:keepNext/>
      <w:numPr>
        <w:ilvl w:val="0"/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2729DC"/>
    <w:pPr>
      <w:numPr>
        <w:ilvl w:val="1"/>
        <w:numId w:val="1"/>
      </w:numPr>
      <w:tabs>
        <w:tab w:val="clear" w:pos="851"/>
      </w:tabs>
      <w:spacing w:before="240" w:after="120"/>
      <w:ind w:left="567" w:firstLine="0"/>
    </w:pPr>
    <w:rPr>
      <w:b/>
      <w:bCs/>
    </w:rPr>
  </w:style>
  <w:style w:type="paragraph" w:customStyle="1" w:styleId="Zakladnystyl">
    <w:name w:val="Zakladny styl"/>
    <w:rsid w:val="002729DC"/>
    <w:pPr>
      <w:numPr>
        <w:ilvl w:val="2"/>
        <w:numId w:val="1"/>
      </w:numPr>
      <w:tabs>
        <w:tab w:val="clear" w:pos="1418"/>
      </w:tabs>
      <w:ind w:left="0" w:firstLine="0"/>
    </w:pPr>
    <w:rPr>
      <w:sz w:val="24"/>
      <w:szCs w:val="24"/>
      <w:lang w:val="sk-SK" w:eastAsia="cs-CZ" w:bidi="ar-SA"/>
    </w:rPr>
  </w:style>
  <w:style w:type="paragraph" w:customStyle="1" w:styleId="Nadpis2loha">
    <w:name w:val="Nadpis 2.Úloha"/>
    <w:basedOn w:val="Normal"/>
    <w:rsid w:val="002729DC"/>
    <w:pPr>
      <w:numPr>
        <w:ilvl w:val="3"/>
        <w:numId w:val="1"/>
      </w:numPr>
      <w:tabs>
        <w:tab w:val="num" w:pos="851"/>
        <w:tab w:val="clear" w:pos="1418"/>
      </w:tabs>
      <w:spacing w:before="120"/>
      <w:ind w:left="851" w:hanging="851"/>
      <w:jc w:val="both"/>
    </w:pPr>
    <w:rPr>
      <w:lang w:eastAsia="cs-CZ"/>
    </w:rPr>
  </w:style>
  <w:style w:type="paragraph" w:customStyle="1" w:styleId="Nadpis3Podloha">
    <w:name w:val="Nadpis 3.Podúloha"/>
    <w:basedOn w:val="Normal"/>
    <w:rsid w:val="002729DC"/>
    <w:pPr>
      <w:keepNext/>
      <w:numPr>
        <w:ilvl w:val="2"/>
        <w:numId w:val="1"/>
      </w:numPr>
      <w:spacing w:before="120"/>
      <w:ind w:left="2269"/>
    </w:pPr>
    <w:rPr>
      <w:lang w:eastAsia="cs-CZ"/>
    </w:rPr>
  </w:style>
  <w:style w:type="paragraph" w:customStyle="1" w:styleId="Nadpis4Termn">
    <w:name w:val="Nadpis 4.Termín"/>
    <w:basedOn w:val="Normal"/>
    <w:next w:val="Nadpis2loha"/>
    <w:rsid w:val="002729DC"/>
    <w:pPr>
      <w:numPr>
        <w:ilvl w:val="3"/>
        <w:numId w:val="1"/>
      </w:numPr>
      <w:spacing w:before="120" w:after="120"/>
    </w:pPr>
    <w:rPr>
      <w:i/>
      <w:iCs/>
      <w:lang w:eastAsia="cs-CZ"/>
    </w:rPr>
  </w:style>
  <w:style w:type="paragraph" w:customStyle="1" w:styleId="Vlada">
    <w:name w:val="Vlada"/>
    <w:basedOn w:val="Normal"/>
    <w:rsid w:val="002729DC"/>
    <w:pPr>
      <w:spacing w:before="480" w:after="120"/>
    </w:pPr>
    <w:rPr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rsid w:val="002729DC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PtaChar"/>
    <w:uiPriority w:val="99"/>
    <w:rsid w:val="002729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2729DC"/>
    <w:rPr>
      <w:sz w:val="24"/>
      <w:szCs w:val="24"/>
      <w:lang w:val="sk-SK" w:eastAsia="sk-SK" w:bidi="ar-SA"/>
    </w:rPr>
  </w:style>
  <w:style w:type="character" w:styleId="PageNumber">
    <w:name w:val="page number"/>
    <w:basedOn w:val="DefaultParagraphFont"/>
    <w:rsid w:val="002729DC"/>
  </w:style>
  <w:style w:type="paragraph" w:styleId="BodyText2">
    <w:name w:val="Body Text 2"/>
    <w:basedOn w:val="Normal"/>
    <w:link w:val="Zkladntext2Char"/>
    <w:uiPriority w:val="99"/>
    <w:rsid w:val="002729DC"/>
    <w:pPr>
      <w:spacing w:after="120" w:line="480" w:lineRule="auto"/>
    </w:pPr>
  </w:style>
  <w:style w:type="paragraph" w:styleId="BodyTextIndent2">
    <w:name w:val="Body Text Indent 2"/>
    <w:basedOn w:val="Normal"/>
    <w:link w:val="Zarkazkladnhotextu2Char"/>
    <w:rsid w:val="002729DC"/>
    <w:pPr>
      <w:ind w:left="340" w:firstLine="368"/>
      <w:jc w:val="both"/>
    </w:pPr>
    <w:rPr>
      <w:color w:val="99CC00"/>
    </w:rPr>
  </w:style>
  <w:style w:type="character" w:styleId="Strong">
    <w:name w:val="Strong"/>
    <w:qFormat/>
    <w:rsid w:val="002729DC"/>
    <w:rPr>
      <w:b/>
      <w:bCs/>
    </w:rPr>
  </w:style>
  <w:style w:type="paragraph" w:customStyle="1" w:styleId="Apato1">
    <w:name w:val="A_pato1"/>
    <w:basedOn w:val="Heading1"/>
    <w:next w:val="Normal"/>
    <w:autoRedefine/>
    <w:rsid w:val="002729DC"/>
    <w:pPr>
      <w:numPr>
        <w:ilvl w:val="0"/>
        <w:numId w:val="2"/>
      </w:numPr>
      <w:spacing w:before="0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styleId="Hyperlink">
    <w:name w:val="Hyperlink"/>
    <w:rsid w:val="002729DC"/>
    <w:rPr>
      <w:color w:val="0000FF"/>
      <w:u w:val="single"/>
    </w:rPr>
  </w:style>
  <w:style w:type="character" w:styleId="FollowedHyperlink">
    <w:name w:val="FollowedHyperlink"/>
    <w:rsid w:val="002729DC"/>
    <w:rPr>
      <w:color w:val="606420"/>
      <w:u w:val="single"/>
    </w:rPr>
  </w:style>
  <w:style w:type="paragraph" w:customStyle="1" w:styleId="CharCharCharChar">
    <w:name w:val="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0">
    <w:name w:val=" Char"/>
    <w:basedOn w:val="Normal"/>
    <w:rsid w:val="002729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rsid w:val="002729DC"/>
    <w:pPr>
      <w:spacing w:before="100" w:beforeAutospacing="1" w:after="100" w:afterAutospacing="1"/>
    </w:pPr>
  </w:style>
  <w:style w:type="paragraph" w:customStyle="1" w:styleId="Normlny">
    <w:name w:val="_Normálny"/>
    <w:basedOn w:val="Normal"/>
    <w:uiPriority w:val="99"/>
    <w:rsid w:val="002729DC"/>
    <w:pPr>
      <w:autoSpaceDE w:val="0"/>
      <w:autoSpaceDN w:val="0"/>
    </w:pPr>
    <w:rPr>
      <w:sz w:val="20"/>
      <w:szCs w:val="20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 à moi,List Paragraph11,List Paragraph2,No Spacing1,Numbered Para 1,OBC Bul,Odsek zoznamu2,Odsek zoznamu4"/>
    <w:basedOn w:val="Normal"/>
    <w:link w:val="OdsekzoznamuChar"/>
    <w:uiPriority w:val="34"/>
    <w:qFormat/>
    <w:rsid w:val="00272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2729DC"/>
    <w:rPr>
      <w:sz w:val="24"/>
      <w:szCs w:val="24"/>
      <w:lang w:val="sk-SK" w:eastAsia="sk-SK" w:bidi="ar-SA"/>
    </w:rPr>
  </w:style>
  <w:style w:type="paragraph" w:customStyle="1" w:styleId="PARA">
    <w:name w:val="PARA"/>
    <w:basedOn w:val="Normal"/>
    <w:next w:val="Normal"/>
    <w:rsid w:val="002729D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2729DC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rsid w:val="002729DC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semiHidden/>
    <w:rsid w:val="00ED5B67"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5277D1"/>
    <w:rPr>
      <w:sz w:val="24"/>
      <w:szCs w:val="24"/>
      <w:lang w:val="sk-SK" w:eastAsia="cs-CZ" w:bidi="ar-SA"/>
    </w:rPr>
  </w:style>
  <w:style w:type="character" w:customStyle="1" w:styleId="Zkladntext2Char">
    <w:name w:val="Základný text 2 Char"/>
    <w:link w:val="BodyText2"/>
    <w:uiPriority w:val="99"/>
    <w:rsid w:val="00E40DE2"/>
    <w:rPr>
      <w:sz w:val="24"/>
      <w:szCs w:val="24"/>
    </w:rPr>
  </w:style>
  <w:style w:type="character" w:customStyle="1" w:styleId="CharChar11">
    <w:name w:val="Char Char11"/>
    <w:semiHidden/>
    <w:locked/>
    <w:rsid w:val="00460BCF"/>
    <w:rPr>
      <w:lang w:val="sk-SK" w:eastAsia="sk-SK" w:bidi="ar-SA"/>
    </w:rPr>
  </w:style>
  <w:style w:type="character" w:customStyle="1" w:styleId="CharChar110">
    <w:name w:val=" Char Char11"/>
    <w:semiHidden/>
    <w:locked/>
    <w:rsid w:val="003C62C5"/>
    <w:rPr>
      <w:rFonts w:cs="Times New Roman"/>
    </w:rPr>
  </w:style>
  <w:style w:type="character" w:customStyle="1" w:styleId="OdsekzoznamuChar">
    <w:name w:val="Odsek zoznamu Char"/>
    <w:aliases w:val="Bullet 1 Char,Bullet Points Char,Colorful List - Accent 11 Char,Dot pt Char,F5 List Paragraph Char,Indicator Text Char,List Paragraph Char Char Char Char,List Paragraph à moi Char,List Paragraph11 Char,OBC Bul Char,Odsek zoznamu2 Char"/>
    <w:link w:val="ListParagraph"/>
    <w:uiPriority w:val="34"/>
    <w:qFormat/>
    <w:locked/>
    <w:rsid w:val="00C83BF2"/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BodyTextIndent2"/>
    <w:rsid w:val="005B74D8"/>
    <w:rPr>
      <w:color w:val="99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ondrejcikovaj</dc:creator>
  <cp:lastModifiedBy>DONATOVA Dasa</cp:lastModifiedBy>
  <cp:revision>17</cp:revision>
  <cp:lastPrinted>2022-08-24T08:33:00Z</cp:lastPrinted>
  <dcterms:created xsi:type="dcterms:W3CDTF">2022-02-17T08:52:00Z</dcterms:created>
  <dcterms:modified xsi:type="dcterms:W3CDTF">2022-08-24T08:36:00Z</dcterms:modified>
</cp:coreProperties>
</file>