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40"/>
        <w:gridCol w:w="6946"/>
        <w:gridCol w:w="567"/>
        <w:gridCol w:w="1134"/>
        <w:gridCol w:w="709"/>
        <w:gridCol w:w="4536"/>
        <w:gridCol w:w="709"/>
        <w:gridCol w:w="1059"/>
      </w:tblGrid>
      <w:tr w:rsidR="008C54C3" w:rsidRPr="009B65D6" w:rsidTr="00D54184">
        <w:tc>
          <w:tcPr>
            <w:tcW w:w="16200" w:type="dxa"/>
            <w:gridSpan w:val="8"/>
            <w:tcBorders>
              <w:top w:val="single" w:sz="12" w:space="0" w:color="auto"/>
              <w:left w:val="single" w:sz="12" w:space="0" w:color="auto"/>
              <w:bottom w:val="single" w:sz="4" w:space="0" w:color="auto"/>
              <w:right w:val="single" w:sz="12" w:space="0" w:color="auto"/>
            </w:tcBorders>
          </w:tcPr>
          <w:p w:rsidR="008C54C3" w:rsidRPr="009B65D6" w:rsidRDefault="008C54C3" w:rsidP="0078287E">
            <w:pPr>
              <w:pStyle w:val="Nadpis1"/>
            </w:pPr>
            <w:bookmarkStart w:id="0" w:name="_GoBack"/>
            <w:bookmarkEnd w:id="0"/>
            <w:r w:rsidRPr="009B65D6">
              <w:t>TABUĽKA  ZHODY</w:t>
            </w:r>
          </w:p>
          <w:p w:rsidR="008C54C3" w:rsidRPr="009B65D6" w:rsidRDefault="004577EC" w:rsidP="00920C2F">
            <w:pPr>
              <w:jc w:val="center"/>
              <w:rPr>
                <w:b/>
                <w:bCs/>
              </w:rPr>
            </w:pPr>
            <w:r w:rsidRPr="009B65D6">
              <w:rPr>
                <w:b/>
              </w:rPr>
              <w:t>k </w:t>
            </w:r>
            <w:r w:rsidR="0078287E" w:rsidRPr="009B65D6">
              <w:rPr>
                <w:b/>
              </w:rPr>
              <w:t>n</w:t>
            </w:r>
            <w:r w:rsidR="0091636B" w:rsidRPr="009B65D6">
              <w:rPr>
                <w:b/>
              </w:rPr>
              <w:t>ávrh</w:t>
            </w:r>
            <w:r w:rsidR="00AB7D27" w:rsidRPr="009B65D6">
              <w:rPr>
                <w:b/>
              </w:rPr>
              <w:t>u</w:t>
            </w:r>
            <w:r w:rsidR="0091636B" w:rsidRPr="009B65D6">
              <w:rPr>
                <w:b/>
              </w:rPr>
              <w:t xml:space="preserve"> zákona</w:t>
            </w:r>
            <w:r w:rsidR="00920C2F" w:rsidRPr="009B65D6">
              <w:rPr>
                <w:b/>
              </w:rPr>
              <w:t xml:space="preserve"> </w:t>
            </w:r>
            <w:r w:rsidR="00127033" w:rsidRPr="009B65D6">
              <w:rPr>
                <w:b/>
              </w:rPr>
              <w:t>s právom Európskej únie</w:t>
            </w:r>
          </w:p>
        </w:tc>
      </w:tr>
      <w:tr w:rsidR="008C54C3" w:rsidRPr="009B65D6" w:rsidTr="00D54184">
        <w:trPr>
          <w:trHeight w:val="567"/>
        </w:trPr>
        <w:tc>
          <w:tcPr>
            <w:tcW w:w="8053" w:type="dxa"/>
            <w:gridSpan w:val="3"/>
            <w:tcBorders>
              <w:top w:val="single" w:sz="4" w:space="0" w:color="auto"/>
              <w:left w:val="single" w:sz="12" w:space="0" w:color="auto"/>
              <w:bottom w:val="single" w:sz="4" w:space="0" w:color="auto"/>
              <w:right w:val="single" w:sz="12" w:space="0" w:color="auto"/>
            </w:tcBorders>
          </w:tcPr>
          <w:p w:rsidR="008C54C3" w:rsidRPr="009B65D6" w:rsidRDefault="00DE0F85" w:rsidP="00920C2F">
            <w:pPr>
              <w:pStyle w:val="Nadpis4"/>
              <w:spacing w:before="120"/>
              <w:jc w:val="left"/>
              <w:rPr>
                <w:sz w:val="24"/>
                <w:szCs w:val="24"/>
              </w:rPr>
            </w:pPr>
            <w:r w:rsidRPr="009B65D6">
              <w:rPr>
                <w:sz w:val="24"/>
                <w:szCs w:val="24"/>
              </w:rPr>
              <w:t>Smernica EÚ</w:t>
            </w:r>
          </w:p>
          <w:p w:rsidR="006D47E2" w:rsidRPr="009B65D6" w:rsidRDefault="00D20423" w:rsidP="00D54184">
            <w:pPr>
              <w:pStyle w:val="Zkladntext3"/>
              <w:spacing w:line="240" w:lineRule="exact"/>
              <w:rPr>
                <w:b/>
                <w:iCs/>
                <w:shd w:val="clear" w:color="auto" w:fill="FFFFFF"/>
              </w:rPr>
            </w:pPr>
            <w:r w:rsidRPr="009B65D6">
              <w:rPr>
                <w:b/>
                <w:bCs/>
              </w:rPr>
              <w:t xml:space="preserve">SMERNICA RADY (EÚ) </w:t>
            </w:r>
            <w:r w:rsidRPr="009B65D6">
              <w:rPr>
                <w:b/>
                <w:bCs/>
                <w:u w:val="single"/>
              </w:rPr>
              <w:t>2016/1164</w:t>
            </w:r>
            <w:r w:rsidRPr="009B65D6">
              <w:rPr>
                <w:b/>
                <w:bCs/>
              </w:rPr>
              <w:t xml:space="preserve"> z 12. júla 2016, ktorou sa stanovujú pravidlá proti praktikám vyhýbania sa daňovým povinnostiam, ktoré majú priamy vplyv na fungovanie vnútorného trhu</w:t>
            </w:r>
            <w:r w:rsidR="004A0A6B" w:rsidRPr="009B65D6">
              <w:rPr>
                <w:b/>
                <w:bCs/>
              </w:rPr>
              <w:t xml:space="preserve"> </w:t>
            </w:r>
            <w:r w:rsidR="00AC6B5E" w:rsidRPr="009B65D6">
              <w:rPr>
                <w:b/>
                <w:bCs/>
              </w:rPr>
              <w:t>(</w:t>
            </w:r>
            <w:r w:rsidR="004A0A6B" w:rsidRPr="009B65D6">
              <w:rPr>
                <w:rStyle w:val="Zvraznenie"/>
                <w:b/>
                <w:i w:val="0"/>
                <w:iCs/>
              </w:rPr>
              <w:t>Ú. v. EÚ L 193, 19.7.2016</w:t>
            </w:r>
            <w:r w:rsidR="00AC6B5E" w:rsidRPr="009B65D6">
              <w:rPr>
                <w:rStyle w:val="Zvraznenie"/>
                <w:b/>
                <w:i w:val="0"/>
                <w:iCs/>
              </w:rPr>
              <w:t>)</w:t>
            </w:r>
            <w:r w:rsidR="00B87D42" w:rsidRPr="009B65D6">
              <w:rPr>
                <w:rStyle w:val="Zvraznenie"/>
                <w:b/>
                <w:i w:val="0"/>
                <w:iCs/>
                <w:shd w:val="clear" w:color="auto" w:fill="FFFFFF"/>
              </w:rPr>
              <w:t xml:space="preserve"> </w:t>
            </w:r>
            <w:r w:rsidR="006D47E2" w:rsidRPr="009B65D6">
              <w:rPr>
                <w:rStyle w:val="Zvraznenie"/>
                <w:b/>
                <w:i w:val="0"/>
                <w:iCs/>
                <w:shd w:val="clear" w:color="auto" w:fill="FFFFFF"/>
              </w:rPr>
              <w:t>v znení smernice Rady (EÚ) 2017/952 z 29. mája 2017 (Ú. V. E</w:t>
            </w:r>
            <w:r w:rsidR="00444D5C" w:rsidRPr="009B65D6">
              <w:rPr>
                <w:rStyle w:val="Zvraznenie"/>
                <w:b/>
                <w:i w:val="0"/>
                <w:iCs/>
                <w:shd w:val="clear" w:color="auto" w:fill="FFFFFF"/>
              </w:rPr>
              <w:t>Ú L 144, 7.6.2017)</w:t>
            </w:r>
          </w:p>
        </w:tc>
        <w:tc>
          <w:tcPr>
            <w:tcW w:w="8147" w:type="dxa"/>
            <w:gridSpan w:val="5"/>
            <w:tcBorders>
              <w:top w:val="single" w:sz="4" w:space="0" w:color="auto"/>
              <w:left w:val="nil"/>
              <w:bottom w:val="single" w:sz="4" w:space="0" w:color="auto"/>
              <w:right w:val="single" w:sz="12" w:space="0" w:color="auto"/>
            </w:tcBorders>
          </w:tcPr>
          <w:p w:rsidR="008C54C3" w:rsidRPr="009B65D6" w:rsidRDefault="00920C2F" w:rsidP="00920C2F">
            <w:pPr>
              <w:pStyle w:val="Nadpis4"/>
              <w:spacing w:before="120"/>
              <w:jc w:val="left"/>
              <w:rPr>
                <w:sz w:val="24"/>
                <w:szCs w:val="24"/>
              </w:rPr>
            </w:pPr>
            <w:r w:rsidRPr="009B65D6">
              <w:rPr>
                <w:sz w:val="24"/>
                <w:szCs w:val="24"/>
              </w:rPr>
              <w:t>P</w:t>
            </w:r>
            <w:r w:rsidR="008C54C3" w:rsidRPr="009B65D6">
              <w:rPr>
                <w:sz w:val="24"/>
                <w:szCs w:val="24"/>
              </w:rPr>
              <w:t>rávne predpisy Slovenskej republiky</w:t>
            </w:r>
          </w:p>
          <w:p w:rsidR="00761F85" w:rsidRPr="009B65D6" w:rsidRDefault="001A6B6A" w:rsidP="001A6B6A">
            <w:pPr>
              <w:jc w:val="both"/>
              <w:rPr>
                <w:b/>
              </w:rPr>
            </w:pPr>
            <w:r w:rsidRPr="009B65D6">
              <w:rPr>
                <w:b/>
              </w:rPr>
              <w:t xml:space="preserve">Návrh zákona, ktorým sa mení a dopĺňa zákon č. 595/2003 Z. z. o dani z príjmov v znení neskorších predpisov </w:t>
            </w:r>
            <w:r w:rsidR="00C43E45" w:rsidRPr="009B65D6">
              <w:rPr>
                <w:b/>
              </w:rPr>
              <w:t>(ďalej „</w:t>
            </w:r>
            <w:r w:rsidR="00510080" w:rsidRPr="009B65D6">
              <w:rPr>
                <w:b/>
              </w:rPr>
              <w:t>N</w:t>
            </w:r>
            <w:r w:rsidR="00C43E45" w:rsidRPr="009B65D6">
              <w:rPr>
                <w:b/>
              </w:rPr>
              <w:t>ávrh zákona“)</w:t>
            </w:r>
          </w:p>
          <w:p w:rsidR="00C43E45" w:rsidRPr="009B65D6" w:rsidRDefault="00C43E45" w:rsidP="00761F85">
            <w:pPr>
              <w:jc w:val="both"/>
            </w:pPr>
          </w:p>
          <w:p w:rsidR="00217BF4" w:rsidRPr="009B65D6" w:rsidRDefault="00C43E45" w:rsidP="00C43E45">
            <w:pPr>
              <w:jc w:val="both"/>
            </w:pPr>
            <w:r w:rsidRPr="009B65D6">
              <w:t>Zákon č. 595/2003 Z. z. o dani z príjmov v znení neskorších predpisov (ďalej</w:t>
            </w:r>
            <w:r w:rsidR="00DA3395" w:rsidRPr="009B65D6">
              <w:t xml:space="preserve"> len</w:t>
            </w:r>
            <w:r w:rsidRPr="009B65D6">
              <w:t xml:space="preserve"> „595/2003“)</w:t>
            </w:r>
          </w:p>
          <w:p w:rsidR="00C64958" w:rsidRPr="009B65D6" w:rsidRDefault="009B65D6" w:rsidP="00F570B0">
            <w:pPr>
              <w:pStyle w:val="Zkladntext"/>
              <w:jc w:val="both"/>
              <w:rPr>
                <w:color w:val="auto"/>
              </w:rPr>
            </w:pPr>
            <w:r w:rsidRPr="009B65D6">
              <w:rPr>
                <w:color w:val="auto"/>
              </w:rPr>
              <w:t>Zákon č. 575/2001 Z. z. o organizácii činnosti vlády a organizácii ústrednej štátnej správy v znení neskorších predpisov (ďalej len „575/2001“)</w:t>
            </w:r>
          </w:p>
          <w:p w:rsidR="009B65D6" w:rsidRPr="009B65D6" w:rsidRDefault="009B65D6" w:rsidP="00F570B0">
            <w:pPr>
              <w:pStyle w:val="Zkladntext"/>
              <w:jc w:val="both"/>
              <w:rPr>
                <w:color w:val="auto"/>
              </w:rPr>
            </w:pPr>
          </w:p>
        </w:tc>
      </w:tr>
      <w:tr w:rsidR="00A9063F" w:rsidRPr="009B65D6" w:rsidTr="00BD76BA">
        <w:tc>
          <w:tcPr>
            <w:tcW w:w="540" w:type="dxa"/>
            <w:tcBorders>
              <w:top w:val="single" w:sz="4" w:space="0" w:color="auto"/>
              <w:left w:val="single" w:sz="12" w:space="0" w:color="auto"/>
              <w:bottom w:val="single" w:sz="4" w:space="0" w:color="auto"/>
              <w:right w:val="single" w:sz="4" w:space="0" w:color="auto"/>
            </w:tcBorders>
          </w:tcPr>
          <w:p w:rsidR="00A9063F" w:rsidRPr="009B65D6" w:rsidRDefault="00A9063F">
            <w:pPr>
              <w:jc w:val="center"/>
            </w:pPr>
            <w:r w:rsidRPr="009B65D6">
              <w:t>1</w:t>
            </w:r>
          </w:p>
        </w:tc>
        <w:tc>
          <w:tcPr>
            <w:tcW w:w="6946" w:type="dxa"/>
            <w:tcBorders>
              <w:top w:val="single" w:sz="4" w:space="0" w:color="auto"/>
              <w:left w:val="single" w:sz="4" w:space="0" w:color="auto"/>
              <w:bottom w:val="single" w:sz="4" w:space="0" w:color="auto"/>
              <w:right w:val="single" w:sz="4" w:space="0" w:color="auto"/>
            </w:tcBorders>
          </w:tcPr>
          <w:p w:rsidR="00A9063F" w:rsidRPr="009B65D6" w:rsidRDefault="00A9063F">
            <w:pPr>
              <w:jc w:val="center"/>
            </w:pPr>
            <w:r w:rsidRPr="009B65D6">
              <w:t>2</w:t>
            </w:r>
          </w:p>
        </w:tc>
        <w:tc>
          <w:tcPr>
            <w:tcW w:w="567" w:type="dxa"/>
            <w:tcBorders>
              <w:top w:val="single" w:sz="4" w:space="0" w:color="auto"/>
              <w:left w:val="single" w:sz="4" w:space="0" w:color="auto"/>
              <w:bottom w:val="single" w:sz="4" w:space="0" w:color="auto"/>
              <w:right w:val="single" w:sz="12" w:space="0" w:color="auto"/>
            </w:tcBorders>
          </w:tcPr>
          <w:p w:rsidR="00A9063F" w:rsidRPr="009B65D6" w:rsidRDefault="00A9063F">
            <w:pPr>
              <w:jc w:val="center"/>
            </w:pPr>
            <w:r w:rsidRPr="009B65D6">
              <w:t>3</w:t>
            </w:r>
          </w:p>
        </w:tc>
        <w:tc>
          <w:tcPr>
            <w:tcW w:w="1134" w:type="dxa"/>
            <w:tcBorders>
              <w:top w:val="single" w:sz="4" w:space="0" w:color="auto"/>
              <w:left w:val="nil"/>
              <w:bottom w:val="single" w:sz="4" w:space="0" w:color="auto"/>
              <w:right w:val="single" w:sz="4" w:space="0" w:color="auto"/>
            </w:tcBorders>
          </w:tcPr>
          <w:p w:rsidR="00A9063F" w:rsidRPr="009B65D6" w:rsidRDefault="00A9063F">
            <w:pPr>
              <w:jc w:val="center"/>
            </w:pPr>
            <w:r w:rsidRPr="009B65D6">
              <w:t>4</w:t>
            </w:r>
          </w:p>
        </w:tc>
        <w:tc>
          <w:tcPr>
            <w:tcW w:w="709" w:type="dxa"/>
            <w:tcBorders>
              <w:top w:val="single" w:sz="4" w:space="0" w:color="auto"/>
              <w:left w:val="single" w:sz="4" w:space="0" w:color="auto"/>
              <w:bottom w:val="single" w:sz="4" w:space="0" w:color="auto"/>
              <w:right w:val="single" w:sz="4" w:space="0" w:color="auto"/>
            </w:tcBorders>
          </w:tcPr>
          <w:p w:rsidR="00A9063F" w:rsidRPr="009B65D6" w:rsidRDefault="00A9063F">
            <w:pPr>
              <w:pStyle w:val="Zkladntext2"/>
              <w:spacing w:line="240" w:lineRule="exact"/>
              <w:rPr>
                <w:sz w:val="24"/>
                <w:szCs w:val="24"/>
              </w:rPr>
            </w:pPr>
            <w:r w:rsidRPr="009B65D6">
              <w:rPr>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A9063F" w:rsidRPr="009B65D6" w:rsidRDefault="00A9063F">
            <w:pPr>
              <w:pStyle w:val="Zkladntext2"/>
              <w:spacing w:line="240" w:lineRule="exact"/>
              <w:rPr>
                <w:sz w:val="24"/>
                <w:szCs w:val="24"/>
              </w:rPr>
            </w:pPr>
            <w:r w:rsidRPr="009B65D6">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A9063F" w:rsidRPr="009B65D6" w:rsidRDefault="00A9063F">
            <w:pPr>
              <w:jc w:val="center"/>
            </w:pPr>
            <w:r w:rsidRPr="009B65D6">
              <w:t>7</w:t>
            </w:r>
          </w:p>
        </w:tc>
        <w:tc>
          <w:tcPr>
            <w:tcW w:w="1059" w:type="dxa"/>
            <w:tcBorders>
              <w:top w:val="single" w:sz="4" w:space="0" w:color="auto"/>
              <w:left w:val="single" w:sz="4" w:space="0" w:color="auto"/>
              <w:bottom w:val="single" w:sz="4" w:space="0" w:color="auto"/>
              <w:right w:val="single" w:sz="12" w:space="0" w:color="auto"/>
            </w:tcBorders>
          </w:tcPr>
          <w:p w:rsidR="00A9063F" w:rsidRPr="009B65D6" w:rsidRDefault="005170A9">
            <w:pPr>
              <w:jc w:val="center"/>
            </w:pPr>
            <w:r w:rsidRPr="009B65D6">
              <w:t>8</w:t>
            </w:r>
          </w:p>
        </w:tc>
      </w:tr>
      <w:tr w:rsidR="00A9063F" w:rsidRPr="009B65D6" w:rsidTr="00BD76BA">
        <w:tc>
          <w:tcPr>
            <w:tcW w:w="540" w:type="dxa"/>
            <w:tcBorders>
              <w:top w:val="single" w:sz="4" w:space="0" w:color="auto"/>
              <w:left w:val="single" w:sz="12" w:space="0" w:color="auto"/>
              <w:bottom w:val="single" w:sz="4" w:space="0" w:color="auto"/>
              <w:right w:val="single" w:sz="4" w:space="0" w:color="auto"/>
            </w:tcBorders>
          </w:tcPr>
          <w:p w:rsidR="00A9063F" w:rsidRPr="009B65D6" w:rsidRDefault="00A9063F">
            <w:pPr>
              <w:pStyle w:val="Normlny0"/>
              <w:jc w:val="center"/>
              <w:rPr>
                <w:sz w:val="24"/>
                <w:szCs w:val="24"/>
              </w:rPr>
            </w:pPr>
            <w:r w:rsidRPr="009B65D6">
              <w:rPr>
                <w:sz w:val="24"/>
                <w:szCs w:val="24"/>
              </w:rPr>
              <w:t>Článok</w:t>
            </w:r>
          </w:p>
          <w:p w:rsidR="00A9063F" w:rsidRPr="009B65D6" w:rsidRDefault="00A9063F">
            <w:pPr>
              <w:pStyle w:val="Normlny0"/>
              <w:jc w:val="center"/>
              <w:rPr>
                <w:sz w:val="24"/>
                <w:szCs w:val="24"/>
              </w:rPr>
            </w:pPr>
            <w:r w:rsidRPr="009B65D6">
              <w:rPr>
                <w:sz w:val="24"/>
                <w:szCs w:val="24"/>
              </w:rPr>
              <w:t>(Č, O,</w:t>
            </w:r>
          </w:p>
          <w:p w:rsidR="00A9063F" w:rsidRPr="009B65D6" w:rsidRDefault="00A9063F">
            <w:pPr>
              <w:pStyle w:val="Normlny0"/>
              <w:jc w:val="center"/>
              <w:rPr>
                <w:sz w:val="24"/>
                <w:szCs w:val="24"/>
              </w:rPr>
            </w:pPr>
            <w:r w:rsidRPr="009B65D6">
              <w:rPr>
                <w:sz w:val="24"/>
                <w:szCs w:val="24"/>
              </w:rPr>
              <w:t>V, P)</w:t>
            </w:r>
          </w:p>
        </w:tc>
        <w:tc>
          <w:tcPr>
            <w:tcW w:w="6946" w:type="dxa"/>
            <w:tcBorders>
              <w:top w:val="single" w:sz="4" w:space="0" w:color="auto"/>
              <w:left w:val="single" w:sz="4" w:space="0" w:color="auto"/>
              <w:bottom w:val="single" w:sz="4" w:space="0" w:color="auto"/>
              <w:right w:val="single" w:sz="4" w:space="0" w:color="auto"/>
            </w:tcBorders>
          </w:tcPr>
          <w:p w:rsidR="00A9063F" w:rsidRPr="009B65D6" w:rsidRDefault="00A9063F">
            <w:pPr>
              <w:pStyle w:val="Normlny0"/>
              <w:jc w:val="center"/>
              <w:rPr>
                <w:sz w:val="24"/>
                <w:szCs w:val="24"/>
              </w:rPr>
            </w:pPr>
            <w:r w:rsidRPr="009B65D6">
              <w:rPr>
                <w:sz w:val="24"/>
                <w:szCs w:val="24"/>
              </w:rPr>
              <w:t>Text</w:t>
            </w:r>
          </w:p>
        </w:tc>
        <w:tc>
          <w:tcPr>
            <w:tcW w:w="567" w:type="dxa"/>
            <w:tcBorders>
              <w:top w:val="single" w:sz="4" w:space="0" w:color="auto"/>
              <w:left w:val="single" w:sz="4" w:space="0" w:color="auto"/>
              <w:bottom w:val="single" w:sz="4" w:space="0" w:color="auto"/>
              <w:right w:val="single" w:sz="12" w:space="0" w:color="auto"/>
            </w:tcBorders>
          </w:tcPr>
          <w:p w:rsidR="00A9063F" w:rsidRPr="009B65D6" w:rsidRDefault="00A9063F">
            <w:pPr>
              <w:pStyle w:val="Normlny0"/>
              <w:jc w:val="center"/>
              <w:rPr>
                <w:sz w:val="24"/>
                <w:szCs w:val="24"/>
              </w:rPr>
            </w:pPr>
            <w:r w:rsidRPr="009B65D6">
              <w:rPr>
                <w:sz w:val="24"/>
                <w:szCs w:val="24"/>
              </w:rPr>
              <w:t>Spôsob transp.</w:t>
            </w:r>
          </w:p>
          <w:p w:rsidR="00A9063F" w:rsidRPr="009B65D6" w:rsidRDefault="00A9063F">
            <w:pPr>
              <w:pStyle w:val="Normlny0"/>
              <w:jc w:val="center"/>
              <w:rPr>
                <w:sz w:val="24"/>
                <w:szCs w:val="24"/>
              </w:rPr>
            </w:pPr>
            <w:r w:rsidRPr="009B65D6">
              <w:rPr>
                <w:sz w:val="24"/>
                <w:szCs w:val="24"/>
              </w:rPr>
              <w:t>(N, O, D, n.a.)</w:t>
            </w:r>
          </w:p>
        </w:tc>
        <w:tc>
          <w:tcPr>
            <w:tcW w:w="1134" w:type="dxa"/>
            <w:tcBorders>
              <w:top w:val="single" w:sz="4" w:space="0" w:color="auto"/>
              <w:left w:val="nil"/>
              <w:bottom w:val="single" w:sz="4" w:space="0" w:color="auto"/>
              <w:right w:val="single" w:sz="4" w:space="0" w:color="auto"/>
            </w:tcBorders>
          </w:tcPr>
          <w:p w:rsidR="00A9063F" w:rsidRPr="009B65D6" w:rsidRDefault="00A9063F">
            <w:pPr>
              <w:pStyle w:val="Normlny0"/>
              <w:jc w:val="center"/>
              <w:rPr>
                <w:sz w:val="24"/>
                <w:szCs w:val="24"/>
              </w:rPr>
            </w:pPr>
            <w:r w:rsidRPr="009B65D6">
              <w:rPr>
                <w:sz w:val="24"/>
                <w:szCs w:val="24"/>
              </w:rPr>
              <w:t>Číslo</w:t>
            </w:r>
          </w:p>
          <w:p w:rsidR="00A9063F" w:rsidRPr="009B65D6" w:rsidRDefault="00A9063F">
            <w:pPr>
              <w:pStyle w:val="Normlny0"/>
              <w:jc w:val="center"/>
              <w:rPr>
                <w:sz w:val="24"/>
                <w:szCs w:val="24"/>
              </w:rPr>
            </w:pPr>
            <w:r w:rsidRPr="009B65D6">
              <w:rPr>
                <w:sz w:val="24"/>
                <w:szCs w:val="24"/>
              </w:rPr>
              <w:t>predpisu</w:t>
            </w:r>
          </w:p>
        </w:tc>
        <w:tc>
          <w:tcPr>
            <w:tcW w:w="709" w:type="dxa"/>
            <w:tcBorders>
              <w:top w:val="single" w:sz="4" w:space="0" w:color="auto"/>
              <w:left w:val="single" w:sz="4" w:space="0" w:color="auto"/>
              <w:bottom w:val="single" w:sz="4" w:space="0" w:color="auto"/>
              <w:right w:val="single" w:sz="4" w:space="0" w:color="auto"/>
            </w:tcBorders>
          </w:tcPr>
          <w:p w:rsidR="00A9063F" w:rsidRPr="009B65D6" w:rsidRDefault="00A9063F">
            <w:pPr>
              <w:pStyle w:val="Normlny0"/>
              <w:jc w:val="center"/>
              <w:rPr>
                <w:sz w:val="24"/>
                <w:szCs w:val="24"/>
              </w:rPr>
            </w:pPr>
            <w:r w:rsidRPr="009B65D6">
              <w:rPr>
                <w:sz w:val="24"/>
                <w:szCs w:val="24"/>
              </w:rPr>
              <w:t>Článok (Č, §, O, V, P)</w:t>
            </w:r>
          </w:p>
        </w:tc>
        <w:tc>
          <w:tcPr>
            <w:tcW w:w="4536" w:type="dxa"/>
            <w:tcBorders>
              <w:top w:val="single" w:sz="4" w:space="0" w:color="auto"/>
              <w:left w:val="single" w:sz="4" w:space="0" w:color="auto"/>
              <w:bottom w:val="single" w:sz="4" w:space="0" w:color="auto"/>
              <w:right w:val="single" w:sz="4" w:space="0" w:color="auto"/>
            </w:tcBorders>
          </w:tcPr>
          <w:p w:rsidR="00A9063F" w:rsidRPr="009B65D6" w:rsidRDefault="00A9063F">
            <w:pPr>
              <w:pStyle w:val="Normlny0"/>
              <w:jc w:val="center"/>
              <w:rPr>
                <w:sz w:val="24"/>
                <w:szCs w:val="24"/>
              </w:rPr>
            </w:pPr>
            <w:r w:rsidRPr="009B65D6">
              <w:rPr>
                <w:sz w:val="24"/>
                <w:szCs w:val="24"/>
              </w:rPr>
              <w:t>Text</w:t>
            </w:r>
          </w:p>
        </w:tc>
        <w:tc>
          <w:tcPr>
            <w:tcW w:w="709" w:type="dxa"/>
            <w:tcBorders>
              <w:top w:val="single" w:sz="4" w:space="0" w:color="auto"/>
              <w:left w:val="single" w:sz="4" w:space="0" w:color="auto"/>
              <w:bottom w:val="single" w:sz="4" w:space="0" w:color="auto"/>
              <w:right w:val="single" w:sz="4" w:space="0" w:color="auto"/>
            </w:tcBorders>
          </w:tcPr>
          <w:p w:rsidR="00A9063F" w:rsidRPr="009B65D6" w:rsidRDefault="00A9063F">
            <w:pPr>
              <w:pStyle w:val="Normlny0"/>
              <w:jc w:val="center"/>
              <w:rPr>
                <w:sz w:val="24"/>
                <w:szCs w:val="24"/>
              </w:rPr>
            </w:pPr>
            <w:r w:rsidRPr="009B65D6">
              <w:rPr>
                <w:sz w:val="24"/>
                <w:szCs w:val="24"/>
              </w:rPr>
              <w:t>Zhoda</w:t>
            </w:r>
          </w:p>
        </w:tc>
        <w:tc>
          <w:tcPr>
            <w:tcW w:w="1059" w:type="dxa"/>
            <w:tcBorders>
              <w:top w:val="single" w:sz="4" w:space="0" w:color="auto"/>
              <w:left w:val="single" w:sz="4" w:space="0" w:color="auto"/>
              <w:bottom w:val="single" w:sz="4" w:space="0" w:color="auto"/>
              <w:right w:val="single" w:sz="12" w:space="0" w:color="auto"/>
            </w:tcBorders>
          </w:tcPr>
          <w:p w:rsidR="00A9063F" w:rsidRPr="009B65D6" w:rsidRDefault="00A9063F">
            <w:pPr>
              <w:pStyle w:val="Normlny0"/>
              <w:jc w:val="center"/>
              <w:rPr>
                <w:sz w:val="24"/>
                <w:szCs w:val="24"/>
              </w:rPr>
            </w:pPr>
            <w:r w:rsidRPr="009B65D6">
              <w:rPr>
                <w:sz w:val="24"/>
                <w:szCs w:val="24"/>
              </w:rPr>
              <w:t>Poznámky</w:t>
            </w:r>
          </w:p>
        </w:tc>
      </w:tr>
      <w:tr w:rsidR="009B65D6" w:rsidRPr="009B65D6" w:rsidTr="00BD76BA">
        <w:tc>
          <w:tcPr>
            <w:tcW w:w="540" w:type="dxa"/>
            <w:tcBorders>
              <w:top w:val="single" w:sz="4" w:space="0" w:color="auto"/>
              <w:left w:val="single" w:sz="12" w:space="0" w:color="auto"/>
              <w:bottom w:val="single" w:sz="4" w:space="0" w:color="auto"/>
              <w:right w:val="single" w:sz="4" w:space="0" w:color="auto"/>
            </w:tcBorders>
          </w:tcPr>
          <w:p w:rsidR="00656B18" w:rsidRPr="009B65D6" w:rsidRDefault="009813A8" w:rsidP="00A47BED">
            <w:pPr>
              <w:jc w:val="center"/>
            </w:pPr>
            <w:r w:rsidRPr="009B65D6">
              <w:t>Čl.4</w:t>
            </w:r>
          </w:p>
        </w:tc>
        <w:tc>
          <w:tcPr>
            <w:tcW w:w="6946" w:type="dxa"/>
            <w:tcBorders>
              <w:top w:val="single" w:sz="4" w:space="0" w:color="auto"/>
              <w:left w:val="single" w:sz="4" w:space="0" w:color="auto"/>
              <w:bottom w:val="single" w:sz="4" w:space="0" w:color="auto"/>
              <w:right w:val="single" w:sz="4" w:space="0" w:color="auto"/>
            </w:tcBorders>
          </w:tcPr>
          <w:p w:rsidR="009813A8" w:rsidRPr="009B65D6" w:rsidRDefault="009813A8" w:rsidP="000434F2">
            <w:pPr>
              <w:pStyle w:val="CM4"/>
              <w:spacing w:before="60" w:after="60"/>
              <w:jc w:val="both"/>
              <w:rPr>
                <w:rFonts w:ascii="Times New Roman" w:hAnsi="Times New Roman"/>
              </w:rPr>
            </w:pPr>
            <w:r w:rsidRPr="009B65D6">
              <w:rPr>
                <w:rFonts w:ascii="Times New Roman" w:hAnsi="Times New Roman"/>
              </w:rPr>
              <w:t xml:space="preserve">KAPITOLA II </w:t>
            </w:r>
          </w:p>
          <w:p w:rsidR="009813A8" w:rsidRPr="009B65D6" w:rsidRDefault="009813A8" w:rsidP="000434F2">
            <w:pPr>
              <w:pStyle w:val="CM4"/>
              <w:spacing w:before="60" w:after="60"/>
              <w:jc w:val="both"/>
              <w:rPr>
                <w:rFonts w:ascii="Times New Roman" w:hAnsi="Times New Roman"/>
                <w:b/>
                <w:bCs/>
              </w:rPr>
            </w:pPr>
            <w:r w:rsidRPr="009B65D6">
              <w:rPr>
                <w:rFonts w:ascii="Times New Roman" w:hAnsi="Times New Roman"/>
                <w:b/>
                <w:bCs/>
              </w:rPr>
              <w:t xml:space="preserve">OPATRENIA PROTI VYHÝBANIU SA DAŇOVÝM POVINNOSTIAM </w:t>
            </w:r>
          </w:p>
          <w:p w:rsidR="009813A8" w:rsidRPr="009B65D6" w:rsidRDefault="009813A8" w:rsidP="000434F2">
            <w:pPr>
              <w:pStyle w:val="CM4"/>
              <w:spacing w:before="60" w:after="60"/>
              <w:jc w:val="both"/>
              <w:rPr>
                <w:rFonts w:ascii="Times New Roman" w:hAnsi="Times New Roman"/>
                <w:b/>
                <w:bCs/>
              </w:rPr>
            </w:pPr>
            <w:r w:rsidRPr="009B65D6">
              <w:rPr>
                <w:rFonts w:ascii="Times New Roman" w:hAnsi="Times New Roman"/>
                <w:b/>
                <w:bCs/>
              </w:rPr>
              <w:t xml:space="preserve">Pravidlo o obmedzení zahrnutia úrokov </w:t>
            </w:r>
          </w:p>
          <w:p w:rsidR="00656B18" w:rsidRPr="009B65D6" w:rsidRDefault="009813A8" w:rsidP="000434F2">
            <w:pPr>
              <w:pStyle w:val="CM4"/>
              <w:spacing w:before="60" w:after="60"/>
              <w:jc w:val="both"/>
              <w:rPr>
                <w:rFonts w:ascii="Times New Roman" w:hAnsi="Times New Roman"/>
              </w:rPr>
            </w:pPr>
            <w:r w:rsidRPr="009B65D6">
              <w:rPr>
                <w:rFonts w:ascii="Times New Roman" w:hAnsi="Times New Roman"/>
              </w:rPr>
              <w:t>1.</w:t>
            </w:r>
            <w:r w:rsidR="00DD3866" w:rsidRPr="009B65D6">
              <w:rPr>
                <w:rFonts w:ascii="Times New Roman" w:hAnsi="Times New Roman"/>
              </w:rPr>
              <w:t xml:space="preserve"> </w:t>
            </w:r>
            <w:r w:rsidRPr="009B65D6">
              <w:rPr>
                <w:rFonts w:ascii="Times New Roman" w:hAnsi="Times New Roman"/>
              </w:rPr>
              <w:t xml:space="preserve">Presahujúce náklady na prijaté úvery a pôžičky sú odpočítateľné v zdaňovacom období, v ktorom vznikli, len do výšky </w:t>
            </w:r>
            <w:r w:rsidR="00EA4442" w:rsidRPr="009B65D6">
              <w:rPr>
                <w:rFonts w:ascii="Times New Roman" w:hAnsi="Times New Roman"/>
              </w:rPr>
              <w:t>30</w:t>
            </w:r>
            <w:r w:rsidRPr="009B65D6">
              <w:rPr>
                <w:rFonts w:ascii="Times New Roman" w:hAnsi="Times New Roman"/>
              </w:rPr>
              <w:t xml:space="preserve"> % príjmov daňovníka pred započítaním úrokov, daní, odpisov a amortizácie (EBITDA).</w:t>
            </w:r>
          </w:p>
          <w:p w:rsidR="00C16767" w:rsidRPr="009B65D6" w:rsidRDefault="00C16767"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8C4BB9" w:rsidRPr="009B65D6" w:rsidRDefault="008C4BB9" w:rsidP="00C16767">
            <w:pPr>
              <w:pStyle w:val="Default"/>
              <w:rPr>
                <w:color w:val="auto"/>
              </w:rPr>
            </w:pPr>
          </w:p>
          <w:p w:rsidR="002C7609" w:rsidRPr="009B65D6" w:rsidRDefault="002C7609" w:rsidP="00C16767">
            <w:pPr>
              <w:pStyle w:val="Default"/>
              <w:rPr>
                <w:color w:val="auto"/>
              </w:rPr>
            </w:pPr>
          </w:p>
          <w:p w:rsidR="002C7609" w:rsidRPr="009B65D6" w:rsidRDefault="002C7609" w:rsidP="00C16767">
            <w:pPr>
              <w:pStyle w:val="Default"/>
              <w:rPr>
                <w:color w:val="auto"/>
              </w:rPr>
            </w:pP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Na účely tohto článku môže členský štát považovať za daňovníka aj: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a) subjekt, ktorému sa povoľuje alebo od ktorého sa vyžaduje, aby v mene skupiny uplatňoval daňové predpisy, ako sa vymedzujú podľa vnútroštátneho daňového práva;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b) subjekt v skupine, ako sa vymedzuje podľa vnútroštátneho daňového práva, ktorý nekonsoliduje výsledky svojich členov na daňové účely.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Za takýchto okolností sa presahujúce náklady na prijaté úvery a pôžičky a EBITDA môžu vypočítať na úrovni skupiny a pozostávajú z výsledkov všetkých jej členov. </w:t>
            </w:r>
          </w:p>
          <w:p w:rsidR="00260755" w:rsidRPr="009B65D6" w:rsidRDefault="00260755"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204BE" w:rsidRPr="009B65D6" w:rsidRDefault="004204BE" w:rsidP="000434F2">
            <w:pPr>
              <w:pStyle w:val="Default"/>
              <w:jc w:val="both"/>
              <w:rPr>
                <w:rFonts w:ascii="Times New Roman" w:hAnsi="Times New Roman" w:cs="Times New Roman"/>
                <w:color w:val="auto"/>
              </w:rPr>
            </w:pPr>
          </w:p>
          <w:p w:rsidR="008C4BB9" w:rsidRPr="009B65D6" w:rsidRDefault="008C4BB9" w:rsidP="000434F2">
            <w:pPr>
              <w:pStyle w:val="Default"/>
              <w:jc w:val="both"/>
              <w:rPr>
                <w:rFonts w:ascii="Times New Roman" w:hAnsi="Times New Roman" w:cs="Times New Roman"/>
                <w:color w:val="auto"/>
              </w:rPr>
            </w:pPr>
          </w:p>
          <w:p w:rsidR="004204BE" w:rsidRPr="009B65D6" w:rsidRDefault="004204BE" w:rsidP="000434F2">
            <w:pPr>
              <w:pStyle w:val="Default"/>
              <w:jc w:val="both"/>
              <w:rPr>
                <w:rFonts w:ascii="Times New Roman" w:hAnsi="Times New Roman" w:cs="Times New Roman"/>
                <w:color w:val="auto"/>
              </w:rPr>
            </w:pP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2.</w:t>
            </w:r>
            <w:r w:rsidR="00DD3866" w:rsidRPr="009B65D6">
              <w:rPr>
                <w:rFonts w:ascii="Times New Roman" w:hAnsi="Times New Roman" w:cs="Times New Roman"/>
                <w:color w:val="auto"/>
              </w:rPr>
              <w:t xml:space="preserve"> </w:t>
            </w:r>
            <w:r w:rsidRPr="009B65D6">
              <w:rPr>
                <w:rFonts w:ascii="Times New Roman" w:hAnsi="Times New Roman" w:cs="Times New Roman"/>
                <w:color w:val="auto"/>
              </w:rPr>
              <w:t xml:space="preserve">EBITDA sa vypočíta tak, že sa k príjmu, ktorý podlieha dani z príjmov právnických osôb v členskom štáte daňovníka, späť pripočítajú daňovo upravené sumy presahujúcich nákladov na prijaté úvery a pôžičky, ako aj daňovo upravené sumy odpisov a amortizácie. Príjem oslobodený od dane sa z EBITDA daňovníka vylúči. </w:t>
            </w:r>
          </w:p>
          <w:p w:rsidR="00260755" w:rsidRPr="009B65D6" w:rsidRDefault="00260755"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472D11" w:rsidRPr="009B65D6" w:rsidRDefault="00472D11"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A3580A" w:rsidRPr="009B65D6" w:rsidRDefault="00A3580A" w:rsidP="000434F2">
            <w:pPr>
              <w:pStyle w:val="Default"/>
              <w:jc w:val="both"/>
              <w:rPr>
                <w:rFonts w:ascii="Times New Roman" w:hAnsi="Times New Roman" w:cs="Times New Roman"/>
                <w:color w:val="auto"/>
              </w:rPr>
            </w:pP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3.</w:t>
            </w:r>
            <w:r w:rsidR="00DD3866" w:rsidRPr="009B65D6">
              <w:rPr>
                <w:rFonts w:ascii="Times New Roman" w:hAnsi="Times New Roman" w:cs="Times New Roman"/>
                <w:color w:val="auto"/>
              </w:rPr>
              <w:t xml:space="preserve"> </w:t>
            </w:r>
            <w:r w:rsidRPr="009B65D6">
              <w:rPr>
                <w:rFonts w:ascii="Times New Roman" w:hAnsi="Times New Roman" w:cs="Times New Roman"/>
                <w:color w:val="auto"/>
              </w:rPr>
              <w:t xml:space="preserve">Odchylne od odseku 1 sa daňovníkovi môže priznať právo: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a) odpočítať presahujúce náklady na prijaté úvery a pôžičky do výšky </w:t>
            </w:r>
            <w:r w:rsidR="003B573C" w:rsidRPr="009B65D6">
              <w:rPr>
                <w:rFonts w:ascii="Times New Roman" w:hAnsi="Times New Roman" w:cs="Times New Roman"/>
                <w:color w:val="auto"/>
              </w:rPr>
              <w:t>3</w:t>
            </w:r>
            <w:r w:rsidRPr="009B65D6">
              <w:rPr>
                <w:rFonts w:ascii="Times New Roman" w:hAnsi="Times New Roman" w:cs="Times New Roman"/>
                <w:color w:val="auto"/>
              </w:rPr>
              <w:t xml:space="preserve"> 000 000 EUR;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b) úplne odpočítať presahujúce náklady na prijaté úvery a pôžičky, ak je daňovník samostatným subjektom.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Na účely odseku 1 druhého pododseku sa suma </w:t>
            </w:r>
            <w:r w:rsidR="003B573C" w:rsidRPr="009B65D6">
              <w:rPr>
                <w:rFonts w:ascii="Times New Roman" w:hAnsi="Times New Roman" w:cs="Times New Roman"/>
                <w:color w:val="auto"/>
              </w:rPr>
              <w:t>3</w:t>
            </w:r>
            <w:r w:rsidRPr="009B65D6">
              <w:rPr>
                <w:rFonts w:ascii="Times New Roman" w:hAnsi="Times New Roman" w:cs="Times New Roman"/>
                <w:color w:val="auto"/>
              </w:rPr>
              <w:t xml:space="preserve"> 000 000 EUR uplatňuje na celú skupinu.</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Na účely prvého pododseku písm. b) je samostatným subjektom daňovník, ktorý nie je na účely finančného účtovníctva súčasťou konsolidovanej skupiny a nemá žiadny prepojený podnik ani stálu prevádzkareň. </w:t>
            </w:r>
          </w:p>
          <w:p w:rsidR="002E3F81" w:rsidRPr="009B65D6" w:rsidRDefault="002E3F81" w:rsidP="000434F2">
            <w:pPr>
              <w:pStyle w:val="Default"/>
              <w:jc w:val="both"/>
              <w:rPr>
                <w:rFonts w:ascii="Times New Roman" w:hAnsi="Times New Roman" w:cs="Times New Roman"/>
                <w:color w:val="auto"/>
              </w:rPr>
            </w:pPr>
          </w:p>
          <w:p w:rsidR="002E3F81" w:rsidRPr="009B65D6" w:rsidRDefault="002E3F81" w:rsidP="000434F2">
            <w:pPr>
              <w:pStyle w:val="Default"/>
              <w:jc w:val="both"/>
              <w:rPr>
                <w:rFonts w:ascii="Times New Roman" w:hAnsi="Times New Roman" w:cs="Times New Roman"/>
                <w:color w:val="auto"/>
              </w:rPr>
            </w:pPr>
          </w:p>
          <w:p w:rsidR="005972A6" w:rsidRPr="009B65D6" w:rsidRDefault="005972A6" w:rsidP="000434F2">
            <w:pPr>
              <w:pStyle w:val="Default"/>
              <w:jc w:val="both"/>
              <w:rPr>
                <w:rFonts w:ascii="Times New Roman" w:hAnsi="Times New Roman" w:cs="Times New Roman"/>
                <w:color w:val="auto"/>
              </w:rPr>
            </w:pP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4.</w:t>
            </w:r>
            <w:r w:rsidR="00DD3866" w:rsidRPr="009B65D6">
              <w:rPr>
                <w:rFonts w:ascii="Times New Roman" w:hAnsi="Times New Roman" w:cs="Times New Roman"/>
                <w:color w:val="auto"/>
              </w:rPr>
              <w:t xml:space="preserve"> </w:t>
            </w:r>
            <w:r w:rsidRPr="009B65D6">
              <w:rPr>
                <w:rFonts w:ascii="Times New Roman" w:hAnsi="Times New Roman" w:cs="Times New Roman"/>
                <w:color w:val="auto"/>
              </w:rPr>
              <w:t xml:space="preserve">Členské štáty môžu z rozsahu pôsobnosti odseku 1 vylúčiť presahujúce náklady na prijaté úvery a pôžičky, ktoré vznikli v súvislosti: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a) s úvermi, ktoré sa uzavreli pred 17. júnom 2016, avšak vylúčenie sa nevzťahuje na žiadnu následnú úpravu takýchto úverov;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b)</w:t>
            </w:r>
            <w:r w:rsidR="0007056C" w:rsidRPr="009B65D6">
              <w:rPr>
                <w:rFonts w:ascii="Times New Roman" w:hAnsi="Times New Roman" w:cs="Times New Roman"/>
                <w:color w:val="auto"/>
              </w:rPr>
              <w:t xml:space="preserve"> </w:t>
            </w:r>
            <w:r w:rsidRPr="009B65D6">
              <w:rPr>
                <w:rFonts w:ascii="Times New Roman" w:hAnsi="Times New Roman" w:cs="Times New Roman"/>
                <w:color w:val="auto"/>
              </w:rPr>
              <w:t xml:space="preserve">s úvermi, ktoré sa použili na financovanie dlhodobých projektov verejnej infraštruktúry, pri ktorých sa prevádzkovateľ projektu, náklady na prijaté úvery a pôžičky, aktíva a príjmy nachádzajú v Únii. </w:t>
            </w:r>
          </w:p>
          <w:p w:rsidR="0044685F"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Na účely prvého pododseku písm. b) je dlhodobým projektom verejnej infraštruktúry projekt na účely poskytovania, zlepšenia, prevádzky a/alebo zachovania rozsiahleho aktíva, ktoré členský štát považuje za aktívum, ktoré je vo všeobecnom verejnom záujme.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Ak sa uplatňuje prvý pododsek písm. b), akýkoľvek príjem plynúci z dlhodobých projektov verejnej infraštruktúry je vylúčený z EBITDA daňovníka a akékoľvek vylúčené presahujúce náklady na prijaté úvery a pôžičky sa nezahŕňajú do presahujúcich nákladov na prijaté úvery a pôžičky skupiny voči tretím stranám uvedeným v odseku 5 písm. b).</w:t>
            </w:r>
          </w:p>
          <w:p w:rsidR="009813A8" w:rsidRPr="009B65D6" w:rsidRDefault="009813A8" w:rsidP="000434F2">
            <w:pPr>
              <w:pStyle w:val="Default"/>
              <w:jc w:val="both"/>
              <w:rPr>
                <w:rFonts w:ascii="Times New Roman" w:hAnsi="Times New Roman" w:cs="Times New Roman"/>
                <w:color w:val="auto"/>
              </w:rPr>
            </w:pPr>
          </w:p>
          <w:p w:rsidR="0024410A" w:rsidRPr="009B65D6" w:rsidRDefault="0024410A" w:rsidP="000434F2">
            <w:pPr>
              <w:pStyle w:val="Default"/>
              <w:jc w:val="both"/>
              <w:rPr>
                <w:rFonts w:ascii="Times New Roman" w:hAnsi="Times New Roman" w:cs="Times New Roman"/>
                <w:color w:val="auto"/>
              </w:rPr>
            </w:pPr>
          </w:p>
          <w:p w:rsidR="007611FA" w:rsidRPr="009B65D6" w:rsidRDefault="007611FA" w:rsidP="000434F2">
            <w:pPr>
              <w:pStyle w:val="Default"/>
              <w:jc w:val="both"/>
              <w:rPr>
                <w:rFonts w:ascii="Times New Roman" w:hAnsi="Times New Roman" w:cs="Times New Roman"/>
                <w:color w:val="auto"/>
              </w:rPr>
            </w:pPr>
          </w:p>
          <w:p w:rsidR="007611FA" w:rsidRPr="009B65D6" w:rsidRDefault="007611FA" w:rsidP="000434F2">
            <w:pPr>
              <w:pStyle w:val="Default"/>
              <w:jc w:val="both"/>
              <w:rPr>
                <w:rFonts w:ascii="Times New Roman" w:hAnsi="Times New Roman" w:cs="Times New Roman"/>
                <w:color w:val="auto"/>
              </w:rPr>
            </w:pPr>
          </w:p>
          <w:p w:rsidR="007611FA" w:rsidRPr="009B65D6" w:rsidRDefault="007611FA" w:rsidP="000434F2">
            <w:pPr>
              <w:pStyle w:val="Default"/>
              <w:jc w:val="both"/>
              <w:rPr>
                <w:rFonts w:ascii="Times New Roman" w:hAnsi="Times New Roman" w:cs="Times New Roman"/>
                <w:color w:val="auto"/>
              </w:rPr>
            </w:pPr>
          </w:p>
          <w:p w:rsidR="007611FA" w:rsidRPr="009B65D6" w:rsidRDefault="007611FA" w:rsidP="000434F2">
            <w:pPr>
              <w:pStyle w:val="Default"/>
              <w:jc w:val="both"/>
              <w:rPr>
                <w:rFonts w:ascii="Times New Roman" w:hAnsi="Times New Roman" w:cs="Times New Roman"/>
                <w:color w:val="auto"/>
              </w:rPr>
            </w:pPr>
          </w:p>
          <w:p w:rsidR="007611FA" w:rsidRPr="009B65D6" w:rsidRDefault="007611FA" w:rsidP="000434F2">
            <w:pPr>
              <w:pStyle w:val="Default"/>
              <w:jc w:val="both"/>
              <w:rPr>
                <w:rFonts w:ascii="Times New Roman" w:hAnsi="Times New Roman" w:cs="Times New Roman"/>
                <w:color w:val="auto"/>
              </w:rPr>
            </w:pPr>
          </w:p>
          <w:p w:rsidR="007611FA" w:rsidRPr="009B65D6" w:rsidRDefault="007611FA" w:rsidP="000434F2">
            <w:pPr>
              <w:pStyle w:val="Default"/>
              <w:jc w:val="both"/>
              <w:rPr>
                <w:rFonts w:ascii="Times New Roman" w:hAnsi="Times New Roman" w:cs="Times New Roman"/>
                <w:color w:val="auto"/>
              </w:rPr>
            </w:pPr>
          </w:p>
          <w:p w:rsidR="007611FA" w:rsidRPr="009B65D6" w:rsidRDefault="007611FA" w:rsidP="000434F2">
            <w:pPr>
              <w:pStyle w:val="Default"/>
              <w:jc w:val="both"/>
              <w:rPr>
                <w:rFonts w:ascii="Times New Roman" w:hAnsi="Times New Roman" w:cs="Times New Roman"/>
                <w:color w:val="auto"/>
              </w:rPr>
            </w:pPr>
          </w:p>
          <w:p w:rsidR="007611FA" w:rsidRPr="009B65D6" w:rsidRDefault="007611FA" w:rsidP="000434F2">
            <w:pPr>
              <w:pStyle w:val="Default"/>
              <w:jc w:val="both"/>
              <w:rPr>
                <w:rFonts w:ascii="Times New Roman" w:hAnsi="Times New Roman" w:cs="Times New Roman"/>
                <w:color w:val="auto"/>
              </w:rPr>
            </w:pPr>
          </w:p>
          <w:p w:rsidR="007F67FF" w:rsidRPr="009B65D6" w:rsidRDefault="007F67FF" w:rsidP="000434F2">
            <w:pPr>
              <w:pStyle w:val="Default"/>
              <w:jc w:val="both"/>
              <w:rPr>
                <w:rFonts w:ascii="Times New Roman" w:hAnsi="Times New Roman" w:cs="Times New Roman"/>
                <w:color w:val="auto"/>
              </w:rPr>
            </w:pPr>
          </w:p>
          <w:p w:rsidR="007611FA" w:rsidRPr="009B65D6" w:rsidRDefault="007611FA" w:rsidP="000434F2">
            <w:pPr>
              <w:pStyle w:val="Default"/>
              <w:jc w:val="both"/>
              <w:rPr>
                <w:rFonts w:ascii="Times New Roman" w:hAnsi="Times New Roman" w:cs="Times New Roman"/>
                <w:color w:val="auto"/>
              </w:rPr>
            </w:pP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5.</w:t>
            </w:r>
            <w:r w:rsidR="00DD3866" w:rsidRPr="009B65D6">
              <w:rPr>
                <w:rFonts w:ascii="Times New Roman" w:hAnsi="Times New Roman" w:cs="Times New Roman"/>
                <w:color w:val="auto"/>
              </w:rPr>
              <w:t> </w:t>
            </w:r>
            <w:r w:rsidRPr="009B65D6">
              <w:rPr>
                <w:rFonts w:ascii="Times New Roman" w:hAnsi="Times New Roman" w:cs="Times New Roman"/>
                <w:color w:val="auto"/>
              </w:rPr>
              <w:t xml:space="preserve">Ak je daňovník na účely finančného účtovníctva členom konsolidovanej skupiny, môže sa mu priznať právo buď: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a) v plnej výške odpočítať svoje presahujúce náklady na prijaté úvery a pôžičky, ak môže preukázať, že pomer jeho vlastného imania k jeho celkovým aktívam je rovnaký alebo vyšší ako ekvivalentný pomer skupiny, pričom podlieha týmto podmienkam: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i) pomer vlastného imania daňovníka k jeho celkovým aktívam sa považuje za rovnajúci sa ekvivalentnému pomeru skupiny, ak je pomer vlastného imania daňovníka k jeho celkovým aktívam nižší o najviac dva percentuálne body; a </w:t>
            </w:r>
          </w:p>
          <w:p w:rsidR="00DB74F0" w:rsidRPr="009B65D6" w:rsidRDefault="00DB74F0" w:rsidP="000434F2">
            <w:pPr>
              <w:pStyle w:val="Default"/>
              <w:jc w:val="both"/>
              <w:rPr>
                <w:rFonts w:ascii="Times New Roman" w:hAnsi="Times New Roman" w:cs="Times New Roman"/>
                <w:color w:val="auto"/>
              </w:rPr>
            </w:pPr>
            <w:r w:rsidRPr="009B65D6">
              <w:rPr>
                <w:rFonts w:ascii="Times New Roman" w:hAnsi="Times New Roman" w:cs="Times New Roman"/>
                <w:color w:val="auto"/>
              </w:rPr>
              <w:t>ii) všetky aktíva a záväzky sú ocenené pomocou tej istej metódy ako pri konsolidovaných finančných výkazoch zostavených v súlade s medzinárodnými štandardmi finančného výkazníctva alebo vnútroštátnym systémom finančného výkazníctva členského štátu;</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b) odpočítať presahujúce náklady na prijaté úvery a pôžičky v takej výške, ktorou sa prevyšuje suma, ktorú by mal právo odpočítať podľa odseku 1. Tento vyšší limit na odpočítateľnosť presahujúcich nákladov na prijaté úvery a pôžičky sa na účely finančného účtovníctva týka konsolidovanej skupiny, ktorej je daňovník členom, a vypočíta sa v dvoch krokoch: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i) po prvé, pomer za skupinu sa určuje tak, že sa presahujúce náklady skupiny na prijaté úvery a pôžičky voči tretím stranám vydelia EBITDA skupiny; a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lastRenderedPageBreak/>
              <w:t xml:space="preserve">ii) po druhé, pomer za skupinu sa vynásobí EBITDA daňovníka vypočítaným podľa odseku 2. </w:t>
            </w:r>
          </w:p>
          <w:p w:rsidR="00260755" w:rsidRPr="009B65D6" w:rsidRDefault="00260755" w:rsidP="000434F2">
            <w:pPr>
              <w:pStyle w:val="Default"/>
              <w:jc w:val="both"/>
              <w:rPr>
                <w:rFonts w:ascii="Times New Roman" w:hAnsi="Times New Roman" w:cs="Times New Roman"/>
                <w:color w:val="auto"/>
              </w:rPr>
            </w:pPr>
          </w:p>
          <w:p w:rsidR="007611FA" w:rsidRPr="009B65D6" w:rsidRDefault="007611FA" w:rsidP="000434F2">
            <w:pPr>
              <w:pStyle w:val="Default"/>
              <w:jc w:val="both"/>
              <w:rPr>
                <w:rFonts w:ascii="Times New Roman" w:hAnsi="Times New Roman" w:cs="Times New Roman"/>
                <w:color w:val="auto"/>
              </w:rPr>
            </w:pPr>
          </w:p>
          <w:p w:rsidR="00BA78B7" w:rsidRPr="009B65D6" w:rsidRDefault="00BA78B7" w:rsidP="000434F2">
            <w:pPr>
              <w:pStyle w:val="Default"/>
              <w:jc w:val="both"/>
              <w:rPr>
                <w:rFonts w:ascii="Times New Roman" w:hAnsi="Times New Roman" w:cs="Times New Roman"/>
                <w:color w:val="auto"/>
              </w:rPr>
            </w:pP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6.</w:t>
            </w:r>
            <w:r w:rsidR="00DD3866" w:rsidRPr="009B65D6">
              <w:rPr>
                <w:rFonts w:ascii="Times New Roman" w:hAnsi="Times New Roman" w:cs="Times New Roman"/>
                <w:color w:val="auto"/>
              </w:rPr>
              <w:t xml:space="preserve"> </w:t>
            </w:r>
            <w:r w:rsidRPr="009B65D6">
              <w:rPr>
                <w:rFonts w:ascii="Times New Roman" w:hAnsi="Times New Roman" w:cs="Times New Roman"/>
                <w:color w:val="auto"/>
              </w:rPr>
              <w:t xml:space="preserve">Členský štát daňovníka môže stanoviť pravidlá s cieľom buď: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a) preniesť do budúcich období, bez časového obmedzenia, presahujúce náklady na prijaté úvery a pôžičky, ktoré nemožno odpočítať v bežnom zdaňovacom období podľa odsekov 1 až 5;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b) preniesť do budúcich období bez časového obmedzenia a uplatniť v predchádzajúcich obdobiach, maximálne na tri roky, presahujúce náklady na prijaté úvery a pôžičky, ktoré nemožno odpočítať v bežnom zdaňovacom období podľa odsekov 1 až 5; alebo </w:t>
            </w: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 xml:space="preserve">c) preniesť do budúcich období bez časového obmedzenia presahujúce náklady na prijaté úvery a pôžičky a, maximálne na päť rokov, nevyužitú úrokovú kapacitu, ktoré nemožno odpočítať v bežnom zdaňovacom období podľa odsekov 1 až 5. </w:t>
            </w:r>
          </w:p>
          <w:p w:rsidR="00260755" w:rsidRPr="009B65D6" w:rsidRDefault="00260755"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2F24EC" w:rsidRPr="009B65D6" w:rsidRDefault="002F24EC" w:rsidP="000434F2">
            <w:pPr>
              <w:pStyle w:val="Default"/>
              <w:jc w:val="both"/>
              <w:rPr>
                <w:rFonts w:ascii="Times New Roman" w:hAnsi="Times New Roman" w:cs="Times New Roman"/>
                <w:color w:val="auto"/>
              </w:rPr>
            </w:pPr>
          </w:p>
          <w:p w:rsidR="009813A8" w:rsidRPr="009B65D6" w:rsidRDefault="009813A8" w:rsidP="000434F2">
            <w:pPr>
              <w:pStyle w:val="Default"/>
              <w:jc w:val="both"/>
              <w:rPr>
                <w:rFonts w:ascii="Times New Roman" w:hAnsi="Times New Roman" w:cs="Times New Roman"/>
                <w:color w:val="auto"/>
              </w:rPr>
            </w:pPr>
            <w:r w:rsidRPr="009B65D6">
              <w:rPr>
                <w:rFonts w:ascii="Times New Roman" w:hAnsi="Times New Roman" w:cs="Times New Roman"/>
                <w:color w:val="auto"/>
              </w:rPr>
              <w:t>7.</w:t>
            </w:r>
            <w:r w:rsidR="00DD3866" w:rsidRPr="009B65D6">
              <w:rPr>
                <w:rFonts w:ascii="Times New Roman" w:hAnsi="Times New Roman" w:cs="Times New Roman"/>
                <w:color w:val="auto"/>
              </w:rPr>
              <w:t xml:space="preserve"> </w:t>
            </w:r>
            <w:r w:rsidRPr="009B65D6">
              <w:rPr>
                <w:rFonts w:ascii="Times New Roman" w:hAnsi="Times New Roman" w:cs="Times New Roman"/>
                <w:color w:val="auto"/>
              </w:rPr>
              <w:t>Členské štáty môžu vylúčiť finančné podniky z rozsahu pôsobnosti odsekov 1 až 6, a to aj vtedy, keď sú takéto finančné podniky na účely finančného účtovníctva súčasťou konsolidovanej skupiny.</w:t>
            </w:r>
          </w:p>
          <w:p w:rsidR="00260755" w:rsidRPr="009B65D6" w:rsidRDefault="00260755" w:rsidP="000434F2">
            <w:pPr>
              <w:pStyle w:val="Default"/>
              <w:jc w:val="both"/>
              <w:rPr>
                <w:rFonts w:ascii="Times New Roman" w:hAnsi="Times New Roman" w:cs="Times New Roman"/>
                <w:color w:val="auto"/>
              </w:rPr>
            </w:pPr>
          </w:p>
          <w:p w:rsidR="00510751" w:rsidRPr="009B65D6" w:rsidRDefault="00510751" w:rsidP="000434F2">
            <w:pPr>
              <w:pStyle w:val="Default"/>
              <w:jc w:val="both"/>
              <w:rPr>
                <w:rFonts w:ascii="Times New Roman" w:hAnsi="Times New Roman" w:cs="Times New Roman"/>
                <w:color w:val="auto"/>
              </w:rPr>
            </w:pPr>
          </w:p>
          <w:p w:rsidR="00510751" w:rsidRPr="009B65D6" w:rsidRDefault="00510751" w:rsidP="000434F2">
            <w:pPr>
              <w:pStyle w:val="Default"/>
              <w:jc w:val="both"/>
              <w:rPr>
                <w:rFonts w:ascii="Times New Roman" w:hAnsi="Times New Roman" w:cs="Times New Roman"/>
                <w:color w:val="auto"/>
              </w:rPr>
            </w:pPr>
          </w:p>
          <w:p w:rsidR="00510751" w:rsidRPr="009B65D6" w:rsidRDefault="00510751" w:rsidP="000434F2">
            <w:pPr>
              <w:pStyle w:val="Default"/>
              <w:jc w:val="both"/>
              <w:rPr>
                <w:rFonts w:ascii="Times New Roman" w:hAnsi="Times New Roman" w:cs="Times New Roman"/>
                <w:color w:val="auto"/>
              </w:rPr>
            </w:pPr>
          </w:p>
          <w:p w:rsidR="00510751" w:rsidRPr="009B65D6" w:rsidRDefault="00510751" w:rsidP="000434F2">
            <w:pPr>
              <w:pStyle w:val="Default"/>
              <w:jc w:val="both"/>
              <w:rPr>
                <w:rFonts w:ascii="Times New Roman" w:hAnsi="Times New Roman" w:cs="Times New Roman"/>
                <w:color w:val="auto"/>
              </w:rPr>
            </w:pPr>
          </w:p>
          <w:p w:rsidR="00510751" w:rsidRPr="009B65D6" w:rsidRDefault="00510751" w:rsidP="000434F2">
            <w:pPr>
              <w:pStyle w:val="Default"/>
              <w:jc w:val="both"/>
              <w:rPr>
                <w:rFonts w:ascii="Times New Roman" w:hAnsi="Times New Roman" w:cs="Times New Roman"/>
                <w:color w:val="auto"/>
              </w:rPr>
            </w:pPr>
          </w:p>
          <w:p w:rsidR="00510751" w:rsidRPr="009B65D6" w:rsidRDefault="00510751" w:rsidP="000434F2">
            <w:pPr>
              <w:pStyle w:val="Default"/>
              <w:jc w:val="both"/>
              <w:rPr>
                <w:rFonts w:ascii="Times New Roman" w:hAnsi="Times New Roman" w:cs="Times New Roman"/>
                <w:color w:val="auto"/>
              </w:rPr>
            </w:pPr>
          </w:p>
          <w:p w:rsidR="00510751" w:rsidRPr="009B65D6" w:rsidRDefault="00510751" w:rsidP="000434F2">
            <w:pPr>
              <w:pStyle w:val="Default"/>
              <w:jc w:val="both"/>
              <w:rPr>
                <w:rFonts w:ascii="Times New Roman" w:hAnsi="Times New Roman" w:cs="Times New Roman"/>
                <w:color w:val="auto"/>
              </w:rPr>
            </w:pPr>
          </w:p>
          <w:p w:rsidR="00510751" w:rsidRPr="009B65D6" w:rsidRDefault="00510751" w:rsidP="000434F2">
            <w:pPr>
              <w:pStyle w:val="Default"/>
              <w:jc w:val="both"/>
              <w:rPr>
                <w:rFonts w:ascii="Times New Roman" w:hAnsi="Times New Roman" w:cs="Times New Roman"/>
                <w:color w:val="auto"/>
              </w:rPr>
            </w:pPr>
          </w:p>
          <w:p w:rsidR="00510751" w:rsidRPr="009B65D6" w:rsidRDefault="00510751" w:rsidP="000434F2">
            <w:pPr>
              <w:pStyle w:val="Default"/>
              <w:jc w:val="both"/>
              <w:rPr>
                <w:rFonts w:ascii="Times New Roman" w:hAnsi="Times New Roman" w:cs="Times New Roman"/>
                <w:color w:val="auto"/>
              </w:rPr>
            </w:pPr>
          </w:p>
          <w:p w:rsidR="00F92027" w:rsidRPr="009B65D6" w:rsidRDefault="00F92027" w:rsidP="000434F2">
            <w:pPr>
              <w:pStyle w:val="Default"/>
              <w:jc w:val="both"/>
              <w:rPr>
                <w:rFonts w:ascii="Times New Roman" w:hAnsi="Times New Roman" w:cs="Times New Roman"/>
                <w:color w:val="auto"/>
              </w:rPr>
            </w:pPr>
          </w:p>
          <w:p w:rsidR="00510751" w:rsidRPr="009B65D6" w:rsidRDefault="00510751" w:rsidP="000434F2">
            <w:pPr>
              <w:pStyle w:val="Default"/>
              <w:jc w:val="both"/>
              <w:rPr>
                <w:rFonts w:ascii="Times New Roman" w:hAnsi="Times New Roman" w:cs="Times New Roman"/>
                <w:color w:val="auto"/>
              </w:rPr>
            </w:pPr>
          </w:p>
          <w:p w:rsidR="00305208" w:rsidRPr="009B65D6" w:rsidRDefault="009813A8" w:rsidP="00B37C8F">
            <w:pPr>
              <w:pStyle w:val="Default"/>
              <w:jc w:val="both"/>
              <w:rPr>
                <w:rFonts w:ascii="Times New Roman" w:hAnsi="Times New Roman" w:cs="Times New Roman"/>
                <w:color w:val="auto"/>
              </w:rPr>
            </w:pPr>
            <w:r w:rsidRPr="009B65D6">
              <w:rPr>
                <w:rFonts w:ascii="Times New Roman" w:hAnsi="Times New Roman" w:cs="Times New Roman"/>
                <w:color w:val="auto"/>
              </w:rPr>
              <w:t>8.</w:t>
            </w:r>
            <w:r w:rsidR="00DD3866" w:rsidRPr="009B65D6">
              <w:rPr>
                <w:rFonts w:ascii="Times New Roman" w:hAnsi="Times New Roman" w:cs="Times New Roman"/>
                <w:color w:val="auto"/>
              </w:rPr>
              <w:t xml:space="preserve"> </w:t>
            </w:r>
            <w:r w:rsidR="00CC408F" w:rsidRPr="009B65D6">
              <w:rPr>
                <w:rFonts w:ascii="Times New Roman" w:hAnsi="Times New Roman" w:cs="Times New Roman"/>
                <w:color w:val="auto"/>
              </w:rPr>
              <w:t>Na účely odsekov 1 až 7 môže byť daňovníkovi udelené právo používať konsolidované finančné výkazy zostavené na základe účtovných štandardov iných, než sú medzinárodné štandardy finančného výkazníctva alebo vnútroštátny systém finančného výkazníctva členského štátu.</w:t>
            </w:r>
          </w:p>
        </w:tc>
        <w:tc>
          <w:tcPr>
            <w:tcW w:w="567" w:type="dxa"/>
            <w:tcBorders>
              <w:top w:val="single" w:sz="4" w:space="0" w:color="auto"/>
              <w:left w:val="single" w:sz="4" w:space="0" w:color="auto"/>
              <w:bottom w:val="single" w:sz="4" w:space="0" w:color="auto"/>
              <w:right w:val="single" w:sz="12" w:space="0" w:color="auto"/>
            </w:tcBorders>
          </w:tcPr>
          <w:p w:rsidR="00E72743" w:rsidRPr="009B65D6" w:rsidRDefault="00E72743">
            <w:pPr>
              <w:jc w:val="center"/>
            </w:pPr>
          </w:p>
          <w:p w:rsidR="00E72743" w:rsidRPr="009B65D6" w:rsidRDefault="00E72743">
            <w:pPr>
              <w:jc w:val="center"/>
            </w:pPr>
          </w:p>
          <w:p w:rsidR="00E72743" w:rsidRPr="009B65D6" w:rsidRDefault="00E72743" w:rsidP="00DD3866"/>
          <w:p w:rsidR="00DC7E3F" w:rsidRPr="009B65D6" w:rsidRDefault="00DC7E3F">
            <w:pPr>
              <w:jc w:val="center"/>
            </w:pPr>
          </w:p>
          <w:p w:rsidR="00EE18C9" w:rsidRPr="009B65D6" w:rsidRDefault="00EE18C9" w:rsidP="00EE18C9">
            <w:pPr>
              <w:jc w:val="center"/>
            </w:pPr>
          </w:p>
          <w:p w:rsidR="002C7609" w:rsidRPr="009B65D6" w:rsidRDefault="002C7609" w:rsidP="003B36EF">
            <w:pPr>
              <w:jc w:val="center"/>
              <w:rPr>
                <w:b/>
              </w:rPr>
            </w:pPr>
          </w:p>
          <w:p w:rsidR="002C7609" w:rsidRPr="009B65D6" w:rsidRDefault="002C7609" w:rsidP="003B36EF">
            <w:pPr>
              <w:jc w:val="center"/>
              <w:rPr>
                <w:b/>
              </w:rPr>
            </w:pPr>
            <w:r w:rsidRPr="009B65D6">
              <w:rPr>
                <w:b/>
              </w:rPr>
              <w:t>N</w:t>
            </w: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2C7609" w:rsidRPr="009B65D6" w:rsidRDefault="002C760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8C4BB9" w:rsidRPr="009B65D6" w:rsidRDefault="008C4BB9" w:rsidP="003B36EF">
            <w:pPr>
              <w:jc w:val="center"/>
              <w:rPr>
                <w:b/>
              </w:rPr>
            </w:pPr>
          </w:p>
          <w:p w:rsidR="002C7609" w:rsidRPr="009B65D6" w:rsidRDefault="002C7609" w:rsidP="003B36EF">
            <w:pPr>
              <w:jc w:val="center"/>
              <w:rPr>
                <w:b/>
              </w:rPr>
            </w:pPr>
          </w:p>
          <w:p w:rsidR="00EE18C9" w:rsidRPr="009B65D6" w:rsidRDefault="00EE18C9" w:rsidP="003B36EF">
            <w:pPr>
              <w:jc w:val="center"/>
              <w:rPr>
                <w:b/>
              </w:rPr>
            </w:pPr>
            <w:r w:rsidRPr="009B65D6">
              <w:rPr>
                <w:b/>
              </w:rPr>
              <w:t>D</w:t>
            </w:r>
          </w:p>
          <w:p w:rsidR="00DC7E3F" w:rsidRPr="009B65D6" w:rsidRDefault="00DC7E3F">
            <w:pPr>
              <w:jc w:val="center"/>
            </w:pPr>
          </w:p>
          <w:p w:rsidR="00DC7E3F" w:rsidRPr="009B65D6" w:rsidRDefault="00DC7E3F">
            <w:pPr>
              <w:jc w:val="center"/>
            </w:pPr>
          </w:p>
          <w:p w:rsidR="00DC7E3F" w:rsidRPr="009B65D6" w:rsidRDefault="00DC7E3F">
            <w:pPr>
              <w:jc w:val="center"/>
            </w:pPr>
          </w:p>
          <w:p w:rsidR="00DC7E3F" w:rsidRPr="009B65D6" w:rsidRDefault="00DC7E3F">
            <w:pPr>
              <w:jc w:val="center"/>
            </w:pPr>
          </w:p>
          <w:p w:rsidR="00DC7E3F" w:rsidRPr="009B65D6" w:rsidRDefault="00DC7E3F">
            <w:pPr>
              <w:jc w:val="center"/>
            </w:pPr>
          </w:p>
          <w:p w:rsidR="00DC7E3F" w:rsidRPr="009B65D6" w:rsidRDefault="00DC7E3F">
            <w:pPr>
              <w:jc w:val="center"/>
            </w:pPr>
          </w:p>
          <w:p w:rsidR="00DC7E3F" w:rsidRPr="009B65D6" w:rsidRDefault="00DC7E3F">
            <w:pPr>
              <w:jc w:val="center"/>
            </w:pPr>
          </w:p>
          <w:p w:rsidR="00DC7E3F" w:rsidRPr="009B65D6" w:rsidRDefault="00DC7E3F">
            <w:pPr>
              <w:jc w:val="center"/>
            </w:pPr>
          </w:p>
          <w:p w:rsidR="00DC7E3F" w:rsidRPr="009B65D6" w:rsidRDefault="00DC7E3F">
            <w:pPr>
              <w:jc w:val="center"/>
            </w:pPr>
          </w:p>
          <w:p w:rsidR="0044685F" w:rsidRPr="009B65D6" w:rsidRDefault="0044685F">
            <w:pPr>
              <w:jc w:val="center"/>
            </w:pPr>
          </w:p>
          <w:p w:rsidR="0044685F" w:rsidRPr="009B65D6" w:rsidRDefault="0044685F">
            <w:pPr>
              <w:jc w:val="center"/>
            </w:pPr>
          </w:p>
          <w:p w:rsidR="0044685F" w:rsidRPr="009B65D6" w:rsidRDefault="0044685F">
            <w:pPr>
              <w:jc w:val="center"/>
            </w:pPr>
          </w:p>
          <w:p w:rsidR="0044685F" w:rsidRPr="009B65D6" w:rsidRDefault="0044685F">
            <w:pPr>
              <w:jc w:val="center"/>
            </w:pPr>
          </w:p>
          <w:p w:rsidR="0044685F" w:rsidRPr="009B65D6" w:rsidRDefault="0044685F">
            <w:pPr>
              <w:jc w:val="center"/>
            </w:pPr>
          </w:p>
          <w:p w:rsidR="0044685F" w:rsidRPr="009B65D6" w:rsidRDefault="0044685F">
            <w:pPr>
              <w:jc w:val="center"/>
            </w:pPr>
          </w:p>
          <w:p w:rsidR="006621EE" w:rsidRPr="009B65D6" w:rsidRDefault="00EE18C9" w:rsidP="006621EE">
            <w:pPr>
              <w:jc w:val="center"/>
              <w:rPr>
                <w:b/>
              </w:rPr>
            </w:pPr>
            <w:r w:rsidRPr="009B65D6">
              <w:rPr>
                <w:b/>
              </w:rPr>
              <w:t>N</w:t>
            </w:r>
          </w:p>
          <w:p w:rsidR="006621EE" w:rsidRPr="009B65D6" w:rsidRDefault="006621EE" w:rsidP="006621EE">
            <w:pPr>
              <w:jc w:val="center"/>
              <w:rPr>
                <w:b/>
              </w:rPr>
            </w:pPr>
          </w:p>
          <w:p w:rsidR="006621EE" w:rsidRPr="009B65D6" w:rsidRDefault="006621EE"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634326" w:rsidP="006621EE">
            <w:pPr>
              <w:jc w:val="center"/>
              <w:rPr>
                <w:b/>
              </w:rPr>
            </w:pPr>
            <w:r w:rsidRPr="009B65D6">
              <w:rPr>
                <w:b/>
              </w:rPr>
              <w:t>D</w:t>
            </w:r>
          </w:p>
          <w:p w:rsidR="003B36EF" w:rsidRPr="009B65D6" w:rsidRDefault="003B36EF" w:rsidP="006621EE">
            <w:pPr>
              <w:jc w:val="center"/>
              <w:rPr>
                <w:b/>
              </w:rPr>
            </w:pPr>
          </w:p>
          <w:p w:rsidR="003B36EF" w:rsidRPr="009B65D6" w:rsidRDefault="003B36EF" w:rsidP="006621EE">
            <w:pPr>
              <w:jc w:val="center"/>
              <w:rPr>
                <w:b/>
              </w:rPr>
            </w:pPr>
          </w:p>
          <w:p w:rsidR="003B36EF" w:rsidRPr="009B65D6" w:rsidRDefault="003B36EF"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34326" w:rsidP="006621EE">
            <w:pPr>
              <w:jc w:val="center"/>
              <w:rPr>
                <w:b/>
              </w:rPr>
            </w:pPr>
            <w:r w:rsidRPr="009B65D6">
              <w:rPr>
                <w:b/>
              </w:rPr>
              <w:t>D</w:t>
            </w:r>
          </w:p>
          <w:p w:rsidR="006621EE" w:rsidRPr="009B65D6" w:rsidRDefault="006621EE" w:rsidP="006621EE">
            <w:pPr>
              <w:jc w:val="center"/>
              <w:rPr>
                <w:b/>
              </w:rPr>
            </w:pPr>
          </w:p>
          <w:p w:rsidR="006621EE" w:rsidRPr="009B65D6" w:rsidRDefault="006621EE" w:rsidP="006621EE">
            <w:pPr>
              <w:jc w:val="center"/>
              <w:rPr>
                <w:b/>
              </w:rPr>
            </w:pPr>
          </w:p>
          <w:p w:rsidR="008B1B4C" w:rsidRPr="009B65D6" w:rsidRDefault="008B1B4C">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3B36EF" w:rsidRPr="009B65D6" w:rsidRDefault="003B36EF">
            <w:pPr>
              <w:jc w:val="center"/>
            </w:pPr>
          </w:p>
          <w:p w:rsidR="007611FA" w:rsidRPr="009B65D6" w:rsidRDefault="007611FA">
            <w:pPr>
              <w:jc w:val="center"/>
            </w:pPr>
          </w:p>
          <w:p w:rsidR="007611FA" w:rsidRPr="009B65D6" w:rsidRDefault="007611FA">
            <w:pPr>
              <w:jc w:val="center"/>
            </w:pPr>
          </w:p>
          <w:p w:rsidR="007611FA" w:rsidRPr="009B65D6" w:rsidRDefault="007611FA">
            <w:pPr>
              <w:jc w:val="center"/>
            </w:pPr>
          </w:p>
          <w:p w:rsidR="007611FA" w:rsidRPr="009B65D6" w:rsidRDefault="007611FA">
            <w:pPr>
              <w:jc w:val="center"/>
            </w:pPr>
          </w:p>
          <w:p w:rsidR="007611FA" w:rsidRPr="009B65D6" w:rsidRDefault="007611FA">
            <w:pPr>
              <w:jc w:val="center"/>
            </w:pPr>
          </w:p>
          <w:p w:rsidR="007611FA" w:rsidRPr="009B65D6" w:rsidRDefault="007611FA">
            <w:pPr>
              <w:jc w:val="center"/>
            </w:pPr>
          </w:p>
          <w:p w:rsidR="007611FA" w:rsidRPr="009B65D6" w:rsidRDefault="007611FA">
            <w:pPr>
              <w:jc w:val="center"/>
            </w:pPr>
          </w:p>
          <w:p w:rsidR="007611FA" w:rsidRPr="009B65D6" w:rsidRDefault="007611FA">
            <w:pPr>
              <w:jc w:val="center"/>
            </w:pPr>
          </w:p>
          <w:p w:rsidR="007F67FF" w:rsidRPr="009B65D6" w:rsidRDefault="007F67FF">
            <w:pPr>
              <w:jc w:val="center"/>
            </w:pPr>
          </w:p>
          <w:p w:rsidR="007F67FF" w:rsidRPr="009B65D6" w:rsidRDefault="007F67FF">
            <w:pPr>
              <w:jc w:val="center"/>
            </w:pPr>
          </w:p>
          <w:p w:rsidR="007611FA" w:rsidRPr="009B65D6" w:rsidRDefault="007611FA" w:rsidP="007611FA"/>
          <w:p w:rsidR="003B36EF" w:rsidRPr="009B65D6" w:rsidRDefault="003B36EF">
            <w:pPr>
              <w:jc w:val="center"/>
              <w:rPr>
                <w:b/>
              </w:rPr>
            </w:pPr>
            <w:r w:rsidRPr="009B65D6">
              <w:rPr>
                <w:b/>
              </w:rPr>
              <w:t>O</w:t>
            </w: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3B36EF">
            <w:pPr>
              <w:jc w:val="center"/>
              <w:rPr>
                <w:b/>
              </w:rPr>
            </w:pPr>
          </w:p>
          <w:p w:rsidR="007611FA" w:rsidRPr="009B65D6" w:rsidRDefault="007611FA">
            <w:pPr>
              <w:jc w:val="center"/>
              <w:rPr>
                <w:b/>
              </w:rPr>
            </w:pPr>
          </w:p>
          <w:p w:rsidR="003B36EF" w:rsidRPr="009B65D6" w:rsidRDefault="003B36EF">
            <w:pPr>
              <w:jc w:val="center"/>
              <w:rPr>
                <w:b/>
              </w:rPr>
            </w:pPr>
          </w:p>
          <w:p w:rsidR="003B36EF" w:rsidRPr="009B65D6" w:rsidRDefault="003B36EF">
            <w:pPr>
              <w:jc w:val="center"/>
              <w:rPr>
                <w:b/>
              </w:rPr>
            </w:pPr>
          </w:p>
          <w:p w:rsidR="003B36EF" w:rsidRPr="009B65D6" w:rsidRDefault="00634326">
            <w:pPr>
              <w:jc w:val="center"/>
              <w:rPr>
                <w:b/>
              </w:rPr>
            </w:pPr>
            <w:r w:rsidRPr="009B65D6">
              <w:rPr>
                <w:b/>
              </w:rPr>
              <w:t>D</w:t>
            </w:r>
          </w:p>
          <w:p w:rsidR="003B36EF" w:rsidRPr="009B65D6" w:rsidRDefault="003B36EF">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634326">
            <w:pPr>
              <w:jc w:val="center"/>
              <w:rPr>
                <w:b/>
              </w:rPr>
            </w:pPr>
            <w:r w:rsidRPr="009B65D6">
              <w:rPr>
                <w:b/>
              </w:rPr>
              <w:t>D</w:t>
            </w: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p w:rsidR="00A32AE1" w:rsidRPr="009B65D6" w:rsidRDefault="007F67FF">
            <w:pPr>
              <w:jc w:val="center"/>
              <w:rPr>
                <w:b/>
              </w:rPr>
            </w:pPr>
            <w:r w:rsidRPr="009B65D6">
              <w:rPr>
                <w:b/>
              </w:rPr>
              <w:t>O</w:t>
            </w:r>
          </w:p>
          <w:p w:rsidR="00A32AE1" w:rsidRPr="009B65D6" w:rsidRDefault="00A32AE1">
            <w:pPr>
              <w:jc w:val="center"/>
              <w:rPr>
                <w:b/>
              </w:rPr>
            </w:pPr>
          </w:p>
          <w:p w:rsidR="00A32AE1" w:rsidRPr="009B65D6" w:rsidRDefault="00A32AE1">
            <w:pPr>
              <w:jc w:val="center"/>
              <w:rPr>
                <w:b/>
              </w:rPr>
            </w:pPr>
          </w:p>
          <w:p w:rsidR="00A32AE1" w:rsidRPr="009B65D6" w:rsidRDefault="00A32AE1">
            <w:pPr>
              <w:jc w:val="center"/>
              <w:rPr>
                <w:b/>
              </w:rPr>
            </w:pPr>
          </w:p>
        </w:tc>
        <w:tc>
          <w:tcPr>
            <w:tcW w:w="1134" w:type="dxa"/>
            <w:tcBorders>
              <w:top w:val="single" w:sz="4" w:space="0" w:color="auto"/>
              <w:left w:val="nil"/>
              <w:bottom w:val="single" w:sz="4" w:space="0" w:color="auto"/>
              <w:right w:val="single" w:sz="4" w:space="0" w:color="auto"/>
            </w:tcBorders>
          </w:tcPr>
          <w:p w:rsidR="00232523" w:rsidRPr="009B65D6" w:rsidRDefault="00232523" w:rsidP="00232523"/>
          <w:p w:rsidR="005B3DFE" w:rsidRPr="009B65D6" w:rsidRDefault="005B3DFE">
            <w:pPr>
              <w:jc w:val="center"/>
            </w:pPr>
          </w:p>
          <w:p w:rsidR="005B3DFE" w:rsidRPr="009B65D6" w:rsidRDefault="005B3DFE" w:rsidP="00DD3866"/>
          <w:p w:rsidR="00656B18" w:rsidRPr="009B65D6" w:rsidRDefault="00DC7E3F" w:rsidP="005B3DFE">
            <w:pPr>
              <w:rPr>
                <w:b/>
              </w:rPr>
            </w:pPr>
            <w:r w:rsidRPr="009B65D6">
              <w:t xml:space="preserve">595/2003 </w:t>
            </w:r>
          </w:p>
          <w:p w:rsidR="00E72743" w:rsidRPr="009B65D6" w:rsidRDefault="00F3105F">
            <w:pPr>
              <w:jc w:val="center"/>
              <w:rPr>
                <w:b/>
              </w:rPr>
            </w:pPr>
            <w:r w:rsidRPr="009B65D6">
              <w:rPr>
                <w:b/>
              </w:rPr>
              <w:t>a </w:t>
            </w:r>
          </w:p>
          <w:p w:rsidR="0044685F" w:rsidRPr="009B65D6" w:rsidRDefault="00F3105F">
            <w:pPr>
              <w:jc w:val="center"/>
              <w:rPr>
                <w:b/>
              </w:rPr>
            </w:pPr>
            <w:r w:rsidRPr="009B65D6">
              <w:rPr>
                <w:b/>
              </w:rPr>
              <w:t>Návrh zákona  čl. 1</w:t>
            </w:r>
          </w:p>
          <w:p w:rsidR="0044685F" w:rsidRPr="009B65D6" w:rsidRDefault="0044685F">
            <w:pPr>
              <w:jc w:val="center"/>
              <w:rPr>
                <w:b/>
              </w:rPr>
            </w:pPr>
          </w:p>
          <w:p w:rsidR="0044685F" w:rsidRPr="009B65D6" w:rsidRDefault="0044685F">
            <w:pPr>
              <w:jc w:val="center"/>
              <w:rPr>
                <w:b/>
              </w:rPr>
            </w:pPr>
          </w:p>
          <w:p w:rsidR="0044685F" w:rsidRPr="009B65D6" w:rsidRDefault="0044685F">
            <w:pPr>
              <w:jc w:val="center"/>
              <w:rPr>
                <w:b/>
              </w:rPr>
            </w:pPr>
          </w:p>
          <w:p w:rsidR="0044685F" w:rsidRPr="009B65D6" w:rsidRDefault="0044685F">
            <w:pPr>
              <w:jc w:val="center"/>
              <w:rPr>
                <w:b/>
              </w:rPr>
            </w:pPr>
          </w:p>
          <w:p w:rsidR="0044685F" w:rsidRPr="009B65D6" w:rsidRDefault="0044685F">
            <w:pPr>
              <w:jc w:val="center"/>
              <w:rPr>
                <w:b/>
              </w:rPr>
            </w:pPr>
          </w:p>
          <w:p w:rsidR="0044685F" w:rsidRPr="009B65D6" w:rsidRDefault="0044685F">
            <w:pPr>
              <w:jc w:val="center"/>
              <w:rPr>
                <w:b/>
              </w:rPr>
            </w:pPr>
          </w:p>
          <w:p w:rsidR="0044685F" w:rsidRPr="009B65D6" w:rsidRDefault="0044685F">
            <w:pPr>
              <w:jc w:val="center"/>
              <w:rPr>
                <w:b/>
              </w:rPr>
            </w:pPr>
          </w:p>
          <w:p w:rsidR="0044685F" w:rsidRPr="009B65D6" w:rsidRDefault="0044685F">
            <w:pPr>
              <w:jc w:val="center"/>
              <w:rPr>
                <w:b/>
              </w:rPr>
            </w:pPr>
          </w:p>
          <w:p w:rsidR="0044685F" w:rsidRPr="009B65D6" w:rsidRDefault="0044685F">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5972A6" w:rsidRPr="009B65D6" w:rsidRDefault="005972A6" w:rsidP="005972A6"/>
          <w:p w:rsidR="005972A6" w:rsidRPr="009B65D6" w:rsidRDefault="005972A6" w:rsidP="005972A6">
            <w:pPr>
              <w:rPr>
                <w:b/>
              </w:rPr>
            </w:pPr>
            <w:r w:rsidRPr="009B65D6">
              <w:t xml:space="preserve">595/2003 </w:t>
            </w:r>
          </w:p>
          <w:p w:rsidR="005972A6" w:rsidRPr="009B65D6" w:rsidRDefault="005972A6" w:rsidP="005972A6">
            <w:pPr>
              <w:jc w:val="center"/>
              <w:rPr>
                <w:b/>
              </w:rPr>
            </w:pPr>
            <w:r w:rsidRPr="009B65D6">
              <w:rPr>
                <w:b/>
              </w:rPr>
              <w:t>a </w:t>
            </w:r>
          </w:p>
          <w:p w:rsidR="005972A6" w:rsidRPr="009B65D6" w:rsidRDefault="005972A6" w:rsidP="005972A6">
            <w:pPr>
              <w:jc w:val="center"/>
              <w:rPr>
                <w:b/>
              </w:rPr>
            </w:pPr>
            <w:r w:rsidRPr="009B65D6">
              <w:rPr>
                <w:b/>
              </w:rPr>
              <w:t>Návrh zákona  čl. 1</w:t>
            </w:r>
          </w:p>
          <w:p w:rsidR="005972A6" w:rsidRPr="009B65D6" w:rsidRDefault="005972A6" w:rsidP="005972A6">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6621EE" w:rsidRPr="009B65D6" w:rsidRDefault="006621EE" w:rsidP="006621EE">
            <w:pPr>
              <w:jc w:val="center"/>
              <w:rPr>
                <w:b/>
              </w:rPr>
            </w:pPr>
          </w:p>
          <w:p w:rsidR="001308D7" w:rsidRPr="009B65D6" w:rsidRDefault="001308D7" w:rsidP="006621EE">
            <w:pPr>
              <w:jc w:val="center"/>
              <w:rPr>
                <w:b/>
              </w:rPr>
            </w:pPr>
          </w:p>
          <w:p w:rsidR="001308D7" w:rsidRPr="009B65D6" w:rsidRDefault="001308D7" w:rsidP="006621EE">
            <w:pPr>
              <w:jc w:val="center"/>
              <w:rPr>
                <w:b/>
              </w:rPr>
            </w:pPr>
          </w:p>
          <w:p w:rsidR="001308D7" w:rsidRPr="009B65D6" w:rsidRDefault="001308D7" w:rsidP="006621EE">
            <w:pPr>
              <w:jc w:val="center"/>
              <w:rPr>
                <w:b/>
              </w:rPr>
            </w:pPr>
          </w:p>
          <w:p w:rsidR="001308D7" w:rsidRPr="009B65D6" w:rsidRDefault="001308D7" w:rsidP="006621EE">
            <w:pPr>
              <w:jc w:val="center"/>
              <w:rPr>
                <w:b/>
              </w:rPr>
            </w:pPr>
          </w:p>
          <w:p w:rsidR="001308D7" w:rsidRPr="009B65D6" w:rsidRDefault="001308D7" w:rsidP="006621EE">
            <w:pPr>
              <w:jc w:val="center"/>
              <w:rPr>
                <w:b/>
              </w:rPr>
            </w:pPr>
          </w:p>
          <w:p w:rsidR="001308D7" w:rsidRPr="009B65D6" w:rsidRDefault="001308D7" w:rsidP="006621EE">
            <w:pPr>
              <w:jc w:val="center"/>
              <w:rPr>
                <w:b/>
              </w:rPr>
            </w:pPr>
          </w:p>
          <w:p w:rsidR="001308D7" w:rsidRPr="009B65D6" w:rsidRDefault="001308D7" w:rsidP="006621EE">
            <w:pPr>
              <w:jc w:val="center"/>
              <w:rPr>
                <w:b/>
              </w:rPr>
            </w:pPr>
          </w:p>
          <w:p w:rsidR="001308D7" w:rsidRPr="009B65D6" w:rsidRDefault="001308D7" w:rsidP="006621EE">
            <w:pPr>
              <w:jc w:val="center"/>
              <w:rPr>
                <w:b/>
              </w:rPr>
            </w:pPr>
          </w:p>
          <w:p w:rsidR="001308D7" w:rsidRPr="009B65D6" w:rsidRDefault="001308D7" w:rsidP="006621EE">
            <w:pPr>
              <w:jc w:val="center"/>
              <w:rPr>
                <w:b/>
              </w:rPr>
            </w:pPr>
          </w:p>
          <w:p w:rsidR="001308D7" w:rsidRPr="009B65D6" w:rsidRDefault="001308D7" w:rsidP="006621EE">
            <w:pPr>
              <w:jc w:val="center"/>
              <w:rPr>
                <w:b/>
              </w:rPr>
            </w:pPr>
          </w:p>
          <w:p w:rsidR="001308D7" w:rsidRPr="009B65D6" w:rsidRDefault="001308D7" w:rsidP="006621EE">
            <w:pPr>
              <w:jc w:val="center"/>
              <w:rPr>
                <w:b/>
              </w:rPr>
            </w:pPr>
          </w:p>
          <w:p w:rsidR="008C4119" w:rsidRPr="009B65D6" w:rsidRDefault="008C4119" w:rsidP="006621EE">
            <w:pPr>
              <w:jc w:val="center"/>
              <w:rPr>
                <w:b/>
              </w:rPr>
            </w:pPr>
          </w:p>
          <w:p w:rsidR="00CD6635" w:rsidRPr="009B65D6" w:rsidRDefault="00CD6635" w:rsidP="006621EE"/>
          <w:p w:rsidR="005972A6" w:rsidRPr="009B65D6" w:rsidRDefault="005972A6" w:rsidP="005972A6"/>
          <w:p w:rsidR="005972A6" w:rsidRPr="009B65D6" w:rsidRDefault="005972A6" w:rsidP="005972A6">
            <w:pPr>
              <w:rPr>
                <w:b/>
              </w:rPr>
            </w:pPr>
            <w:r w:rsidRPr="009B65D6">
              <w:t xml:space="preserve">595/2003 </w:t>
            </w:r>
          </w:p>
          <w:p w:rsidR="005972A6" w:rsidRPr="009B65D6" w:rsidRDefault="005972A6" w:rsidP="005972A6">
            <w:pPr>
              <w:jc w:val="center"/>
              <w:rPr>
                <w:b/>
              </w:rPr>
            </w:pPr>
            <w:r w:rsidRPr="009B65D6">
              <w:rPr>
                <w:b/>
              </w:rPr>
              <w:t>a </w:t>
            </w:r>
          </w:p>
          <w:p w:rsidR="005972A6" w:rsidRPr="009B65D6" w:rsidRDefault="005972A6" w:rsidP="005972A6">
            <w:pPr>
              <w:jc w:val="center"/>
              <w:rPr>
                <w:b/>
              </w:rPr>
            </w:pPr>
            <w:r w:rsidRPr="009B65D6">
              <w:rPr>
                <w:b/>
              </w:rPr>
              <w:t>Návrh zákona  čl. 1</w:t>
            </w:r>
          </w:p>
          <w:p w:rsidR="005972A6" w:rsidRPr="009B65D6" w:rsidRDefault="005972A6" w:rsidP="005972A6">
            <w:pPr>
              <w:jc w:val="center"/>
              <w:rPr>
                <w:b/>
              </w:rPr>
            </w:pPr>
          </w:p>
          <w:p w:rsidR="00CD6635" w:rsidRPr="009B65D6" w:rsidRDefault="00CD6635" w:rsidP="006621EE"/>
          <w:p w:rsidR="00CD6635" w:rsidRPr="009B65D6" w:rsidRDefault="00CD6635" w:rsidP="006621EE"/>
          <w:p w:rsidR="00CD6635" w:rsidRPr="009B65D6" w:rsidRDefault="00CD6635" w:rsidP="006621EE"/>
          <w:p w:rsidR="00CD6635" w:rsidRPr="009B65D6" w:rsidRDefault="00CD6635" w:rsidP="006621EE"/>
          <w:p w:rsidR="00CD6635" w:rsidRPr="009B65D6" w:rsidRDefault="00CD6635" w:rsidP="006621EE"/>
          <w:p w:rsidR="00CD6635" w:rsidRPr="009B65D6" w:rsidRDefault="00CD6635" w:rsidP="006621EE"/>
          <w:p w:rsidR="00CD6635" w:rsidRPr="009B65D6" w:rsidRDefault="00CD6635" w:rsidP="006621EE"/>
          <w:p w:rsidR="00CD6635" w:rsidRPr="009B65D6" w:rsidRDefault="00CD6635" w:rsidP="006621EE"/>
          <w:p w:rsidR="006621EE" w:rsidRPr="009B65D6" w:rsidRDefault="006621EE"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6621EE"/>
          <w:p w:rsidR="007F67FF" w:rsidRPr="009B65D6" w:rsidRDefault="007F67FF" w:rsidP="007F67FF">
            <w:pPr>
              <w:rPr>
                <w:b/>
              </w:rPr>
            </w:pPr>
            <w:r w:rsidRPr="009B65D6">
              <w:t xml:space="preserve">595/2003 </w:t>
            </w:r>
          </w:p>
          <w:p w:rsidR="007F67FF" w:rsidRPr="009B65D6" w:rsidRDefault="007F67FF" w:rsidP="007F67FF">
            <w:pPr>
              <w:jc w:val="center"/>
              <w:rPr>
                <w:b/>
              </w:rPr>
            </w:pPr>
            <w:r w:rsidRPr="009B65D6">
              <w:rPr>
                <w:b/>
              </w:rPr>
              <w:t>a </w:t>
            </w:r>
          </w:p>
          <w:p w:rsidR="007F67FF" w:rsidRPr="009B65D6" w:rsidRDefault="007F67FF" w:rsidP="007F67FF">
            <w:pPr>
              <w:jc w:val="center"/>
              <w:rPr>
                <w:b/>
              </w:rPr>
            </w:pPr>
            <w:r w:rsidRPr="009B65D6">
              <w:rPr>
                <w:b/>
              </w:rPr>
              <w:t>Návrh zákona  čl. 1</w:t>
            </w:r>
          </w:p>
          <w:p w:rsidR="007F67FF" w:rsidRPr="009B65D6" w:rsidRDefault="007F67FF"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6621EE"/>
          <w:p w:rsidR="00443FA7" w:rsidRPr="009B65D6" w:rsidRDefault="00443FA7"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2F24EC">
            <w:pPr>
              <w:jc w:val="center"/>
            </w:pPr>
          </w:p>
          <w:p w:rsidR="007F67FF" w:rsidRPr="009B65D6" w:rsidRDefault="007F67FF" w:rsidP="007F67FF"/>
          <w:p w:rsidR="007F67FF" w:rsidRPr="009B65D6" w:rsidRDefault="007F67FF" w:rsidP="007F67FF">
            <w:pPr>
              <w:rPr>
                <w:b/>
              </w:rPr>
            </w:pPr>
            <w:r w:rsidRPr="009B65D6">
              <w:t xml:space="preserve">595/2003 </w:t>
            </w:r>
          </w:p>
          <w:p w:rsidR="007F67FF" w:rsidRPr="009B65D6" w:rsidRDefault="007F67FF" w:rsidP="007F67FF">
            <w:pPr>
              <w:jc w:val="center"/>
              <w:rPr>
                <w:b/>
              </w:rPr>
            </w:pPr>
            <w:r w:rsidRPr="009B65D6">
              <w:rPr>
                <w:b/>
              </w:rPr>
              <w:t>a </w:t>
            </w:r>
          </w:p>
          <w:p w:rsidR="007F67FF" w:rsidRPr="009B65D6" w:rsidRDefault="007F67FF" w:rsidP="007F67FF">
            <w:pPr>
              <w:jc w:val="center"/>
              <w:rPr>
                <w:b/>
              </w:rPr>
            </w:pPr>
            <w:r w:rsidRPr="009B65D6">
              <w:rPr>
                <w:b/>
              </w:rPr>
              <w:t>Návrh zákona  čl. 1</w:t>
            </w:r>
          </w:p>
          <w:p w:rsidR="007F67FF" w:rsidRPr="009B65D6" w:rsidRDefault="007F67FF" w:rsidP="002F24EC">
            <w:pPr>
              <w:jc w:val="center"/>
            </w:pPr>
          </w:p>
        </w:tc>
        <w:tc>
          <w:tcPr>
            <w:tcW w:w="709" w:type="dxa"/>
            <w:tcBorders>
              <w:top w:val="single" w:sz="4" w:space="0" w:color="auto"/>
              <w:left w:val="single" w:sz="4" w:space="0" w:color="auto"/>
              <w:bottom w:val="single" w:sz="4" w:space="0" w:color="auto"/>
              <w:right w:val="single" w:sz="4" w:space="0" w:color="auto"/>
            </w:tcBorders>
          </w:tcPr>
          <w:p w:rsidR="00B172FD" w:rsidRPr="009B65D6" w:rsidRDefault="00B172FD" w:rsidP="004577EC">
            <w:pPr>
              <w:jc w:val="center"/>
              <w:rPr>
                <w:b/>
              </w:rPr>
            </w:pPr>
          </w:p>
          <w:p w:rsidR="00B172FD" w:rsidRPr="009B65D6" w:rsidRDefault="00B172FD" w:rsidP="004577EC">
            <w:pPr>
              <w:jc w:val="center"/>
              <w:rPr>
                <w:b/>
              </w:rPr>
            </w:pPr>
          </w:p>
          <w:p w:rsidR="00B172FD" w:rsidRPr="009B65D6" w:rsidRDefault="00B172FD" w:rsidP="004577EC">
            <w:pPr>
              <w:jc w:val="center"/>
              <w:rPr>
                <w:b/>
              </w:rPr>
            </w:pPr>
          </w:p>
          <w:p w:rsidR="004A1997" w:rsidRPr="009B65D6" w:rsidRDefault="004A1997" w:rsidP="00DD3866">
            <w:pPr>
              <w:rPr>
                <w:b/>
              </w:rPr>
            </w:pPr>
            <w:r w:rsidRPr="009B65D6">
              <w:rPr>
                <w:b/>
              </w:rPr>
              <w:t>§ 17k</w:t>
            </w:r>
          </w:p>
          <w:p w:rsidR="004A1997" w:rsidRPr="009B65D6" w:rsidRDefault="004A1997" w:rsidP="004577EC">
            <w:pPr>
              <w:jc w:val="center"/>
            </w:pPr>
          </w:p>
          <w:p w:rsidR="004A1997" w:rsidRPr="009B65D6" w:rsidRDefault="004A1997" w:rsidP="004577EC">
            <w:pPr>
              <w:jc w:val="center"/>
            </w:pPr>
          </w:p>
          <w:p w:rsidR="004A1997" w:rsidRPr="009B65D6" w:rsidRDefault="008C4BB9" w:rsidP="004577EC">
            <w:pPr>
              <w:jc w:val="center"/>
            </w:pPr>
            <w:r w:rsidRPr="009B65D6">
              <w:t>o</w:t>
            </w:r>
            <w:r w:rsidR="00A42631" w:rsidRPr="009B65D6">
              <w:t>ds.</w:t>
            </w:r>
            <w:r w:rsidRPr="009B65D6">
              <w:t xml:space="preserve"> 1, 2, 3, 5, 6, 9, 10</w:t>
            </w: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4A1997" w:rsidRPr="009B65D6" w:rsidRDefault="004A1997"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254053" w:rsidRPr="009B65D6" w:rsidRDefault="00254053" w:rsidP="00254053">
            <w:pPr>
              <w:rPr>
                <w:b/>
              </w:rPr>
            </w:pPr>
            <w:r w:rsidRPr="009B65D6">
              <w:rPr>
                <w:b/>
              </w:rPr>
              <w:t>§ 17k</w:t>
            </w:r>
          </w:p>
          <w:p w:rsidR="00254053" w:rsidRPr="009B65D6" w:rsidRDefault="00254053" w:rsidP="00254053">
            <w:pPr>
              <w:jc w:val="center"/>
            </w:pPr>
          </w:p>
          <w:p w:rsidR="00254053" w:rsidRPr="009B65D6" w:rsidRDefault="00254053" w:rsidP="00254053">
            <w:pPr>
              <w:jc w:val="center"/>
            </w:pPr>
          </w:p>
          <w:p w:rsidR="00254053" w:rsidRPr="009B65D6" w:rsidRDefault="00254053" w:rsidP="00254053">
            <w:pPr>
              <w:jc w:val="center"/>
            </w:pPr>
            <w:r w:rsidRPr="009B65D6">
              <w:t>ods. 2, 4</w:t>
            </w: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7E7A6B" w:rsidRPr="009B65D6" w:rsidRDefault="007E7A6B" w:rsidP="004577EC">
            <w:pPr>
              <w:jc w:val="center"/>
            </w:pPr>
          </w:p>
          <w:p w:rsidR="00F92314" w:rsidRPr="009B65D6" w:rsidRDefault="00F92314" w:rsidP="004577EC">
            <w:pPr>
              <w:jc w:val="center"/>
            </w:pPr>
          </w:p>
          <w:p w:rsidR="00F92314" w:rsidRPr="009B65D6" w:rsidRDefault="00F92314" w:rsidP="004577EC">
            <w:pPr>
              <w:jc w:val="center"/>
            </w:pPr>
          </w:p>
          <w:p w:rsidR="001308D7" w:rsidRPr="009B65D6" w:rsidRDefault="001308D7" w:rsidP="004577EC">
            <w:pPr>
              <w:jc w:val="center"/>
            </w:pPr>
          </w:p>
          <w:p w:rsidR="001308D7" w:rsidRPr="009B65D6" w:rsidRDefault="001308D7" w:rsidP="004577EC">
            <w:pPr>
              <w:jc w:val="center"/>
            </w:pPr>
          </w:p>
          <w:p w:rsidR="001308D7" w:rsidRPr="009B65D6" w:rsidRDefault="001308D7" w:rsidP="004577EC">
            <w:pPr>
              <w:jc w:val="center"/>
            </w:pPr>
          </w:p>
          <w:p w:rsidR="001308D7" w:rsidRPr="009B65D6" w:rsidRDefault="001308D7" w:rsidP="004577EC">
            <w:pPr>
              <w:jc w:val="center"/>
            </w:pPr>
          </w:p>
          <w:p w:rsidR="001308D7" w:rsidRPr="009B65D6" w:rsidRDefault="001308D7" w:rsidP="004577EC">
            <w:pPr>
              <w:jc w:val="center"/>
            </w:pPr>
          </w:p>
          <w:p w:rsidR="001308D7" w:rsidRPr="009B65D6" w:rsidRDefault="001308D7" w:rsidP="004577EC">
            <w:pPr>
              <w:jc w:val="center"/>
            </w:pPr>
          </w:p>
          <w:p w:rsidR="001308D7" w:rsidRPr="009B65D6" w:rsidRDefault="001308D7" w:rsidP="004577EC">
            <w:pPr>
              <w:jc w:val="center"/>
            </w:pPr>
          </w:p>
          <w:p w:rsidR="001308D7" w:rsidRPr="009B65D6" w:rsidRDefault="001308D7" w:rsidP="004577EC">
            <w:pPr>
              <w:jc w:val="center"/>
            </w:pPr>
          </w:p>
          <w:p w:rsidR="001308D7" w:rsidRPr="009B65D6" w:rsidRDefault="001308D7" w:rsidP="004577EC">
            <w:pPr>
              <w:jc w:val="center"/>
            </w:pPr>
          </w:p>
          <w:p w:rsidR="001308D7" w:rsidRPr="009B65D6" w:rsidRDefault="001308D7" w:rsidP="004577EC">
            <w:pPr>
              <w:jc w:val="center"/>
            </w:pPr>
          </w:p>
          <w:p w:rsidR="001308D7" w:rsidRPr="009B65D6" w:rsidRDefault="001308D7" w:rsidP="004577EC">
            <w:pPr>
              <w:jc w:val="center"/>
            </w:pPr>
          </w:p>
          <w:p w:rsidR="00F92314" w:rsidRPr="009B65D6" w:rsidRDefault="00F92314" w:rsidP="004577EC">
            <w:pPr>
              <w:jc w:val="center"/>
            </w:pPr>
          </w:p>
          <w:p w:rsidR="008C4119" w:rsidRPr="009B65D6" w:rsidRDefault="008C4119" w:rsidP="004577EC">
            <w:pPr>
              <w:jc w:val="center"/>
            </w:pPr>
          </w:p>
          <w:p w:rsidR="008C4119" w:rsidRPr="009B65D6" w:rsidRDefault="008C4119" w:rsidP="004577EC">
            <w:pPr>
              <w:jc w:val="center"/>
            </w:pPr>
          </w:p>
          <w:p w:rsidR="00CD6635" w:rsidRPr="009B65D6" w:rsidRDefault="00CD6635" w:rsidP="00724C20">
            <w:pPr>
              <w:rPr>
                <w:b/>
              </w:rPr>
            </w:pPr>
          </w:p>
          <w:p w:rsidR="00CD6635" w:rsidRPr="009B65D6" w:rsidRDefault="00CD6635" w:rsidP="00724C20">
            <w:pPr>
              <w:rPr>
                <w:b/>
              </w:rPr>
            </w:pPr>
          </w:p>
          <w:p w:rsidR="005972A6" w:rsidRPr="009B65D6" w:rsidRDefault="005972A6" w:rsidP="005972A6">
            <w:pPr>
              <w:tabs>
                <w:tab w:val="left" w:pos="851"/>
              </w:tabs>
              <w:jc w:val="center"/>
            </w:pPr>
            <w:r w:rsidRPr="009B65D6">
              <w:t>§ 52zzr</w:t>
            </w:r>
          </w:p>
          <w:p w:rsidR="00CD6635" w:rsidRPr="009B65D6" w:rsidRDefault="00CD6635" w:rsidP="00724C20">
            <w:pPr>
              <w:rPr>
                <w:b/>
              </w:rPr>
            </w:pPr>
          </w:p>
          <w:p w:rsidR="00CD6635" w:rsidRPr="009B65D6" w:rsidRDefault="00CD6635" w:rsidP="00724C20">
            <w:pPr>
              <w:rPr>
                <w:b/>
              </w:rPr>
            </w:pPr>
          </w:p>
          <w:p w:rsidR="00CD6635" w:rsidRPr="009B65D6" w:rsidRDefault="00CD6635" w:rsidP="00724C20">
            <w:pPr>
              <w:rPr>
                <w:b/>
              </w:rPr>
            </w:pPr>
          </w:p>
          <w:p w:rsidR="00CD6635" w:rsidRPr="009B65D6" w:rsidRDefault="00CD6635" w:rsidP="00724C20">
            <w:pPr>
              <w:rPr>
                <w:b/>
              </w:rPr>
            </w:pPr>
          </w:p>
          <w:p w:rsidR="00CD6635" w:rsidRPr="009B65D6" w:rsidRDefault="00CD6635" w:rsidP="00724C20">
            <w:pPr>
              <w:rPr>
                <w:b/>
              </w:rPr>
            </w:pPr>
          </w:p>
          <w:p w:rsidR="00CD6635" w:rsidRPr="009B65D6" w:rsidRDefault="00CD6635" w:rsidP="00724C20">
            <w:pPr>
              <w:rPr>
                <w:b/>
              </w:rPr>
            </w:pPr>
          </w:p>
          <w:p w:rsidR="00CD6635" w:rsidRPr="009B65D6" w:rsidRDefault="00CD6635" w:rsidP="00724C20">
            <w:pPr>
              <w:rPr>
                <w:b/>
              </w:rPr>
            </w:pPr>
          </w:p>
          <w:p w:rsidR="00CD6635" w:rsidRPr="009B65D6" w:rsidRDefault="00CD6635" w:rsidP="00724C20">
            <w:pPr>
              <w:rPr>
                <w:b/>
              </w:rPr>
            </w:pPr>
          </w:p>
          <w:p w:rsidR="00DD3866" w:rsidRPr="009B65D6" w:rsidRDefault="00DD3866" w:rsidP="00724C20">
            <w:pPr>
              <w:rPr>
                <w:b/>
              </w:rPr>
            </w:pPr>
          </w:p>
          <w:p w:rsidR="00DD3866" w:rsidRPr="009B65D6" w:rsidRDefault="00DD3866" w:rsidP="00724C20">
            <w:pPr>
              <w:rPr>
                <w:b/>
              </w:rP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44685F" w:rsidRPr="009B65D6" w:rsidRDefault="0044685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r w:rsidRPr="009B65D6">
              <w:t>§ 17k</w:t>
            </w:r>
          </w:p>
          <w:p w:rsidR="007F67FF" w:rsidRPr="009B65D6" w:rsidRDefault="007F67FF" w:rsidP="004577EC">
            <w:pPr>
              <w:jc w:val="center"/>
            </w:pPr>
            <w:r w:rsidRPr="009B65D6">
              <w:t>ods. 7</w:t>
            </w: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p>
          <w:p w:rsidR="007F67FF" w:rsidRPr="009B65D6" w:rsidRDefault="007F67FF" w:rsidP="004577EC">
            <w:pPr>
              <w:jc w:val="center"/>
            </w:pPr>
            <w:r w:rsidRPr="009B65D6">
              <w:t>§ 17k</w:t>
            </w:r>
          </w:p>
          <w:p w:rsidR="007F67FF" w:rsidRPr="009B65D6" w:rsidRDefault="007F67FF" w:rsidP="004577EC">
            <w:pPr>
              <w:jc w:val="center"/>
            </w:pPr>
            <w:r w:rsidRPr="009B65D6">
              <w:t>ods. 8</w:t>
            </w:r>
          </w:p>
        </w:tc>
        <w:tc>
          <w:tcPr>
            <w:tcW w:w="4536" w:type="dxa"/>
            <w:tcBorders>
              <w:top w:val="single" w:sz="4" w:space="0" w:color="auto"/>
              <w:left w:val="single" w:sz="4" w:space="0" w:color="auto"/>
              <w:bottom w:val="single" w:sz="4" w:space="0" w:color="auto"/>
              <w:right w:val="single" w:sz="4" w:space="0" w:color="auto"/>
            </w:tcBorders>
          </w:tcPr>
          <w:p w:rsidR="00B172FD" w:rsidRPr="009B65D6" w:rsidRDefault="00B172FD" w:rsidP="007E7A6B">
            <w:pPr>
              <w:rPr>
                <w:b/>
              </w:rPr>
            </w:pPr>
          </w:p>
          <w:p w:rsidR="00B172FD" w:rsidRPr="009B65D6" w:rsidRDefault="00B172FD" w:rsidP="007E7A6B">
            <w:pPr>
              <w:rPr>
                <w:b/>
              </w:rPr>
            </w:pPr>
          </w:p>
          <w:p w:rsidR="007E7A6B" w:rsidRPr="009B65D6" w:rsidRDefault="007E7A6B" w:rsidP="007E7A6B">
            <w:pPr>
              <w:rPr>
                <w:b/>
              </w:rPr>
            </w:pPr>
            <w:r w:rsidRPr="009B65D6">
              <w:rPr>
                <w:b/>
              </w:rPr>
              <w:t>§ 17k</w:t>
            </w:r>
          </w:p>
          <w:p w:rsidR="003D692A" w:rsidRPr="009B65D6" w:rsidRDefault="003D692A" w:rsidP="0024410A">
            <w:pPr>
              <w:spacing w:after="120"/>
              <w:rPr>
                <w:b/>
              </w:rPr>
            </w:pPr>
            <w:r w:rsidRPr="009B65D6">
              <w:rPr>
                <w:b/>
              </w:rPr>
              <w:t>Pravidlo o obmedz</w:t>
            </w:r>
            <w:r w:rsidR="005B68FE" w:rsidRPr="009B65D6">
              <w:rPr>
                <w:b/>
              </w:rPr>
              <w:t>en</w:t>
            </w:r>
            <w:r w:rsidRPr="009B65D6">
              <w:rPr>
                <w:b/>
              </w:rPr>
              <w:t>í úrokových nákladov</w:t>
            </w:r>
          </w:p>
          <w:p w:rsidR="00145129" w:rsidRPr="009B65D6" w:rsidRDefault="006662CC" w:rsidP="006662CC">
            <w:pPr>
              <w:autoSpaceDE/>
              <w:autoSpaceDN/>
              <w:ind w:left="382" w:hanging="425"/>
              <w:jc w:val="both"/>
              <w:rPr>
                <w:b/>
              </w:rPr>
            </w:pPr>
            <w:r w:rsidRPr="009B65D6">
              <w:rPr>
                <w:b/>
              </w:rPr>
              <w:t xml:space="preserve">(1) </w:t>
            </w:r>
            <w:r w:rsidR="00F36069" w:rsidRPr="009B65D6">
              <w:rPr>
                <w:b/>
              </w:rPr>
              <w:t>Základ dane zistený podľa § 17 až 29 u daňovníka podľa § 2 písm. d) druhého bodu a písm. e) tretieho bodu so stálou prevádzkarňou (§ 16 ods. 2), ktorý zisťuje základ dane podľa § 17 ods. 1 písm. b) alebo písm. c), sa upraví podľa odseku 2.</w:t>
            </w:r>
          </w:p>
          <w:p w:rsidR="0088195E" w:rsidRPr="009B65D6" w:rsidRDefault="0088195E" w:rsidP="0088195E">
            <w:pPr>
              <w:autoSpaceDE/>
              <w:autoSpaceDN/>
              <w:ind w:left="426"/>
              <w:jc w:val="both"/>
              <w:rPr>
                <w:b/>
              </w:rPr>
            </w:pPr>
          </w:p>
          <w:p w:rsidR="008C4BB9" w:rsidRPr="009B65D6" w:rsidRDefault="008C4BB9" w:rsidP="008C4BB9">
            <w:pPr>
              <w:autoSpaceDE/>
              <w:autoSpaceDN/>
              <w:ind w:left="426"/>
              <w:jc w:val="both"/>
              <w:rPr>
                <w:b/>
              </w:rPr>
            </w:pPr>
          </w:p>
          <w:p w:rsidR="008C4BB9" w:rsidRPr="009B65D6" w:rsidRDefault="008C4BB9" w:rsidP="008C4BB9">
            <w:pPr>
              <w:autoSpaceDE/>
              <w:autoSpaceDN/>
              <w:ind w:left="426" w:hanging="469"/>
              <w:jc w:val="both"/>
              <w:rPr>
                <w:b/>
              </w:rPr>
            </w:pPr>
            <w:r w:rsidRPr="009B65D6">
              <w:rPr>
                <w:b/>
              </w:rPr>
              <w:lastRenderedPageBreak/>
              <w:t>(2) Ak suma čistých úrokových nákladov je vyššia ako 3 000 000 eur, základ dane sa zvýši o sumu, o ktorú čisté úrokové náklady presiahnu 30 % úhrnu základov dane zvýšeného o čisté úrokové náklady a o odpisy zahrnuté v zdaňovacom období do základu dane podľa § 19 ods. 3 písm. a) a § 22 ods. 12.</w:t>
            </w:r>
          </w:p>
          <w:p w:rsidR="002C7609" w:rsidRPr="009B65D6" w:rsidRDefault="002C7609" w:rsidP="0088195E">
            <w:pPr>
              <w:autoSpaceDE/>
              <w:autoSpaceDN/>
              <w:ind w:left="426"/>
              <w:jc w:val="both"/>
              <w:rPr>
                <w:b/>
              </w:rPr>
            </w:pPr>
          </w:p>
          <w:p w:rsidR="00785CAA" w:rsidRPr="009B65D6" w:rsidRDefault="004204BE" w:rsidP="00785CAA">
            <w:pPr>
              <w:autoSpaceDE/>
              <w:autoSpaceDN/>
              <w:ind w:left="426" w:hanging="426"/>
              <w:jc w:val="both"/>
              <w:rPr>
                <w:b/>
              </w:rPr>
            </w:pPr>
            <w:r w:rsidRPr="009B65D6">
              <w:rPr>
                <w:b/>
              </w:rPr>
              <w:t xml:space="preserve">(3) </w:t>
            </w:r>
            <w:r w:rsidR="00785CAA" w:rsidRPr="009B65D6">
              <w:rPr>
                <w:b/>
              </w:rPr>
              <w:t>Čistými úrokovými nákladmi sa rozumie suma, o ktorú výdavky (náklady) na prijaté úvery a pôžičky podľa odseku 4, ktoré sú v príslušnom zdaňovacom období daňovými výdavkami, presahujú úrokové výnosy a iné príjmy ekonomicky rovnocenné úrokovým výnosom, ktoré sú v príslušnom zdaňovacom období zdaniteľným príjmom.</w:t>
            </w:r>
          </w:p>
          <w:p w:rsidR="004204BE" w:rsidRPr="009B65D6" w:rsidRDefault="004204BE" w:rsidP="004204BE">
            <w:pPr>
              <w:autoSpaceDE/>
              <w:autoSpaceDN/>
              <w:ind w:left="426"/>
              <w:jc w:val="both"/>
              <w:rPr>
                <w:b/>
              </w:rPr>
            </w:pPr>
          </w:p>
          <w:p w:rsidR="004204BE" w:rsidRPr="009B65D6" w:rsidRDefault="004204BE" w:rsidP="004204BE">
            <w:pPr>
              <w:autoSpaceDE/>
              <w:autoSpaceDN/>
              <w:ind w:left="426" w:hanging="426"/>
              <w:jc w:val="both"/>
              <w:rPr>
                <w:b/>
              </w:rPr>
            </w:pPr>
            <w:r w:rsidRPr="009B65D6">
              <w:rPr>
                <w:b/>
              </w:rPr>
              <w:t>(5) Na účely tohto ustanovenia sa za úrokové výnosy a iné príjmy ekonomicky rovnocenné úrokovým výnosom rozumejú príjmy (výnosy) zodpovedajúce výdavkom (nákladom) podľa odseku 4 vznikajúce u veriteľa vrátane úrokových výnosov, z ktorých sa daň vyberá zrážkou a jej vybratím sa považuje daňová povinnosť za splnenú.</w:t>
            </w:r>
          </w:p>
          <w:p w:rsidR="004204BE" w:rsidRPr="009B65D6" w:rsidRDefault="004204BE" w:rsidP="004204BE">
            <w:pPr>
              <w:autoSpaceDE/>
              <w:autoSpaceDN/>
              <w:ind w:left="426"/>
              <w:jc w:val="both"/>
              <w:rPr>
                <w:b/>
              </w:rPr>
            </w:pPr>
          </w:p>
          <w:p w:rsidR="004204BE" w:rsidRPr="009B65D6" w:rsidRDefault="004204BE" w:rsidP="004204BE">
            <w:pPr>
              <w:autoSpaceDE/>
              <w:autoSpaceDN/>
              <w:ind w:left="426" w:hanging="426"/>
              <w:jc w:val="both"/>
              <w:rPr>
                <w:b/>
              </w:rPr>
            </w:pPr>
            <w:r w:rsidRPr="009B65D6">
              <w:rPr>
                <w:b/>
              </w:rPr>
              <w:t>(6) Úhrnom základov dane na účely odseku 2 sa rozumie úhrn:</w:t>
            </w:r>
          </w:p>
          <w:p w:rsidR="004204BE" w:rsidRPr="009B65D6" w:rsidRDefault="004204BE" w:rsidP="004204BE">
            <w:pPr>
              <w:autoSpaceDE/>
              <w:autoSpaceDN/>
              <w:ind w:left="426"/>
              <w:jc w:val="both"/>
              <w:rPr>
                <w:b/>
              </w:rPr>
            </w:pPr>
            <w:r w:rsidRPr="009B65D6">
              <w:rPr>
                <w:b/>
              </w:rPr>
              <w:t>a)</w:t>
            </w:r>
            <w:r w:rsidRPr="009B65D6">
              <w:rPr>
                <w:b/>
              </w:rPr>
              <w:tab/>
              <w:t xml:space="preserve">základu dane zisteného podľa § 17 až 29 zníženého o úhrn vyňatých príjmov </w:t>
            </w:r>
            <w:r w:rsidRPr="009B65D6">
              <w:rPr>
                <w:b/>
              </w:rPr>
              <w:lastRenderedPageBreak/>
              <w:t>(základov dane) podliehajúcich zdaneniu v zahraničí,</w:t>
            </w:r>
          </w:p>
          <w:p w:rsidR="004204BE" w:rsidRPr="009B65D6" w:rsidRDefault="004204BE" w:rsidP="004204BE">
            <w:pPr>
              <w:autoSpaceDE/>
              <w:autoSpaceDN/>
              <w:ind w:left="426"/>
              <w:jc w:val="both"/>
              <w:rPr>
                <w:b/>
              </w:rPr>
            </w:pPr>
            <w:r w:rsidRPr="009B65D6">
              <w:rPr>
                <w:b/>
              </w:rPr>
              <w:t>b)</w:t>
            </w:r>
            <w:r w:rsidRPr="009B65D6">
              <w:rPr>
                <w:b/>
              </w:rPr>
              <w:tab/>
              <w:t>osobitného základu dane podľa § 17f,</w:t>
            </w:r>
          </w:p>
          <w:p w:rsidR="004204BE" w:rsidRPr="009B65D6" w:rsidRDefault="004204BE" w:rsidP="004204BE">
            <w:pPr>
              <w:autoSpaceDE/>
              <w:autoSpaceDN/>
              <w:ind w:left="426"/>
              <w:jc w:val="both"/>
              <w:rPr>
                <w:b/>
              </w:rPr>
            </w:pPr>
            <w:r w:rsidRPr="009B65D6">
              <w:rPr>
                <w:b/>
              </w:rPr>
              <w:t>c)</w:t>
            </w:r>
            <w:r w:rsidRPr="009B65D6">
              <w:rPr>
                <w:b/>
              </w:rPr>
              <w:tab/>
              <w:t>osobitného základu dane podľa § 51e,</w:t>
            </w:r>
          </w:p>
          <w:p w:rsidR="004204BE" w:rsidRPr="009B65D6" w:rsidRDefault="004204BE" w:rsidP="004204BE">
            <w:pPr>
              <w:autoSpaceDE/>
              <w:autoSpaceDN/>
              <w:ind w:left="426"/>
              <w:jc w:val="both"/>
              <w:rPr>
                <w:b/>
              </w:rPr>
            </w:pPr>
            <w:r w:rsidRPr="009B65D6">
              <w:rPr>
                <w:b/>
              </w:rPr>
              <w:t>d)</w:t>
            </w:r>
            <w:r w:rsidRPr="009B65D6">
              <w:rPr>
                <w:b/>
              </w:rPr>
              <w:tab/>
              <w:t>základov dane z príjmov, z ktorých sa daň vyberá zrážkou a jej vybratím sa považuje daňová povinnosť za splnenú.</w:t>
            </w:r>
          </w:p>
          <w:p w:rsidR="004204BE" w:rsidRPr="009B65D6" w:rsidRDefault="004204BE" w:rsidP="004204BE">
            <w:pPr>
              <w:autoSpaceDE/>
              <w:autoSpaceDN/>
              <w:ind w:left="426"/>
              <w:jc w:val="both"/>
              <w:rPr>
                <w:b/>
              </w:rPr>
            </w:pPr>
          </w:p>
          <w:p w:rsidR="004204BE" w:rsidRPr="009B65D6" w:rsidRDefault="004204BE" w:rsidP="004204BE">
            <w:pPr>
              <w:autoSpaceDE/>
              <w:autoSpaceDN/>
              <w:ind w:left="426" w:hanging="469"/>
              <w:jc w:val="both"/>
              <w:rPr>
                <w:b/>
              </w:rPr>
            </w:pPr>
            <w:r w:rsidRPr="009B65D6">
              <w:rPr>
                <w:b/>
              </w:rPr>
              <w:t xml:space="preserve">(9) U daňovníka podľa § 2 písm. d) druhého bodu, ktorý je spoločníkom verejnej obchodnej spoločnosti, pri výpočte úhrnu základu dane podľa odseku 6 nie je súčasťou základu dane zisteného podľa § 17 až 29 časť základu dane verejnej obchodnej spoločnosti, ktorá je súčasťou jeho základu dane. </w:t>
            </w:r>
          </w:p>
          <w:p w:rsidR="004204BE" w:rsidRPr="009B65D6" w:rsidRDefault="004204BE" w:rsidP="004204BE">
            <w:pPr>
              <w:autoSpaceDE/>
              <w:autoSpaceDN/>
              <w:ind w:left="426"/>
              <w:jc w:val="both"/>
              <w:rPr>
                <w:b/>
              </w:rPr>
            </w:pPr>
          </w:p>
          <w:p w:rsidR="007D2E47" w:rsidRPr="009B65D6" w:rsidRDefault="004204BE" w:rsidP="004204BE">
            <w:pPr>
              <w:autoSpaceDE/>
              <w:autoSpaceDN/>
              <w:ind w:left="426" w:hanging="469"/>
              <w:jc w:val="both"/>
              <w:rPr>
                <w:b/>
              </w:rPr>
            </w:pPr>
            <w:r w:rsidRPr="009B65D6">
              <w:rPr>
                <w:b/>
              </w:rPr>
              <w:t>(10) U daňovníka podľa § 2 písm. d) druhého bodu, ktorý je komplementárom komanditnej spoločnosti, pri výpočte úhrnu základu dane podľa odseku 6 nie je súčasťou základu dane zisteného podľa § 17 až 29 časť základu dane komanditnej spoločnosti, ktorá je súčasťou jeho základu dane.</w:t>
            </w:r>
          </w:p>
          <w:p w:rsidR="002C7609" w:rsidRPr="009B65D6" w:rsidRDefault="002C7609" w:rsidP="004204BE">
            <w:pPr>
              <w:autoSpaceDE/>
              <w:autoSpaceDN/>
              <w:ind w:left="426" w:hanging="469"/>
              <w:jc w:val="both"/>
              <w:rPr>
                <w:b/>
              </w:rPr>
            </w:pPr>
          </w:p>
          <w:p w:rsidR="002C7609" w:rsidRPr="009B65D6" w:rsidRDefault="002C7609" w:rsidP="004204BE">
            <w:pPr>
              <w:autoSpaceDE/>
              <w:autoSpaceDN/>
              <w:ind w:left="426" w:hanging="469"/>
              <w:jc w:val="both"/>
              <w:rPr>
                <w:b/>
              </w:rPr>
            </w:pPr>
          </w:p>
          <w:p w:rsidR="002C7609" w:rsidRPr="009B65D6" w:rsidRDefault="002C7609" w:rsidP="004204BE">
            <w:pPr>
              <w:autoSpaceDE/>
              <w:autoSpaceDN/>
              <w:ind w:left="426" w:hanging="469"/>
              <w:jc w:val="both"/>
              <w:rPr>
                <w:b/>
              </w:rPr>
            </w:pPr>
          </w:p>
          <w:p w:rsidR="002C7609" w:rsidRPr="009B65D6" w:rsidRDefault="002C7609" w:rsidP="004204BE">
            <w:pPr>
              <w:autoSpaceDE/>
              <w:autoSpaceDN/>
              <w:ind w:left="426" w:hanging="469"/>
              <w:jc w:val="both"/>
              <w:rPr>
                <w:b/>
              </w:rPr>
            </w:pPr>
          </w:p>
          <w:p w:rsidR="002C7609" w:rsidRPr="009B65D6" w:rsidRDefault="002C7609" w:rsidP="004204BE">
            <w:pPr>
              <w:autoSpaceDE/>
              <w:autoSpaceDN/>
              <w:ind w:left="426" w:hanging="469"/>
              <w:jc w:val="both"/>
              <w:rPr>
                <w:b/>
              </w:rPr>
            </w:pPr>
          </w:p>
          <w:p w:rsidR="00BB05F5" w:rsidRPr="009B65D6" w:rsidRDefault="00BB05F5"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8C4BB9" w:rsidRPr="009B65D6" w:rsidRDefault="008C4BB9" w:rsidP="0088195E">
            <w:pPr>
              <w:autoSpaceDE/>
              <w:autoSpaceDN/>
              <w:ind w:left="426"/>
              <w:jc w:val="both"/>
              <w:rPr>
                <w:b/>
              </w:rPr>
            </w:pPr>
          </w:p>
          <w:p w:rsidR="004204BE" w:rsidRPr="009B65D6" w:rsidRDefault="00BB05F5" w:rsidP="00BB05F5">
            <w:pPr>
              <w:autoSpaceDE/>
              <w:autoSpaceDN/>
              <w:ind w:left="426" w:hanging="469"/>
              <w:jc w:val="both"/>
              <w:rPr>
                <w:b/>
              </w:rPr>
            </w:pPr>
            <w:r w:rsidRPr="009B65D6">
              <w:rPr>
                <w:b/>
              </w:rPr>
              <w:t>(2) Ak suma čistých úrokových nákladov je vyššia ako 3 000 000 eur, základ dane sa zvýši o sumu, o ktorú čisté úrokové náklady presiahnu 30 % úhrnu základov dane zvýšeného o čisté úrokové náklady a o odpisy zahrnuté v zdaňovacom období do základu dane podľa § 19 ods. 3 písm. a) a § 22 ods. 12.</w:t>
            </w:r>
          </w:p>
          <w:p w:rsidR="00BB05F5" w:rsidRPr="009B65D6" w:rsidRDefault="00BB05F5" w:rsidP="00BB05F5">
            <w:pPr>
              <w:autoSpaceDE/>
              <w:autoSpaceDN/>
              <w:ind w:left="426" w:hanging="469"/>
              <w:jc w:val="both"/>
              <w:rPr>
                <w:b/>
              </w:rPr>
            </w:pPr>
          </w:p>
          <w:p w:rsidR="00263F34" w:rsidRPr="009B65D6" w:rsidRDefault="0064267B" w:rsidP="0064267B">
            <w:pPr>
              <w:autoSpaceDE/>
              <w:autoSpaceDN/>
              <w:ind w:left="426" w:hanging="469"/>
              <w:jc w:val="both"/>
              <w:rPr>
                <w:b/>
              </w:rPr>
            </w:pPr>
            <w:r w:rsidRPr="009B65D6">
              <w:rPr>
                <w:b/>
              </w:rPr>
              <w:t xml:space="preserve">(4) </w:t>
            </w:r>
            <w:r w:rsidR="00263F34" w:rsidRPr="009B65D6">
              <w:rPr>
                <w:b/>
              </w:rPr>
              <w:t xml:space="preserve">Na účely tohto ustanovenia sa za výdavky (náklady) na prijaté úvery a pôžičky považujú úrokové náklady spojené so všetkými druhmi dlhu, iné náklady ekonomicky rovnocenné úrokom, výdavky, ktoré vznikli v </w:t>
            </w:r>
            <w:r w:rsidR="00263F34" w:rsidRPr="009B65D6">
              <w:rPr>
                <w:b/>
              </w:rPr>
              <w:lastRenderedPageBreak/>
              <w:t xml:space="preserve">súvislosti so získavaním finančných prostriedkov u dlžníka, ktorými sú </w:t>
            </w:r>
          </w:p>
          <w:p w:rsidR="00263F34" w:rsidRPr="009B65D6" w:rsidRDefault="00263F34" w:rsidP="00263F34">
            <w:pPr>
              <w:autoSpaceDE/>
              <w:autoSpaceDN/>
              <w:ind w:left="426"/>
              <w:jc w:val="both"/>
              <w:rPr>
                <w:b/>
              </w:rPr>
            </w:pPr>
            <w:r w:rsidRPr="009B65D6">
              <w:rPr>
                <w:b/>
              </w:rPr>
              <w:t>a)</w:t>
            </w:r>
            <w:r w:rsidRPr="009B65D6">
              <w:rPr>
                <w:b/>
              </w:rPr>
              <w:tab/>
              <w:t>úroky z úverov a pôžičiek,</w:t>
            </w:r>
          </w:p>
          <w:p w:rsidR="00263F34" w:rsidRPr="009B65D6" w:rsidRDefault="00263F34" w:rsidP="00263F34">
            <w:pPr>
              <w:autoSpaceDE/>
              <w:autoSpaceDN/>
              <w:ind w:left="426"/>
              <w:jc w:val="both"/>
              <w:rPr>
                <w:b/>
              </w:rPr>
            </w:pPr>
            <w:r w:rsidRPr="009B65D6">
              <w:rPr>
                <w:b/>
              </w:rPr>
              <w:t>b)</w:t>
            </w:r>
            <w:r w:rsidRPr="009B65D6">
              <w:rPr>
                <w:b/>
              </w:rPr>
              <w:tab/>
              <w:t>úroky z dlhopisov, pokladničných poukážok a iných platieb z finančných nástrojov zodpovedajúce charakteru úrokov,</w:t>
            </w:r>
          </w:p>
          <w:p w:rsidR="00263F34" w:rsidRPr="009B65D6" w:rsidRDefault="00263F34" w:rsidP="00263F34">
            <w:pPr>
              <w:autoSpaceDE/>
              <w:autoSpaceDN/>
              <w:ind w:left="426"/>
              <w:jc w:val="both"/>
              <w:rPr>
                <w:b/>
              </w:rPr>
            </w:pPr>
            <w:r w:rsidRPr="009B65D6">
              <w:rPr>
                <w:b/>
              </w:rPr>
              <w:t>c)</w:t>
            </w:r>
            <w:r w:rsidRPr="009B65D6">
              <w:rPr>
                <w:b/>
              </w:rPr>
              <w:tab/>
              <w:t>úrok z finančného prenájmu,</w:t>
            </w:r>
          </w:p>
          <w:p w:rsidR="00263F34" w:rsidRPr="009B65D6" w:rsidRDefault="00263F34" w:rsidP="00263F34">
            <w:pPr>
              <w:autoSpaceDE/>
              <w:autoSpaceDN/>
              <w:ind w:left="426"/>
              <w:jc w:val="both"/>
              <w:rPr>
                <w:b/>
              </w:rPr>
            </w:pPr>
            <w:r w:rsidRPr="009B65D6">
              <w:rPr>
                <w:b/>
              </w:rPr>
              <w:t>d)</w:t>
            </w:r>
            <w:r w:rsidRPr="009B65D6">
              <w:rPr>
                <w:b/>
              </w:rPr>
              <w:tab/>
              <w:t>úrokové sumy v rámci derivátových operácií súvisiace s úvermi a pôžičkami  daňovníka,</w:t>
            </w:r>
          </w:p>
          <w:p w:rsidR="00263F34" w:rsidRPr="009B65D6" w:rsidRDefault="00263F34" w:rsidP="00263F34">
            <w:pPr>
              <w:autoSpaceDE/>
              <w:autoSpaceDN/>
              <w:ind w:left="426"/>
              <w:jc w:val="both"/>
              <w:rPr>
                <w:b/>
              </w:rPr>
            </w:pPr>
            <w:r w:rsidRPr="009B65D6">
              <w:rPr>
                <w:b/>
              </w:rPr>
              <w:t>e)</w:t>
            </w:r>
            <w:r w:rsidRPr="009B65D6">
              <w:rPr>
                <w:b/>
              </w:rPr>
              <w:tab/>
              <w:t xml:space="preserve">úroky, ktoré sú súčasťou obstarávacej ceny majetku alebo vlastných nákladov, a to v pomere v akom sa tieto úroky podieľajú na obstarávacej cene majetku alebo vlastných nákladoch majetku vrátane technického zhodnotenia alebo v pomere v akom sa tieto úroky podieľajú na zostatkovej cene (§25 ods. 3),  </w:t>
            </w:r>
          </w:p>
          <w:p w:rsidR="00263F34" w:rsidRPr="009B65D6" w:rsidRDefault="00263F34" w:rsidP="00263F34">
            <w:pPr>
              <w:autoSpaceDE/>
              <w:autoSpaceDN/>
              <w:ind w:left="426"/>
              <w:jc w:val="both"/>
              <w:rPr>
                <w:b/>
              </w:rPr>
            </w:pPr>
            <w:r w:rsidRPr="009B65D6">
              <w:rPr>
                <w:b/>
              </w:rPr>
              <w:t>f)</w:t>
            </w:r>
            <w:r w:rsidRPr="009B65D6">
              <w:rPr>
                <w:b/>
              </w:rPr>
              <w:tab/>
              <w:t xml:space="preserve">sumy vypočítané na základe výnosu z finančných prostriedkov určené podľa pravidiel transferového oceňovania, </w:t>
            </w:r>
          </w:p>
          <w:p w:rsidR="00263F34" w:rsidRPr="009B65D6" w:rsidRDefault="00263F34" w:rsidP="00263F34">
            <w:pPr>
              <w:autoSpaceDE/>
              <w:autoSpaceDN/>
              <w:ind w:left="426"/>
              <w:jc w:val="both"/>
              <w:rPr>
                <w:b/>
              </w:rPr>
            </w:pPr>
            <w:r w:rsidRPr="009B65D6">
              <w:rPr>
                <w:b/>
              </w:rPr>
              <w:t>g)</w:t>
            </w:r>
            <w:r w:rsidRPr="009B65D6">
              <w:rPr>
                <w:b/>
              </w:rPr>
              <w:tab/>
              <w:t xml:space="preserve">kurzové rozdiely z úverov, pôžičiek a nástrojov spojené so získavaním finančných prostriedkov, </w:t>
            </w:r>
          </w:p>
          <w:p w:rsidR="00263F34" w:rsidRPr="009B65D6" w:rsidRDefault="00263F34" w:rsidP="00263F34">
            <w:pPr>
              <w:autoSpaceDE/>
              <w:autoSpaceDN/>
              <w:ind w:left="426"/>
              <w:jc w:val="both"/>
              <w:rPr>
                <w:b/>
              </w:rPr>
            </w:pPr>
            <w:r w:rsidRPr="009B65D6">
              <w:rPr>
                <w:b/>
              </w:rPr>
              <w:t>h)</w:t>
            </w:r>
            <w:r w:rsidRPr="009B65D6">
              <w:rPr>
                <w:b/>
              </w:rPr>
              <w:tab/>
              <w:t xml:space="preserve">poplatky za záruky v súvislosti so schémami financovania, </w:t>
            </w:r>
          </w:p>
          <w:p w:rsidR="00263F34" w:rsidRPr="009B65D6" w:rsidRDefault="00263F34" w:rsidP="00263F34">
            <w:pPr>
              <w:autoSpaceDE/>
              <w:autoSpaceDN/>
              <w:ind w:left="426"/>
              <w:jc w:val="both"/>
              <w:rPr>
                <w:b/>
              </w:rPr>
            </w:pPr>
            <w:r w:rsidRPr="009B65D6">
              <w:rPr>
                <w:b/>
              </w:rPr>
              <w:t>i)</w:t>
            </w:r>
            <w:r w:rsidRPr="009B65D6">
              <w:rPr>
                <w:b/>
              </w:rPr>
              <w:tab/>
              <w:t>zmluvné poplatky a  náklady súvisiace s pôžičkami a úvermi a</w:t>
            </w:r>
          </w:p>
          <w:p w:rsidR="00472D11" w:rsidRPr="009B65D6" w:rsidRDefault="00263F34" w:rsidP="00263F34">
            <w:pPr>
              <w:autoSpaceDE/>
              <w:autoSpaceDN/>
              <w:ind w:left="426"/>
              <w:jc w:val="both"/>
              <w:rPr>
                <w:b/>
              </w:rPr>
            </w:pPr>
            <w:r w:rsidRPr="009B65D6">
              <w:rPr>
                <w:b/>
              </w:rPr>
              <w:t>j)</w:t>
            </w:r>
            <w:r w:rsidRPr="009B65D6">
              <w:rPr>
                <w:b/>
              </w:rPr>
              <w:tab/>
              <w:t>iné obdobné platby, ktoré sú ekonomicky rovnocenné úrokom.</w:t>
            </w:r>
          </w:p>
          <w:p w:rsidR="00472D11" w:rsidRPr="009B65D6" w:rsidRDefault="00472D11" w:rsidP="0088195E">
            <w:pPr>
              <w:autoSpaceDE/>
              <w:autoSpaceDN/>
              <w:ind w:left="426"/>
              <w:jc w:val="both"/>
              <w:rPr>
                <w:b/>
              </w:rPr>
            </w:pPr>
          </w:p>
          <w:p w:rsidR="00472D11" w:rsidRPr="009B65D6" w:rsidRDefault="00472D11" w:rsidP="0088195E">
            <w:pPr>
              <w:autoSpaceDE/>
              <w:autoSpaceDN/>
              <w:ind w:left="426"/>
              <w:jc w:val="both"/>
              <w:rPr>
                <w:b/>
              </w:rPr>
            </w:pPr>
          </w:p>
          <w:p w:rsidR="00BB05F5" w:rsidRPr="009B65D6" w:rsidRDefault="00BB05F5" w:rsidP="00BB05F5">
            <w:pPr>
              <w:autoSpaceDE/>
              <w:autoSpaceDN/>
              <w:ind w:left="382" w:hanging="425"/>
              <w:jc w:val="both"/>
              <w:rPr>
                <w:b/>
              </w:rPr>
            </w:pPr>
            <w:r w:rsidRPr="009B65D6">
              <w:rPr>
                <w:b/>
              </w:rPr>
              <w:t xml:space="preserve">(2) </w:t>
            </w:r>
            <w:r w:rsidR="00657F9C" w:rsidRPr="009B65D6">
              <w:rPr>
                <w:b/>
              </w:rPr>
              <w:t>Ak suma čistých úrokových nákladov je vyššia ako 3 000 000 eur, základ dane sa zvýši o sumu, o ktorú čisté úrokové náklady presiahnu 30 % úhrnu základov dane zvýšeného o čisté úrokové náklady a o odpisy zahrnuté v zdaňovacom období do základu dane podľa § 19 ods. 3 písm. a) a § 22 ods. 12.</w:t>
            </w:r>
          </w:p>
          <w:p w:rsidR="0088195E" w:rsidRPr="009B65D6" w:rsidRDefault="0088195E" w:rsidP="0088195E">
            <w:pPr>
              <w:autoSpaceDE/>
              <w:autoSpaceDN/>
              <w:jc w:val="both"/>
              <w:rPr>
                <w:b/>
                <w:lang w:eastAsia="cs-CZ"/>
              </w:rPr>
            </w:pPr>
          </w:p>
          <w:p w:rsidR="0088195E" w:rsidRPr="009B65D6" w:rsidRDefault="0088195E" w:rsidP="0088195E">
            <w:pPr>
              <w:autoSpaceDE/>
              <w:autoSpaceDN/>
              <w:jc w:val="both"/>
              <w:rPr>
                <w:b/>
                <w:lang w:eastAsia="cs-CZ"/>
              </w:rPr>
            </w:pPr>
          </w:p>
          <w:p w:rsidR="0088195E" w:rsidRPr="009B65D6" w:rsidRDefault="0088195E" w:rsidP="0088195E">
            <w:pPr>
              <w:autoSpaceDE/>
              <w:autoSpaceDN/>
              <w:jc w:val="both"/>
              <w:rPr>
                <w:b/>
                <w:lang w:eastAsia="cs-CZ"/>
              </w:rPr>
            </w:pPr>
          </w:p>
          <w:p w:rsidR="00744875" w:rsidRPr="009B65D6" w:rsidRDefault="00744875" w:rsidP="0088195E">
            <w:pPr>
              <w:autoSpaceDE/>
              <w:autoSpaceDN/>
              <w:jc w:val="both"/>
              <w:rPr>
                <w:b/>
                <w:lang w:eastAsia="cs-CZ"/>
              </w:rPr>
            </w:pPr>
          </w:p>
          <w:p w:rsidR="00744875" w:rsidRPr="009B65D6" w:rsidRDefault="00744875" w:rsidP="0088195E">
            <w:pPr>
              <w:autoSpaceDE/>
              <w:autoSpaceDN/>
              <w:jc w:val="both"/>
              <w:rPr>
                <w:b/>
                <w:lang w:eastAsia="cs-CZ"/>
              </w:rPr>
            </w:pPr>
          </w:p>
          <w:p w:rsidR="005972A6" w:rsidRPr="009B65D6" w:rsidRDefault="005972A6" w:rsidP="005972A6">
            <w:pPr>
              <w:jc w:val="both"/>
              <w:rPr>
                <w:b/>
              </w:rPr>
            </w:pPr>
            <w:r w:rsidRPr="009B65D6">
              <w:rPr>
                <w:b/>
              </w:rPr>
              <w:t>Ustanovenie § 17k v znení účinnom od 1. januára 2024 sa použije prvýkrát na čisté úrokové náklady plynúce na základe zmlúv uzatvorených po 31. decembri 2023, vrátane dodatkov uzatvorených po 31. decembri 2023 k zmluvám, ktoré boli uzatvorené do 31. decembra 2023.</w:t>
            </w:r>
          </w:p>
          <w:p w:rsidR="00744875" w:rsidRPr="009B65D6" w:rsidRDefault="00744875" w:rsidP="0088195E">
            <w:pPr>
              <w:autoSpaceDE/>
              <w:autoSpaceDN/>
              <w:jc w:val="both"/>
              <w:rPr>
                <w:b/>
                <w:lang w:eastAsia="cs-CZ"/>
              </w:rPr>
            </w:pPr>
          </w:p>
          <w:p w:rsidR="00744875" w:rsidRPr="009B65D6" w:rsidRDefault="00744875" w:rsidP="0088195E">
            <w:pPr>
              <w:autoSpaceDE/>
              <w:autoSpaceDN/>
              <w:jc w:val="both"/>
              <w:rPr>
                <w:b/>
                <w:lang w:eastAsia="cs-CZ"/>
              </w:rPr>
            </w:pPr>
          </w:p>
          <w:p w:rsidR="00744875" w:rsidRPr="009B65D6" w:rsidRDefault="00744875" w:rsidP="0088195E">
            <w:pPr>
              <w:autoSpaceDE/>
              <w:autoSpaceDN/>
              <w:jc w:val="both"/>
              <w:rPr>
                <w:b/>
                <w:lang w:eastAsia="cs-CZ"/>
              </w:rPr>
            </w:pPr>
          </w:p>
          <w:p w:rsidR="00744875" w:rsidRPr="009B65D6" w:rsidRDefault="00744875" w:rsidP="0088195E">
            <w:pPr>
              <w:autoSpaceDE/>
              <w:autoSpaceDN/>
              <w:jc w:val="both"/>
              <w:rPr>
                <w:b/>
                <w:lang w:eastAsia="cs-CZ"/>
              </w:rPr>
            </w:pPr>
          </w:p>
          <w:p w:rsidR="00744875" w:rsidRPr="009B65D6" w:rsidRDefault="00744875" w:rsidP="0088195E">
            <w:pPr>
              <w:autoSpaceDE/>
              <w:autoSpaceDN/>
              <w:jc w:val="both"/>
              <w:rPr>
                <w:b/>
                <w:lang w:eastAsia="cs-CZ"/>
              </w:rPr>
            </w:pPr>
          </w:p>
          <w:p w:rsidR="00744875" w:rsidRPr="009B65D6" w:rsidRDefault="00744875" w:rsidP="0088195E">
            <w:pPr>
              <w:autoSpaceDE/>
              <w:autoSpaceDN/>
              <w:jc w:val="both"/>
              <w:rPr>
                <w:b/>
                <w:lang w:eastAsia="cs-CZ"/>
              </w:rPr>
            </w:pPr>
          </w:p>
          <w:p w:rsidR="00AC5759" w:rsidRPr="009B65D6" w:rsidRDefault="00AC5759" w:rsidP="0088195E">
            <w:pPr>
              <w:autoSpaceDE/>
              <w:autoSpaceDN/>
              <w:jc w:val="both"/>
              <w:rPr>
                <w:b/>
                <w:lang w:eastAsia="cs-CZ"/>
              </w:rPr>
            </w:pPr>
          </w:p>
          <w:p w:rsidR="00AC5759" w:rsidRPr="009B65D6" w:rsidRDefault="00AC5759" w:rsidP="0088195E">
            <w:pPr>
              <w:autoSpaceDE/>
              <w:autoSpaceDN/>
              <w:jc w:val="both"/>
              <w:rPr>
                <w:b/>
                <w:lang w:eastAsia="cs-CZ"/>
              </w:rPr>
            </w:pPr>
          </w:p>
          <w:p w:rsidR="00AC5759" w:rsidRPr="009B65D6" w:rsidRDefault="00AC5759" w:rsidP="0088195E">
            <w:pPr>
              <w:autoSpaceDE/>
              <w:autoSpaceDN/>
              <w:jc w:val="both"/>
              <w:rPr>
                <w:b/>
                <w:lang w:eastAsia="cs-CZ"/>
              </w:rPr>
            </w:pPr>
          </w:p>
          <w:p w:rsidR="00AC5759" w:rsidRPr="009B65D6" w:rsidRDefault="00AC5759" w:rsidP="0088195E">
            <w:pPr>
              <w:autoSpaceDE/>
              <w:autoSpaceDN/>
              <w:jc w:val="both"/>
              <w:rPr>
                <w:b/>
                <w:lang w:eastAsia="cs-CZ"/>
              </w:rPr>
            </w:pPr>
          </w:p>
          <w:p w:rsidR="00AC5759" w:rsidRPr="009B65D6" w:rsidRDefault="00AC5759" w:rsidP="0088195E">
            <w:pPr>
              <w:autoSpaceDE/>
              <w:autoSpaceDN/>
              <w:jc w:val="both"/>
              <w:rPr>
                <w:b/>
                <w:lang w:eastAsia="cs-CZ"/>
              </w:rPr>
            </w:pPr>
          </w:p>
          <w:p w:rsidR="00AC5759" w:rsidRPr="009B65D6" w:rsidRDefault="00AC5759" w:rsidP="0088195E">
            <w:pPr>
              <w:autoSpaceDE/>
              <w:autoSpaceDN/>
              <w:jc w:val="both"/>
              <w:rPr>
                <w:b/>
                <w:lang w:eastAsia="cs-CZ"/>
              </w:rPr>
            </w:pPr>
          </w:p>
          <w:p w:rsidR="00AC5759" w:rsidRPr="009B65D6" w:rsidRDefault="00AC5759" w:rsidP="0088195E">
            <w:pPr>
              <w:autoSpaceDE/>
              <w:autoSpaceDN/>
              <w:jc w:val="both"/>
              <w:rPr>
                <w:b/>
                <w:lang w:eastAsia="cs-CZ"/>
              </w:rPr>
            </w:pPr>
          </w:p>
          <w:p w:rsidR="00AC5759" w:rsidRPr="009B65D6" w:rsidRDefault="00AC5759" w:rsidP="0088195E">
            <w:pPr>
              <w:autoSpaceDE/>
              <w:autoSpaceDN/>
              <w:jc w:val="both"/>
              <w:rPr>
                <w:b/>
                <w:lang w:eastAsia="cs-CZ"/>
              </w:rPr>
            </w:pPr>
          </w:p>
          <w:p w:rsidR="00AC5759" w:rsidRPr="009B65D6" w:rsidRDefault="00AC5759" w:rsidP="0088195E">
            <w:pPr>
              <w:autoSpaceDE/>
              <w:autoSpaceDN/>
              <w:jc w:val="both"/>
              <w:rPr>
                <w:b/>
                <w:lang w:eastAsia="cs-CZ"/>
              </w:rPr>
            </w:pPr>
          </w:p>
          <w:p w:rsidR="00744875" w:rsidRPr="009B65D6" w:rsidRDefault="00744875" w:rsidP="0088195E">
            <w:pPr>
              <w:autoSpaceDE/>
              <w:autoSpaceDN/>
              <w:jc w:val="both"/>
              <w:rPr>
                <w:b/>
                <w:lang w:eastAsia="cs-CZ"/>
              </w:rPr>
            </w:pPr>
          </w:p>
          <w:p w:rsidR="00744875" w:rsidRPr="009B65D6" w:rsidRDefault="00744875" w:rsidP="0088195E">
            <w:pPr>
              <w:autoSpaceDE/>
              <w:autoSpaceDN/>
              <w:jc w:val="both"/>
              <w:rPr>
                <w:b/>
                <w:lang w:eastAsia="cs-CZ"/>
              </w:rPr>
            </w:pPr>
          </w:p>
          <w:p w:rsidR="00BA78B7" w:rsidRPr="009B65D6" w:rsidRDefault="00BA78B7" w:rsidP="0088195E">
            <w:pPr>
              <w:autoSpaceDE/>
              <w:autoSpaceDN/>
              <w:jc w:val="both"/>
              <w:rPr>
                <w:b/>
                <w:lang w:eastAsia="cs-CZ"/>
              </w:rPr>
            </w:pPr>
          </w:p>
          <w:p w:rsidR="00BA78B7" w:rsidRPr="009B65D6" w:rsidRDefault="00BA78B7" w:rsidP="0088195E">
            <w:pPr>
              <w:autoSpaceDE/>
              <w:autoSpaceDN/>
              <w:jc w:val="both"/>
              <w:rPr>
                <w:b/>
                <w:lang w:eastAsia="cs-CZ"/>
              </w:rPr>
            </w:pPr>
          </w:p>
          <w:p w:rsidR="00BA78B7" w:rsidRPr="009B65D6" w:rsidRDefault="00BA78B7"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114E0B" w:rsidRPr="009B65D6" w:rsidRDefault="00114E0B" w:rsidP="0088195E">
            <w:pPr>
              <w:autoSpaceDE/>
              <w:autoSpaceDN/>
              <w:jc w:val="both"/>
              <w:rPr>
                <w:b/>
                <w:lang w:eastAsia="cs-CZ"/>
              </w:rPr>
            </w:pPr>
          </w:p>
          <w:p w:rsidR="007F67FF" w:rsidRPr="009B65D6" w:rsidRDefault="007F67FF" w:rsidP="0088195E">
            <w:pPr>
              <w:autoSpaceDE/>
              <w:autoSpaceDN/>
              <w:jc w:val="both"/>
              <w:rPr>
                <w:b/>
                <w:lang w:eastAsia="cs-CZ"/>
              </w:rPr>
            </w:pPr>
          </w:p>
          <w:p w:rsidR="007F67FF" w:rsidRPr="009B65D6" w:rsidRDefault="007F67FF" w:rsidP="0088195E">
            <w:pPr>
              <w:autoSpaceDE/>
              <w:autoSpaceDN/>
              <w:jc w:val="both"/>
              <w:rPr>
                <w:b/>
                <w:lang w:eastAsia="cs-CZ"/>
              </w:rPr>
            </w:pPr>
          </w:p>
          <w:p w:rsidR="007F67FF" w:rsidRPr="009B65D6" w:rsidRDefault="007F67FF" w:rsidP="0088195E">
            <w:pPr>
              <w:autoSpaceDE/>
              <w:autoSpaceDN/>
              <w:jc w:val="both"/>
              <w:rPr>
                <w:b/>
                <w:lang w:eastAsia="cs-CZ"/>
              </w:rPr>
            </w:pPr>
          </w:p>
          <w:p w:rsidR="00BA78B7" w:rsidRPr="009B65D6" w:rsidRDefault="00BA78B7" w:rsidP="0088195E">
            <w:pPr>
              <w:autoSpaceDE/>
              <w:autoSpaceDN/>
              <w:jc w:val="both"/>
              <w:rPr>
                <w:b/>
                <w:lang w:eastAsia="cs-CZ"/>
              </w:rPr>
            </w:pPr>
          </w:p>
          <w:p w:rsidR="00744875" w:rsidRPr="009B65D6" w:rsidRDefault="00744875" w:rsidP="0088195E">
            <w:pPr>
              <w:autoSpaceDE/>
              <w:autoSpaceDN/>
              <w:jc w:val="both"/>
              <w:rPr>
                <w:b/>
                <w:lang w:eastAsia="cs-CZ"/>
              </w:rPr>
            </w:pPr>
            <w:r w:rsidRPr="009B65D6">
              <w:rPr>
                <w:b/>
                <w:lang w:eastAsia="cs-CZ"/>
              </w:rPr>
              <w:t xml:space="preserve">(7) Čisté úrokové náklady nezahrnuté do základu dane podľa odseku 2 v príslušnom zdaňovacom období je možné odpočítať od základu dane v najviac piatich bezprostredne po sebe nasledujúcich zdaňovacích obdobiach počnúc zdaňovacím obdobím bezprostredne nasledujúcom po zdaňovacom období, v ktorom boli čisté úrokové náklady nezahrnuté do základu dane podľa odseku 2, pričom úhrn čistých úrokových nákladov z príslušného zdaňovacieho obdobia a čistých úrokových nákladov nezahrnutých do základu dane v predchádzajúcich zdaňovacích obdobiach nesmie presiahnuť sumu vypočítanú podľa odseku 2. Právny nástupca daňovníka zrušeného bez likvidácie si môže odpočítať od základu dane časť sumy čistých úrokových nákladov nezahrnutých do základu dane podľa odseku 2 v nasledujúcich zdaňovacích obdobiach, ak je zanikajúca právnická osoba a jej právny nástupca daňovníkom dane z príjmov právnickej osoby a súčasne ak účelom tohto zániku nie je len zníženie alebo vyhnutie sa daňovej povinnosti.  Ak je právnych nástupcov daňovníka zrušeného bez likvidácie viac, suma čistých úrokových nákladov nezahrnutých do základu dane podľa druhej vety sa odpočítava u každého z nich pomerne, a to </w:t>
            </w:r>
            <w:r w:rsidRPr="009B65D6">
              <w:rPr>
                <w:b/>
                <w:lang w:eastAsia="cs-CZ"/>
              </w:rPr>
              <w:lastRenderedPageBreak/>
              <w:t>podľa výšky vlastného imania zaniknutého daňovníka, v akej prešlo na jednotlivých právnych nástupcov.</w:t>
            </w:r>
          </w:p>
          <w:p w:rsidR="00744875" w:rsidRPr="009B65D6" w:rsidRDefault="00744875" w:rsidP="0088195E">
            <w:pPr>
              <w:autoSpaceDE/>
              <w:autoSpaceDN/>
              <w:jc w:val="both"/>
              <w:rPr>
                <w:b/>
                <w:lang w:eastAsia="cs-CZ"/>
              </w:rPr>
            </w:pPr>
          </w:p>
          <w:p w:rsidR="00744875" w:rsidRPr="009B65D6" w:rsidRDefault="00744875" w:rsidP="0088195E">
            <w:pPr>
              <w:autoSpaceDE/>
              <w:autoSpaceDN/>
              <w:jc w:val="both"/>
              <w:rPr>
                <w:b/>
                <w:lang w:eastAsia="cs-CZ"/>
              </w:rPr>
            </w:pPr>
          </w:p>
          <w:p w:rsidR="00D27697" w:rsidRPr="009B65D6" w:rsidRDefault="00D27697" w:rsidP="00F92027">
            <w:pPr>
              <w:autoSpaceDE/>
              <w:autoSpaceDN/>
              <w:jc w:val="both"/>
              <w:rPr>
                <w:b/>
              </w:rPr>
            </w:pPr>
            <w:r w:rsidRPr="009B65D6">
              <w:rPr>
                <w:b/>
              </w:rPr>
              <w:t>(8) Odseky 1 a 2 sa neuplatnia u dlžníka,</w:t>
            </w:r>
          </w:p>
          <w:p w:rsidR="008F36B4" w:rsidRPr="009B65D6" w:rsidRDefault="008F36B4" w:rsidP="008F36B4">
            <w:pPr>
              <w:autoSpaceDE/>
              <w:autoSpaceDN/>
              <w:ind w:left="949" w:hanging="425"/>
              <w:jc w:val="both"/>
              <w:rPr>
                <w:lang w:eastAsia="en-US"/>
              </w:rPr>
            </w:pPr>
            <w:r w:rsidRPr="009B65D6">
              <w:rPr>
                <w:b/>
              </w:rPr>
              <w:t>a)</w:t>
            </w:r>
            <w:r w:rsidRPr="009B65D6">
              <w:rPr>
                <w:b/>
              </w:rPr>
              <w:tab/>
            </w:r>
            <w:r w:rsidRPr="009B65D6">
              <w:rPr>
                <w:b/>
                <w:lang w:eastAsia="en-US"/>
              </w:rPr>
              <w:t>ktorý je bankou alebo pobočkou zahraničnej banky,</w:t>
            </w:r>
            <w:hyperlink r:id="rId8" w:anchor="f2972668" w:history="1">
              <w:r w:rsidRPr="009B65D6">
                <w:rPr>
                  <w:b/>
                  <w:vertAlign w:val="superscript"/>
                  <w:lang w:eastAsia="en-US"/>
                </w:rPr>
                <w:t>94</w:t>
              </w:r>
              <w:r w:rsidRPr="009B65D6">
                <w:rPr>
                  <w:b/>
                  <w:lang w:eastAsia="en-US"/>
                </w:rPr>
                <w:t>)</w:t>
              </w:r>
            </w:hyperlink>
            <w:r w:rsidRPr="009B65D6">
              <w:rPr>
                <w:b/>
                <w:lang w:eastAsia="en-US"/>
              </w:rPr>
              <w:t> poisťovňou, pobočkou poisťovne z iného členského štátu alebo pobočkou zahraničnej poisťovne, zaisťovňou, pobočkou zaisťovne z iného členského štátu alebo pobočkou zahraničnej zaisťovne, subjektom podľa osobitného predpisu,</w:t>
            </w:r>
            <w:hyperlink r:id="rId9" w:anchor="f4267335" w:history="1">
              <w:r w:rsidRPr="009B65D6">
                <w:rPr>
                  <w:b/>
                  <w:vertAlign w:val="superscript"/>
                  <w:lang w:eastAsia="en-US"/>
                </w:rPr>
                <w:t>105b</w:t>
              </w:r>
              <w:r w:rsidRPr="009B65D6">
                <w:rPr>
                  <w:b/>
                  <w:lang w:eastAsia="en-US"/>
                </w:rPr>
                <w:t>)</w:t>
              </w:r>
            </w:hyperlink>
          </w:p>
          <w:p w:rsidR="00D27697" w:rsidRPr="009B65D6" w:rsidRDefault="00D27697" w:rsidP="00D27697">
            <w:pPr>
              <w:autoSpaceDE/>
              <w:autoSpaceDN/>
              <w:ind w:left="949" w:hanging="425"/>
              <w:jc w:val="both"/>
              <w:rPr>
                <w:b/>
              </w:rPr>
            </w:pPr>
            <w:r w:rsidRPr="009B65D6">
              <w:rPr>
                <w:b/>
              </w:rPr>
              <w:t>b)</w:t>
            </w:r>
            <w:r w:rsidRPr="009B65D6">
              <w:rPr>
                <w:b/>
              </w:rPr>
              <w:tab/>
              <w:t xml:space="preserve">ktorého závislými osobami podľa § 2 písm. n) sú len fyzické osoby. </w:t>
            </w:r>
          </w:p>
          <w:p w:rsidR="00BF7EBD" w:rsidRPr="009B65D6" w:rsidRDefault="00BF7EBD" w:rsidP="00163DE8">
            <w:pPr>
              <w:pStyle w:val="Odsekzoznamu"/>
              <w:ind w:left="0"/>
              <w:jc w:val="both"/>
              <w:rPr>
                <w:b/>
              </w:rPr>
            </w:pPr>
          </w:p>
        </w:tc>
        <w:tc>
          <w:tcPr>
            <w:tcW w:w="709" w:type="dxa"/>
            <w:tcBorders>
              <w:top w:val="single" w:sz="4" w:space="0" w:color="auto"/>
              <w:left w:val="single" w:sz="4" w:space="0" w:color="auto"/>
              <w:bottom w:val="single" w:sz="4" w:space="0" w:color="auto"/>
              <w:right w:val="single" w:sz="4" w:space="0" w:color="auto"/>
            </w:tcBorders>
          </w:tcPr>
          <w:p w:rsidR="00DD3866" w:rsidRPr="009B65D6" w:rsidRDefault="00DD3866">
            <w:pPr>
              <w:jc w:val="center"/>
            </w:pPr>
          </w:p>
          <w:p w:rsidR="00DD3866" w:rsidRPr="009B65D6" w:rsidRDefault="00025D03">
            <w:pPr>
              <w:jc w:val="center"/>
            </w:pPr>
            <w:r w:rsidRPr="009B65D6">
              <w:t xml:space="preserve"> </w:t>
            </w:r>
          </w:p>
          <w:p w:rsidR="00025D03" w:rsidRPr="009B65D6" w:rsidRDefault="00025D03">
            <w:pPr>
              <w:jc w:val="center"/>
            </w:pPr>
          </w:p>
          <w:p w:rsidR="00025D03" w:rsidRPr="009B65D6" w:rsidRDefault="00025D03">
            <w:pPr>
              <w:jc w:val="center"/>
            </w:pPr>
          </w:p>
          <w:p w:rsidR="00DD3866" w:rsidRPr="009B65D6" w:rsidRDefault="00DD3866">
            <w:pPr>
              <w:jc w:val="center"/>
              <w:rPr>
                <w:b/>
              </w:rPr>
            </w:pPr>
          </w:p>
          <w:p w:rsidR="00656B18" w:rsidRPr="009B65D6" w:rsidRDefault="00865C08" w:rsidP="00DD3866">
            <w:pPr>
              <w:jc w:val="center"/>
              <w:rPr>
                <w:b/>
              </w:rPr>
            </w:pPr>
            <w:r w:rsidRPr="009B65D6">
              <w:rPr>
                <w:b/>
              </w:rPr>
              <w:t>Ú</w:t>
            </w: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2C7609" w:rsidRPr="009B65D6" w:rsidRDefault="002C760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8C4BB9" w:rsidRPr="009B65D6" w:rsidRDefault="008C4BB9" w:rsidP="00DD3866">
            <w:pPr>
              <w:jc w:val="center"/>
              <w:rPr>
                <w:b/>
              </w:rPr>
            </w:pPr>
          </w:p>
          <w:p w:rsidR="002C7609" w:rsidRPr="009B65D6" w:rsidRDefault="002C7609" w:rsidP="00DD3866">
            <w:pPr>
              <w:jc w:val="center"/>
              <w:rPr>
                <w:b/>
              </w:rPr>
            </w:pPr>
          </w:p>
          <w:p w:rsidR="00104DFE" w:rsidRPr="009B65D6" w:rsidRDefault="00104DFE" w:rsidP="00DD3866">
            <w:pPr>
              <w:jc w:val="center"/>
              <w:rPr>
                <w:b/>
              </w:rPr>
            </w:pPr>
          </w:p>
          <w:p w:rsidR="00104DFE" w:rsidRPr="009B65D6" w:rsidRDefault="002C7609" w:rsidP="00DD3866">
            <w:pPr>
              <w:jc w:val="center"/>
              <w:rPr>
                <w:b/>
              </w:rPr>
            </w:pPr>
            <w:r w:rsidRPr="009B65D6">
              <w:rPr>
                <w:b/>
              </w:rPr>
              <w:t>n.a.</w:t>
            </w: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p>
          <w:p w:rsidR="00104DFE" w:rsidRPr="009B65D6" w:rsidRDefault="00104DFE" w:rsidP="00DD3866">
            <w:pPr>
              <w:jc w:val="center"/>
              <w:rPr>
                <w:b/>
              </w:rPr>
            </w:pPr>
            <w:r w:rsidRPr="009B65D6">
              <w:rPr>
                <w:b/>
              </w:rPr>
              <w:t>Ú</w:t>
            </w:r>
          </w:p>
          <w:p w:rsidR="00104DFE" w:rsidRPr="009B65D6" w:rsidRDefault="00104DFE" w:rsidP="00DD3866">
            <w:pPr>
              <w:jc w:val="center"/>
              <w:rPr>
                <w:b/>
              </w:rPr>
            </w:pPr>
          </w:p>
          <w:p w:rsidR="00104DFE" w:rsidRPr="009B65D6" w:rsidRDefault="00104DFE"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2A153B" w:rsidP="00DD3866">
            <w:pPr>
              <w:jc w:val="center"/>
              <w:rPr>
                <w:b/>
              </w:rPr>
            </w:pPr>
            <w:r w:rsidRPr="009B65D6">
              <w:rPr>
                <w:b/>
              </w:rPr>
              <w:t>Č</w:t>
            </w: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9367AC" w:rsidRPr="009B65D6" w:rsidRDefault="009367AC" w:rsidP="00DD3866">
            <w:pPr>
              <w:jc w:val="center"/>
              <w:rPr>
                <w:b/>
              </w:rPr>
            </w:pPr>
          </w:p>
          <w:p w:rsidR="00C1244D" w:rsidRPr="009B65D6" w:rsidRDefault="00C1244D">
            <w:pPr>
              <w:jc w:val="center"/>
            </w:pPr>
          </w:p>
          <w:p w:rsidR="00C1244D" w:rsidRPr="009B65D6" w:rsidRDefault="00C1244D">
            <w:pPr>
              <w:jc w:val="center"/>
            </w:pPr>
          </w:p>
          <w:p w:rsidR="00C1244D" w:rsidRPr="009B65D6" w:rsidRDefault="00C1244D">
            <w:pPr>
              <w:jc w:val="center"/>
            </w:pPr>
          </w:p>
          <w:p w:rsidR="00C1244D" w:rsidRPr="009B65D6" w:rsidRDefault="00C1244D">
            <w:pPr>
              <w:jc w:val="center"/>
            </w:pPr>
          </w:p>
          <w:p w:rsidR="00C1244D" w:rsidRPr="009B65D6" w:rsidRDefault="00C1244D">
            <w:pPr>
              <w:jc w:val="center"/>
            </w:pPr>
          </w:p>
          <w:p w:rsidR="005972A6" w:rsidRPr="009B65D6" w:rsidRDefault="005972A6">
            <w:pPr>
              <w:jc w:val="center"/>
            </w:pPr>
          </w:p>
          <w:p w:rsidR="005972A6" w:rsidRPr="009B65D6" w:rsidRDefault="005972A6">
            <w:pPr>
              <w:jc w:val="center"/>
            </w:pPr>
          </w:p>
          <w:p w:rsidR="00C1244D" w:rsidRPr="009B65D6" w:rsidRDefault="002A153B">
            <w:pPr>
              <w:jc w:val="center"/>
              <w:rPr>
                <w:b/>
              </w:rPr>
            </w:pPr>
            <w:r w:rsidRPr="009B65D6">
              <w:rPr>
                <w:b/>
              </w:rPr>
              <w:t>n.a.</w:t>
            </w: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7F67FF" w:rsidRPr="009B65D6" w:rsidRDefault="007F67FF">
            <w:pPr>
              <w:jc w:val="center"/>
              <w:rPr>
                <w:b/>
              </w:rPr>
            </w:pPr>
          </w:p>
          <w:p w:rsidR="007F67FF" w:rsidRPr="009B65D6" w:rsidRDefault="007F67FF">
            <w:pPr>
              <w:jc w:val="center"/>
              <w:rPr>
                <w:b/>
              </w:rPr>
            </w:pPr>
          </w:p>
          <w:p w:rsidR="007F67FF" w:rsidRPr="009B65D6" w:rsidRDefault="007F67FF">
            <w:pPr>
              <w:jc w:val="center"/>
              <w:rPr>
                <w:b/>
              </w:rPr>
            </w:pPr>
          </w:p>
          <w:p w:rsidR="007F67FF" w:rsidRPr="009B65D6" w:rsidRDefault="007F67FF">
            <w:pPr>
              <w:jc w:val="center"/>
              <w:rPr>
                <w:b/>
              </w:rPr>
            </w:pPr>
          </w:p>
          <w:p w:rsidR="007F67FF" w:rsidRPr="009B65D6" w:rsidRDefault="007F67FF">
            <w:pPr>
              <w:jc w:val="center"/>
              <w:rPr>
                <w:b/>
              </w:rPr>
            </w:pPr>
          </w:p>
          <w:p w:rsidR="007F67FF" w:rsidRPr="009B65D6" w:rsidRDefault="007F67FF">
            <w:pPr>
              <w:jc w:val="center"/>
              <w:rPr>
                <w:b/>
              </w:rPr>
            </w:pPr>
          </w:p>
          <w:p w:rsidR="007F67FF" w:rsidRPr="009B65D6" w:rsidRDefault="007F67FF">
            <w:pPr>
              <w:jc w:val="center"/>
              <w:rPr>
                <w:b/>
              </w:rPr>
            </w:pPr>
          </w:p>
          <w:p w:rsidR="007F67FF" w:rsidRPr="009B65D6" w:rsidRDefault="007F67FF">
            <w:pPr>
              <w:jc w:val="center"/>
              <w:rPr>
                <w:b/>
              </w:rPr>
            </w:pPr>
          </w:p>
          <w:p w:rsidR="007F67FF" w:rsidRPr="009B65D6" w:rsidRDefault="007F67FF">
            <w:pPr>
              <w:jc w:val="center"/>
              <w:rPr>
                <w:b/>
              </w:rPr>
            </w:pPr>
          </w:p>
          <w:p w:rsidR="007F67FF" w:rsidRPr="009B65D6" w:rsidRDefault="007F67FF">
            <w:pPr>
              <w:jc w:val="center"/>
              <w:rPr>
                <w:b/>
              </w:rPr>
            </w:pPr>
          </w:p>
          <w:p w:rsidR="002A153B" w:rsidRPr="009B65D6" w:rsidRDefault="002A153B">
            <w:pPr>
              <w:jc w:val="center"/>
              <w:rPr>
                <w:b/>
              </w:rPr>
            </w:pPr>
            <w:r w:rsidRPr="009B65D6">
              <w:rPr>
                <w:b/>
              </w:rPr>
              <w:t>n.a.</w:t>
            </w: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7611FA" w:rsidRPr="009B65D6" w:rsidRDefault="007611FA">
            <w:pPr>
              <w:jc w:val="center"/>
              <w:rPr>
                <w:b/>
              </w:rPr>
            </w:pPr>
          </w:p>
          <w:p w:rsidR="007611FA" w:rsidRPr="009B65D6" w:rsidRDefault="007611FA">
            <w:pPr>
              <w:jc w:val="center"/>
              <w:rPr>
                <w:b/>
              </w:rPr>
            </w:pPr>
          </w:p>
          <w:p w:rsidR="007611FA" w:rsidRPr="009B65D6" w:rsidRDefault="007611FA">
            <w:pPr>
              <w:jc w:val="center"/>
              <w:rPr>
                <w:b/>
              </w:rPr>
            </w:pPr>
          </w:p>
          <w:p w:rsidR="007611FA" w:rsidRPr="009B65D6" w:rsidRDefault="007611FA">
            <w:pPr>
              <w:jc w:val="center"/>
              <w:rPr>
                <w:b/>
              </w:rPr>
            </w:pPr>
          </w:p>
          <w:p w:rsidR="007611FA" w:rsidRPr="009B65D6" w:rsidRDefault="007611FA">
            <w:pPr>
              <w:jc w:val="center"/>
              <w:rPr>
                <w:b/>
              </w:rPr>
            </w:pPr>
          </w:p>
          <w:p w:rsidR="007611FA" w:rsidRPr="009B65D6" w:rsidRDefault="007611FA">
            <w:pPr>
              <w:jc w:val="center"/>
              <w:rPr>
                <w:b/>
              </w:rPr>
            </w:pPr>
          </w:p>
          <w:p w:rsidR="002A153B" w:rsidRPr="009B65D6" w:rsidRDefault="007F67FF">
            <w:pPr>
              <w:jc w:val="center"/>
              <w:rPr>
                <w:b/>
              </w:rPr>
            </w:pPr>
            <w:r w:rsidRPr="009B65D6">
              <w:rPr>
                <w:b/>
              </w:rPr>
              <w:t>Č</w:t>
            </w: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r w:rsidRPr="009B65D6">
              <w:rPr>
                <w:b/>
              </w:rPr>
              <w:t>Č</w:t>
            </w: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r w:rsidRPr="009B65D6">
              <w:rPr>
                <w:b/>
              </w:rPr>
              <w:t>n.a.</w:t>
            </w: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2A153B" w:rsidRPr="009B65D6" w:rsidRDefault="002A153B">
            <w:pPr>
              <w:jc w:val="center"/>
              <w:rPr>
                <w:b/>
              </w:rPr>
            </w:pPr>
          </w:p>
          <w:p w:rsidR="00C1244D" w:rsidRPr="009B65D6" w:rsidRDefault="00C1244D">
            <w:pPr>
              <w:jc w:val="center"/>
            </w:pPr>
          </w:p>
        </w:tc>
        <w:tc>
          <w:tcPr>
            <w:tcW w:w="1059" w:type="dxa"/>
            <w:tcBorders>
              <w:top w:val="single" w:sz="4" w:space="0" w:color="auto"/>
              <w:left w:val="single" w:sz="4" w:space="0" w:color="auto"/>
              <w:bottom w:val="single" w:sz="4" w:space="0" w:color="auto"/>
              <w:right w:val="single" w:sz="12" w:space="0" w:color="auto"/>
            </w:tcBorders>
          </w:tcPr>
          <w:p w:rsidR="0025180A" w:rsidRPr="009B65D6" w:rsidRDefault="0025180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611FA" w:rsidRPr="009B65D6" w:rsidRDefault="007611FA" w:rsidP="0025180A">
            <w:pPr>
              <w:rPr>
                <w:sz w:val="20"/>
                <w:szCs w:val="20"/>
                <w:lang w:eastAsia="en-US"/>
              </w:rPr>
            </w:pPr>
          </w:p>
          <w:p w:rsidR="007F67FF" w:rsidRPr="009B65D6" w:rsidRDefault="007611FA" w:rsidP="0025180A">
            <w:pPr>
              <w:rPr>
                <w:bCs/>
                <w:sz w:val="20"/>
                <w:szCs w:val="20"/>
              </w:rPr>
            </w:pPr>
            <w:r w:rsidRPr="009B65D6">
              <w:rPr>
                <w:bCs/>
                <w:sz w:val="20"/>
                <w:szCs w:val="20"/>
              </w:rPr>
              <w:t xml:space="preserve">Slovenská republika pri prevzatí článku 4 smernice (EÚ) 2016/1164 v znení smernice Rady (EÚ) 2017/952 z 29. mája 2017 (Ú. V. EÚ L 144, 7.6.2017) využila výnimku podľa čl. 11 ods. 6 smernice, pričom pravidlá </w:t>
            </w:r>
            <w:r w:rsidRPr="009B65D6">
              <w:rPr>
                <w:bCs/>
                <w:sz w:val="20"/>
                <w:szCs w:val="20"/>
              </w:rPr>
              <w:lastRenderedPageBreak/>
              <w:t>podľa smernice sa budú uplatňovať od 1.1.2024. Dátum podľa ods. 4 písm. a) smernice je preto irelevantný.</w:t>
            </w:r>
          </w:p>
          <w:p w:rsidR="007F67FF" w:rsidRPr="009B65D6" w:rsidRDefault="007F67FF" w:rsidP="0025180A">
            <w:pPr>
              <w:rPr>
                <w:bCs/>
                <w:sz w:val="20"/>
                <w:szCs w:val="20"/>
              </w:rPr>
            </w:pPr>
          </w:p>
          <w:p w:rsidR="007F67FF" w:rsidRPr="009B65D6" w:rsidRDefault="007F67FF" w:rsidP="0025180A">
            <w:pPr>
              <w:rPr>
                <w:bCs/>
                <w:sz w:val="20"/>
                <w:szCs w:val="20"/>
              </w:rPr>
            </w:pPr>
          </w:p>
          <w:p w:rsidR="007F67FF" w:rsidRPr="009B65D6" w:rsidRDefault="007F67FF" w:rsidP="0025180A">
            <w:pPr>
              <w:rPr>
                <w:bCs/>
                <w:sz w:val="20"/>
                <w:szCs w:val="20"/>
              </w:rPr>
            </w:pPr>
          </w:p>
          <w:p w:rsidR="007611FA" w:rsidRPr="009B65D6" w:rsidRDefault="007F67FF" w:rsidP="007F67FF">
            <w:pPr>
              <w:rPr>
                <w:bCs/>
                <w:sz w:val="20"/>
                <w:szCs w:val="20"/>
              </w:rPr>
            </w:pPr>
            <w:r w:rsidRPr="009B65D6">
              <w:rPr>
                <w:bCs/>
                <w:sz w:val="20"/>
                <w:szCs w:val="20"/>
              </w:rPr>
              <w:t>SR neuplatňuje na účely dane z príjmov koncept konsolidácie.</w:t>
            </w: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bCs/>
                <w:sz w:val="20"/>
                <w:szCs w:val="20"/>
              </w:rPr>
            </w:pPr>
          </w:p>
          <w:p w:rsidR="007F67FF" w:rsidRPr="009B65D6" w:rsidRDefault="007F67FF" w:rsidP="007F67FF">
            <w:pPr>
              <w:rPr>
                <w:sz w:val="20"/>
                <w:szCs w:val="20"/>
                <w:lang w:eastAsia="en-US"/>
              </w:rPr>
            </w:pPr>
            <w:r w:rsidRPr="009B65D6">
              <w:rPr>
                <w:bCs/>
                <w:sz w:val="20"/>
                <w:szCs w:val="20"/>
              </w:rPr>
              <w:t>SR neuplatňuje na účely dane z príjmov koncept konsolidácie.</w:t>
            </w:r>
          </w:p>
        </w:tc>
      </w:tr>
      <w:tr w:rsidR="00656B18" w:rsidRPr="009B65D6" w:rsidTr="00BD76BA">
        <w:tc>
          <w:tcPr>
            <w:tcW w:w="540" w:type="dxa"/>
            <w:tcBorders>
              <w:top w:val="single" w:sz="4" w:space="0" w:color="auto"/>
              <w:left w:val="single" w:sz="12" w:space="0" w:color="auto"/>
              <w:bottom w:val="single" w:sz="4" w:space="0" w:color="auto"/>
              <w:right w:val="single" w:sz="4" w:space="0" w:color="auto"/>
            </w:tcBorders>
          </w:tcPr>
          <w:p w:rsidR="00E612D5" w:rsidRPr="009B65D6" w:rsidRDefault="00E079AE" w:rsidP="00A47BED">
            <w:pPr>
              <w:jc w:val="center"/>
            </w:pPr>
            <w:r w:rsidRPr="009B65D6">
              <w:lastRenderedPageBreak/>
              <w:t>Čl.</w:t>
            </w:r>
          </w:p>
          <w:p w:rsidR="00656B18" w:rsidRPr="009B65D6" w:rsidRDefault="00E079AE" w:rsidP="00A47BED">
            <w:pPr>
              <w:jc w:val="center"/>
            </w:pPr>
            <w:r w:rsidRPr="009B65D6">
              <w:t>10</w:t>
            </w:r>
          </w:p>
        </w:tc>
        <w:tc>
          <w:tcPr>
            <w:tcW w:w="6946" w:type="dxa"/>
            <w:tcBorders>
              <w:top w:val="single" w:sz="4" w:space="0" w:color="auto"/>
              <w:left w:val="single" w:sz="4" w:space="0" w:color="auto"/>
              <w:bottom w:val="single" w:sz="4" w:space="0" w:color="auto"/>
              <w:right w:val="single" w:sz="4" w:space="0" w:color="auto"/>
            </w:tcBorders>
          </w:tcPr>
          <w:p w:rsidR="00E079AE" w:rsidRPr="009B65D6" w:rsidRDefault="00E079AE" w:rsidP="00A47BED">
            <w:pPr>
              <w:pStyle w:val="CM4"/>
              <w:spacing w:before="60" w:after="60"/>
              <w:rPr>
                <w:rFonts w:ascii="Times New Roman" w:hAnsi="Times New Roman"/>
              </w:rPr>
            </w:pPr>
            <w:r w:rsidRPr="009B65D6">
              <w:rPr>
                <w:rFonts w:ascii="Times New Roman" w:hAnsi="Times New Roman"/>
              </w:rPr>
              <w:t xml:space="preserve">KAPITOLA III </w:t>
            </w:r>
          </w:p>
          <w:p w:rsidR="00E079AE" w:rsidRPr="009B65D6" w:rsidRDefault="00E079AE" w:rsidP="00A47BED">
            <w:pPr>
              <w:pStyle w:val="CM4"/>
              <w:spacing w:before="60" w:after="60"/>
              <w:rPr>
                <w:rFonts w:ascii="Times New Roman" w:hAnsi="Times New Roman"/>
                <w:b/>
                <w:bCs/>
              </w:rPr>
            </w:pPr>
            <w:r w:rsidRPr="009B65D6">
              <w:rPr>
                <w:rFonts w:ascii="Times New Roman" w:hAnsi="Times New Roman"/>
                <w:b/>
                <w:bCs/>
              </w:rPr>
              <w:t xml:space="preserve">ZÁVEREČNÉ USTANOVENIA </w:t>
            </w:r>
          </w:p>
          <w:p w:rsidR="00E079AE" w:rsidRPr="009B65D6" w:rsidRDefault="00E079AE" w:rsidP="00A47BED">
            <w:pPr>
              <w:pStyle w:val="CM4"/>
              <w:spacing w:before="60" w:after="60"/>
              <w:rPr>
                <w:rFonts w:ascii="Times New Roman" w:hAnsi="Times New Roman"/>
                <w:b/>
                <w:bCs/>
              </w:rPr>
            </w:pPr>
            <w:r w:rsidRPr="009B65D6">
              <w:rPr>
                <w:rFonts w:ascii="Times New Roman" w:hAnsi="Times New Roman"/>
                <w:b/>
                <w:bCs/>
              </w:rPr>
              <w:lastRenderedPageBreak/>
              <w:t xml:space="preserve">Preskúmanie </w:t>
            </w:r>
          </w:p>
          <w:p w:rsidR="00E079AE" w:rsidRPr="009B65D6" w:rsidRDefault="00E079AE" w:rsidP="00A47BED">
            <w:pPr>
              <w:pStyle w:val="CM4"/>
              <w:spacing w:before="60" w:after="60"/>
              <w:rPr>
                <w:rFonts w:ascii="Times New Roman" w:hAnsi="Times New Roman"/>
              </w:rPr>
            </w:pPr>
            <w:r w:rsidRPr="009B65D6">
              <w:rPr>
                <w:rFonts w:ascii="Times New Roman" w:hAnsi="Times New Roman"/>
              </w:rPr>
              <w:t xml:space="preserve">1.Komisia vyhodnotí vykonávanie tejto smernice, najmä vplyv článku 4, do 9. augusta 2020 a Rade o ňom podá správu. K správe Komisie sa podľa potreby pripojí legislatívny návrh. </w:t>
            </w:r>
          </w:p>
          <w:p w:rsidR="00A42631" w:rsidRPr="009B65D6" w:rsidRDefault="00A42631" w:rsidP="00A42631">
            <w:pPr>
              <w:pStyle w:val="Default"/>
              <w:rPr>
                <w:color w:val="auto"/>
              </w:rPr>
            </w:pPr>
          </w:p>
          <w:p w:rsidR="00E079AE" w:rsidRPr="009B65D6" w:rsidRDefault="00E079AE" w:rsidP="00A47BED">
            <w:pPr>
              <w:pStyle w:val="CM4"/>
              <w:spacing w:before="60" w:after="60"/>
              <w:rPr>
                <w:rFonts w:ascii="Times New Roman" w:hAnsi="Times New Roman"/>
              </w:rPr>
            </w:pPr>
            <w:r w:rsidRPr="009B65D6">
              <w:rPr>
                <w:rFonts w:ascii="Times New Roman" w:hAnsi="Times New Roman"/>
              </w:rPr>
              <w:t xml:space="preserve">2.Členské štáty Komisii poskytujú všetky informácie potrebné na vyhodnotenie vykonávania tejto smernice. </w:t>
            </w:r>
          </w:p>
          <w:p w:rsidR="00656B18" w:rsidRPr="009B65D6" w:rsidRDefault="00E079AE" w:rsidP="00A47BED">
            <w:pPr>
              <w:pStyle w:val="CM4"/>
              <w:spacing w:before="60" w:after="60"/>
              <w:rPr>
                <w:rFonts w:ascii="Times New Roman" w:hAnsi="Times New Roman"/>
              </w:rPr>
            </w:pPr>
            <w:r w:rsidRPr="009B65D6">
              <w:rPr>
                <w:rFonts w:ascii="Times New Roman" w:hAnsi="Times New Roman"/>
              </w:rPr>
              <w:t>3.Členské štáty uvedené v článku 11 ods. 6 oznámia Komisii pred 1. júlom 2017 všetky informácie nevyhnutné na vyhodnotenie účinnosti vnútroštátnych pravidiel zameraných na predchádzanie narúšaniu základu dane a riziku presunu ziskov (BEPS).</w:t>
            </w:r>
          </w:p>
        </w:tc>
        <w:tc>
          <w:tcPr>
            <w:tcW w:w="567" w:type="dxa"/>
            <w:tcBorders>
              <w:top w:val="single" w:sz="4" w:space="0" w:color="auto"/>
              <w:left w:val="single" w:sz="4" w:space="0" w:color="auto"/>
              <w:bottom w:val="single" w:sz="4" w:space="0" w:color="auto"/>
              <w:right w:val="single" w:sz="12" w:space="0" w:color="auto"/>
            </w:tcBorders>
          </w:tcPr>
          <w:p w:rsidR="00DD3866" w:rsidRPr="009B65D6" w:rsidRDefault="00DD3866">
            <w:pPr>
              <w:jc w:val="center"/>
            </w:pPr>
          </w:p>
          <w:p w:rsidR="00656B18" w:rsidRPr="009B65D6" w:rsidRDefault="00656B18">
            <w:pPr>
              <w:jc w:val="center"/>
              <w:rPr>
                <w:b/>
              </w:rPr>
            </w:pPr>
          </w:p>
          <w:p w:rsidR="00A42631" w:rsidRPr="009B65D6" w:rsidRDefault="00A42631">
            <w:pPr>
              <w:jc w:val="center"/>
              <w:rPr>
                <w:b/>
              </w:rPr>
            </w:pPr>
          </w:p>
          <w:p w:rsidR="00A42631" w:rsidRPr="009B65D6" w:rsidRDefault="00A42631">
            <w:pPr>
              <w:jc w:val="center"/>
              <w:rPr>
                <w:b/>
              </w:rPr>
            </w:pPr>
          </w:p>
          <w:p w:rsidR="00A42631" w:rsidRPr="009B65D6" w:rsidRDefault="00A42631">
            <w:pPr>
              <w:jc w:val="center"/>
              <w:rPr>
                <w:b/>
              </w:rPr>
            </w:pPr>
            <w:r w:rsidRPr="009B65D6">
              <w:rPr>
                <w:b/>
              </w:rPr>
              <w:t>N</w:t>
            </w:r>
          </w:p>
        </w:tc>
        <w:tc>
          <w:tcPr>
            <w:tcW w:w="1134" w:type="dxa"/>
            <w:tcBorders>
              <w:top w:val="single" w:sz="4" w:space="0" w:color="auto"/>
              <w:left w:val="nil"/>
              <w:bottom w:val="single" w:sz="4" w:space="0" w:color="auto"/>
              <w:right w:val="single" w:sz="4" w:space="0" w:color="auto"/>
            </w:tcBorders>
          </w:tcPr>
          <w:p w:rsidR="00656B18" w:rsidRPr="009B65D6" w:rsidRDefault="00656B18">
            <w:pPr>
              <w:jc w:val="center"/>
            </w:pPr>
          </w:p>
          <w:p w:rsidR="009B65D6" w:rsidRPr="009B65D6" w:rsidRDefault="009B65D6">
            <w:pPr>
              <w:jc w:val="center"/>
            </w:pPr>
          </w:p>
          <w:p w:rsidR="009B65D6" w:rsidRPr="009B65D6" w:rsidRDefault="009B65D6">
            <w:pPr>
              <w:jc w:val="center"/>
            </w:pPr>
          </w:p>
          <w:p w:rsidR="009B65D6" w:rsidRPr="009B65D6" w:rsidRDefault="009B65D6">
            <w:pPr>
              <w:jc w:val="center"/>
            </w:pPr>
          </w:p>
          <w:p w:rsidR="009B65D6" w:rsidRPr="009B65D6" w:rsidRDefault="009B65D6">
            <w:pPr>
              <w:jc w:val="center"/>
            </w:pPr>
          </w:p>
          <w:p w:rsidR="009B65D6" w:rsidRPr="009B65D6" w:rsidRDefault="009B65D6">
            <w:pPr>
              <w:jc w:val="center"/>
            </w:pPr>
          </w:p>
          <w:p w:rsidR="009B65D6" w:rsidRPr="009B65D6" w:rsidRDefault="009B65D6">
            <w:pPr>
              <w:jc w:val="center"/>
            </w:pPr>
          </w:p>
          <w:p w:rsidR="009B65D6" w:rsidRPr="009B65D6" w:rsidRDefault="009B65D6">
            <w:pPr>
              <w:jc w:val="center"/>
            </w:pPr>
          </w:p>
          <w:p w:rsidR="009B65D6" w:rsidRPr="009B65D6" w:rsidRDefault="009B65D6">
            <w:pPr>
              <w:jc w:val="center"/>
            </w:pPr>
            <w:r w:rsidRPr="009B65D6">
              <w:t>575/2001</w:t>
            </w:r>
          </w:p>
        </w:tc>
        <w:tc>
          <w:tcPr>
            <w:tcW w:w="709" w:type="dxa"/>
            <w:tcBorders>
              <w:top w:val="single" w:sz="4" w:space="0" w:color="auto"/>
              <w:left w:val="single" w:sz="4" w:space="0" w:color="auto"/>
              <w:bottom w:val="single" w:sz="4" w:space="0" w:color="auto"/>
              <w:right w:val="single" w:sz="4" w:space="0" w:color="auto"/>
            </w:tcBorders>
          </w:tcPr>
          <w:p w:rsidR="00656B18" w:rsidRPr="009B65D6" w:rsidRDefault="00656B18" w:rsidP="004577EC">
            <w:pPr>
              <w:jc w:val="center"/>
            </w:pPr>
          </w:p>
          <w:p w:rsidR="00A42631" w:rsidRPr="009B65D6" w:rsidRDefault="00A42631" w:rsidP="004577EC">
            <w:pPr>
              <w:jc w:val="center"/>
            </w:pPr>
          </w:p>
          <w:p w:rsidR="00A42631" w:rsidRPr="009B65D6" w:rsidRDefault="00A42631" w:rsidP="004577EC">
            <w:pPr>
              <w:jc w:val="center"/>
            </w:pPr>
          </w:p>
          <w:p w:rsidR="00A42631" w:rsidRPr="009B65D6" w:rsidRDefault="00A42631" w:rsidP="004577EC">
            <w:pPr>
              <w:jc w:val="center"/>
            </w:pPr>
          </w:p>
          <w:p w:rsidR="00A42631" w:rsidRPr="009B65D6" w:rsidRDefault="00A42631" w:rsidP="004577EC">
            <w:pPr>
              <w:jc w:val="center"/>
            </w:pPr>
          </w:p>
          <w:p w:rsidR="00A42631" w:rsidRPr="009B65D6" w:rsidRDefault="00A42631" w:rsidP="004577EC">
            <w:pPr>
              <w:jc w:val="center"/>
            </w:pPr>
          </w:p>
          <w:p w:rsidR="009B65D6" w:rsidRPr="009B65D6" w:rsidRDefault="009B65D6" w:rsidP="004577EC">
            <w:pPr>
              <w:jc w:val="center"/>
            </w:pPr>
          </w:p>
          <w:p w:rsidR="009B65D6" w:rsidRPr="009B65D6" w:rsidRDefault="009B65D6" w:rsidP="004577EC">
            <w:pPr>
              <w:jc w:val="center"/>
            </w:pPr>
          </w:p>
          <w:p w:rsidR="007F67FF" w:rsidRPr="009B65D6" w:rsidRDefault="007F67FF" w:rsidP="004577EC">
            <w:pPr>
              <w:jc w:val="center"/>
            </w:pPr>
          </w:p>
          <w:p w:rsidR="00A42631" w:rsidRPr="009B65D6" w:rsidRDefault="00A42631" w:rsidP="007F67FF">
            <w:pPr>
              <w:jc w:val="center"/>
            </w:pPr>
            <w:r w:rsidRPr="009B65D6">
              <w:t xml:space="preserve">§ 35 ods. 7 </w:t>
            </w:r>
          </w:p>
        </w:tc>
        <w:tc>
          <w:tcPr>
            <w:tcW w:w="4536" w:type="dxa"/>
            <w:tcBorders>
              <w:top w:val="single" w:sz="4" w:space="0" w:color="auto"/>
              <w:left w:val="single" w:sz="4" w:space="0" w:color="auto"/>
              <w:bottom w:val="single" w:sz="4" w:space="0" w:color="auto"/>
              <w:right w:val="single" w:sz="4" w:space="0" w:color="auto"/>
            </w:tcBorders>
          </w:tcPr>
          <w:p w:rsidR="00656B18" w:rsidRPr="009B65D6" w:rsidRDefault="00656B18" w:rsidP="00B64B09">
            <w:pPr>
              <w:pStyle w:val="Zkladntext2"/>
              <w:spacing w:line="240" w:lineRule="exact"/>
              <w:jc w:val="left"/>
              <w:rPr>
                <w:sz w:val="24"/>
                <w:szCs w:val="24"/>
              </w:rPr>
            </w:pPr>
          </w:p>
          <w:p w:rsidR="00A42631" w:rsidRPr="009B65D6" w:rsidRDefault="00A42631" w:rsidP="00B64B09">
            <w:pPr>
              <w:pStyle w:val="Zkladntext2"/>
              <w:spacing w:line="240" w:lineRule="exact"/>
              <w:jc w:val="left"/>
              <w:rPr>
                <w:sz w:val="24"/>
                <w:szCs w:val="24"/>
              </w:rPr>
            </w:pPr>
          </w:p>
          <w:p w:rsidR="00A42631" w:rsidRPr="009B65D6" w:rsidRDefault="00A42631" w:rsidP="00B64B09">
            <w:pPr>
              <w:pStyle w:val="Zkladntext2"/>
              <w:spacing w:line="240" w:lineRule="exact"/>
              <w:jc w:val="left"/>
              <w:rPr>
                <w:sz w:val="24"/>
                <w:szCs w:val="24"/>
              </w:rPr>
            </w:pPr>
          </w:p>
          <w:p w:rsidR="00A42631" w:rsidRPr="009B65D6" w:rsidRDefault="00A42631" w:rsidP="00B64B09">
            <w:pPr>
              <w:pStyle w:val="Zkladntext2"/>
              <w:spacing w:line="240" w:lineRule="exact"/>
              <w:jc w:val="left"/>
              <w:rPr>
                <w:sz w:val="24"/>
                <w:szCs w:val="24"/>
              </w:rPr>
            </w:pPr>
          </w:p>
          <w:p w:rsidR="00A42631" w:rsidRPr="009B65D6" w:rsidRDefault="00A42631" w:rsidP="009B65D6">
            <w:pPr>
              <w:pStyle w:val="Zkladntext2"/>
              <w:spacing w:line="240" w:lineRule="exact"/>
              <w:jc w:val="both"/>
              <w:rPr>
                <w:sz w:val="24"/>
                <w:szCs w:val="24"/>
              </w:rPr>
            </w:pPr>
          </w:p>
          <w:p w:rsidR="00A42631" w:rsidRPr="009B65D6" w:rsidRDefault="00A42631" w:rsidP="009B65D6">
            <w:pPr>
              <w:pStyle w:val="Zkladntext2"/>
              <w:spacing w:line="240" w:lineRule="exact"/>
              <w:jc w:val="both"/>
              <w:rPr>
                <w:sz w:val="24"/>
                <w:szCs w:val="24"/>
              </w:rPr>
            </w:pPr>
          </w:p>
          <w:p w:rsidR="00A42631" w:rsidRPr="009B65D6" w:rsidRDefault="00A42631" w:rsidP="009B65D6">
            <w:pPr>
              <w:pStyle w:val="Zkladntext2"/>
              <w:spacing w:line="240" w:lineRule="exact"/>
              <w:jc w:val="both"/>
              <w:rPr>
                <w:b/>
                <w:sz w:val="24"/>
                <w:szCs w:val="24"/>
              </w:rPr>
            </w:pPr>
          </w:p>
          <w:p w:rsidR="009B65D6" w:rsidRPr="009B65D6" w:rsidRDefault="009B65D6" w:rsidP="009B65D6">
            <w:pPr>
              <w:pStyle w:val="Zkladntext2"/>
              <w:spacing w:line="240" w:lineRule="exact"/>
              <w:jc w:val="both"/>
              <w:rPr>
                <w:b/>
                <w:sz w:val="24"/>
                <w:szCs w:val="24"/>
              </w:rPr>
            </w:pPr>
          </w:p>
          <w:p w:rsidR="009B65D6" w:rsidRPr="009B65D6" w:rsidRDefault="009B65D6" w:rsidP="009B65D6">
            <w:pPr>
              <w:pStyle w:val="Zkladntext2"/>
              <w:spacing w:line="240" w:lineRule="exact"/>
              <w:jc w:val="both"/>
              <w:rPr>
                <w:b/>
                <w:sz w:val="24"/>
                <w:szCs w:val="24"/>
              </w:rPr>
            </w:pPr>
          </w:p>
          <w:p w:rsidR="009B65D6" w:rsidRPr="009B65D6" w:rsidRDefault="009B65D6" w:rsidP="009B65D6">
            <w:pPr>
              <w:pStyle w:val="Zkladntext2"/>
              <w:spacing w:line="240" w:lineRule="exact"/>
              <w:jc w:val="both"/>
              <w:rPr>
                <w:b/>
                <w:sz w:val="24"/>
                <w:szCs w:val="24"/>
              </w:rPr>
            </w:pPr>
            <w:r w:rsidRPr="009B65D6">
              <w:rPr>
                <w:b/>
                <w:sz w:val="24"/>
                <w:szCs w:val="24"/>
              </w:rPr>
              <w:t>(7) Ministerstvá a ostatné ústredné orgány štátnej správy v rozsahu vymedzenej pôsobnosti plnia voči orgánom Európskej únie informačnú a oznamovaciu povinnosť, ktorá im vyplýva z právne záväzných aktov týchto orgánov.</w:t>
            </w:r>
          </w:p>
          <w:p w:rsidR="00A42631" w:rsidRPr="009B65D6" w:rsidRDefault="00A42631" w:rsidP="00B64B09">
            <w:pPr>
              <w:pStyle w:val="Zkladntext2"/>
              <w:spacing w:line="240" w:lineRule="exact"/>
              <w:jc w:val="left"/>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DD3866" w:rsidRPr="009B65D6" w:rsidRDefault="00DD3866">
            <w:pPr>
              <w:jc w:val="center"/>
            </w:pPr>
          </w:p>
          <w:p w:rsidR="00A42631" w:rsidRPr="009B65D6" w:rsidRDefault="00A42631">
            <w:pPr>
              <w:jc w:val="center"/>
            </w:pPr>
          </w:p>
          <w:p w:rsidR="00A42631" w:rsidRPr="009B65D6" w:rsidRDefault="00A42631">
            <w:pPr>
              <w:jc w:val="center"/>
            </w:pPr>
          </w:p>
          <w:p w:rsidR="00A42631" w:rsidRPr="009B65D6" w:rsidRDefault="00A42631">
            <w:pPr>
              <w:jc w:val="center"/>
            </w:pPr>
          </w:p>
          <w:p w:rsidR="00656B18" w:rsidRPr="009B65D6" w:rsidRDefault="00A42631">
            <w:pPr>
              <w:jc w:val="center"/>
              <w:rPr>
                <w:b/>
              </w:rPr>
            </w:pPr>
            <w:r w:rsidRPr="009B65D6">
              <w:rPr>
                <w:b/>
              </w:rPr>
              <w:t>Ú</w:t>
            </w:r>
          </w:p>
        </w:tc>
        <w:tc>
          <w:tcPr>
            <w:tcW w:w="1059" w:type="dxa"/>
            <w:tcBorders>
              <w:top w:val="single" w:sz="4" w:space="0" w:color="auto"/>
              <w:left w:val="single" w:sz="4" w:space="0" w:color="auto"/>
              <w:bottom w:val="single" w:sz="4" w:space="0" w:color="auto"/>
              <w:right w:val="single" w:sz="12" w:space="0" w:color="auto"/>
            </w:tcBorders>
          </w:tcPr>
          <w:p w:rsidR="00DD3866" w:rsidRPr="009B65D6" w:rsidRDefault="00DD3866" w:rsidP="00DA7D6F">
            <w:pPr>
              <w:rPr>
                <w:sz w:val="20"/>
                <w:szCs w:val="20"/>
                <w:highlight w:val="cyan"/>
                <w:lang w:eastAsia="en-US"/>
              </w:rPr>
            </w:pPr>
          </w:p>
          <w:p w:rsidR="00D54184" w:rsidRPr="009B65D6" w:rsidRDefault="00D54184" w:rsidP="00D54184">
            <w:pPr>
              <w:rPr>
                <w:bCs/>
                <w:sz w:val="20"/>
                <w:szCs w:val="20"/>
              </w:rPr>
            </w:pPr>
            <w:r w:rsidRPr="009B65D6">
              <w:rPr>
                <w:bCs/>
                <w:sz w:val="20"/>
                <w:szCs w:val="20"/>
              </w:rPr>
              <w:t xml:space="preserve">Slovenská republika pri prevzatí </w:t>
            </w:r>
            <w:r w:rsidRPr="009B65D6">
              <w:rPr>
                <w:bCs/>
                <w:sz w:val="20"/>
                <w:szCs w:val="20"/>
              </w:rPr>
              <w:lastRenderedPageBreak/>
              <w:t xml:space="preserve">článku 4 smernice (EÚ) 2016/1164 </w:t>
            </w:r>
            <w:r w:rsidR="00182CDA" w:rsidRPr="009B65D6">
              <w:rPr>
                <w:bCs/>
                <w:sz w:val="20"/>
                <w:szCs w:val="20"/>
              </w:rPr>
              <w:t xml:space="preserve">v znení smernice Rady (EÚ) 2017/952 z 29. mája 2017 (Ú. V. EÚ L 144, 7.6.2017) </w:t>
            </w:r>
            <w:r w:rsidRPr="009B65D6">
              <w:rPr>
                <w:bCs/>
                <w:sz w:val="20"/>
                <w:szCs w:val="20"/>
              </w:rPr>
              <w:t xml:space="preserve">využila výnimku podľa čl. 11 ods. 6 smernice, na základe ktorej si ponechala v účinnosti ustanovenia § 21a zákona č. 595/2003 Z. z. o dani z príjmov v znení neskorších predpisov do konca roka 2023. Pravidlá uvedené v §21a splnili podmienku stanovenú v článku 11 ods. 6 cit. smernice a boli zo </w:t>
            </w:r>
            <w:r w:rsidRPr="009B65D6">
              <w:rPr>
                <w:bCs/>
                <w:sz w:val="20"/>
                <w:szCs w:val="20"/>
              </w:rPr>
              <w:lastRenderedPageBreak/>
              <w:t>strany EK vyhodnotené ako rovnako účinné ako pravidlo o obmedzení zahrnutia úrokov stanovené v cit. smernici. Od 1.1.2024 však budú všetky členské štáty EÚ povinné uplatňovať pravidlá článku 4 smernice (EÚ) 2016/1164</w:t>
            </w:r>
            <w:r w:rsidR="00182CDA" w:rsidRPr="009B65D6">
              <w:rPr>
                <w:bCs/>
                <w:sz w:val="20"/>
                <w:szCs w:val="20"/>
              </w:rPr>
              <w:t xml:space="preserve"> v znení smernice Rady (EÚ) 2017/952 z 29. mája 2017 (Ú. V. EÚ L 144, 7.6.2017).</w:t>
            </w:r>
          </w:p>
          <w:p w:rsidR="00656B18" w:rsidRPr="009B65D6" w:rsidRDefault="00656B18" w:rsidP="00D54184">
            <w:pPr>
              <w:rPr>
                <w:b/>
                <w:bCs/>
              </w:rPr>
            </w:pPr>
          </w:p>
        </w:tc>
      </w:tr>
      <w:tr w:rsidR="00656B18" w:rsidRPr="009B65D6" w:rsidTr="00BD76BA">
        <w:tc>
          <w:tcPr>
            <w:tcW w:w="540" w:type="dxa"/>
            <w:tcBorders>
              <w:top w:val="single" w:sz="4" w:space="0" w:color="auto"/>
              <w:left w:val="single" w:sz="12" w:space="0" w:color="auto"/>
              <w:bottom w:val="single" w:sz="4" w:space="0" w:color="auto"/>
              <w:right w:val="single" w:sz="4" w:space="0" w:color="auto"/>
            </w:tcBorders>
          </w:tcPr>
          <w:p w:rsidR="00656B18" w:rsidRPr="009B65D6" w:rsidRDefault="00E079AE" w:rsidP="00A47BED">
            <w:pPr>
              <w:jc w:val="center"/>
            </w:pPr>
            <w:r w:rsidRPr="009B65D6">
              <w:lastRenderedPageBreak/>
              <w:t>Čl.</w:t>
            </w:r>
            <w:r w:rsidR="00D66E52" w:rsidRPr="009B65D6">
              <w:t xml:space="preserve"> </w:t>
            </w:r>
            <w:r w:rsidRPr="009B65D6">
              <w:t>11</w:t>
            </w:r>
            <w:r w:rsidR="00D66E52" w:rsidRPr="009B65D6">
              <w:t xml:space="preserve"> ods.6</w:t>
            </w:r>
          </w:p>
        </w:tc>
        <w:tc>
          <w:tcPr>
            <w:tcW w:w="6946" w:type="dxa"/>
            <w:tcBorders>
              <w:top w:val="single" w:sz="4" w:space="0" w:color="auto"/>
              <w:left w:val="single" w:sz="4" w:space="0" w:color="auto"/>
              <w:bottom w:val="single" w:sz="4" w:space="0" w:color="auto"/>
              <w:right w:val="single" w:sz="4" w:space="0" w:color="auto"/>
            </w:tcBorders>
          </w:tcPr>
          <w:p w:rsidR="005A56EA" w:rsidRPr="009B65D6" w:rsidRDefault="005A56EA" w:rsidP="005A56EA">
            <w:pPr>
              <w:pStyle w:val="CM4"/>
              <w:spacing w:before="60" w:after="60"/>
              <w:rPr>
                <w:rFonts w:ascii="Times New Roman" w:hAnsi="Times New Roman"/>
                <w:b/>
                <w:bCs/>
              </w:rPr>
            </w:pPr>
            <w:r w:rsidRPr="009B65D6">
              <w:rPr>
                <w:rFonts w:ascii="Times New Roman" w:hAnsi="Times New Roman"/>
                <w:b/>
                <w:bCs/>
              </w:rPr>
              <w:t xml:space="preserve">Transpozícia </w:t>
            </w:r>
          </w:p>
          <w:p w:rsidR="00E079AE" w:rsidRPr="009B65D6" w:rsidRDefault="00E079AE" w:rsidP="005A56EA">
            <w:pPr>
              <w:pStyle w:val="CM4"/>
              <w:spacing w:before="60" w:after="60"/>
              <w:rPr>
                <w:rFonts w:ascii="Times New Roman" w:hAnsi="Times New Roman"/>
                <w:b/>
                <w:bCs/>
              </w:rPr>
            </w:pPr>
            <w:r w:rsidRPr="009B65D6">
              <w:rPr>
                <w:rFonts w:ascii="Times New Roman" w:hAnsi="Times New Roman"/>
              </w:rPr>
              <w:t xml:space="preserve">6.Odchylne od článku 4 môžu členské štáty, ktoré majú k 8. augustu 2016 vnútroštátne pravidlá zamerané na predchádzanie rizík BEPS, pričom tieto pravidlá sú rovnako účinné ako pravidlo o obmedzení zahrnutia úrokov stanovené v tejto smernici, uplatniť tieto cielené </w:t>
            </w:r>
            <w:r w:rsidRPr="009B65D6">
              <w:rPr>
                <w:rFonts w:ascii="Times New Roman" w:hAnsi="Times New Roman"/>
              </w:rPr>
              <w:lastRenderedPageBreak/>
              <w:t>pravidlá do konca prvého úplného fiškálneho roka, ktorý nasleduje po dátume uverejnenia dohody medzi členskými krajinami OECD na oficiálnom webovom sídle venovanom minimálnemu štandardu, pokiaľ ide o akciu 4 v oblasti BEPS, ale najneskôr do 1. januára 2024.</w:t>
            </w:r>
          </w:p>
        </w:tc>
        <w:tc>
          <w:tcPr>
            <w:tcW w:w="567" w:type="dxa"/>
            <w:tcBorders>
              <w:top w:val="single" w:sz="4" w:space="0" w:color="auto"/>
              <w:left w:val="single" w:sz="4" w:space="0" w:color="auto"/>
              <w:bottom w:val="single" w:sz="4" w:space="0" w:color="auto"/>
              <w:right w:val="single" w:sz="12" w:space="0" w:color="auto"/>
            </w:tcBorders>
          </w:tcPr>
          <w:p w:rsidR="00D14381" w:rsidRPr="009B65D6" w:rsidRDefault="00D14381">
            <w:pPr>
              <w:jc w:val="center"/>
            </w:pPr>
          </w:p>
          <w:p w:rsidR="00656B18" w:rsidRPr="009B65D6" w:rsidRDefault="00D14381">
            <w:pPr>
              <w:jc w:val="center"/>
              <w:rPr>
                <w:b/>
              </w:rPr>
            </w:pPr>
            <w:r w:rsidRPr="009B65D6">
              <w:rPr>
                <w:b/>
              </w:rPr>
              <w:t>N</w:t>
            </w: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A73C62" w:rsidRPr="009B65D6" w:rsidRDefault="00A73C62">
            <w:pPr>
              <w:jc w:val="center"/>
            </w:pPr>
          </w:p>
          <w:p w:rsidR="0062402D" w:rsidRPr="009B65D6" w:rsidRDefault="0062402D">
            <w:pPr>
              <w:jc w:val="center"/>
            </w:pPr>
          </w:p>
          <w:p w:rsidR="002314E9" w:rsidRPr="009B65D6" w:rsidRDefault="002314E9">
            <w:pPr>
              <w:jc w:val="center"/>
            </w:pPr>
          </w:p>
          <w:p w:rsidR="002314E9" w:rsidRPr="009B65D6" w:rsidRDefault="002314E9">
            <w:pPr>
              <w:jc w:val="center"/>
            </w:pPr>
          </w:p>
          <w:p w:rsidR="002314E9" w:rsidRPr="009B65D6" w:rsidRDefault="002314E9">
            <w:pPr>
              <w:jc w:val="center"/>
            </w:pPr>
          </w:p>
          <w:p w:rsidR="00725E85" w:rsidRPr="009B65D6" w:rsidRDefault="00725E85" w:rsidP="00176FB0"/>
          <w:p w:rsidR="0062402D" w:rsidRPr="009B65D6" w:rsidRDefault="0062402D">
            <w:pPr>
              <w:jc w:val="center"/>
            </w:pPr>
          </w:p>
        </w:tc>
        <w:tc>
          <w:tcPr>
            <w:tcW w:w="1134" w:type="dxa"/>
            <w:tcBorders>
              <w:top w:val="single" w:sz="4" w:space="0" w:color="auto"/>
              <w:left w:val="nil"/>
              <w:bottom w:val="single" w:sz="4" w:space="0" w:color="auto"/>
              <w:right w:val="single" w:sz="4" w:space="0" w:color="auto"/>
            </w:tcBorders>
          </w:tcPr>
          <w:p w:rsidR="00FC5BF9" w:rsidRPr="009B65D6" w:rsidRDefault="00FC5BF9" w:rsidP="00FC5BF9">
            <w:pPr>
              <w:jc w:val="center"/>
              <w:rPr>
                <w:b/>
              </w:rPr>
            </w:pPr>
            <w:r w:rsidRPr="009B65D6">
              <w:rPr>
                <w:b/>
              </w:rPr>
              <w:lastRenderedPageBreak/>
              <w:t>Návrh zákona čl.I</w:t>
            </w:r>
          </w:p>
          <w:p w:rsidR="00C21699" w:rsidRPr="009B65D6" w:rsidRDefault="00C21699">
            <w:pPr>
              <w:jc w:val="center"/>
              <w:rPr>
                <w:b/>
              </w:rPr>
            </w:pPr>
          </w:p>
          <w:p w:rsidR="00FC5BF9" w:rsidRPr="009B65D6" w:rsidRDefault="00FC5BF9">
            <w:pPr>
              <w:jc w:val="center"/>
              <w:rPr>
                <w:b/>
              </w:rPr>
            </w:pPr>
          </w:p>
          <w:p w:rsidR="00FC5BF9" w:rsidRPr="009B65D6" w:rsidRDefault="00FC5BF9">
            <w:pPr>
              <w:jc w:val="center"/>
              <w:rPr>
                <w:b/>
              </w:rPr>
            </w:pPr>
          </w:p>
          <w:p w:rsidR="00FC5BF9" w:rsidRPr="009B65D6" w:rsidRDefault="00FC5BF9">
            <w:pPr>
              <w:jc w:val="center"/>
              <w:rPr>
                <w:b/>
              </w:rPr>
            </w:pPr>
          </w:p>
          <w:p w:rsidR="00FC5BF9" w:rsidRPr="009B65D6" w:rsidRDefault="00FC5BF9">
            <w:pPr>
              <w:jc w:val="center"/>
              <w:rPr>
                <w:b/>
              </w:rPr>
            </w:pPr>
          </w:p>
          <w:p w:rsidR="003C7DD1" w:rsidRPr="009B65D6" w:rsidRDefault="000E6889" w:rsidP="000E6889">
            <w:pPr>
              <w:jc w:val="center"/>
              <w:rPr>
                <w:b/>
              </w:rPr>
            </w:pPr>
            <w:r w:rsidRPr="009B65D6">
              <w:rPr>
                <w:b/>
              </w:rPr>
              <w:t xml:space="preserve">Návrh zákona </w:t>
            </w:r>
            <w:r w:rsidR="00A65913" w:rsidRPr="009B65D6">
              <w:rPr>
                <w:b/>
              </w:rPr>
              <w:t>čl.III</w:t>
            </w:r>
          </w:p>
          <w:p w:rsidR="003C7DD1" w:rsidRPr="009B65D6" w:rsidRDefault="003C7DD1" w:rsidP="000E6889">
            <w:pPr>
              <w:jc w:val="center"/>
              <w:rPr>
                <w:b/>
              </w:rPr>
            </w:pPr>
          </w:p>
          <w:p w:rsidR="003C7DD1" w:rsidRPr="009B65D6" w:rsidRDefault="003C7DD1" w:rsidP="000E6889">
            <w:pPr>
              <w:jc w:val="center"/>
              <w:rPr>
                <w:b/>
              </w:rPr>
            </w:pPr>
          </w:p>
          <w:p w:rsidR="003C7DD1" w:rsidRPr="009B65D6" w:rsidRDefault="003C7DD1" w:rsidP="000E6889">
            <w:pPr>
              <w:jc w:val="center"/>
              <w:rPr>
                <w:b/>
              </w:rPr>
            </w:pPr>
          </w:p>
          <w:p w:rsidR="00CD6635" w:rsidRPr="009B65D6" w:rsidRDefault="00CD6635" w:rsidP="000E6889">
            <w:pPr>
              <w:jc w:val="center"/>
            </w:pPr>
          </w:p>
          <w:p w:rsidR="00C21699" w:rsidRPr="009B65D6" w:rsidRDefault="00C21699">
            <w:pPr>
              <w:jc w:val="center"/>
              <w:rPr>
                <w:b/>
              </w:rPr>
            </w:pPr>
          </w:p>
          <w:p w:rsidR="00C21699" w:rsidRPr="009B65D6" w:rsidRDefault="00C21699">
            <w:pPr>
              <w:jc w:val="center"/>
              <w:rPr>
                <w:b/>
              </w:rPr>
            </w:pPr>
          </w:p>
          <w:p w:rsidR="00F840AE" w:rsidRPr="009B65D6" w:rsidRDefault="00F840AE" w:rsidP="003C7DD1">
            <w:pPr>
              <w:jc w:val="center"/>
            </w:pPr>
          </w:p>
          <w:p w:rsidR="003C7DD1" w:rsidRPr="009B65D6" w:rsidRDefault="003C7DD1" w:rsidP="00C21699">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D14381" w:rsidRPr="009B65D6" w:rsidRDefault="00FC5BF9" w:rsidP="004577EC">
            <w:pPr>
              <w:jc w:val="center"/>
            </w:pPr>
            <w:r w:rsidRPr="009B65D6">
              <w:lastRenderedPageBreak/>
              <w:t>§ 52zzo</w:t>
            </w:r>
          </w:p>
          <w:p w:rsidR="0062402D" w:rsidRPr="009B65D6" w:rsidRDefault="0062402D" w:rsidP="004577EC">
            <w:pPr>
              <w:jc w:val="center"/>
            </w:pPr>
          </w:p>
          <w:p w:rsidR="0062402D" w:rsidRPr="009B65D6" w:rsidRDefault="0062402D" w:rsidP="004577EC">
            <w:pPr>
              <w:jc w:val="center"/>
            </w:pPr>
          </w:p>
          <w:p w:rsidR="0062402D" w:rsidRPr="009B65D6" w:rsidRDefault="0062402D" w:rsidP="004577EC">
            <w:pPr>
              <w:jc w:val="center"/>
            </w:pPr>
          </w:p>
          <w:p w:rsidR="00DD624B" w:rsidRPr="009B65D6" w:rsidRDefault="00DD624B" w:rsidP="004577EC">
            <w:pPr>
              <w:jc w:val="center"/>
            </w:pPr>
          </w:p>
          <w:p w:rsidR="00CD6635" w:rsidRPr="009B65D6" w:rsidRDefault="00CD6635" w:rsidP="00CD6635">
            <w:pPr>
              <w:spacing w:before="120"/>
            </w:pPr>
          </w:p>
          <w:p w:rsidR="00F840AE" w:rsidRPr="009B65D6" w:rsidRDefault="00F840AE" w:rsidP="00CD6635">
            <w:pPr>
              <w:spacing w:before="120"/>
            </w:pPr>
          </w:p>
          <w:p w:rsidR="00FC5BF9" w:rsidRPr="009B65D6" w:rsidRDefault="00FC5BF9" w:rsidP="00CD6635">
            <w:pPr>
              <w:spacing w:before="120"/>
            </w:pPr>
          </w:p>
          <w:p w:rsidR="00FC5BF9" w:rsidRPr="009B65D6" w:rsidRDefault="00FC5BF9" w:rsidP="00CD6635">
            <w:pPr>
              <w:spacing w:before="120"/>
            </w:pPr>
          </w:p>
          <w:p w:rsidR="00FC5BF9" w:rsidRPr="009B65D6" w:rsidRDefault="00FC5BF9" w:rsidP="00CD6635">
            <w:pPr>
              <w:spacing w:before="120"/>
            </w:pPr>
          </w:p>
          <w:p w:rsidR="00FC5BF9" w:rsidRPr="009B65D6" w:rsidRDefault="00FC5BF9" w:rsidP="00CD6635">
            <w:pPr>
              <w:spacing w:before="120"/>
            </w:pPr>
          </w:p>
          <w:p w:rsidR="006F54B7" w:rsidRPr="009B65D6" w:rsidRDefault="006F54B7" w:rsidP="004577EC">
            <w:pPr>
              <w:jc w:val="center"/>
            </w:pPr>
          </w:p>
          <w:p w:rsidR="00B942DD" w:rsidRPr="009B65D6" w:rsidRDefault="00B942DD" w:rsidP="004577EC">
            <w:pPr>
              <w:jc w:val="center"/>
            </w:pPr>
          </w:p>
          <w:p w:rsidR="00F840AE" w:rsidRPr="009B65D6" w:rsidRDefault="00F840AE" w:rsidP="004577EC">
            <w:pPr>
              <w:jc w:val="center"/>
            </w:pPr>
          </w:p>
          <w:p w:rsidR="006F54B7" w:rsidRPr="009B65D6" w:rsidRDefault="006F54B7" w:rsidP="00B942DD">
            <w:pPr>
              <w:jc w:val="center"/>
            </w:pPr>
          </w:p>
          <w:p w:rsidR="006F54B7" w:rsidRPr="009B65D6" w:rsidRDefault="006F54B7" w:rsidP="004577EC">
            <w:pPr>
              <w:jc w:val="center"/>
            </w:pPr>
          </w:p>
          <w:p w:rsidR="006F54B7" w:rsidRPr="009B65D6" w:rsidRDefault="006F54B7" w:rsidP="004577EC">
            <w:pPr>
              <w:jc w:val="center"/>
            </w:pPr>
          </w:p>
          <w:p w:rsidR="008149D4" w:rsidRPr="009B65D6" w:rsidRDefault="008149D4" w:rsidP="00B942DD"/>
        </w:tc>
        <w:tc>
          <w:tcPr>
            <w:tcW w:w="4536" w:type="dxa"/>
            <w:tcBorders>
              <w:top w:val="single" w:sz="4" w:space="0" w:color="auto"/>
              <w:left w:val="single" w:sz="4" w:space="0" w:color="auto"/>
              <w:bottom w:val="single" w:sz="4" w:space="0" w:color="auto"/>
              <w:right w:val="single" w:sz="4" w:space="0" w:color="auto"/>
            </w:tcBorders>
          </w:tcPr>
          <w:p w:rsidR="00D14381" w:rsidRPr="009B65D6" w:rsidRDefault="00FC5BF9" w:rsidP="00D14381">
            <w:pPr>
              <w:jc w:val="both"/>
              <w:rPr>
                <w:b/>
              </w:rPr>
            </w:pPr>
            <w:r w:rsidRPr="009B65D6">
              <w:rPr>
                <w:b/>
              </w:rPr>
              <w:lastRenderedPageBreak/>
              <w:t>Ustanovenie § 17k v znení účinnom</w:t>
            </w:r>
            <w:r w:rsidR="0058177A" w:rsidRPr="009B65D6">
              <w:rPr>
                <w:b/>
              </w:rPr>
              <w:t xml:space="preserve"> od 1. januára 2024 sa použije </w:t>
            </w:r>
            <w:r w:rsidRPr="009B65D6">
              <w:rPr>
                <w:b/>
              </w:rPr>
              <w:t xml:space="preserve">prvýkrát na čisté úrokové náklady plynúce na základe zmlúv uzatvorených po 31. decembri 2023, vrátane dodatkov uzatvorených po 31. </w:t>
            </w:r>
            <w:r w:rsidRPr="009B65D6">
              <w:rPr>
                <w:b/>
              </w:rPr>
              <w:lastRenderedPageBreak/>
              <w:t>decembri 2023 k zmluvám, ktoré boli uzatvorené do 31. decembra 2023.</w:t>
            </w:r>
          </w:p>
          <w:p w:rsidR="00FC5BF9" w:rsidRPr="009B65D6" w:rsidRDefault="00FC5BF9" w:rsidP="00D14381">
            <w:pPr>
              <w:jc w:val="both"/>
              <w:rPr>
                <w:b/>
              </w:rPr>
            </w:pPr>
          </w:p>
          <w:p w:rsidR="003C646A" w:rsidRPr="009B65D6" w:rsidRDefault="003C646A" w:rsidP="003C646A">
            <w:pPr>
              <w:jc w:val="both"/>
              <w:rPr>
                <w:b/>
              </w:rPr>
            </w:pPr>
            <w:r w:rsidRPr="009B65D6">
              <w:rPr>
                <w:b/>
              </w:rPr>
              <w:t>Tento zákon nadobúda účinnosť 1. januára 2023 okrem čl. I bodov 10, 1</w:t>
            </w:r>
            <w:r w:rsidR="00A733C5" w:rsidRPr="009B65D6">
              <w:rPr>
                <w:b/>
              </w:rPr>
              <w:t>2</w:t>
            </w:r>
            <w:r w:rsidRPr="009B65D6">
              <w:rPr>
                <w:b/>
              </w:rPr>
              <w:t>, 28 a §52zz</w:t>
            </w:r>
            <w:r w:rsidR="00714553" w:rsidRPr="009B65D6">
              <w:rPr>
                <w:b/>
              </w:rPr>
              <w:t>r</w:t>
            </w:r>
            <w:r w:rsidRPr="009B65D6">
              <w:rPr>
                <w:b/>
              </w:rPr>
              <w:t xml:space="preserve"> v bode </w:t>
            </w:r>
            <w:r w:rsidR="00B1013C" w:rsidRPr="009B65D6">
              <w:rPr>
                <w:b/>
              </w:rPr>
              <w:t>40</w:t>
            </w:r>
            <w:r w:rsidRPr="009B65D6">
              <w:rPr>
                <w:b/>
              </w:rPr>
              <w:t xml:space="preserve"> a čl. II bodov </w:t>
            </w:r>
            <w:r w:rsidR="00714553" w:rsidRPr="009B65D6">
              <w:rPr>
                <w:b/>
              </w:rPr>
              <w:t>8</w:t>
            </w:r>
            <w:r w:rsidRPr="009B65D6">
              <w:rPr>
                <w:b/>
              </w:rPr>
              <w:t xml:space="preserve"> a 9 a § 165o v bode 11, ktoré nadobúdajú účinnosť 1. januára 2024. </w:t>
            </w:r>
          </w:p>
          <w:p w:rsidR="008A1798" w:rsidRPr="009B65D6" w:rsidRDefault="008A1798" w:rsidP="00B942DD">
            <w:pPr>
              <w:pStyle w:val="Zkladntext2"/>
              <w:spacing w:line="240" w:lineRule="exact"/>
              <w:jc w:val="both"/>
              <w:rPr>
                <w:sz w:val="24"/>
                <w:szCs w:val="24"/>
              </w:rPr>
            </w:pPr>
          </w:p>
          <w:p w:rsidR="00FC5BF9" w:rsidRPr="009B65D6" w:rsidRDefault="00FC5BF9" w:rsidP="00B942DD">
            <w:pPr>
              <w:pStyle w:val="Zkladntext2"/>
              <w:spacing w:line="240" w:lineRule="exact"/>
              <w:jc w:val="both"/>
              <w:rPr>
                <w:sz w:val="24"/>
                <w:szCs w:val="24"/>
              </w:rPr>
            </w:pPr>
          </w:p>
          <w:p w:rsidR="008149D4" w:rsidRPr="009B65D6" w:rsidRDefault="008149D4" w:rsidP="00E612D5">
            <w:pPr>
              <w:pStyle w:val="Odsekzoznamu"/>
              <w:ind w:left="0"/>
              <w:jc w:val="both"/>
              <w:rPr>
                <w:b/>
              </w:rPr>
            </w:pPr>
          </w:p>
        </w:tc>
        <w:tc>
          <w:tcPr>
            <w:tcW w:w="709" w:type="dxa"/>
            <w:tcBorders>
              <w:top w:val="single" w:sz="4" w:space="0" w:color="auto"/>
              <w:left w:val="single" w:sz="4" w:space="0" w:color="auto"/>
              <w:bottom w:val="single" w:sz="4" w:space="0" w:color="auto"/>
              <w:right w:val="single" w:sz="4" w:space="0" w:color="auto"/>
            </w:tcBorders>
          </w:tcPr>
          <w:p w:rsidR="00D14381" w:rsidRPr="009B65D6" w:rsidRDefault="00D14381">
            <w:pPr>
              <w:jc w:val="center"/>
            </w:pPr>
          </w:p>
          <w:p w:rsidR="00656B18" w:rsidRPr="009B65D6" w:rsidRDefault="00D14381">
            <w:pPr>
              <w:jc w:val="center"/>
              <w:rPr>
                <w:b/>
              </w:rPr>
            </w:pPr>
            <w:r w:rsidRPr="009B65D6">
              <w:rPr>
                <w:b/>
              </w:rPr>
              <w:t>Ú</w:t>
            </w: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62402D" w:rsidRPr="009B65D6" w:rsidRDefault="0062402D">
            <w:pPr>
              <w:jc w:val="center"/>
            </w:pPr>
          </w:p>
          <w:p w:rsidR="00135B7F" w:rsidRPr="009B65D6" w:rsidRDefault="00135B7F">
            <w:pPr>
              <w:jc w:val="center"/>
            </w:pPr>
          </w:p>
          <w:p w:rsidR="00A73C62" w:rsidRPr="009B65D6" w:rsidRDefault="00A73C62">
            <w:pPr>
              <w:jc w:val="center"/>
            </w:pPr>
          </w:p>
          <w:p w:rsidR="002314E9" w:rsidRPr="009B65D6" w:rsidRDefault="002314E9">
            <w:pPr>
              <w:jc w:val="center"/>
            </w:pPr>
          </w:p>
          <w:p w:rsidR="002314E9" w:rsidRPr="009B65D6" w:rsidRDefault="002314E9">
            <w:pPr>
              <w:jc w:val="center"/>
            </w:pPr>
          </w:p>
          <w:p w:rsidR="002314E9" w:rsidRPr="009B65D6" w:rsidRDefault="002314E9">
            <w:pPr>
              <w:jc w:val="center"/>
            </w:pPr>
          </w:p>
          <w:p w:rsidR="002314E9" w:rsidRPr="009B65D6" w:rsidRDefault="002314E9">
            <w:pPr>
              <w:jc w:val="center"/>
            </w:pPr>
          </w:p>
          <w:p w:rsidR="0062402D" w:rsidRPr="009B65D6" w:rsidRDefault="0062402D" w:rsidP="00AA52B2">
            <w:pPr>
              <w:jc w:val="center"/>
            </w:pPr>
          </w:p>
        </w:tc>
        <w:tc>
          <w:tcPr>
            <w:tcW w:w="1059" w:type="dxa"/>
            <w:tcBorders>
              <w:top w:val="single" w:sz="4" w:space="0" w:color="auto"/>
              <w:left w:val="single" w:sz="4" w:space="0" w:color="auto"/>
              <w:bottom w:val="single" w:sz="4" w:space="0" w:color="auto"/>
              <w:right w:val="single" w:sz="12" w:space="0" w:color="auto"/>
            </w:tcBorders>
          </w:tcPr>
          <w:p w:rsidR="00176FB0" w:rsidRPr="009B65D6" w:rsidRDefault="00D54184" w:rsidP="00176FB0">
            <w:r w:rsidRPr="009B65D6">
              <w:rPr>
                <w:bCs/>
                <w:sz w:val="20"/>
                <w:szCs w:val="20"/>
              </w:rPr>
              <w:lastRenderedPageBreak/>
              <w:t xml:space="preserve">Slovenská republika pri prevzatí článku 4 smernice (EÚ) 2016/1164 </w:t>
            </w:r>
            <w:r w:rsidR="00182CDA" w:rsidRPr="009B65D6">
              <w:rPr>
                <w:bCs/>
                <w:sz w:val="20"/>
                <w:szCs w:val="20"/>
              </w:rPr>
              <w:lastRenderedPageBreak/>
              <w:t xml:space="preserve">v znení smernice Rady (EÚ) 2017/952 z 29. mája 2017 (Ú. V. EÚ L 144, 7.6.2017) </w:t>
            </w:r>
            <w:r w:rsidRPr="009B65D6">
              <w:rPr>
                <w:bCs/>
                <w:sz w:val="20"/>
                <w:szCs w:val="20"/>
              </w:rPr>
              <w:t xml:space="preserve">využila výnimku podľa čl. 11 ods. 6 smernice, na základe ktorej si ponechala v účinnosti ustanovenia § 21a zákona č. 595/2003 Z. z. o dani z príjmov v znení neskorších predpisov do konca roka 2023. Pravidlá uvedené v §21a splnili podmienku stanovenú v článku 11 ods. 6 cit. smernice a boli zo strany EK vyhodnotené ako rovnako </w:t>
            </w:r>
            <w:r w:rsidRPr="009B65D6">
              <w:rPr>
                <w:bCs/>
                <w:sz w:val="20"/>
                <w:szCs w:val="20"/>
              </w:rPr>
              <w:lastRenderedPageBreak/>
              <w:t>účinné ako pravidlo o obmedzení zahrnutia úrokov stanovené v cit. smernici. Od 1.1.2024 však budú všetky členské štáty EÚ povinné uplatňovať pravidlá článku 4 smernice (EÚ) 2016/1164</w:t>
            </w:r>
            <w:r w:rsidR="00182CDA" w:rsidRPr="009B65D6">
              <w:rPr>
                <w:bCs/>
                <w:sz w:val="20"/>
                <w:szCs w:val="20"/>
              </w:rPr>
              <w:t xml:space="preserve"> v znení smernice Rady (EÚ) 2017/952 z 29. mája 2017 (Ú. V. EÚ L 144, 7.6.2017).</w:t>
            </w:r>
          </w:p>
          <w:p w:rsidR="00656B18" w:rsidRPr="009B65D6" w:rsidRDefault="00656B18" w:rsidP="00176FB0"/>
        </w:tc>
      </w:tr>
    </w:tbl>
    <w:p w:rsidR="008C54C3" w:rsidRPr="009B65D6" w:rsidRDefault="008C54C3">
      <w:pPr>
        <w:autoSpaceDE/>
        <w:autoSpaceDN/>
      </w:pPr>
      <w:r w:rsidRPr="009B65D6">
        <w:lastRenderedPageBreak/>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9B65D6">
        <w:tblPrEx>
          <w:tblCellMar>
            <w:top w:w="0" w:type="dxa"/>
            <w:bottom w:w="0" w:type="dxa"/>
          </w:tblCellMar>
        </w:tblPrEx>
        <w:tc>
          <w:tcPr>
            <w:tcW w:w="2410" w:type="dxa"/>
            <w:tcBorders>
              <w:top w:val="nil"/>
              <w:left w:val="nil"/>
              <w:bottom w:val="nil"/>
              <w:right w:val="nil"/>
            </w:tcBorders>
          </w:tcPr>
          <w:p w:rsidR="008C54C3" w:rsidRPr="009B65D6" w:rsidRDefault="008C54C3">
            <w:pPr>
              <w:pStyle w:val="Normlny0"/>
              <w:autoSpaceDE/>
              <w:autoSpaceDN/>
              <w:spacing w:after="60"/>
              <w:rPr>
                <w:sz w:val="24"/>
                <w:szCs w:val="24"/>
                <w:lang w:eastAsia="sk-SK"/>
              </w:rPr>
            </w:pPr>
            <w:r w:rsidRPr="009B65D6">
              <w:rPr>
                <w:sz w:val="24"/>
                <w:szCs w:val="24"/>
                <w:lang w:eastAsia="sk-SK"/>
              </w:rPr>
              <w:t>V stĺpci (1):</w:t>
            </w:r>
          </w:p>
          <w:p w:rsidR="008C54C3" w:rsidRPr="009B65D6" w:rsidRDefault="008C54C3">
            <w:pPr>
              <w:autoSpaceDE/>
              <w:autoSpaceDN/>
            </w:pPr>
            <w:r w:rsidRPr="009B65D6">
              <w:t>Č – článok</w:t>
            </w:r>
          </w:p>
          <w:p w:rsidR="008C54C3" w:rsidRPr="009B65D6" w:rsidRDefault="008C54C3">
            <w:pPr>
              <w:autoSpaceDE/>
              <w:autoSpaceDN/>
            </w:pPr>
            <w:r w:rsidRPr="009B65D6">
              <w:t>O – odsek</w:t>
            </w:r>
          </w:p>
          <w:p w:rsidR="008C54C3" w:rsidRPr="009B65D6" w:rsidRDefault="008C54C3">
            <w:pPr>
              <w:autoSpaceDE/>
              <w:autoSpaceDN/>
            </w:pPr>
            <w:r w:rsidRPr="009B65D6">
              <w:t>V – veta</w:t>
            </w:r>
          </w:p>
          <w:p w:rsidR="008C54C3" w:rsidRPr="009B65D6" w:rsidRDefault="008C54C3">
            <w:pPr>
              <w:autoSpaceDE/>
              <w:autoSpaceDN/>
            </w:pPr>
            <w:r w:rsidRPr="009B65D6">
              <w:t xml:space="preserve">P – </w:t>
            </w:r>
            <w:r w:rsidR="00DA0F6C" w:rsidRPr="009B65D6">
              <w:t>číslo</w:t>
            </w:r>
            <w:r w:rsidRPr="009B65D6">
              <w:t xml:space="preserve"> (</w:t>
            </w:r>
            <w:r w:rsidR="00DA0F6C" w:rsidRPr="009B65D6">
              <w:t>písmeno</w:t>
            </w:r>
            <w:r w:rsidRPr="009B65D6">
              <w:t>)</w:t>
            </w:r>
          </w:p>
          <w:p w:rsidR="008C54C3" w:rsidRPr="009B65D6" w:rsidRDefault="008C54C3">
            <w:pPr>
              <w:autoSpaceDE/>
              <w:autoSpaceDN/>
            </w:pPr>
          </w:p>
        </w:tc>
        <w:tc>
          <w:tcPr>
            <w:tcW w:w="3780" w:type="dxa"/>
            <w:tcBorders>
              <w:top w:val="nil"/>
              <w:left w:val="nil"/>
              <w:bottom w:val="nil"/>
              <w:right w:val="nil"/>
            </w:tcBorders>
          </w:tcPr>
          <w:p w:rsidR="008C54C3" w:rsidRPr="009B65D6" w:rsidRDefault="008C54C3">
            <w:pPr>
              <w:pStyle w:val="Normlny0"/>
              <w:autoSpaceDE/>
              <w:autoSpaceDN/>
              <w:spacing w:after="60"/>
              <w:rPr>
                <w:sz w:val="24"/>
                <w:szCs w:val="24"/>
                <w:lang w:eastAsia="sk-SK"/>
              </w:rPr>
            </w:pPr>
            <w:r w:rsidRPr="009B65D6">
              <w:rPr>
                <w:sz w:val="24"/>
                <w:szCs w:val="24"/>
                <w:lang w:eastAsia="sk-SK"/>
              </w:rPr>
              <w:t>V stĺpci (3):</w:t>
            </w:r>
          </w:p>
          <w:p w:rsidR="008C54C3" w:rsidRPr="009B65D6" w:rsidRDefault="008C54C3">
            <w:pPr>
              <w:autoSpaceDE/>
              <w:autoSpaceDN/>
            </w:pPr>
            <w:r w:rsidRPr="009B65D6">
              <w:t>N – bežná transpozícia</w:t>
            </w:r>
          </w:p>
          <w:p w:rsidR="008C54C3" w:rsidRPr="009B65D6" w:rsidRDefault="008C54C3">
            <w:pPr>
              <w:autoSpaceDE/>
              <w:autoSpaceDN/>
            </w:pPr>
            <w:r w:rsidRPr="009B65D6">
              <w:t>O – transpozícia s možnosťou voľby</w:t>
            </w:r>
          </w:p>
          <w:p w:rsidR="008C54C3" w:rsidRPr="009B65D6" w:rsidRDefault="008C54C3">
            <w:pPr>
              <w:autoSpaceDE/>
              <w:autoSpaceDN/>
            </w:pPr>
            <w:r w:rsidRPr="009B65D6">
              <w:t>D – transpozícia podľa úvahy (dobrovoľná)</w:t>
            </w:r>
          </w:p>
          <w:p w:rsidR="008C54C3" w:rsidRPr="009B65D6" w:rsidRDefault="008C54C3">
            <w:pPr>
              <w:autoSpaceDE/>
              <w:autoSpaceDN/>
            </w:pPr>
            <w:r w:rsidRPr="009B65D6">
              <w:t>n.a. – transpozícia sa neuskutočňuje</w:t>
            </w:r>
          </w:p>
        </w:tc>
        <w:tc>
          <w:tcPr>
            <w:tcW w:w="2340" w:type="dxa"/>
            <w:tcBorders>
              <w:top w:val="nil"/>
              <w:left w:val="nil"/>
              <w:bottom w:val="nil"/>
              <w:right w:val="nil"/>
            </w:tcBorders>
          </w:tcPr>
          <w:p w:rsidR="008C54C3" w:rsidRPr="009B65D6" w:rsidRDefault="008C54C3">
            <w:pPr>
              <w:pStyle w:val="Normlny0"/>
              <w:autoSpaceDE/>
              <w:autoSpaceDN/>
              <w:spacing w:after="60"/>
              <w:rPr>
                <w:sz w:val="24"/>
                <w:szCs w:val="24"/>
                <w:lang w:eastAsia="sk-SK"/>
              </w:rPr>
            </w:pPr>
            <w:r w:rsidRPr="009B65D6">
              <w:rPr>
                <w:sz w:val="24"/>
                <w:szCs w:val="24"/>
                <w:lang w:eastAsia="sk-SK"/>
              </w:rPr>
              <w:t>V stĺpci (5):</w:t>
            </w:r>
          </w:p>
          <w:p w:rsidR="008C54C3" w:rsidRPr="009B65D6" w:rsidRDefault="008C54C3">
            <w:pPr>
              <w:autoSpaceDE/>
              <w:autoSpaceDN/>
            </w:pPr>
            <w:r w:rsidRPr="009B65D6">
              <w:t>Č – článok</w:t>
            </w:r>
          </w:p>
          <w:p w:rsidR="008C54C3" w:rsidRPr="009B65D6" w:rsidRDefault="008C54C3">
            <w:pPr>
              <w:autoSpaceDE/>
              <w:autoSpaceDN/>
            </w:pPr>
            <w:r w:rsidRPr="009B65D6">
              <w:t>§ – paragraf</w:t>
            </w:r>
          </w:p>
          <w:p w:rsidR="008C54C3" w:rsidRPr="009B65D6" w:rsidRDefault="008C54C3">
            <w:pPr>
              <w:autoSpaceDE/>
              <w:autoSpaceDN/>
            </w:pPr>
            <w:r w:rsidRPr="009B65D6">
              <w:t>O – odsek</w:t>
            </w:r>
          </w:p>
          <w:p w:rsidR="008C54C3" w:rsidRPr="009B65D6" w:rsidRDefault="008C54C3">
            <w:pPr>
              <w:autoSpaceDE/>
              <w:autoSpaceDN/>
            </w:pPr>
            <w:r w:rsidRPr="009B65D6">
              <w:t>V – veta</w:t>
            </w:r>
          </w:p>
          <w:p w:rsidR="008C54C3" w:rsidRPr="009B65D6" w:rsidRDefault="008C54C3">
            <w:pPr>
              <w:autoSpaceDE/>
              <w:autoSpaceDN/>
            </w:pPr>
            <w:r w:rsidRPr="009B65D6">
              <w:t>P – písmeno (číslo)</w:t>
            </w:r>
          </w:p>
        </w:tc>
        <w:tc>
          <w:tcPr>
            <w:tcW w:w="7200" w:type="dxa"/>
            <w:tcBorders>
              <w:top w:val="nil"/>
              <w:left w:val="nil"/>
              <w:bottom w:val="nil"/>
              <w:right w:val="nil"/>
            </w:tcBorders>
          </w:tcPr>
          <w:p w:rsidR="008C54C3" w:rsidRPr="009B65D6" w:rsidRDefault="008C54C3">
            <w:pPr>
              <w:pStyle w:val="Normlny0"/>
              <w:autoSpaceDE/>
              <w:autoSpaceDN/>
              <w:spacing w:after="60"/>
              <w:rPr>
                <w:sz w:val="24"/>
                <w:szCs w:val="24"/>
                <w:lang w:eastAsia="sk-SK"/>
              </w:rPr>
            </w:pPr>
            <w:r w:rsidRPr="009B65D6">
              <w:rPr>
                <w:sz w:val="24"/>
                <w:szCs w:val="24"/>
                <w:lang w:eastAsia="sk-SK"/>
              </w:rPr>
              <w:t>V stĺpci (7):</w:t>
            </w:r>
          </w:p>
          <w:p w:rsidR="008C54C3" w:rsidRPr="009B65D6" w:rsidRDefault="008C54C3" w:rsidP="008C54C3">
            <w:pPr>
              <w:autoSpaceDE/>
              <w:autoSpaceDN/>
              <w:ind w:left="290" w:hanging="290"/>
            </w:pPr>
            <w:r w:rsidRPr="009B65D6">
              <w:t>Ú – úplná zhoda (ak bolo ustanovenie smernice prebraté v celom rozsahu, správne, v príslušnej form</w:t>
            </w:r>
            <w:r w:rsidR="00391DC5" w:rsidRPr="009B65D6">
              <w:t>e</w:t>
            </w:r>
            <w:r w:rsidRPr="009B65D6">
              <w:t>, so zabezpečenou inštitucionálnou</w:t>
            </w:r>
            <w:r w:rsidR="000C2E53" w:rsidRPr="009B65D6">
              <w:t xml:space="preserve"> </w:t>
            </w:r>
            <w:r w:rsidRPr="009B65D6">
              <w:t xml:space="preserve"> </w:t>
            </w:r>
            <w:r w:rsidR="000C2E53" w:rsidRPr="009B65D6">
              <w:t>i</w:t>
            </w:r>
            <w:r w:rsidRPr="009B65D6">
              <w:t>nfraštruktúrou, s príslušnými sankciami a vo vzájomnej súvislosti)</w:t>
            </w:r>
          </w:p>
          <w:p w:rsidR="008C54C3" w:rsidRPr="009B65D6" w:rsidRDefault="008C54C3">
            <w:pPr>
              <w:autoSpaceDE/>
              <w:autoSpaceDN/>
            </w:pPr>
            <w:r w:rsidRPr="009B65D6">
              <w:t>Č – čiastočná zhoda (ak minimálne jedna z podmienok úplnej zhody nie je splnená)</w:t>
            </w:r>
          </w:p>
          <w:p w:rsidR="008C54C3" w:rsidRPr="009B65D6" w:rsidRDefault="008C54C3">
            <w:pPr>
              <w:pStyle w:val="Zarkazkladnhotextu2"/>
              <w:rPr>
                <w:sz w:val="24"/>
                <w:szCs w:val="24"/>
              </w:rPr>
            </w:pPr>
            <w:r w:rsidRPr="009B65D6">
              <w:rPr>
                <w:sz w:val="24"/>
                <w:szCs w:val="24"/>
              </w:rPr>
              <w:t xml:space="preserve">Ž – žiadna zhoda (ak nebola dosiahnutá ani úplná ani čiast. zhoda alebo </w:t>
            </w:r>
            <w:r w:rsidRPr="009B65D6">
              <w:rPr>
                <w:sz w:val="24"/>
                <w:szCs w:val="24"/>
              </w:rPr>
              <w:lastRenderedPageBreak/>
              <w:t>k prebratiu dôjde v budúcnosti)</w:t>
            </w:r>
          </w:p>
          <w:p w:rsidR="008C54C3" w:rsidRPr="009B65D6" w:rsidRDefault="008C54C3">
            <w:pPr>
              <w:autoSpaceDE/>
              <w:autoSpaceDN/>
              <w:ind w:left="290" w:hanging="290"/>
            </w:pPr>
            <w:r w:rsidRPr="009B65D6">
              <w:t>n.a. – neaplikovateľnosť (ak sa ustanovenie smernice netýka SR alebo nie je potrebné ho prebrať)</w:t>
            </w:r>
          </w:p>
        </w:tc>
      </w:tr>
    </w:tbl>
    <w:p w:rsidR="008C54C3" w:rsidRPr="009B65D6" w:rsidRDefault="008C54C3">
      <w:pPr>
        <w:autoSpaceDE/>
        <w:autoSpaceDN/>
      </w:pPr>
    </w:p>
    <w:p w:rsidR="008C54C3" w:rsidRPr="009B65D6" w:rsidRDefault="008C54C3">
      <w:pPr>
        <w:autoSpaceDE/>
        <w:autoSpaceDN/>
      </w:pPr>
    </w:p>
    <w:p w:rsidR="008C54C3" w:rsidRPr="009B65D6" w:rsidRDefault="008C54C3">
      <w:pPr>
        <w:pStyle w:val="Hlavika"/>
        <w:tabs>
          <w:tab w:val="clear" w:pos="4536"/>
          <w:tab w:val="clear" w:pos="9072"/>
        </w:tabs>
        <w:autoSpaceDE/>
        <w:autoSpaceDN/>
      </w:pPr>
    </w:p>
    <w:sectPr w:rsidR="008C54C3" w:rsidRPr="009B65D6" w:rsidSect="00565CB4">
      <w:footerReference w:type="default" r:id="rId10"/>
      <w:pgSz w:w="16838" w:h="11906" w:orient="landscape"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D81" w:rsidRDefault="00903D81">
      <w:r>
        <w:separator/>
      </w:r>
    </w:p>
  </w:endnote>
  <w:endnote w:type="continuationSeparator" w:id="0">
    <w:p w:rsidR="00903D81" w:rsidRDefault="0090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egoe UI">
    <w:altName w:val="Arial"/>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B4" w:rsidRDefault="00565CB4">
    <w:pPr>
      <w:pStyle w:val="Pta"/>
      <w:jc w:val="center"/>
    </w:pPr>
    <w:r>
      <w:fldChar w:fldCharType="begin"/>
    </w:r>
    <w:r>
      <w:instrText>PAGE   \* MERGEFORMAT</w:instrText>
    </w:r>
    <w:r>
      <w:fldChar w:fldCharType="separate"/>
    </w:r>
    <w:r w:rsidR="008301F1">
      <w:rPr>
        <w:noProof/>
      </w:rPr>
      <w:t>2</w:t>
    </w:r>
    <w:r>
      <w:fldChar w:fldCharType="end"/>
    </w:r>
  </w:p>
  <w:p w:rsidR="009813A8" w:rsidRDefault="009813A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D81" w:rsidRDefault="00903D81">
      <w:r>
        <w:separator/>
      </w:r>
    </w:p>
  </w:footnote>
  <w:footnote w:type="continuationSeparator" w:id="0">
    <w:p w:rsidR="00903D81" w:rsidRDefault="00903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F0884"/>
    <w:multiLevelType w:val="hybridMultilevel"/>
    <w:tmpl w:val="F2B8053A"/>
    <w:lvl w:ilvl="0" w:tplc="84AC4186">
      <w:start w:val="1"/>
      <w:numFmt w:val="decimal"/>
      <w:lvlText w:val="(%1)"/>
      <w:lvlJc w:val="left"/>
      <w:pPr>
        <w:ind w:left="1080" w:hanging="360"/>
      </w:pPr>
      <w:rPr>
        <w:rFonts w:cs="Times New Roman" w:hint="default"/>
      </w:rPr>
    </w:lvl>
    <w:lvl w:ilvl="1" w:tplc="BA12FCF8">
      <w:start w:val="1"/>
      <w:numFmt w:val="lowerLetter"/>
      <w:lvlText w:val="%2)"/>
      <w:lvlJc w:val="left"/>
      <w:pPr>
        <w:ind w:left="1440"/>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 w15:restartNumberingAfterBreak="0">
    <w:nsid w:val="1B3C78B8"/>
    <w:multiLevelType w:val="multilevel"/>
    <w:tmpl w:val="F8429E60"/>
    <w:lvl w:ilvl="0">
      <w:start w:val="1"/>
      <w:numFmt w:val="decimal"/>
      <w:lvlRestart w:val="0"/>
      <w:pStyle w:val="Point0number"/>
      <w:lvlText w:val="(%1)"/>
      <w:lvlJc w:val="left"/>
      <w:pPr>
        <w:tabs>
          <w:tab w:val="num" w:pos="850"/>
        </w:tabs>
        <w:ind w:left="850" w:hanging="850"/>
      </w:pPr>
      <w:rPr>
        <w:rFonts w:cs="Times New Roman" w:hint="default"/>
        <w:color w:val="auto"/>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strike w:val="0"/>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2" w15:restartNumberingAfterBreak="0">
    <w:nsid w:val="1C7B4B61"/>
    <w:multiLevelType w:val="hybridMultilevel"/>
    <w:tmpl w:val="E4A090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20C4C72"/>
    <w:multiLevelType w:val="hybridMultilevel"/>
    <w:tmpl w:val="10FCD1B2"/>
    <w:lvl w:ilvl="0" w:tplc="7BFE2B2A">
      <w:start w:val="1"/>
      <w:numFmt w:val="decimal"/>
      <w:lvlText w:val="(%1)"/>
      <w:lvlJc w:val="left"/>
      <w:pPr>
        <w:ind w:left="720" w:hanging="360"/>
      </w:pPr>
      <w:rPr>
        <w:rFonts w:cs="Times New Roman" w:hint="default"/>
        <w:color w:val="auto"/>
      </w:rPr>
    </w:lvl>
    <w:lvl w:ilvl="1" w:tplc="59D4AE9E">
      <w:numFmt w:val="bullet"/>
      <w:lvlText w:val="-"/>
      <w:lvlJc w:val="left"/>
      <w:pPr>
        <w:ind w:left="1440" w:hanging="360"/>
      </w:pPr>
      <w:rPr>
        <w:rFonts w:ascii="Arial Narrow" w:eastAsia="Times New Roman" w:hAnsi="Arial Narrow"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4546C97"/>
    <w:multiLevelType w:val="hybridMultilevel"/>
    <w:tmpl w:val="25A0CFD2"/>
    <w:lvl w:ilvl="0" w:tplc="0AB4EE58">
      <w:start w:val="1"/>
      <w:numFmt w:val="lowerLetter"/>
      <w:lvlText w:val="%1)"/>
      <w:lvlJc w:val="left"/>
      <w:pPr>
        <w:ind w:left="742" w:hanging="360"/>
      </w:pPr>
      <w:rPr>
        <w:rFonts w:cs="Times New Roman" w:hint="default"/>
      </w:rPr>
    </w:lvl>
    <w:lvl w:ilvl="1" w:tplc="041B0019" w:tentative="1">
      <w:start w:val="1"/>
      <w:numFmt w:val="lowerLetter"/>
      <w:lvlText w:val="%2."/>
      <w:lvlJc w:val="left"/>
      <w:pPr>
        <w:ind w:left="1462" w:hanging="360"/>
      </w:pPr>
      <w:rPr>
        <w:rFonts w:cs="Times New Roman"/>
      </w:rPr>
    </w:lvl>
    <w:lvl w:ilvl="2" w:tplc="041B001B" w:tentative="1">
      <w:start w:val="1"/>
      <w:numFmt w:val="lowerRoman"/>
      <w:lvlText w:val="%3."/>
      <w:lvlJc w:val="right"/>
      <w:pPr>
        <w:ind w:left="2182" w:hanging="180"/>
      </w:pPr>
      <w:rPr>
        <w:rFonts w:cs="Times New Roman"/>
      </w:rPr>
    </w:lvl>
    <w:lvl w:ilvl="3" w:tplc="041B000F" w:tentative="1">
      <w:start w:val="1"/>
      <w:numFmt w:val="decimal"/>
      <w:lvlText w:val="%4."/>
      <w:lvlJc w:val="left"/>
      <w:pPr>
        <w:ind w:left="2902" w:hanging="360"/>
      </w:pPr>
      <w:rPr>
        <w:rFonts w:cs="Times New Roman"/>
      </w:rPr>
    </w:lvl>
    <w:lvl w:ilvl="4" w:tplc="041B0019" w:tentative="1">
      <w:start w:val="1"/>
      <w:numFmt w:val="lowerLetter"/>
      <w:lvlText w:val="%5."/>
      <w:lvlJc w:val="left"/>
      <w:pPr>
        <w:ind w:left="3622" w:hanging="360"/>
      </w:pPr>
      <w:rPr>
        <w:rFonts w:cs="Times New Roman"/>
      </w:rPr>
    </w:lvl>
    <w:lvl w:ilvl="5" w:tplc="041B001B" w:tentative="1">
      <w:start w:val="1"/>
      <w:numFmt w:val="lowerRoman"/>
      <w:lvlText w:val="%6."/>
      <w:lvlJc w:val="right"/>
      <w:pPr>
        <w:ind w:left="4342" w:hanging="180"/>
      </w:pPr>
      <w:rPr>
        <w:rFonts w:cs="Times New Roman"/>
      </w:rPr>
    </w:lvl>
    <w:lvl w:ilvl="6" w:tplc="041B000F" w:tentative="1">
      <w:start w:val="1"/>
      <w:numFmt w:val="decimal"/>
      <w:lvlText w:val="%7."/>
      <w:lvlJc w:val="left"/>
      <w:pPr>
        <w:ind w:left="5062" w:hanging="360"/>
      </w:pPr>
      <w:rPr>
        <w:rFonts w:cs="Times New Roman"/>
      </w:rPr>
    </w:lvl>
    <w:lvl w:ilvl="7" w:tplc="041B0019" w:tentative="1">
      <w:start w:val="1"/>
      <w:numFmt w:val="lowerLetter"/>
      <w:lvlText w:val="%8."/>
      <w:lvlJc w:val="left"/>
      <w:pPr>
        <w:ind w:left="5782" w:hanging="360"/>
      </w:pPr>
      <w:rPr>
        <w:rFonts w:cs="Times New Roman"/>
      </w:rPr>
    </w:lvl>
    <w:lvl w:ilvl="8" w:tplc="041B001B" w:tentative="1">
      <w:start w:val="1"/>
      <w:numFmt w:val="lowerRoman"/>
      <w:lvlText w:val="%9."/>
      <w:lvlJc w:val="right"/>
      <w:pPr>
        <w:ind w:left="6502" w:hanging="180"/>
      </w:pPr>
      <w:rPr>
        <w:rFonts w:cs="Times New Roman"/>
      </w:rPr>
    </w:lvl>
  </w:abstractNum>
  <w:abstractNum w:abstractNumId="5" w15:restartNumberingAfterBreak="0">
    <w:nsid w:val="358439F8"/>
    <w:multiLevelType w:val="hybridMultilevel"/>
    <w:tmpl w:val="6F1636D4"/>
    <w:lvl w:ilvl="0" w:tplc="615A564E">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6" w15:restartNumberingAfterBreak="0">
    <w:nsid w:val="396929A4"/>
    <w:multiLevelType w:val="hybridMultilevel"/>
    <w:tmpl w:val="E814ED96"/>
    <w:lvl w:ilvl="0" w:tplc="D702ED4A">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 w15:restartNumberingAfterBreak="0">
    <w:nsid w:val="47247539"/>
    <w:multiLevelType w:val="hybridMultilevel"/>
    <w:tmpl w:val="10FCD1B2"/>
    <w:lvl w:ilvl="0" w:tplc="7BFE2B2A">
      <w:start w:val="1"/>
      <w:numFmt w:val="decimal"/>
      <w:lvlText w:val="(%1)"/>
      <w:lvlJc w:val="left"/>
      <w:pPr>
        <w:ind w:left="720" w:hanging="360"/>
      </w:pPr>
      <w:rPr>
        <w:rFonts w:cs="Times New Roman" w:hint="default"/>
        <w:color w:val="auto"/>
      </w:rPr>
    </w:lvl>
    <w:lvl w:ilvl="1" w:tplc="59D4AE9E">
      <w:numFmt w:val="bullet"/>
      <w:lvlText w:val="-"/>
      <w:lvlJc w:val="left"/>
      <w:pPr>
        <w:ind w:left="1440" w:hanging="360"/>
      </w:pPr>
      <w:rPr>
        <w:rFonts w:ascii="Arial Narrow" w:eastAsia="Times New Roman" w:hAnsi="Arial Narrow"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752A1A71"/>
    <w:multiLevelType w:val="hybridMultilevel"/>
    <w:tmpl w:val="1BAA8B48"/>
    <w:lvl w:ilvl="0" w:tplc="615A564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F565646"/>
    <w:multiLevelType w:val="hybridMultilevel"/>
    <w:tmpl w:val="2666A02C"/>
    <w:lvl w:ilvl="0" w:tplc="EBEA29F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num w:numId="1">
    <w:abstractNumId w:val="2"/>
  </w:num>
  <w:num w:numId="2">
    <w:abstractNumId w:val="4"/>
  </w:num>
  <w:num w:numId="3">
    <w:abstractNumId w:val="0"/>
  </w:num>
  <w:num w:numId="4">
    <w:abstractNumId w:val="1"/>
  </w:num>
  <w:num w:numId="5">
    <w:abstractNumId w:val="6"/>
  </w:num>
  <w:num w:numId="6">
    <w:abstractNumId w:val="9"/>
  </w:num>
  <w:num w:numId="7">
    <w:abstractNumId w:val="8"/>
  </w:num>
  <w:num w:numId="8">
    <w:abstractNumId w:val="3"/>
  </w:num>
  <w:num w:numId="9">
    <w:abstractNumId w:val="5"/>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1E9E"/>
    <w:rsid w:val="000117E8"/>
    <w:rsid w:val="00016592"/>
    <w:rsid w:val="00016A1C"/>
    <w:rsid w:val="00016C61"/>
    <w:rsid w:val="00020336"/>
    <w:rsid w:val="000218A5"/>
    <w:rsid w:val="00025D03"/>
    <w:rsid w:val="000333E3"/>
    <w:rsid w:val="000403C2"/>
    <w:rsid w:val="00040702"/>
    <w:rsid w:val="000434F2"/>
    <w:rsid w:val="000524C8"/>
    <w:rsid w:val="00052ECE"/>
    <w:rsid w:val="0006222B"/>
    <w:rsid w:val="00064EE2"/>
    <w:rsid w:val="000665D0"/>
    <w:rsid w:val="0007056C"/>
    <w:rsid w:val="00080438"/>
    <w:rsid w:val="000954E3"/>
    <w:rsid w:val="00097090"/>
    <w:rsid w:val="00097E72"/>
    <w:rsid w:val="000A04B9"/>
    <w:rsid w:val="000B2441"/>
    <w:rsid w:val="000B2900"/>
    <w:rsid w:val="000B477E"/>
    <w:rsid w:val="000B7033"/>
    <w:rsid w:val="000B74F2"/>
    <w:rsid w:val="000C2E53"/>
    <w:rsid w:val="000C5BCB"/>
    <w:rsid w:val="000C6CF1"/>
    <w:rsid w:val="000C7A77"/>
    <w:rsid w:val="000D5B97"/>
    <w:rsid w:val="000E2B6A"/>
    <w:rsid w:val="000E4684"/>
    <w:rsid w:val="000E4CE1"/>
    <w:rsid w:val="000E6889"/>
    <w:rsid w:val="000F39B9"/>
    <w:rsid w:val="000F6B59"/>
    <w:rsid w:val="000F75D1"/>
    <w:rsid w:val="001002C8"/>
    <w:rsid w:val="00103149"/>
    <w:rsid w:val="00104DFE"/>
    <w:rsid w:val="00114E0B"/>
    <w:rsid w:val="0011551C"/>
    <w:rsid w:val="0011677D"/>
    <w:rsid w:val="00120D6D"/>
    <w:rsid w:val="00120F73"/>
    <w:rsid w:val="00122350"/>
    <w:rsid w:val="00127033"/>
    <w:rsid w:val="001308D7"/>
    <w:rsid w:val="001329CA"/>
    <w:rsid w:val="001332DF"/>
    <w:rsid w:val="00135B7F"/>
    <w:rsid w:val="0013729F"/>
    <w:rsid w:val="001438AF"/>
    <w:rsid w:val="00144597"/>
    <w:rsid w:val="00145129"/>
    <w:rsid w:val="00145138"/>
    <w:rsid w:val="00151FA6"/>
    <w:rsid w:val="00152FE0"/>
    <w:rsid w:val="00153B33"/>
    <w:rsid w:val="0015472E"/>
    <w:rsid w:val="00156710"/>
    <w:rsid w:val="001618FB"/>
    <w:rsid w:val="00161A71"/>
    <w:rsid w:val="00162218"/>
    <w:rsid w:val="00163DE8"/>
    <w:rsid w:val="001641E4"/>
    <w:rsid w:val="001643AF"/>
    <w:rsid w:val="00166741"/>
    <w:rsid w:val="001674ED"/>
    <w:rsid w:val="00171B44"/>
    <w:rsid w:val="00172D16"/>
    <w:rsid w:val="00174F88"/>
    <w:rsid w:val="00175F84"/>
    <w:rsid w:val="00176ACC"/>
    <w:rsid w:val="00176FB0"/>
    <w:rsid w:val="00182CDA"/>
    <w:rsid w:val="00187CA4"/>
    <w:rsid w:val="00196187"/>
    <w:rsid w:val="001A2711"/>
    <w:rsid w:val="001A2E99"/>
    <w:rsid w:val="001A6B6A"/>
    <w:rsid w:val="001B0FF5"/>
    <w:rsid w:val="001B1034"/>
    <w:rsid w:val="001B49A2"/>
    <w:rsid w:val="001C0C52"/>
    <w:rsid w:val="001C2D87"/>
    <w:rsid w:val="001C3D7F"/>
    <w:rsid w:val="001D4132"/>
    <w:rsid w:val="001E5950"/>
    <w:rsid w:val="001F4CC3"/>
    <w:rsid w:val="00201826"/>
    <w:rsid w:val="00207B9D"/>
    <w:rsid w:val="00217BF4"/>
    <w:rsid w:val="00224879"/>
    <w:rsid w:val="00225AC7"/>
    <w:rsid w:val="002300D0"/>
    <w:rsid w:val="00230374"/>
    <w:rsid w:val="002314E9"/>
    <w:rsid w:val="0023175D"/>
    <w:rsid w:val="0023203A"/>
    <w:rsid w:val="00232523"/>
    <w:rsid w:val="00233903"/>
    <w:rsid w:val="00237C59"/>
    <w:rsid w:val="0024410A"/>
    <w:rsid w:val="00245DEB"/>
    <w:rsid w:val="00245EEA"/>
    <w:rsid w:val="00247AD0"/>
    <w:rsid w:val="0025180A"/>
    <w:rsid w:val="00253499"/>
    <w:rsid w:val="00254053"/>
    <w:rsid w:val="00255CD3"/>
    <w:rsid w:val="002574DE"/>
    <w:rsid w:val="002577AE"/>
    <w:rsid w:val="00260755"/>
    <w:rsid w:val="00263AAA"/>
    <w:rsid w:val="00263B2E"/>
    <w:rsid w:val="00263F34"/>
    <w:rsid w:val="00264E5E"/>
    <w:rsid w:val="00270E65"/>
    <w:rsid w:val="00282277"/>
    <w:rsid w:val="00286675"/>
    <w:rsid w:val="00290984"/>
    <w:rsid w:val="00292764"/>
    <w:rsid w:val="002A132E"/>
    <w:rsid w:val="002A153B"/>
    <w:rsid w:val="002A31D8"/>
    <w:rsid w:val="002A7A88"/>
    <w:rsid w:val="002C0F64"/>
    <w:rsid w:val="002C1682"/>
    <w:rsid w:val="002C1EA5"/>
    <w:rsid w:val="002C2EDD"/>
    <w:rsid w:val="002C4E6C"/>
    <w:rsid w:val="002C5670"/>
    <w:rsid w:val="002C608A"/>
    <w:rsid w:val="002C7609"/>
    <w:rsid w:val="002D1C50"/>
    <w:rsid w:val="002D3816"/>
    <w:rsid w:val="002D45EA"/>
    <w:rsid w:val="002D7F21"/>
    <w:rsid w:val="002E05DD"/>
    <w:rsid w:val="002E1D16"/>
    <w:rsid w:val="002E2385"/>
    <w:rsid w:val="002E2F27"/>
    <w:rsid w:val="002E3F81"/>
    <w:rsid w:val="002E4BFC"/>
    <w:rsid w:val="002E730C"/>
    <w:rsid w:val="002F24EC"/>
    <w:rsid w:val="002F47BE"/>
    <w:rsid w:val="002F653B"/>
    <w:rsid w:val="00303C0A"/>
    <w:rsid w:val="00305208"/>
    <w:rsid w:val="00312FFC"/>
    <w:rsid w:val="003147F2"/>
    <w:rsid w:val="00314F8F"/>
    <w:rsid w:val="00320ABC"/>
    <w:rsid w:val="0032558A"/>
    <w:rsid w:val="003352CB"/>
    <w:rsid w:val="00345997"/>
    <w:rsid w:val="003520E1"/>
    <w:rsid w:val="00356D6C"/>
    <w:rsid w:val="00364AF6"/>
    <w:rsid w:val="00367578"/>
    <w:rsid w:val="0036774C"/>
    <w:rsid w:val="003732D4"/>
    <w:rsid w:val="003772E3"/>
    <w:rsid w:val="00380D4A"/>
    <w:rsid w:val="00381DAC"/>
    <w:rsid w:val="00384EBB"/>
    <w:rsid w:val="003869A6"/>
    <w:rsid w:val="00391DC5"/>
    <w:rsid w:val="003929EE"/>
    <w:rsid w:val="00394363"/>
    <w:rsid w:val="003A06FE"/>
    <w:rsid w:val="003A2DDA"/>
    <w:rsid w:val="003B36EF"/>
    <w:rsid w:val="003B49C3"/>
    <w:rsid w:val="003B573C"/>
    <w:rsid w:val="003B60EE"/>
    <w:rsid w:val="003C1BEE"/>
    <w:rsid w:val="003C28C3"/>
    <w:rsid w:val="003C304D"/>
    <w:rsid w:val="003C646A"/>
    <w:rsid w:val="003C7DD1"/>
    <w:rsid w:val="003D015C"/>
    <w:rsid w:val="003D25DF"/>
    <w:rsid w:val="003D278C"/>
    <w:rsid w:val="003D3D96"/>
    <w:rsid w:val="003D47BA"/>
    <w:rsid w:val="003D692A"/>
    <w:rsid w:val="003E2985"/>
    <w:rsid w:val="003E3196"/>
    <w:rsid w:val="003E48DC"/>
    <w:rsid w:val="003E58B7"/>
    <w:rsid w:val="003E6EDB"/>
    <w:rsid w:val="003E7B78"/>
    <w:rsid w:val="003F41C1"/>
    <w:rsid w:val="003F7E8A"/>
    <w:rsid w:val="00406BC0"/>
    <w:rsid w:val="004204BE"/>
    <w:rsid w:val="0042297A"/>
    <w:rsid w:val="00424270"/>
    <w:rsid w:val="00426B23"/>
    <w:rsid w:val="004276AE"/>
    <w:rsid w:val="00430765"/>
    <w:rsid w:val="004312ED"/>
    <w:rsid w:val="00431FFD"/>
    <w:rsid w:val="00434D56"/>
    <w:rsid w:val="00440A2A"/>
    <w:rsid w:val="0044354E"/>
    <w:rsid w:val="00443FA7"/>
    <w:rsid w:val="00444D5C"/>
    <w:rsid w:val="0044685F"/>
    <w:rsid w:val="004577EC"/>
    <w:rsid w:val="00464945"/>
    <w:rsid w:val="00472D11"/>
    <w:rsid w:val="00473386"/>
    <w:rsid w:val="0047359F"/>
    <w:rsid w:val="004740E4"/>
    <w:rsid w:val="00490FA7"/>
    <w:rsid w:val="004A0A6B"/>
    <w:rsid w:val="004A1997"/>
    <w:rsid w:val="004A31A5"/>
    <w:rsid w:val="004A442D"/>
    <w:rsid w:val="004A675A"/>
    <w:rsid w:val="004A71A6"/>
    <w:rsid w:val="004A76D4"/>
    <w:rsid w:val="004B279D"/>
    <w:rsid w:val="004B36D4"/>
    <w:rsid w:val="004B7649"/>
    <w:rsid w:val="004C3539"/>
    <w:rsid w:val="004C60B9"/>
    <w:rsid w:val="004D437B"/>
    <w:rsid w:val="004E3DF4"/>
    <w:rsid w:val="004E47B1"/>
    <w:rsid w:val="004E612D"/>
    <w:rsid w:val="004E7CB4"/>
    <w:rsid w:val="004F240B"/>
    <w:rsid w:val="004F26EB"/>
    <w:rsid w:val="004F2842"/>
    <w:rsid w:val="004F29FF"/>
    <w:rsid w:val="004F6274"/>
    <w:rsid w:val="004F7F6F"/>
    <w:rsid w:val="00500AA6"/>
    <w:rsid w:val="00500FFC"/>
    <w:rsid w:val="00510080"/>
    <w:rsid w:val="00510751"/>
    <w:rsid w:val="005170A9"/>
    <w:rsid w:val="00517EFA"/>
    <w:rsid w:val="00522238"/>
    <w:rsid w:val="005236F6"/>
    <w:rsid w:val="00523F36"/>
    <w:rsid w:val="00526C5C"/>
    <w:rsid w:val="005371B0"/>
    <w:rsid w:val="0054006C"/>
    <w:rsid w:val="0054494B"/>
    <w:rsid w:val="00544BF1"/>
    <w:rsid w:val="0054771B"/>
    <w:rsid w:val="005550DA"/>
    <w:rsid w:val="00560CCD"/>
    <w:rsid w:val="00560E81"/>
    <w:rsid w:val="00562290"/>
    <w:rsid w:val="00565CB4"/>
    <w:rsid w:val="00570D7E"/>
    <w:rsid w:val="005728FA"/>
    <w:rsid w:val="00576486"/>
    <w:rsid w:val="0058177A"/>
    <w:rsid w:val="005857D5"/>
    <w:rsid w:val="00587778"/>
    <w:rsid w:val="00590E9D"/>
    <w:rsid w:val="005947B8"/>
    <w:rsid w:val="005954A9"/>
    <w:rsid w:val="00596E59"/>
    <w:rsid w:val="005972A6"/>
    <w:rsid w:val="005A03E1"/>
    <w:rsid w:val="005A1C0F"/>
    <w:rsid w:val="005A3690"/>
    <w:rsid w:val="005A4A02"/>
    <w:rsid w:val="005A4D02"/>
    <w:rsid w:val="005A5046"/>
    <w:rsid w:val="005A56EA"/>
    <w:rsid w:val="005A67AC"/>
    <w:rsid w:val="005B12EA"/>
    <w:rsid w:val="005B3DFE"/>
    <w:rsid w:val="005B4822"/>
    <w:rsid w:val="005B5600"/>
    <w:rsid w:val="005B68FE"/>
    <w:rsid w:val="005C2286"/>
    <w:rsid w:val="005C3557"/>
    <w:rsid w:val="005C387B"/>
    <w:rsid w:val="005C5579"/>
    <w:rsid w:val="005D0588"/>
    <w:rsid w:val="005D1E44"/>
    <w:rsid w:val="005E0477"/>
    <w:rsid w:val="005E147F"/>
    <w:rsid w:val="005F0977"/>
    <w:rsid w:val="00603A35"/>
    <w:rsid w:val="00606FBF"/>
    <w:rsid w:val="00614C2F"/>
    <w:rsid w:val="0062402D"/>
    <w:rsid w:val="006302DC"/>
    <w:rsid w:val="0063114E"/>
    <w:rsid w:val="006315A2"/>
    <w:rsid w:val="0063273C"/>
    <w:rsid w:val="00634326"/>
    <w:rsid w:val="00635C1E"/>
    <w:rsid w:val="006363AE"/>
    <w:rsid w:val="00637255"/>
    <w:rsid w:val="0064267B"/>
    <w:rsid w:val="00642F6F"/>
    <w:rsid w:val="0064397E"/>
    <w:rsid w:val="006445C3"/>
    <w:rsid w:val="006476E5"/>
    <w:rsid w:val="00650A23"/>
    <w:rsid w:val="00651432"/>
    <w:rsid w:val="00652CDA"/>
    <w:rsid w:val="006541AB"/>
    <w:rsid w:val="00656865"/>
    <w:rsid w:val="00656AA9"/>
    <w:rsid w:val="00656B18"/>
    <w:rsid w:val="00657F9C"/>
    <w:rsid w:val="006621EE"/>
    <w:rsid w:val="006645B6"/>
    <w:rsid w:val="00664B93"/>
    <w:rsid w:val="00665486"/>
    <w:rsid w:val="00665F9F"/>
    <w:rsid w:val="006662CC"/>
    <w:rsid w:val="00670E39"/>
    <w:rsid w:val="00670FEC"/>
    <w:rsid w:val="00672C79"/>
    <w:rsid w:val="0067502C"/>
    <w:rsid w:val="006759FF"/>
    <w:rsid w:val="00676F9D"/>
    <w:rsid w:val="00677CCA"/>
    <w:rsid w:val="00682602"/>
    <w:rsid w:val="00683A6B"/>
    <w:rsid w:val="00684FA7"/>
    <w:rsid w:val="00695129"/>
    <w:rsid w:val="006A2C01"/>
    <w:rsid w:val="006B2D1C"/>
    <w:rsid w:val="006B42FC"/>
    <w:rsid w:val="006C61FA"/>
    <w:rsid w:val="006D47E2"/>
    <w:rsid w:val="006D61CC"/>
    <w:rsid w:val="006E05C8"/>
    <w:rsid w:val="006E0C22"/>
    <w:rsid w:val="006E14E5"/>
    <w:rsid w:val="006E5125"/>
    <w:rsid w:val="006E56FD"/>
    <w:rsid w:val="006E6461"/>
    <w:rsid w:val="006E6866"/>
    <w:rsid w:val="006E689D"/>
    <w:rsid w:val="006F319B"/>
    <w:rsid w:val="006F43F4"/>
    <w:rsid w:val="006F54A1"/>
    <w:rsid w:val="006F54B7"/>
    <w:rsid w:val="00700B3C"/>
    <w:rsid w:val="00701785"/>
    <w:rsid w:val="00702B9C"/>
    <w:rsid w:val="00705C66"/>
    <w:rsid w:val="00706045"/>
    <w:rsid w:val="007100FB"/>
    <w:rsid w:val="007115E9"/>
    <w:rsid w:val="00713F40"/>
    <w:rsid w:val="00714503"/>
    <w:rsid w:val="00714553"/>
    <w:rsid w:val="0071497A"/>
    <w:rsid w:val="00724C20"/>
    <w:rsid w:val="00725E85"/>
    <w:rsid w:val="00725FE0"/>
    <w:rsid w:val="00727AE3"/>
    <w:rsid w:val="00736862"/>
    <w:rsid w:val="00740B5F"/>
    <w:rsid w:val="00744875"/>
    <w:rsid w:val="007527E9"/>
    <w:rsid w:val="00753CD9"/>
    <w:rsid w:val="007561E9"/>
    <w:rsid w:val="0075676D"/>
    <w:rsid w:val="007570D4"/>
    <w:rsid w:val="00757938"/>
    <w:rsid w:val="00760856"/>
    <w:rsid w:val="00760A96"/>
    <w:rsid w:val="007611FA"/>
    <w:rsid w:val="00761F85"/>
    <w:rsid w:val="0076254E"/>
    <w:rsid w:val="00762563"/>
    <w:rsid w:val="007638A8"/>
    <w:rsid w:val="00770012"/>
    <w:rsid w:val="0077662C"/>
    <w:rsid w:val="00776C2C"/>
    <w:rsid w:val="0078287E"/>
    <w:rsid w:val="00783942"/>
    <w:rsid w:val="00784B61"/>
    <w:rsid w:val="00785CAA"/>
    <w:rsid w:val="00785E84"/>
    <w:rsid w:val="007911BA"/>
    <w:rsid w:val="00793F42"/>
    <w:rsid w:val="00797A8B"/>
    <w:rsid w:val="007A1E8F"/>
    <w:rsid w:val="007A2005"/>
    <w:rsid w:val="007A2C83"/>
    <w:rsid w:val="007A7978"/>
    <w:rsid w:val="007A7ED4"/>
    <w:rsid w:val="007B1F95"/>
    <w:rsid w:val="007B38FC"/>
    <w:rsid w:val="007B7FEE"/>
    <w:rsid w:val="007C2757"/>
    <w:rsid w:val="007C5613"/>
    <w:rsid w:val="007C5B94"/>
    <w:rsid w:val="007D0321"/>
    <w:rsid w:val="007D10FF"/>
    <w:rsid w:val="007D2E47"/>
    <w:rsid w:val="007E66B9"/>
    <w:rsid w:val="007E7A6B"/>
    <w:rsid w:val="007F4AB1"/>
    <w:rsid w:val="007F67FF"/>
    <w:rsid w:val="007F6D5B"/>
    <w:rsid w:val="007F771C"/>
    <w:rsid w:val="00803454"/>
    <w:rsid w:val="00805B10"/>
    <w:rsid w:val="008137EF"/>
    <w:rsid w:val="008149D4"/>
    <w:rsid w:val="00821F36"/>
    <w:rsid w:val="008242DD"/>
    <w:rsid w:val="00825256"/>
    <w:rsid w:val="008301F1"/>
    <w:rsid w:val="0083242C"/>
    <w:rsid w:val="0083302B"/>
    <w:rsid w:val="008349AA"/>
    <w:rsid w:val="00840763"/>
    <w:rsid w:val="00840C4F"/>
    <w:rsid w:val="00842CEC"/>
    <w:rsid w:val="008442DB"/>
    <w:rsid w:val="00845AFC"/>
    <w:rsid w:val="00846877"/>
    <w:rsid w:val="00847493"/>
    <w:rsid w:val="008516BF"/>
    <w:rsid w:val="008642F3"/>
    <w:rsid w:val="00864414"/>
    <w:rsid w:val="00865C08"/>
    <w:rsid w:val="00866199"/>
    <w:rsid w:val="00870AD8"/>
    <w:rsid w:val="008713EF"/>
    <w:rsid w:val="0087370A"/>
    <w:rsid w:val="00881248"/>
    <w:rsid w:val="0088195E"/>
    <w:rsid w:val="00885DD9"/>
    <w:rsid w:val="00892A74"/>
    <w:rsid w:val="00894EC8"/>
    <w:rsid w:val="008A0B4B"/>
    <w:rsid w:val="008A1521"/>
    <w:rsid w:val="008A1798"/>
    <w:rsid w:val="008A5161"/>
    <w:rsid w:val="008A609C"/>
    <w:rsid w:val="008A6FD2"/>
    <w:rsid w:val="008B1831"/>
    <w:rsid w:val="008B1B4C"/>
    <w:rsid w:val="008B1F86"/>
    <w:rsid w:val="008B281D"/>
    <w:rsid w:val="008B58FC"/>
    <w:rsid w:val="008B6750"/>
    <w:rsid w:val="008C27F4"/>
    <w:rsid w:val="008C2BD3"/>
    <w:rsid w:val="008C2E3A"/>
    <w:rsid w:val="008C4119"/>
    <w:rsid w:val="008C4A7E"/>
    <w:rsid w:val="008C4BB9"/>
    <w:rsid w:val="008C54C3"/>
    <w:rsid w:val="008C636C"/>
    <w:rsid w:val="008D397F"/>
    <w:rsid w:val="008D5217"/>
    <w:rsid w:val="008D573D"/>
    <w:rsid w:val="008E0F96"/>
    <w:rsid w:val="008E2943"/>
    <w:rsid w:val="008F36B4"/>
    <w:rsid w:val="00901C6C"/>
    <w:rsid w:val="009034AE"/>
    <w:rsid w:val="00903D81"/>
    <w:rsid w:val="009040E7"/>
    <w:rsid w:val="00907959"/>
    <w:rsid w:val="0091636B"/>
    <w:rsid w:val="00920C2F"/>
    <w:rsid w:val="009367AC"/>
    <w:rsid w:val="009438EE"/>
    <w:rsid w:val="00947B2B"/>
    <w:rsid w:val="009526A8"/>
    <w:rsid w:val="009573E7"/>
    <w:rsid w:val="009612CE"/>
    <w:rsid w:val="0096133A"/>
    <w:rsid w:val="00965C55"/>
    <w:rsid w:val="00967231"/>
    <w:rsid w:val="00970AD1"/>
    <w:rsid w:val="009719C2"/>
    <w:rsid w:val="00974327"/>
    <w:rsid w:val="009813A8"/>
    <w:rsid w:val="009826E3"/>
    <w:rsid w:val="0098292F"/>
    <w:rsid w:val="00983D74"/>
    <w:rsid w:val="00984C3E"/>
    <w:rsid w:val="00986458"/>
    <w:rsid w:val="00995EE3"/>
    <w:rsid w:val="00996A75"/>
    <w:rsid w:val="009A3001"/>
    <w:rsid w:val="009A54E8"/>
    <w:rsid w:val="009A6202"/>
    <w:rsid w:val="009B2D38"/>
    <w:rsid w:val="009B50BE"/>
    <w:rsid w:val="009B65D6"/>
    <w:rsid w:val="009B7360"/>
    <w:rsid w:val="009B7A88"/>
    <w:rsid w:val="009C0942"/>
    <w:rsid w:val="009C3A0D"/>
    <w:rsid w:val="009C3C14"/>
    <w:rsid w:val="009C5E2D"/>
    <w:rsid w:val="009C6426"/>
    <w:rsid w:val="009C651C"/>
    <w:rsid w:val="009C7736"/>
    <w:rsid w:val="009D13B4"/>
    <w:rsid w:val="009D36B1"/>
    <w:rsid w:val="009E3F30"/>
    <w:rsid w:val="009E4D3F"/>
    <w:rsid w:val="009E5FE4"/>
    <w:rsid w:val="009E6099"/>
    <w:rsid w:val="009F340C"/>
    <w:rsid w:val="00A01CC0"/>
    <w:rsid w:val="00A02F9A"/>
    <w:rsid w:val="00A05045"/>
    <w:rsid w:val="00A07F48"/>
    <w:rsid w:val="00A122C1"/>
    <w:rsid w:val="00A12DE9"/>
    <w:rsid w:val="00A1700E"/>
    <w:rsid w:val="00A3185C"/>
    <w:rsid w:val="00A32AE1"/>
    <w:rsid w:val="00A3580A"/>
    <w:rsid w:val="00A367EF"/>
    <w:rsid w:val="00A42631"/>
    <w:rsid w:val="00A42714"/>
    <w:rsid w:val="00A47BED"/>
    <w:rsid w:val="00A52A99"/>
    <w:rsid w:val="00A575EC"/>
    <w:rsid w:val="00A61623"/>
    <w:rsid w:val="00A62AB3"/>
    <w:rsid w:val="00A645B7"/>
    <w:rsid w:val="00A65913"/>
    <w:rsid w:val="00A733C5"/>
    <w:rsid w:val="00A73998"/>
    <w:rsid w:val="00A73C62"/>
    <w:rsid w:val="00A76B9C"/>
    <w:rsid w:val="00A77A2A"/>
    <w:rsid w:val="00A84792"/>
    <w:rsid w:val="00A84AF4"/>
    <w:rsid w:val="00A84EBE"/>
    <w:rsid w:val="00A86634"/>
    <w:rsid w:val="00A9063F"/>
    <w:rsid w:val="00A91B17"/>
    <w:rsid w:val="00A93C85"/>
    <w:rsid w:val="00A95931"/>
    <w:rsid w:val="00AA1339"/>
    <w:rsid w:val="00AA52B2"/>
    <w:rsid w:val="00AA55DA"/>
    <w:rsid w:val="00AA5900"/>
    <w:rsid w:val="00AA5C52"/>
    <w:rsid w:val="00AA5C59"/>
    <w:rsid w:val="00AA75CE"/>
    <w:rsid w:val="00AB0949"/>
    <w:rsid w:val="00AB26A7"/>
    <w:rsid w:val="00AB3EF5"/>
    <w:rsid w:val="00AB43A7"/>
    <w:rsid w:val="00AB4836"/>
    <w:rsid w:val="00AB5908"/>
    <w:rsid w:val="00AB7D27"/>
    <w:rsid w:val="00AC5759"/>
    <w:rsid w:val="00AC6B5E"/>
    <w:rsid w:val="00AC6D4A"/>
    <w:rsid w:val="00AD0F63"/>
    <w:rsid w:val="00AE08CE"/>
    <w:rsid w:val="00AE17B5"/>
    <w:rsid w:val="00AF3149"/>
    <w:rsid w:val="00AF3D63"/>
    <w:rsid w:val="00AF4918"/>
    <w:rsid w:val="00B01318"/>
    <w:rsid w:val="00B033EE"/>
    <w:rsid w:val="00B069A4"/>
    <w:rsid w:val="00B07427"/>
    <w:rsid w:val="00B079BF"/>
    <w:rsid w:val="00B1013C"/>
    <w:rsid w:val="00B120F2"/>
    <w:rsid w:val="00B13828"/>
    <w:rsid w:val="00B14A68"/>
    <w:rsid w:val="00B15016"/>
    <w:rsid w:val="00B172FD"/>
    <w:rsid w:val="00B176BB"/>
    <w:rsid w:val="00B23EAB"/>
    <w:rsid w:val="00B25FE7"/>
    <w:rsid w:val="00B32C63"/>
    <w:rsid w:val="00B37C8F"/>
    <w:rsid w:val="00B41280"/>
    <w:rsid w:val="00B439A5"/>
    <w:rsid w:val="00B44C8C"/>
    <w:rsid w:val="00B4580A"/>
    <w:rsid w:val="00B46414"/>
    <w:rsid w:val="00B532E3"/>
    <w:rsid w:val="00B533A9"/>
    <w:rsid w:val="00B62170"/>
    <w:rsid w:val="00B64B09"/>
    <w:rsid w:val="00B64CF1"/>
    <w:rsid w:val="00B66BBB"/>
    <w:rsid w:val="00B6713A"/>
    <w:rsid w:val="00B67837"/>
    <w:rsid w:val="00B7363D"/>
    <w:rsid w:val="00B83931"/>
    <w:rsid w:val="00B83F1D"/>
    <w:rsid w:val="00B863E8"/>
    <w:rsid w:val="00B87D42"/>
    <w:rsid w:val="00B90622"/>
    <w:rsid w:val="00B942DD"/>
    <w:rsid w:val="00B95502"/>
    <w:rsid w:val="00BA003B"/>
    <w:rsid w:val="00BA35E0"/>
    <w:rsid w:val="00BA6F9E"/>
    <w:rsid w:val="00BA78B7"/>
    <w:rsid w:val="00BA7B26"/>
    <w:rsid w:val="00BB05F5"/>
    <w:rsid w:val="00BB0F2F"/>
    <w:rsid w:val="00BB1344"/>
    <w:rsid w:val="00BB317E"/>
    <w:rsid w:val="00BB52B8"/>
    <w:rsid w:val="00BB5835"/>
    <w:rsid w:val="00BC05E9"/>
    <w:rsid w:val="00BC07BE"/>
    <w:rsid w:val="00BC10C9"/>
    <w:rsid w:val="00BC4D0E"/>
    <w:rsid w:val="00BD19BD"/>
    <w:rsid w:val="00BD19FC"/>
    <w:rsid w:val="00BD34A2"/>
    <w:rsid w:val="00BD49BD"/>
    <w:rsid w:val="00BD76BA"/>
    <w:rsid w:val="00BE4E20"/>
    <w:rsid w:val="00BF089B"/>
    <w:rsid w:val="00BF14E5"/>
    <w:rsid w:val="00BF1555"/>
    <w:rsid w:val="00BF2081"/>
    <w:rsid w:val="00BF79A8"/>
    <w:rsid w:val="00BF7EBD"/>
    <w:rsid w:val="00C04C88"/>
    <w:rsid w:val="00C05A8B"/>
    <w:rsid w:val="00C10C73"/>
    <w:rsid w:val="00C1244D"/>
    <w:rsid w:val="00C139A5"/>
    <w:rsid w:val="00C13D8F"/>
    <w:rsid w:val="00C14C4D"/>
    <w:rsid w:val="00C16767"/>
    <w:rsid w:val="00C21699"/>
    <w:rsid w:val="00C21CEF"/>
    <w:rsid w:val="00C21D3C"/>
    <w:rsid w:val="00C23FB4"/>
    <w:rsid w:val="00C24ADD"/>
    <w:rsid w:val="00C27B12"/>
    <w:rsid w:val="00C302FD"/>
    <w:rsid w:val="00C31AAE"/>
    <w:rsid w:val="00C34EF5"/>
    <w:rsid w:val="00C356AA"/>
    <w:rsid w:val="00C356C5"/>
    <w:rsid w:val="00C41DF8"/>
    <w:rsid w:val="00C43E45"/>
    <w:rsid w:val="00C459F5"/>
    <w:rsid w:val="00C47727"/>
    <w:rsid w:val="00C5065F"/>
    <w:rsid w:val="00C5186F"/>
    <w:rsid w:val="00C52150"/>
    <w:rsid w:val="00C62A13"/>
    <w:rsid w:val="00C64958"/>
    <w:rsid w:val="00C64BC7"/>
    <w:rsid w:val="00C674CB"/>
    <w:rsid w:val="00C73EDA"/>
    <w:rsid w:val="00C761E8"/>
    <w:rsid w:val="00C827D8"/>
    <w:rsid w:val="00C8606A"/>
    <w:rsid w:val="00C87DD4"/>
    <w:rsid w:val="00C90FD0"/>
    <w:rsid w:val="00C9482E"/>
    <w:rsid w:val="00C95DD7"/>
    <w:rsid w:val="00C96479"/>
    <w:rsid w:val="00C967D8"/>
    <w:rsid w:val="00CA5BB4"/>
    <w:rsid w:val="00CA5D73"/>
    <w:rsid w:val="00CA76BA"/>
    <w:rsid w:val="00CB2E5D"/>
    <w:rsid w:val="00CB2F72"/>
    <w:rsid w:val="00CB568A"/>
    <w:rsid w:val="00CB6759"/>
    <w:rsid w:val="00CB7058"/>
    <w:rsid w:val="00CB7A89"/>
    <w:rsid w:val="00CC0609"/>
    <w:rsid w:val="00CC0894"/>
    <w:rsid w:val="00CC0E16"/>
    <w:rsid w:val="00CC1267"/>
    <w:rsid w:val="00CC1946"/>
    <w:rsid w:val="00CC3877"/>
    <w:rsid w:val="00CC408F"/>
    <w:rsid w:val="00CC6318"/>
    <w:rsid w:val="00CD6635"/>
    <w:rsid w:val="00CE1396"/>
    <w:rsid w:val="00CE22B3"/>
    <w:rsid w:val="00CE506F"/>
    <w:rsid w:val="00CE5B08"/>
    <w:rsid w:val="00CF0420"/>
    <w:rsid w:val="00CF34A2"/>
    <w:rsid w:val="00D038A6"/>
    <w:rsid w:val="00D0465C"/>
    <w:rsid w:val="00D069C2"/>
    <w:rsid w:val="00D10A11"/>
    <w:rsid w:val="00D1234B"/>
    <w:rsid w:val="00D13958"/>
    <w:rsid w:val="00D14381"/>
    <w:rsid w:val="00D20423"/>
    <w:rsid w:val="00D22A7B"/>
    <w:rsid w:val="00D27697"/>
    <w:rsid w:val="00D326B8"/>
    <w:rsid w:val="00D3334A"/>
    <w:rsid w:val="00D42FD6"/>
    <w:rsid w:val="00D447D7"/>
    <w:rsid w:val="00D45171"/>
    <w:rsid w:val="00D5412E"/>
    <w:rsid w:val="00D54184"/>
    <w:rsid w:val="00D542F8"/>
    <w:rsid w:val="00D56345"/>
    <w:rsid w:val="00D62C65"/>
    <w:rsid w:val="00D63431"/>
    <w:rsid w:val="00D64D1B"/>
    <w:rsid w:val="00D660ED"/>
    <w:rsid w:val="00D66E52"/>
    <w:rsid w:val="00D73FEE"/>
    <w:rsid w:val="00D76889"/>
    <w:rsid w:val="00D8437C"/>
    <w:rsid w:val="00D84C36"/>
    <w:rsid w:val="00D86C2E"/>
    <w:rsid w:val="00D917B7"/>
    <w:rsid w:val="00DA0004"/>
    <w:rsid w:val="00DA0F6C"/>
    <w:rsid w:val="00DA3395"/>
    <w:rsid w:val="00DA5E66"/>
    <w:rsid w:val="00DA7D6F"/>
    <w:rsid w:val="00DA7DEF"/>
    <w:rsid w:val="00DB3092"/>
    <w:rsid w:val="00DB32E0"/>
    <w:rsid w:val="00DB3B7F"/>
    <w:rsid w:val="00DB66B6"/>
    <w:rsid w:val="00DB74F0"/>
    <w:rsid w:val="00DC03D4"/>
    <w:rsid w:val="00DC3718"/>
    <w:rsid w:val="00DC6050"/>
    <w:rsid w:val="00DC7E3F"/>
    <w:rsid w:val="00DD25DF"/>
    <w:rsid w:val="00DD3742"/>
    <w:rsid w:val="00DD3866"/>
    <w:rsid w:val="00DD5EB7"/>
    <w:rsid w:val="00DD624B"/>
    <w:rsid w:val="00DD7877"/>
    <w:rsid w:val="00DD78CB"/>
    <w:rsid w:val="00DE0F85"/>
    <w:rsid w:val="00DE30BB"/>
    <w:rsid w:val="00DE55A1"/>
    <w:rsid w:val="00DE79F9"/>
    <w:rsid w:val="00E030B3"/>
    <w:rsid w:val="00E06746"/>
    <w:rsid w:val="00E079AE"/>
    <w:rsid w:val="00E10A60"/>
    <w:rsid w:val="00E10FFA"/>
    <w:rsid w:val="00E15CD3"/>
    <w:rsid w:val="00E15DED"/>
    <w:rsid w:val="00E20EEC"/>
    <w:rsid w:val="00E21228"/>
    <w:rsid w:val="00E24D55"/>
    <w:rsid w:val="00E250D9"/>
    <w:rsid w:val="00E25683"/>
    <w:rsid w:val="00E31381"/>
    <w:rsid w:val="00E33729"/>
    <w:rsid w:val="00E34391"/>
    <w:rsid w:val="00E415D3"/>
    <w:rsid w:val="00E4577B"/>
    <w:rsid w:val="00E50C7E"/>
    <w:rsid w:val="00E51A7F"/>
    <w:rsid w:val="00E520C2"/>
    <w:rsid w:val="00E548FF"/>
    <w:rsid w:val="00E55B9A"/>
    <w:rsid w:val="00E612D5"/>
    <w:rsid w:val="00E630CD"/>
    <w:rsid w:val="00E63A88"/>
    <w:rsid w:val="00E64391"/>
    <w:rsid w:val="00E64CE9"/>
    <w:rsid w:val="00E667CB"/>
    <w:rsid w:val="00E67F54"/>
    <w:rsid w:val="00E706CC"/>
    <w:rsid w:val="00E726A9"/>
    <w:rsid w:val="00E72743"/>
    <w:rsid w:val="00E72C20"/>
    <w:rsid w:val="00E75345"/>
    <w:rsid w:val="00E77202"/>
    <w:rsid w:val="00E82035"/>
    <w:rsid w:val="00E8764D"/>
    <w:rsid w:val="00E95328"/>
    <w:rsid w:val="00EA4442"/>
    <w:rsid w:val="00EA777E"/>
    <w:rsid w:val="00EB10AA"/>
    <w:rsid w:val="00EB3ECD"/>
    <w:rsid w:val="00EB5059"/>
    <w:rsid w:val="00EB6CEF"/>
    <w:rsid w:val="00EC03B3"/>
    <w:rsid w:val="00EC1108"/>
    <w:rsid w:val="00EC2940"/>
    <w:rsid w:val="00ED17AC"/>
    <w:rsid w:val="00ED36DC"/>
    <w:rsid w:val="00EE01FC"/>
    <w:rsid w:val="00EE18C9"/>
    <w:rsid w:val="00EE32A0"/>
    <w:rsid w:val="00EE4F4A"/>
    <w:rsid w:val="00EE7BF1"/>
    <w:rsid w:val="00EE7DD6"/>
    <w:rsid w:val="00EF3145"/>
    <w:rsid w:val="00EF34D6"/>
    <w:rsid w:val="00EF506B"/>
    <w:rsid w:val="00EF7F96"/>
    <w:rsid w:val="00F00047"/>
    <w:rsid w:val="00F0089F"/>
    <w:rsid w:val="00F009CE"/>
    <w:rsid w:val="00F01F60"/>
    <w:rsid w:val="00F044DB"/>
    <w:rsid w:val="00F045B3"/>
    <w:rsid w:val="00F047A8"/>
    <w:rsid w:val="00F10E6E"/>
    <w:rsid w:val="00F12957"/>
    <w:rsid w:val="00F1333B"/>
    <w:rsid w:val="00F134CF"/>
    <w:rsid w:val="00F143CA"/>
    <w:rsid w:val="00F15A6B"/>
    <w:rsid w:val="00F25E88"/>
    <w:rsid w:val="00F3105F"/>
    <w:rsid w:val="00F3156C"/>
    <w:rsid w:val="00F36069"/>
    <w:rsid w:val="00F36768"/>
    <w:rsid w:val="00F4080C"/>
    <w:rsid w:val="00F430D4"/>
    <w:rsid w:val="00F43849"/>
    <w:rsid w:val="00F43EAD"/>
    <w:rsid w:val="00F460B5"/>
    <w:rsid w:val="00F55DF7"/>
    <w:rsid w:val="00F570B0"/>
    <w:rsid w:val="00F61D7E"/>
    <w:rsid w:val="00F6326C"/>
    <w:rsid w:val="00F635F2"/>
    <w:rsid w:val="00F724B2"/>
    <w:rsid w:val="00F840AE"/>
    <w:rsid w:val="00F86BF0"/>
    <w:rsid w:val="00F87AE7"/>
    <w:rsid w:val="00F92027"/>
    <w:rsid w:val="00F92314"/>
    <w:rsid w:val="00F954F8"/>
    <w:rsid w:val="00FA1193"/>
    <w:rsid w:val="00FA2707"/>
    <w:rsid w:val="00FA59EF"/>
    <w:rsid w:val="00FB1C70"/>
    <w:rsid w:val="00FC0974"/>
    <w:rsid w:val="00FC2A9B"/>
    <w:rsid w:val="00FC5BF9"/>
    <w:rsid w:val="00FD0CDC"/>
    <w:rsid w:val="00FD1D03"/>
    <w:rsid w:val="00FD47B0"/>
    <w:rsid w:val="00FE2AB6"/>
    <w:rsid w:val="00FE6980"/>
    <w:rsid w:val="00FE6D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81BAB8-A9C4-446B-A2FD-36115F5E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BF9"/>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aliases w:val="body,Odsek zoznamu2"/>
    <w:basedOn w:val="Normlny"/>
    <w:link w:val="OdsekzoznamuChar"/>
    <w:uiPriority w:val="34"/>
    <w:qFormat/>
    <w:rsid w:val="00E030B3"/>
    <w:pPr>
      <w:autoSpaceDE/>
      <w:autoSpaceDN/>
      <w:ind w:left="720"/>
      <w:contextualSpacing/>
    </w:pPr>
  </w:style>
  <w:style w:type="character" w:customStyle="1" w:styleId="OdsekzoznamuChar">
    <w:name w:val="Odsek zoznamu Char"/>
    <w:aliases w:val="body Char,Odsek zoznamu2 Char"/>
    <w:link w:val="Odsekzoznamu"/>
    <w:uiPriority w:val="34"/>
    <w:locked/>
    <w:rsid w:val="0044685F"/>
    <w:rPr>
      <w:sz w:val="24"/>
    </w:rPr>
  </w:style>
  <w:style w:type="character" w:styleId="Siln">
    <w:name w:val="Strong"/>
    <w:basedOn w:val="Predvolenpsmoodseku"/>
    <w:uiPriority w:val="22"/>
    <w:qFormat/>
    <w:rsid w:val="0062402D"/>
    <w:rPr>
      <w:rFonts w:cs="Times New Roman"/>
      <w:b/>
    </w:rPr>
  </w:style>
  <w:style w:type="character" w:styleId="Hypertextovprepojenie">
    <w:name w:val="Hyperlink"/>
    <w:basedOn w:val="Predvolenpsmoodseku"/>
    <w:uiPriority w:val="99"/>
    <w:rsid w:val="00DE30BB"/>
    <w:rPr>
      <w:rFonts w:cs="Times New Roman"/>
      <w:color w:val="0000FF" w:themeColor="hyperlink"/>
      <w:u w:val="single"/>
    </w:rPr>
  </w:style>
  <w:style w:type="paragraph" w:styleId="Textbubliny">
    <w:name w:val="Balloon Text"/>
    <w:basedOn w:val="Normlny"/>
    <w:link w:val="TextbublinyChar"/>
    <w:uiPriority w:val="99"/>
    <w:rsid w:val="00C95DD7"/>
    <w:rPr>
      <w:rFonts w:ascii="Segoe UI" w:hAnsi="Segoe UI" w:cs="Segoe UI"/>
      <w:sz w:val="18"/>
      <w:szCs w:val="18"/>
    </w:rPr>
  </w:style>
  <w:style w:type="character" w:customStyle="1" w:styleId="TextbublinyChar">
    <w:name w:val="Text bubliny Char"/>
    <w:basedOn w:val="Predvolenpsmoodseku"/>
    <w:link w:val="Textbubliny"/>
    <w:uiPriority w:val="99"/>
    <w:locked/>
    <w:rsid w:val="00C95DD7"/>
    <w:rPr>
      <w:rFonts w:ascii="Segoe UI" w:hAnsi="Segoe UI" w:cs="Segoe UI"/>
      <w:sz w:val="18"/>
      <w:szCs w:val="18"/>
    </w:rPr>
  </w:style>
  <w:style w:type="paragraph" w:styleId="Zarkazkladnhotextu">
    <w:name w:val="Body Text Indent"/>
    <w:basedOn w:val="Normlny"/>
    <w:link w:val="ZarkazkladnhotextuChar"/>
    <w:uiPriority w:val="99"/>
    <w:rsid w:val="0071497A"/>
    <w:pPr>
      <w:spacing w:after="120"/>
      <w:ind w:left="283"/>
    </w:pPr>
  </w:style>
  <w:style w:type="character" w:customStyle="1" w:styleId="ZarkazkladnhotextuChar">
    <w:name w:val="Zarážka základného textu Char"/>
    <w:basedOn w:val="Predvolenpsmoodseku"/>
    <w:link w:val="Zarkazkladnhotextu"/>
    <w:uiPriority w:val="99"/>
    <w:locked/>
    <w:rsid w:val="0071497A"/>
    <w:rPr>
      <w:rFonts w:cs="Times New Roman"/>
      <w:sz w:val="24"/>
      <w:szCs w:val="24"/>
    </w:rPr>
  </w:style>
  <w:style w:type="paragraph" w:customStyle="1" w:styleId="Point0number">
    <w:name w:val="Point 0 (number)"/>
    <w:basedOn w:val="Normlny"/>
    <w:rsid w:val="007E7A6B"/>
    <w:pPr>
      <w:numPr>
        <w:numId w:val="4"/>
      </w:numPr>
      <w:autoSpaceDE/>
      <w:autoSpaceDN/>
      <w:spacing w:before="120" w:after="120"/>
      <w:jc w:val="both"/>
    </w:pPr>
    <w:rPr>
      <w:szCs w:val="22"/>
      <w:lang w:val="en-GB" w:eastAsia="en-US"/>
    </w:rPr>
  </w:style>
  <w:style w:type="paragraph" w:customStyle="1" w:styleId="Point1number">
    <w:name w:val="Point 1 (number)"/>
    <w:basedOn w:val="Normlny"/>
    <w:rsid w:val="007E7A6B"/>
    <w:pPr>
      <w:numPr>
        <w:ilvl w:val="2"/>
        <w:numId w:val="4"/>
      </w:numPr>
      <w:autoSpaceDE/>
      <w:autoSpaceDN/>
      <w:spacing w:before="120" w:after="120"/>
      <w:jc w:val="both"/>
    </w:pPr>
    <w:rPr>
      <w:szCs w:val="22"/>
      <w:lang w:val="en-GB" w:eastAsia="en-US"/>
    </w:rPr>
  </w:style>
  <w:style w:type="paragraph" w:customStyle="1" w:styleId="Point2number">
    <w:name w:val="Point 2 (number)"/>
    <w:basedOn w:val="Normlny"/>
    <w:rsid w:val="007E7A6B"/>
    <w:pPr>
      <w:numPr>
        <w:ilvl w:val="4"/>
        <w:numId w:val="4"/>
      </w:numPr>
      <w:autoSpaceDE/>
      <w:autoSpaceDN/>
      <w:spacing w:before="120" w:after="120"/>
      <w:jc w:val="both"/>
    </w:pPr>
    <w:rPr>
      <w:szCs w:val="22"/>
      <w:lang w:val="en-GB" w:eastAsia="en-US"/>
    </w:rPr>
  </w:style>
  <w:style w:type="paragraph" w:customStyle="1" w:styleId="Point3number">
    <w:name w:val="Point 3 (number)"/>
    <w:basedOn w:val="Normlny"/>
    <w:rsid w:val="007E7A6B"/>
    <w:pPr>
      <w:numPr>
        <w:ilvl w:val="6"/>
        <w:numId w:val="4"/>
      </w:numPr>
      <w:autoSpaceDE/>
      <w:autoSpaceDN/>
      <w:spacing w:before="120" w:after="120"/>
      <w:jc w:val="both"/>
    </w:pPr>
    <w:rPr>
      <w:szCs w:val="22"/>
      <w:lang w:val="en-GB" w:eastAsia="en-US"/>
    </w:rPr>
  </w:style>
  <w:style w:type="paragraph" w:customStyle="1" w:styleId="Point0letter">
    <w:name w:val="Point 0 (letter)"/>
    <w:basedOn w:val="Normlny"/>
    <w:rsid w:val="007E7A6B"/>
    <w:pPr>
      <w:numPr>
        <w:ilvl w:val="1"/>
        <w:numId w:val="4"/>
      </w:numPr>
      <w:autoSpaceDE/>
      <w:autoSpaceDN/>
      <w:spacing w:before="120" w:after="120"/>
      <w:jc w:val="both"/>
    </w:pPr>
    <w:rPr>
      <w:szCs w:val="22"/>
      <w:lang w:val="en-GB" w:eastAsia="en-US"/>
    </w:rPr>
  </w:style>
  <w:style w:type="paragraph" w:customStyle="1" w:styleId="Point1letter">
    <w:name w:val="Point 1 (letter)"/>
    <w:basedOn w:val="Normlny"/>
    <w:rsid w:val="007E7A6B"/>
    <w:pPr>
      <w:numPr>
        <w:ilvl w:val="3"/>
        <w:numId w:val="4"/>
      </w:numPr>
      <w:autoSpaceDE/>
      <w:autoSpaceDN/>
      <w:spacing w:before="120" w:after="120"/>
      <w:jc w:val="both"/>
    </w:pPr>
    <w:rPr>
      <w:szCs w:val="22"/>
      <w:lang w:val="en-GB" w:eastAsia="en-US"/>
    </w:rPr>
  </w:style>
  <w:style w:type="paragraph" w:customStyle="1" w:styleId="Point2letter">
    <w:name w:val="Point 2 (letter)"/>
    <w:basedOn w:val="Normlny"/>
    <w:rsid w:val="007E7A6B"/>
    <w:pPr>
      <w:numPr>
        <w:ilvl w:val="5"/>
        <w:numId w:val="4"/>
      </w:numPr>
      <w:autoSpaceDE/>
      <w:autoSpaceDN/>
      <w:spacing w:before="120" w:after="120"/>
      <w:jc w:val="both"/>
    </w:pPr>
    <w:rPr>
      <w:szCs w:val="22"/>
      <w:lang w:val="en-GB" w:eastAsia="en-US"/>
    </w:rPr>
  </w:style>
  <w:style w:type="paragraph" w:customStyle="1" w:styleId="Point3letter">
    <w:name w:val="Point 3 (letter)"/>
    <w:basedOn w:val="Normlny"/>
    <w:rsid w:val="007E7A6B"/>
    <w:pPr>
      <w:numPr>
        <w:ilvl w:val="7"/>
        <w:numId w:val="4"/>
      </w:numPr>
      <w:autoSpaceDE/>
      <w:autoSpaceDN/>
      <w:spacing w:before="120" w:after="120"/>
      <w:jc w:val="both"/>
    </w:pPr>
    <w:rPr>
      <w:szCs w:val="22"/>
      <w:lang w:val="en-GB" w:eastAsia="en-US"/>
    </w:rPr>
  </w:style>
  <w:style w:type="paragraph" w:customStyle="1" w:styleId="Point4letter">
    <w:name w:val="Point 4 (letter)"/>
    <w:basedOn w:val="Normlny"/>
    <w:rsid w:val="007E7A6B"/>
    <w:pPr>
      <w:numPr>
        <w:ilvl w:val="8"/>
        <w:numId w:val="4"/>
      </w:numPr>
      <w:autoSpaceDE/>
      <w:autoSpaceDN/>
      <w:spacing w:before="120" w:after="120"/>
      <w:jc w:val="both"/>
    </w:pPr>
    <w:rPr>
      <w:szCs w:val="22"/>
      <w:lang w:val="en-GB" w:eastAsia="en-US"/>
    </w:rPr>
  </w:style>
  <w:style w:type="character" w:styleId="Zvraznenie">
    <w:name w:val="Emphasis"/>
    <w:basedOn w:val="Predvolenpsmoodseku"/>
    <w:uiPriority w:val="20"/>
    <w:qFormat/>
    <w:rsid w:val="004A0A6B"/>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043112">
      <w:marLeft w:val="0"/>
      <w:marRight w:val="0"/>
      <w:marTop w:val="0"/>
      <w:marBottom w:val="0"/>
      <w:divBdr>
        <w:top w:val="none" w:sz="0" w:space="0" w:color="auto"/>
        <w:left w:val="none" w:sz="0" w:space="0" w:color="auto"/>
        <w:bottom w:val="none" w:sz="0" w:space="0" w:color="auto"/>
        <w:right w:val="none" w:sz="0" w:space="0" w:color="auto"/>
      </w:divBdr>
    </w:div>
    <w:div w:id="782043113">
      <w:marLeft w:val="0"/>
      <w:marRight w:val="0"/>
      <w:marTop w:val="0"/>
      <w:marBottom w:val="0"/>
      <w:divBdr>
        <w:top w:val="none" w:sz="0" w:space="0" w:color="auto"/>
        <w:left w:val="none" w:sz="0" w:space="0" w:color="auto"/>
        <w:bottom w:val="none" w:sz="0" w:space="0" w:color="auto"/>
        <w:right w:val="none" w:sz="0" w:space="0" w:color="auto"/>
      </w:divBdr>
    </w:div>
    <w:div w:id="782043114">
      <w:marLeft w:val="0"/>
      <w:marRight w:val="0"/>
      <w:marTop w:val="0"/>
      <w:marBottom w:val="0"/>
      <w:divBdr>
        <w:top w:val="none" w:sz="0" w:space="0" w:color="auto"/>
        <w:left w:val="none" w:sz="0" w:space="0" w:color="auto"/>
        <w:bottom w:val="none" w:sz="0" w:space="0" w:color="auto"/>
        <w:right w:val="none" w:sz="0" w:space="0" w:color="auto"/>
      </w:divBdr>
    </w:div>
    <w:div w:id="782043115">
      <w:marLeft w:val="0"/>
      <w:marRight w:val="0"/>
      <w:marTop w:val="0"/>
      <w:marBottom w:val="0"/>
      <w:divBdr>
        <w:top w:val="none" w:sz="0" w:space="0" w:color="auto"/>
        <w:left w:val="none" w:sz="0" w:space="0" w:color="auto"/>
        <w:bottom w:val="none" w:sz="0" w:space="0" w:color="auto"/>
        <w:right w:val="none" w:sz="0" w:space="0" w:color="auto"/>
      </w:divBdr>
      <w:divsChild>
        <w:div w:id="782043116">
          <w:marLeft w:val="480"/>
          <w:marRight w:val="0"/>
          <w:marTop w:val="0"/>
          <w:marBottom w:val="0"/>
          <w:divBdr>
            <w:top w:val="none" w:sz="0" w:space="0" w:color="auto"/>
            <w:left w:val="none" w:sz="0" w:space="0" w:color="auto"/>
            <w:bottom w:val="none" w:sz="0" w:space="0" w:color="auto"/>
            <w:right w:val="none" w:sz="0" w:space="0" w:color="auto"/>
          </w:divBdr>
        </w:div>
        <w:div w:id="782043119">
          <w:marLeft w:val="480"/>
          <w:marRight w:val="0"/>
          <w:marTop w:val="0"/>
          <w:marBottom w:val="0"/>
          <w:divBdr>
            <w:top w:val="none" w:sz="0" w:space="0" w:color="auto"/>
            <w:left w:val="none" w:sz="0" w:space="0" w:color="auto"/>
            <w:bottom w:val="none" w:sz="0" w:space="0" w:color="auto"/>
            <w:right w:val="none" w:sz="0" w:space="0" w:color="auto"/>
          </w:divBdr>
        </w:div>
      </w:divsChild>
    </w:div>
    <w:div w:id="782043120">
      <w:marLeft w:val="0"/>
      <w:marRight w:val="0"/>
      <w:marTop w:val="0"/>
      <w:marBottom w:val="0"/>
      <w:divBdr>
        <w:top w:val="none" w:sz="0" w:space="0" w:color="auto"/>
        <w:left w:val="none" w:sz="0" w:space="0" w:color="auto"/>
        <w:bottom w:val="none" w:sz="0" w:space="0" w:color="auto"/>
        <w:right w:val="none" w:sz="0" w:space="0" w:color="auto"/>
      </w:divBdr>
      <w:divsChild>
        <w:div w:id="782043117">
          <w:marLeft w:val="480"/>
          <w:marRight w:val="0"/>
          <w:marTop w:val="0"/>
          <w:marBottom w:val="0"/>
          <w:divBdr>
            <w:top w:val="none" w:sz="0" w:space="0" w:color="auto"/>
            <w:left w:val="none" w:sz="0" w:space="0" w:color="auto"/>
            <w:bottom w:val="none" w:sz="0" w:space="0" w:color="auto"/>
            <w:right w:val="none" w:sz="0" w:space="0" w:color="auto"/>
          </w:divBdr>
        </w:div>
        <w:div w:id="782043118">
          <w:marLeft w:val="480"/>
          <w:marRight w:val="0"/>
          <w:marTop w:val="0"/>
          <w:marBottom w:val="0"/>
          <w:divBdr>
            <w:top w:val="none" w:sz="0" w:space="0" w:color="auto"/>
            <w:left w:val="none" w:sz="0" w:space="0" w:color="auto"/>
            <w:bottom w:val="none" w:sz="0" w:space="0" w:color="auto"/>
            <w:right w:val="none" w:sz="0" w:space="0" w:color="auto"/>
          </w:divBdr>
        </w:div>
      </w:divsChild>
    </w:div>
    <w:div w:id="782043121">
      <w:marLeft w:val="0"/>
      <w:marRight w:val="0"/>
      <w:marTop w:val="0"/>
      <w:marBottom w:val="0"/>
      <w:divBdr>
        <w:top w:val="none" w:sz="0" w:space="0" w:color="auto"/>
        <w:left w:val="none" w:sz="0" w:space="0" w:color="auto"/>
        <w:bottom w:val="none" w:sz="0" w:space="0" w:color="auto"/>
        <w:right w:val="none" w:sz="0" w:space="0" w:color="auto"/>
      </w:divBdr>
    </w:div>
    <w:div w:id="782043122">
      <w:marLeft w:val="0"/>
      <w:marRight w:val="0"/>
      <w:marTop w:val="0"/>
      <w:marBottom w:val="0"/>
      <w:divBdr>
        <w:top w:val="none" w:sz="0" w:space="0" w:color="auto"/>
        <w:left w:val="none" w:sz="0" w:space="0" w:color="auto"/>
        <w:bottom w:val="none" w:sz="0" w:space="0" w:color="auto"/>
        <w:right w:val="none" w:sz="0" w:space="0" w:color="auto"/>
      </w:divBdr>
    </w:div>
    <w:div w:id="782043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eludi.sk/zz/2003-5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akonypreludi.sk/zz/2003-59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84007-D37A-4DA5-B5B4-E3D5D936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2826</Words>
  <Characters>16111</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Vidova Michaela</cp:lastModifiedBy>
  <cp:revision>2</cp:revision>
  <cp:lastPrinted>2022-06-17T09:43:00Z</cp:lastPrinted>
  <dcterms:created xsi:type="dcterms:W3CDTF">2022-08-16T12:59:00Z</dcterms:created>
  <dcterms:modified xsi:type="dcterms:W3CDTF">2022-08-16T12:59:00Z</dcterms:modified>
</cp:coreProperties>
</file>