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D1C" w:rsidRDefault="0004402F" w:rsidP="0004402F">
      <w:pPr>
        <w:jc w:val="center"/>
        <w:rPr>
          <w:rFonts w:ascii="Times New Roman" w:hAnsi="Times New Roman"/>
          <w:b/>
          <w:sz w:val="24"/>
          <w:szCs w:val="24"/>
        </w:rPr>
      </w:pPr>
      <w:r w:rsidRPr="0004402F">
        <w:rPr>
          <w:rFonts w:ascii="Times New Roman" w:hAnsi="Times New Roman"/>
          <w:b/>
          <w:sz w:val="24"/>
          <w:szCs w:val="24"/>
        </w:rPr>
        <w:t>Dôvodová správa</w:t>
      </w:r>
    </w:p>
    <w:p w:rsidR="0004402F" w:rsidRDefault="0004402F" w:rsidP="0004402F">
      <w:pPr>
        <w:jc w:val="both"/>
        <w:rPr>
          <w:rFonts w:ascii="Times New Roman" w:hAnsi="Times New Roman"/>
          <w:b/>
          <w:sz w:val="24"/>
          <w:szCs w:val="24"/>
          <w:u w:val="single"/>
        </w:rPr>
      </w:pPr>
      <w:r>
        <w:rPr>
          <w:rFonts w:ascii="Times New Roman" w:hAnsi="Times New Roman"/>
          <w:b/>
          <w:sz w:val="24"/>
          <w:szCs w:val="24"/>
          <w:u w:val="single"/>
        </w:rPr>
        <w:t>Všeobecná časť</w:t>
      </w:r>
    </w:p>
    <w:p w:rsidR="0004402F" w:rsidRDefault="0004402F" w:rsidP="0004402F">
      <w:pPr>
        <w:jc w:val="both"/>
        <w:rPr>
          <w:rFonts w:ascii="Times New Roman" w:hAnsi="Times New Roman"/>
          <w:b/>
          <w:sz w:val="24"/>
          <w:szCs w:val="24"/>
          <w:u w:val="single"/>
        </w:rPr>
      </w:pPr>
    </w:p>
    <w:p w:rsidR="0004402F" w:rsidRPr="00880CA3" w:rsidRDefault="0004402F" w:rsidP="0004402F">
      <w:pPr>
        <w:spacing w:after="0" w:line="240" w:lineRule="auto"/>
        <w:jc w:val="both"/>
        <w:rPr>
          <w:rFonts w:ascii="Times New Roman" w:hAnsi="Times New Roman"/>
          <w:sz w:val="24"/>
          <w:lang w:eastAsia="sk-SK"/>
        </w:rPr>
      </w:pPr>
      <w:r>
        <w:rPr>
          <w:rFonts w:ascii="Times New Roman" w:hAnsi="Times New Roman"/>
          <w:sz w:val="24"/>
          <w:szCs w:val="24"/>
        </w:rPr>
        <w:t xml:space="preserve">Vládnym návrhom zákona, </w:t>
      </w:r>
      <w:r w:rsidRPr="00996D89">
        <w:rPr>
          <w:rFonts w:ascii="Times New Roman" w:hAnsi="Times New Roman"/>
          <w:sz w:val="24"/>
          <w:szCs w:val="24"/>
        </w:rPr>
        <w:t xml:space="preserve">ktorým sa mení a dopĺňa zákon č. 595/2003 Z. z. o dani z príjmov v znení neskorších predpisov a ktorým sa mení a dopĺňa zákon č. 563/2009 Z. z. o správe daní (daňový poriadok) </w:t>
      </w:r>
      <w:r w:rsidRPr="00F24812">
        <w:rPr>
          <w:rFonts w:ascii="Times New Roman" w:hAnsi="Times New Roman"/>
          <w:bCs/>
          <w:sz w:val="24"/>
          <w:szCs w:val="24"/>
        </w:rPr>
        <w:t>a o zmene a doplnení niektorých zákonov </w:t>
      </w:r>
      <w:r w:rsidRPr="00F24812">
        <w:rPr>
          <w:rFonts w:ascii="Times New Roman" w:hAnsi="Times New Roman"/>
          <w:sz w:val="24"/>
          <w:szCs w:val="24"/>
        </w:rPr>
        <w:t xml:space="preserve"> v znení neskorších predpisov</w:t>
      </w:r>
      <w:r w:rsidRPr="00F24812">
        <w:rPr>
          <w:rFonts w:ascii="Times New Roman" w:hAnsi="Times New Roman"/>
          <w:sz w:val="24"/>
          <w:szCs w:val="24"/>
          <w:lang w:eastAsia="sk-SK"/>
        </w:rPr>
        <w:t xml:space="preserve"> sa implementuje</w:t>
      </w:r>
      <w:r w:rsidRPr="00700E7D">
        <w:rPr>
          <w:rFonts w:ascii="Times New Roman" w:hAnsi="Times New Roman"/>
          <w:sz w:val="24"/>
          <w:lang w:eastAsia="sk-SK"/>
        </w:rPr>
        <w:t xml:space="preserve"> článok </w:t>
      </w:r>
      <w:r>
        <w:rPr>
          <w:rFonts w:ascii="Times New Roman" w:hAnsi="Times New Roman"/>
          <w:sz w:val="24"/>
          <w:lang w:eastAsia="sk-SK"/>
        </w:rPr>
        <w:t>4</w:t>
      </w:r>
      <w:r w:rsidRPr="00700E7D">
        <w:rPr>
          <w:rFonts w:ascii="Times New Roman" w:hAnsi="Times New Roman"/>
          <w:sz w:val="24"/>
          <w:lang w:eastAsia="sk-SK"/>
        </w:rPr>
        <w:t xml:space="preserve"> </w:t>
      </w:r>
      <w:r w:rsidRPr="00880CA3">
        <w:rPr>
          <w:rFonts w:ascii="Times New Roman" w:hAnsi="Times New Roman"/>
          <w:sz w:val="24"/>
          <w:lang w:eastAsia="sk-SK"/>
        </w:rPr>
        <w:t>smernice Rady (EÚ) 2016/1164 z 12. júla 2016, ktorou sa stanovujú pravidlá proti praktikám vyhýbania sa daňovým povinnostiam, ktoré majú priamy vplyv na fungovanie vnútorného trhu, pokiaľ ide o pravidlo o obmedzení úrokových nákladov.</w:t>
      </w:r>
    </w:p>
    <w:p w:rsidR="0004402F" w:rsidRPr="00880CA3" w:rsidRDefault="0004402F" w:rsidP="0004402F">
      <w:pPr>
        <w:spacing w:after="0" w:line="240" w:lineRule="auto"/>
        <w:jc w:val="both"/>
        <w:rPr>
          <w:rFonts w:ascii="Times New Roman" w:hAnsi="Times New Roman"/>
          <w:sz w:val="24"/>
          <w:lang w:eastAsia="sk-SK"/>
        </w:rPr>
      </w:pPr>
    </w:p>
    <w:p w:rsidR="0004402F" w:rsidRPr="00880CA3" w:rsidRDefault="0004402F" w:rsidP="0004402F">
      <w:pPr>
        <w:spacing w:after="0" w:line="240" w:lineRule="auto"/>
        <w:jc w:val="both"/>
        <w:rPr>
          <w:rFonts w:ascii="Times New Roman" w:hAnsi="Times New Roman"/>
          <w:sz w:val="24"/>
          <w:lang w:eastAsia="sk-SK"/>
        </w:rPr>
      </w:pPr>
      <w:r w:rsidRPr="00880CA3">
        <w:rPr>
          <w:rFonts w:ascii="Times New Roman" w:hAnsi="Times New Roman"/>
          <w:sz w:val="24"/>
          <w:lang w:eastAsia="sk-SK"/>
        </w:rPr>
        <w:t xml:space="preserve">V čl. I sa mení a dopĺňa zákon o dani z príjmov, ktorý už obsahuje viaceré opatrenia na ochranu proti daňovým podvodom, pričom predmetom návrhu zákona je aj zavedenie nového pravidla o obmedzení úrokových nákladov </w:t>
      </w:r>
      <w:r w:rsidRPr="00880CA3">
        <w:rPr>
          <w:rFonts w:ascii="Times New Roman" w:eastAsiaTheme="minorEastAsia" w:hAnsi="Times New Roman"/>
          <w:sz w:val="24"/>
          <w:szCs w:val="24"/>
          <w:lang w:eastAsia="sk-SK"/>
        </w:rPr>
        <w:t xml:space="preserve">zacieleného proti praktikám, ktoré na umelé znižovanie základu dane z príjmov využívajú nadmerné dlhové financovanie. </w:t>
      </w:r>
      <w:r w:rsidRPr="00880CA3">
        <w:rPr>
          <w:rFonts w:ascii="Times New Roman" w:hAnsi="Times New Roman"/>
          <w:sz w:val="24"/>
          <w:szCs w:val="24"/>
        </w:rPr>
        <w:t xml:space="preserve">Navrhované opatrenie vyplýva z povinnosti transpozície smernice </w:t>
      </w:r>
      <w:r w:rsidRPr="00880CA3">
        <w:rPr>
          <w:rFonts w:ascii="Times New Roman" w:hAnsi="Times New Roman"/>
          <w:sz w:val="24"/>
          <w:lang w:eastAsia="sk-SK"/>
        </w:rPr>
        <w:t xml:space="preserve">(EÚ) 2016/1164. </w:t>
      </w:r>
    </w:p>
    <w:p w:rsidR="0004402F" w:rsidRPr="00880CA3" w:rsidRDefault="0004402F" w:rsidP="0004402F">
      <w:pPr>
        <w:spacing w:after="0" w:line="240" w:lineRule="auto"/>
        <w:jc w:val="both"/>
        <w:rPr>
          <w:rFonts w:ascii="Times New Roman" w:hAnsi="Times New Roman"/>
          <w:sz w:val="24"/>
          <w:lang w:eastAsia="sk-SK"/>
        </w:rPr>
      </w:pPr>
    </w:p>
    <w:p w:rsidR="0004402F" w:rsidRPr="00B40B58" w:rsidRDefault="0004402F" w:rsidP="0004402F">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Návrh</w:t>
      </w:r>
      <w:r w:rsidRPr="00B40B58">
        <w:rPr>
          <w:rFonts w:ascii="Times New Roman" w:hAnsi="Times New Roman"/>
          <w:sz w:val="24"/>
          <w:szCs w:val="24"/>
          <w:lang w:eastAsia="sk-SK"/>
        </w:rPr>
        <w:t xml:space="preserve"> zákona</w:t>
      </w:r>
      <w:r>
        <w:rPr>
          <w:rFonts w:ascii="Times New Roman" w:hAnsi="Times New Roman"/>
          <w:sz w:val="24"/>
          <w:szCs w:val="24"/>
          <w:lang w:eastAsia="sk-SK"/>
        </w:rPr>
        <w:t xml:space="preserve"> ďalej</w:t>
      </w:r>
      <w:r w:rsidRPr="00B40B58">
        <w:rPr>
          <w:rFonts w:ascii="Times New Roman" w:hAnsi="Times New Roman"/>
          <w:sz w:val="24"/>
          <w:szCs w:val="24"/>
          <w:lang w:eastAsia="sk-SK"/>
        </w:rPr>
        <w:t xml:space="preserve"> obsahuje spresnenie a doplnenie pravidiel transferového oceňovania. Ide najmä o úpravu </w:t>
      </w:r>
      <w:r w:rsidRPr="00B40B58">
        <w:rPr>
          <w:rFonts w:ascii="Times New Roman" w:hAnsi="Times New Roman"/>
          <w:sz w:val="24"/>
          <w:szCs w:val="24"/>
        </w:rPr>
        <w:t>a spresnenie definície zahraničnej závislej osoby, spresnenie definície kontrolovanej transakcie a doplnenie významnej kontrolovanej transakcie (bezpečný prístav),</w:t>
      </w:r>
      <w:r w:rsidRPr="00B40B58">
        <w:rPr>
          <w:rFonts w:ascii="Times New Roman" w:hAnsi="Times New Roman"/>
          <w:sz w:val="24"/>
          <w:szCs w:val="24"/>
          <w:lang w:eastAsia="sk-SK"/>
        </w:rPr>
        <w:t xml:space="preserve"> </w:t>
      </w:r>
      <w:r w:rsidRPr="00B40B58">
        <w:rPr>
          <w:rFonts w:ascii="Times New Roman" w:hAnsi="Times New Roman"/>
          <w:sz w:val="24"/>
          <w:szCs w:val="24"/>
        </w:rPr>
        <w:t>doplnenie pravidiel pri určení základu dane stálej prevádzkarne daňovníka s obmedzenou daňovou povinnosťou (nerezidenta) na území SR v súlade s aktuálnou metodikou Smernice OECD o transferovom oceňovaní, doplnenie pravidiel pri korešpondujúcej úprave základu dane v prípade stálej prevádzkarne daňovníka s obmedzenou daňovou povinnosťou (nerezidenta) na území SR, ako aj doplnenie odkazu na Smernicu OECD o transferovom oceňovaní do zákona o dani z príjmov z dôvodu zabezpečenia právnej istoty pri uplatňovaní pravidiel transferového oceňovania.</w:t>
      </w:r>
    </w:p>
    <w:p w:rsidR="0004402F" w:rsidRDefault="0004402F" w:rsidP="0004402F">
      <w:pPr>
        <w:spacing w:after="0" w:line="240" w:lineRule="auto"/>
        <w:jc w:val="both"/>
        <w:rPr>
          <w:rFonts w:ascii="Times New Roman" w:hAnsi="Times New Roman"/>
          <w:sz w:val="24"/>
          <w:szCs w:val="24"/>
        </w:rPr>
      </w:pPr>
    </w:p>
    <w:p w:rsidR="0004402F" w:rsidRDefault="0004402F" w:rsidP="0004402F">
      <w:pPr>
        <w:spacing w:after="0" w:line="240" w:lineRule="auto"/>
        <w:jc w:val="both"/>
        <w:rPr>
          <w:rFonts w:ascii="Times New Roman" w:hAnsi="Times New Roman"/>
          <w:sz w:val="24"/>
          <w:szCs w:val="24"/>
        </w:rPr>
      </w:pPr>
      <w:r w:rsidRPr="00B40B58">
        <w:rPr>
          <w:rFonts w:ascii="Times New Roman" w:hAnsi="Times New Roman"/>
          <w:sz w:val="24"/>
          <w:szCs w:val="24"/>
        </w:rPr>
        <w:t>V návrhu zákona sa dopĺňa postup daňovníka v prípade preventívnej reštrukturalizácie. Ide o legislatívnu úpravu tzv. zákonného a daňovo uznaného odpisu pohľadávok, podľa ktorej bude postupovať daňovník pri zániku pohľadávky alebo záväzku, vrátane odpustenia dlhu, ako aj pri tvorbe opravných položiek k pohľadávkam.</w:t>
      </w:r>
    </w:p>
    <w:p w:rsidR="0004402F" w:rsidRDefault="0004402F" w:rsidP="0004402F">
      <w:pPr>
        <w:spacing w:after="0" w:line="240" w:lineRule="auto"/>
        <w:jc w:val="both"/>
        <w:rPr>
          <w:rFonts w:ascii="Times New Roman" w:hAnsi="Times New Roman"/>
          <w:sz w:val="24"/>
          <w:szCs w:val="24"/>
        </w:rPr>
      </w:pPr>
    </w:p>
    <w:p w:rsidR="0004402F" w:rsidRPr="00723DD2" w:rsidRDefault="0004402F" w:rsidP="0004402F">
      <w:pPr>
        <w:spacing w:after="0" w:line="240" w:lineRule="auto"/>
        <w:jc w:val="both"/>
        <w:rPr>
          <w:rFonts w:ascii="Times New Roman" w:hAnsi="Times New Roman"/>
          <w:sz w:val="24"/>
          <w:szCs w:val="24"/>
        </w:rPr>
      </w:pPr>
      <w:r w:rsidRPr="00723DD2">
        <w:rPr>
          <w:rFonts w:ascii="Times New Roman" w:hAnsi="Times New Roman"/>
          <w:sz w:val="24"/>
          <w:szCs w:val="24"/>
        </w:rPr>
        <w:t>Návrh zákona obsahuje aj možnosť vyššieho odpočtu daňového bonusu na vyživované dieťa (deti) v nadväznosti na započítanie príjmov (čiastkových základov dane) obidvoch oprávnených osôb (napr. rodičov) do úhrnu príjmov pre účely uplatnenia tohto daňového bonusu.</w:t>
      </w:r>
    </w:p>
    <w:p w:rsidR="0004402F" w:rsidRDefault="0004402F" w:rsidP="0004402F">
      <w:pPr>
        <w:spacing w:after="0" w:line="240" w:lineRule="auto"/>
        <w:jc w:val="both"/>
        <w:rPr>
          <w:rFonts w:ascii="Times New Roman" w:hAnsi="Times New Roman"/>
          <w:sz w:val="24"/>
          <w:szCs w:val="24"/>
        </w:rPr>
      </w:pPr>
    </w:p>
    <w:p w:rsidR="0004402F" w:rsidRDefault="0004402F" w:rsidP="0004402F">
      <w:pPr>
        <w:spacing w:after="0" w:line="240" w:lineRule="auto"/>
        <w:jc w:val="both"/>
        <w:rPr>
          <w:rFonts w:ascii="Times New Roman" w:hAnsi="Times New Roman"/>
          <w:sz w:val="24"/>
          <w:lang w:eastAsia="sk-SK"/>
        </w:rPr>
      </w:pPr>
      <w:r>
        <w:rPr>
          <w:rFonts w:ascii="Times New Roman" w:hAnsi="Times New Roman"/>
          <w:sz w:val="24"/>
          <w:szCs w:val="24"/>
        </w:rPr>
        <w:t>Návrhom zákona sa od</w:t>
      </w:r>
      <w:r w:rsidRPr="004424FB">
        <w:rPr>
          <w:rFonts w:ascii="Times New Roman" w:hAnsi="Times New Roman"/>
          <w:sz w:val="24"/>
          <w:szCs w:val="24"/>
        </w:rPr>
        <w:t xml:space="preserve"> 1. </w:t>
      </w:r>
      <w:r>
        <w:rPr>
          <w:rFonts w:ascii="Times New Roman" w:hAnsi="Times New Roman"/>
          <w:sz w:val="24"/>
          <w:szCs w:val="24"/>
        </w:rPr>
        <w:t>januára</w:t>
      </w:r>
      <w:r w:rsidRPr="004424FB">
        <w:rPr>
          <w:rFonts w:ascii="Times New Roman" w:hAnsi="Times New Roman"/>
          <w:sz w:val="24"/>
          <w:szCs w:val="24"/>
        </w:rPr>
        <w:t xml:space="preserve"> 2023</w:t>
      </w:r>
      <w:r>
        <w:rPr>
          <w:rFonts w:ascii="Times New Roman" w:hAnsi="Times New Roman"/>
          <w:sz w:val="24"/>
          <w:szCs w:val="24"/>
        </w:rPr>
        <w:t xml:space="preserve"> mení spôsob registrácie k dani z príjmov u vybraných typov daňovníkov</w:t>
      </w:r>
      <w:r w:rsidRPr="004424FB">
        <w:rPr>
          <w:rFonts w:ascii="Times New Roman" w:hAnsi="Times New Roman"/>
          <w:sz w:val="24"/>
          <w:szCs w:val="24"/>
        </w:rPr>
        <w:t>. Správca dane bude registrovať daňovníkov na daň z príjmov z úradnej moci na základe údajov z registra právnických osôb, podnikateľov a orgánov verejnej moci zapísaných do obchodného registra a živnostenského registra</w:t>
      </w:r>
      <w:r>
        <w:rPr>
          <w:rFonts w:ascii="Times New Roman" w:hAnsi="Times New Roman"/>
          <w:sz w:val="24"/>
          <w:szCs w:val="24"/>
        </w:rPr>
        <w:t xml:space="preserve"> a podľa oznámenia finančného riaditeľstva zverejneného na jeho webovom sídle</w:t>
      </w:r>
      <w:r w:rsidRPr="004424FB">
        <w:rPr>
          <w:rFonts w:ascii="Times New Roman" w:hAnsi="Times New Roman"/>
          <w:sz w:val="24"/>
          <w:szCs w:val="24"/>
        </w:rPr>
        <w:t>.</w:t>
      </w:r>
      <w:r>
        <w:rPr>
          <w:rFonts w:ascii="Times New Roman" w:hAnsi="Times New Roman"/>
          <w:sz w:val="24"/>
          <w:lang w:eastAsia="sk-SK"/>
        </w:rPr>
        <w:t xml:space="preserve"> </w:t>
      </w:r>
    </w:p>
    <w:p w:rsidR="0004402F" w:rsidRPr="004D185A" w:rsidRDefault="0004402F" w:rsidP="0004402F">
      <w:pPr>
        <w:spacing w:after="0" w:line="240" w:lineRule="auto"/>
        <w:jc w:val="both"/>
        <w:rPr>
          <w:rFonts w:ascii="Times New Roman" w:hAnsi="Times New Roman"/>
          <w:sz w:val="24"/>
          <w:lang w:eastAsia="sk-SK"/>
        </w:rPr>
      </w:pPr>
    </w:p>
    <w:p w:rsidR="0004402F" w:rsidRPr="0061493E" w:rsidRDefault="0004402F" w:rsidP="0004402F">
      <w:pPr>
        <w:spacing w:after="0" w:line="240" w:lineRule="auto"/>
        <w:jc w:val="both"/>
        <w:rPr>
          <w:rFonts w:ascii="Times New Roman" w:hAnsi="Times New Roman"/>
          <w:sz w:val="24"/>
          <w:lang w:eastAsia="sk-SK"/>
        </w:rPr>
      </w:pPr>
      <w:r w:rsidRPr="0061493E">
        <w:rPr>
          <w:rFonts w:ascii="Times New Roman" w:hAnsi="Times New Roman"/>
          <w:sz w:val="24"/>
          <w:lang w:eastAsia="sk-SK"/>
        </w:rPr>
        <w:t xml:space="preserve">Predpokladaným návrhom zákona sa na základe poznatkov </w:t>
      </w:r>
      <w:r>
        <w:rPr>
          <w:rFonts w:ascii="Times New Roman" w:hAnsi="Times New Roman"/>
          <w:sz w:val="24"/>
          <w:lang w:eastAsia="sk-SK"/>
        </w:rPr>
        <w:t>z uskutočnených konzultácií a z </w:t>
      </w:r>
      <w:r w:rsidRPr="0061493E">
        <w:rPr>
          <w:rFonts w:ascii="Times New Roman" w:hAnsi="Times New Roman"/>
          <w:sz w:val="24"/>
          <w:lang w:eastAsia="sk-SK"/>
        </w:rPr>
        <w:t xml:space="preserve">aplikačnej praxe upravujú, spresňujú a zjednocujú z dôvodu zvýšenia právnej istoty daňovníkov niektoré ustanovenia zákona o dani z príjmov. </w:t>
      </w:r>
    </w:p>
    <w:p w:rsidR="0004402F" w:rsidRPr="0061493E" w:rsidRDefault="0004402F" w:rsidP="0004402F">
      <w:pPr>
        <w:spacing w:after="0" w:line="240" w:lineRule="auto"/>
        <w:jc w:val="both"/>
        <w:rPr>
          <w:rFonts w:ascii="Times New Roman" w:hAnsi="Times New Roman"/>
          <w:sz w:val="24"/>
          <w:lang w:eastAsia="sk-SK"/>
        </w:rPr>
      </w:pPr>
    </w:p>
    <w:p w:rsidR="0004402F" w:rsidRPr="00FB4AF3" w:rsidRDefault="0004402F" w:rsidP="0004402F">
      <w:pPr>
        <w:spacing w:after="0" w:line="240" w:lineRule="auto"/>
        <w:jc w:val="both"/>
        <w:rPr>
          <w:rFonts w:ascii="Times New Roman" w:hAnsi="Times New Roman"/>
          <w:color w:val="000000" w:themeColor="text1"/>
          <w:sz w:val="24"/>
          <w:szCs w:val="24"/>
          <w:lang w:eastAsia="sk-SK"/>
        </w:rPr>
      </w:pPr>
      <w:r w:rsidRPr="00FB4AF3">
        <w:rPr>
          <w:rFonts w:ascii="Times New Roman" w:hAnsi="Times New Roman"/>
          <w:sz w:val="24"/>
          <w:lang w:eastAsia="sk-SK"/>
        </w:rPr>
        <w:t xml:space="preserve">V čl. II sa mení a dopĺňa zákon č. 563/2009 Z. z. o správe daní (daňový poriadok), </w:t>
      </w:r>
      <w:r w:rsidRPr="00FB4AF3">
        <w:rPr>
          <w:rFonts w:ascii="Times New Roman" w:hAnsi="Times New Roman"/>
          <w:sz w:val="24"/>
          <w:szCs w:val="20"/>
          <w:lang w:eastAsia="sk-SK"/>
        </w:rPr>
        <w:t>kde sa navrhuje úprava registrácie z úradnej moci</w:t>
      </w:r>
      <w:r>
        <w:rPr>
          <w:rFonts w:ascii="Times New Roman" w:hAnsi="Times New Roman"/>
          <w:sz w:val="24"/>
          <w:szCs w:val="20"/>
          <w:lang w:eastAsia="sk-SK"/>
        </w:rPr>
        <w:t>,</w:t>
      </w:r>
      <w:r w:rsidRPr="00FB4AF3">
        <w:rPr>
          <w:rFonts w:ascii="Times New Roman" w:hAnsi="Times New Roman"/>
          <w:sz w:val="24"/>
          <w:szCs w:val="20"/>
          <w:lang w:eastAsia="sk-SK"/>
        </w:rPr>
        <w:t xml:space="preserve"> vzhľadom na nedostatočnú kvalitu dát zdrojového </w:t>
      </w:r>
      <w:r w:rsidRPr="00FB4AF3">
        <w:rPr>
          <w:rFonts w:ascii="Times New Roman" w:hAnsi="Times New Roman"/>
          <w:sz w:val="24"/>
          <w:szCs w:val="20"/>
          <w:lang w:eastAsia="sk-SK"/>
        </w:rPr>
        <w:lastRenderedPageBreak/>
        <w:t xml:space="preserve">registra tak, že od 1.1.2023 sa budú registrovať z úradnej moci daňové subjekty, ktoré sú do tohto registra zapísané z obchodného a živnostenského registra a </w:t>
      </w:r>
      <w:r w:rsidRPr="00FB4AF3">
        <w:rPr>
          <w:rFonts w:ascii="Times New Roman" w:hAnsi="Times New Roman"/>
          <w:color w:val="000000" w:themeColor="text1"/>
          <w:sz w:val="24"/>
          <w:szCs w:val="24"/>
          <w:lang w:eastAsia="sk-SK"/>
        </w:rPr>
        <w:t xml:space="preserve">z ostatných registrov, podľa oznámenia, ktoré bude zverejnené na webovom sídle Finančného riaditeľstva SR. </w:t>
      </w:r>
    </w:p>
    <w:p w:rsidR="0004402F" w:rsidRDefault="0004402F" w:rsidP="0004402F">
      <w:pPr>
        <w:spacing w:after="0" w:line="240" w:lineRule="auto"/>
        <w:jc w:val="both"/>
        <w:rPr>
          <w:rFonts w:ascii="Times New Roman" w:hAnsi="Times New Roman"/>
          <w:color w:val="000000" w:themeColor="text1"/>
          <w:sz w:val="24"/>
          <w:szCs w:val="24"/>
          <w:lang w:eastAsia="sk-SK"/>
        </w:rPr>
      </w:pPr>
      <w:r>
        <w:rPr>
          <w:rFonts w:ascii="Times New Roman" w:hAnsi="Times New Roman"/>
          <w:sz w:val="24"/>
          <w:lang w:eastAsia="sk-SK"/>
        </w:rPr>
        <w:t xml:space="preserve">Ďalej sa pri ukladaní pokút </w:t>
      </w:r>
      <w:r w:rsidRPr="001856A5">
        <w:rPr>
          <w:rFonts w:ascii="Times New Roman" w:hAnsi="Times New Roman"/>
          <w:sz w:val="24"/>
          <w:szCs w:val="20"/>
          <w:lang w:eastAsia="sk-SK"/>
        </w:rPr>
        <w:t>zavádza systém tzv. „druhej šance“</w:t>
      </w:r>
      <w:r>
        <w:rPr>
          <w:rFonts w:ascii="Times New Roman" w:hAnsi="Times New Roman"/>
          <w:sz w:val="24"/>
          <w:szCs w:val="20"/>
          <w:lang w:eastAsia="sk-SK"/>
        </w:rPr>
        <w:t>,</w:t>
      </w:r>
      <w:r w:rsidRPr="001856A5">
        <w:rPr>
          <w:rFonts w:ascii="Times New Roman" w:hAnsi="Times New Roman"/>
          <w:sz w:val="24"/>
          <w:szCs w:val="20"/>
          <w:lang w:eastAsia="sk-SK"/>
        </w:rPr>
        <w:t xml:space="preserve"> podľa ktorého </w:t>
      </w:r>
      <w:r w:rsidRPr="001856A5">
        <w:rPr>
          <w:rFonts w:ascii="Times New Roman" w:hAnsi="Times New Roman"/>
          <w:color w:val="000000" w:themeColor="text1"/>
          <w:sz w:val="24"/>
          <w:szCs w:val="24"/>
          <w:lang w:eastAsia="sk-SK"/>
        </w:rPr>
        <w:t xml:space="preserve">správca dane pokutu, ktorú je možné určiť v rámci intervalového rozpätia, neuloží, ale vyzve na splnenie povinnosti s upozornením, že pri ďalšom porušení už bude uložená pokuta. </w:t>
      </w:r>
    </w:p>
    <w:p w:rsidR="0004402F" w:rsidRDefault="0004402F" w:rsidP="0004402F">
      <w:pPr>
        <w:spacing w:after="0" w:line="240" w:lineRule="auto"/>
        <w:jc w:val="both"/>
        <w:rPr>
          <w:rFonts w:ascii="Times New Roman" w:hAnsi="Times New Roman"/>
          <w:color w:val="000000" w:themeColor="text1"/>
          <w:sz w:val="24"/>
          <w:szCs w:val="24"/>
          <w:lang w:eastAsia="sk-SK"/>
        </w:rPr>
      </w:pPr>
    </w:p>
    <w:p w:rsidR="0004402F" w:rsidRPr="001856A5" w:rsidRDefault="0004402F" w:rsidP="0004402F">
      <w:pPr>
        <w:spacing w:after="0" w:line="240" w:lineRule="auto"/>
        <w:jc w:val="both"/>
        <w:rPr>
          <w:rFonts w:ascii="Times New Roman" w:hAnsi="Times New Roman"/>
          <w:color w:val="000000" w:themeColor="text1"/>
          <w:sz w:val="24"/>
          <w:szCs w:val="24"/>
          <w:lang w:eastAsia="sk-SK"/>
        </w:rPr>
      </w:pPr>
      <w:r>
        <w:rPr>
          <w:rFonts w:ascii="Times New Roman" w:hAnsi="Times New Roman"/>
          <w:color w:val="000000" w:themeColor="text1"/>
          <w:sz w:val="24"/>
          <w:szCs w:val="24"/>
          <w:lang w:eastAsia="sk-SK"/>
        </w:rPr>
        <w:t xml:space="preserve">Tiež </w:t>
      </w:r>
      <w:r w:rsidRPr="001856A5">
        <w:rPr>
          <w:rFonts w:ascii="Times New Roman" w:hAnsi="Times New Roman"/>
          <w:color w:val="000000" w:themeColor="text1"/>
          <w:sz w:val="24"/>
          <w:szCs w:val="24"/>
          <w:lang w:eastAsia="sk-SK"/>
        </w:rPr>
        <w:t xml:space="preserve">sa navrhuje skrátiť lehotu na vyrubenie úroku z omeškania pri úplnej úhrade nedoplatku </w:t>
      </w:r>
      <w:r>
        <w:rPr>
          <w:rFonts w:ascii="Times New Roman" w:hAnsi="Times New Roman"/>
          <w:color w:val="000000" w:themeColor="text1"/>
          <w:sz w:val="24"/>
          <w:szCs w:val="24"/>
          <w:lang w:eastAsia="sk-SK"/>
        </w:rPr>
        <w:t>tak, že úrok bude možné uložiť d</w:t>
      </w:r>
      <w:r w:rsidRPr="001856A5">
        <w:rPr>
          <w:rFonts w:ascii="Times New Roman" w:hAnsi="Times New Roman"/>
          <w:color w:val="000000" w:themeColor="text1"/>
          <w:sz w:val="24"/>
          <w:szCs w:val="24"/>
          <w:lang w:eastAsia="sk-SK"/>
        </w:rPr>
        <w:t xml:space="preserve">o jedného roka od konca roka, v ktorom bol nedoplatok uhradený. </w:t>
      </w:r>
      <w:r>
        <w:rPr>
          <w:rFonts w:ascii="Times New Roman" w:hAnsi="Times New Roman"/>
          <w:color w:val="000000" w:themeColor="text1"/>
          <w:sz w:val="24"/>
          <w:szCs w:val="24"/>
          <w:lang w:eastAsia="sk-SK"/>
        </w:rPr>
        <w:t>N</w:t>
      </w:r>
      <w:r w:rsidRPr="001856A5">
        <w:rPr>
          <w:rFonts w:ascii="Times New Roman" w:hAnsi="Times New Roman"/>
          <w:color w:val="000000" w:themeColor="text1"/>
          <w:sz w:val="24"/>
          <w:szCs w:val="24"/>
          <w:lang w:eastAsia="sk-SK"/>
        </w:rPr>
        <w:t>avrhuje zrýchliť postup pri vrátení vodičského preukazu, ak je zastavené exekučné konanie.</w:t>
      </w:r>
    </w:p>
    <w:p w:rsidR="0004402F" w:rsidRDefault="0004402F" w:rsidP="0004402F">
      <w:pPr>
        <w:spacing w:after="0" w:line="240" w:lineRule="auto"/>
        <w:jc w:val="both"/>
        <w:rPr>
          <w:rFonts w:ascii="Times New Roman" w:hAnsi="Times New Roman"/>
          <w:sz w:val="24"/>
          <w:lang w:eastAsia="sk-SK"/>
        </w:rPr>
      </w:pPr>
    </w:p>
    <w:p w:rsidR="0004402F" w:rsidRPr="006F1E64" w:rsidRDefault="0004402F" w:rsidP="0004402F">
      <w:pPr>
        <w:spacing w:after="0" w:line="240" w:lineRule="auto"/>
        <w:jc w:val="both"/>
        <w:rPr>
          <w:rFonts w:ascii="Times New Roman" w:hAnsi="Times New Roman"/>
          <w:color w:val="000000" w:themeColor="text1"/>
          <w:sz w:val="24"/>
          <w:szCs w:val="24"/>
          <w:lang w:eastAsia="sk-SK"/>
        </w:rPr>
      </w:pPr>
      <w:r w:rsidRPr="006F1E64">
        <w:rPr>
          <w:rFonts w:ascii="Times New Roman" w:hAnsi="Times New Roman"/>
          <w:color w:val="000000" w:themeColor="text1"/>
          <w:sz w:val="24"/>
          <w:szCs w:val="24"/>
          <w:lang w:eastAsia="sk-SK"/>
        </w:rPr>
        <w:t>Vplyvy návrhu zákona na rozpočet verejnej správy, na podnikateľské prostredie, sociálne vplyvy a vplyvy na manželstvo, rodičovstvo a rodinu a vplyvy na informatizáciu spoločnosti sú uvedené v doložke vybraných vplyvov. Návrh zákona nebude mať vplyvy na životné prostredie a na  služby verejnej správy pre občana.</w:t>
      </w:r>
    </w:p>
    <w:p w:rsidR="0004402F" w:rsidRPr="005947D3" w:rsidRDefault="0004402F" w:rsidP="0004402F">
      <w:pPr>
        <w:spacing w:after="0" w:line="240" w:lineRule="auto"/>
        <w:jc w:val="both"/>
        <w:rPr>
          <w:rFonts w:ascii="Times New Roman" w:hAnsi="Times New Roman"/>
          <w:sz w:val="24"/>
        </w:rPr>
      </w:pPr>
    </w:p>
    <w:p w:rsidR="0004402F" w:rsidRPr="005947D3" w:rsidRDefault="0004402F" w:rsidP="0004402F">
      <w:pPr>
        <w:spacing w:after="0" w:line="240" w:lineRule="auto"/>
        <w:jc w:val="both"/>
        <w:rPr>
          <w:rFonts w:ascii="Times New Roman" w:hAnsi="Times New Roman"/>
          <w:sz w:val="24"/>
          <w:szCs w:val="24"/>
        </w:rPr>
      </w:pPr>
      <w:r w:rsidRPr="005947D3">
        <w:rPr>
          <w:rFonts w:ascii="Times New Roman" w:hAnsi="Times New Roman"/>
          <w:sz w:val="24"/>
          <w:szCs w:val="24"/>
        </w:rPr>
        <w:t>Účinnosť predkladaného zákona sa navrhuje s dostatočne dlhou legisvakanciou.</w:t>
      </w:r>
    </w:p>
    <w:p w:rsidR="0004402F" w:rsidRPr="005947D3" w:rsidRDefault="0004402F" w:rsidP="0004402F">
      <w:pPr>
        <w:spacing w:after="0" w:line="240" w:lineRule="auto"/>
        <w:jc w:val="both"/>
        <w:rPr>
          <w:rFonts w:ascii="Times New Roman" w:hAnsi="Times New Roman"/>
          <w:sz w:val="24"/>
          <w:szCs w:val="24"/>
        </w:rPr>
      </w:pPr>
    </w:p>
    <w:p w:rsidR="0004402F" w:rsidRPr="005947D3" w:rsidRDefault="0004402F" w:rsidP="0004402F">
      <w:pPr>
        <w:pStyle w:val="Normlnywebov"/>
        <w:spacing w:before="0" w:beforeAutospacing="0" w:after="0" w:afterAutospacing="0"/>
        <w:jc w:val="both"/>
      </w:pPr>
      <w:r w:rsidRPr="005947D3">
        <w:t>Predkladaný návrh zákona je v súlade s Ústavou Slovenskej republiky, ústavnými zákonmi, nálezmi Ústavného súdu Slovenskej republiky a inými právnymi predpismi, medzinárodnými zmluvami a dokumentmi, ktorými je Slovenská republika viazaná, ako aj v súlade s právom Európskej únie.</w:t>
      </w:r>
    </w:p>
    <w:p w:rsidR="0004402F" w:rsidRPr="005947D3" w:rsidRDefault="0004402F" w:rsidP="0004402F">
      <w:pPr>
        <w:pStyle w:val="Normlnywebov"/>
        <w:spacing w:before="0" w:beforeAutospacing="0" w:after="0" w:afterAutospacing="0"/>
        <w:jc w:val="both"/>
      </w:pPr>
    </w:p>
    <w:p w:rsidR="0004402F" w:rsidRPr="00880CA3" w:rsidRDefault="0004402F" w:rsidP="0004402F">
      <w:pPr>
        <w:spacing w:after="0" w:line="240" w:lineRule="auto"/>
        <w:jc w:val="both"/>
        <w:rPr>
          <w:rFonts w:ascii="Times New Roman" w:hAnsi="Times New Roman"/>
          <w:sz w:val="24"/>
          <w:szCs w:val="24"/>
        </w:rPr>
      </w:pPr>
      <w:r w:rsidRPr="005947D3">
        <w:rPr>
          <w:rFonts w:ascii="Times New Roman" w:hAnsi="Times New Roman"/>
          <w:sz w:val="24"/>
          <w:szCs w:val="24"/>
        </w:rPr>
        <w:t>Účinnosť zákona sa navrhuje 1. januára 2023 okrem čl. I bodov 10, 1</w:t>
      </w:r>
      <w:r>
        <w:rPr>
          <w:rFonts w:ascii="Times New Roman" w:hAnsi="Times New Roman"/>
          <w:sz w:val="24"/>
          <w:szCs w:val="24"/>
        </w:rPr>
        <w:t>2</w:t>
      </w:r>
      <w:r w:rsidRPr="005947D3">
        <w:rPr>
          <w:rFonts w:ascii="Times New Roman" w:hAnsi="Times New Roman"/>
          <w:sz w:val="24"/>
          <w:szCs w:val="24"/>
        </w:rPr>
        <w:t>, 28 a §</w:t>
      </w:r>
      <w:r w:rsidRPr="00880CA3">
        <w:rPr>
          <w:rFonts w:ascii="Times New Roman" w:hAnsi="Times New Roman"/>
          <w:sz w:val="24"/>
          <w:szCs w:val="24"/>
        </w:rPr>
        <w:t xml:space="preserve">52zzr v bode </w:t>
      </w:r>
      <w:r>
        <w:rPr>
          <w:rFonts w:ascii="Times New Roman" w:hAnsi="Times New Roman"/>
          <w:sz w:val="24"/>
          <w:szCs w:val="24"/>
        </w:rPr>
        <w:t>40</w:t>
      </w:r>
      <w:r w:rsidRPr="00880CA3">
        <w:rPr>
          <w:rFonts w:ascii="Times New Roman" w:hAnsi="Times New Roman"/>
          <w:sz w:val="24"/>
          <w:szCs w:val="24"/>
        </w:rPr>
        <w:t xml:space="preserve"> a čl. II bodov 8 a 9 a § 165o v bode 11, ktoré nadobúdajú účinnosť 1. januára 2024. </w:t>
      </w:r>
    </w:p>
    <w:p w:rsidR="0004402F" w:rsidRDefault="0004402F" w:rsidP="0004402F">
      <w:pPr>
        <w:jc w:val="both"/>
        <w:rPr>
          <w:rFonts w:ascii="Times New Roman" w:hAnsi="Times New Roman"/>
          <w:b/>
          <w:sz w:val="24"/>
          <w:szCs w:val="24"/>
          <w:u w:val="single"/>
        </w:rPr>
      </w:pPr>
    </w:p>
    <w:p w:rsidR="0004402F" w:rsidRDefault="0004402F" w:rsidP="0004402F">
      <w:pPr>
        <w:jc w:val="both"/>
        <w:rPr>
          <w:rFonts w:ascii="Times New Roman" w:hAnsi="Times New Roman"/>
          <w:b/>
          <w:sz w:val="24"/>
          <w:szCs w:val="24"/>
          <w:u w:val="single"/>
        </w:rPr>
      </w:pPr>
    </w:p>
    <w:p w:rsidR="0004402F" w:rsidRDefault="0004402F" w:rsidP="0004402F">
      <w:pPr>
        <w:jc w:val="both"/>
        <w:rPr>
          <w:rFonts w:ascii="Times New Roman" w:hAnsi="Times New Roman"/>
          <w:b/>
          <w:sz w:val="24"/>
          <w:szCs w:val="24"/>
          <w:u w:val="single"/>
        </w:rPr>
      </w:pPr>
    </w:p>
    <w:p w:rsidR="0004402F" w:rsidRDefault="0004402F" w:rsidP="0004402F">
      <w:pPr>
        <w:jc w:val="both"/>
        <w:rPr>
          <w:rFonts w:ascii="Times New Roman" w:hAnsi="Times New Roman"/>
          <w:b/>
          <w:sz w:val="24"/>
          <w:szCs w:val="24"/>
          <w:u w:val="single"/>
        </w:rPr>
      </w:pPr>
    </w:p>
    <w:p w:rsidR="0004402F" w:rsidRDefault="0004402F" w:rsidP="0004402F">
      <w:pPr>
        <w:jc w:val="both"/>
        <w:rPr>
          <w:rFonts w:ascii="Times New Roman" w:hAnsi="Times New Roman"/>
          <w:b/>
          <w:sz w:val="24"/>
          <w:szCs w:val="24"/>
          <w:u w:val="single"/>
        </w:rPr>
      </w:pPr>
    </w:p>
    <w:p w:rsidR="0004402F" w:rsidRDefault="0004402F" w:rsidP="0004402F">
      <w:pPr>
        <w:jc w:val="both"/>
        <w:rPr>
          <w:rFonts w:ascii="Times New Roman" w:hAnsi="Times New Roman"/>
          <w:b/>
          <w:sz w:val="24"/>
          <w:szCs w:val="24"/>
          <w:u w:val="single"/>
        </w:rPr>
      </w:pPr>
    </w:p>
    <w:p w:rsidR="0004402F" w:rsidRDefault="0004402F" w:rsidP="0004402F">
      <w:pPr>
        <w:jc w:val="both"/>
        <w:rPr>
          <w:rFonts w:ascii="Times New Roman" w:hAnsi="Times New Roman"/>
          <w:b/>
          <w:sz w:val="24"/>
          <w:szCs w:val="24"/>
          <w:u w:val="single"/>
        </w:rPr>
      </w:pPr>
    </w:p>
    <w:p w:rsidR="0004402F" w:rsidRDefault="0004402F" w:rsidP="0004402F">
      <w:pPr>
        <w:jc w:val="both"/>
        <w:rPr>
          <w:rFonts w:ascii="Times New Roman" w:hAnsi="Times New Roman"/>
          <w:b/>
          <w:sz w:val="24"/>
          <w:szCs w:val="24"/>
          <w:u w:val="single"/>
        </w:rPr>
      </w:pPr>
    </w:p>
    <w:p w:rsidR="0004402F" w:rsidRDefault="0004402F" w:rsidP="0004402F">
      <w:pPr>
        <w:jc w:val="both"/>
        <w:rPr>
          <w:rFonts w:ascii="Times New Roman" w:hAnsi="Times New Roman"/>
          <w:b/>
          <w:sz w:val="24"/>
          <w:szCs w:val="24"/>
          <w:u w:val="single"/>
        </w:rPr>
      </w:pPr>
    </w:p>
    <w:p w:rsidR="0004402F" w:rsidRDefault="0004402F" w:rsidP="0004402F">
      <w:pPr>
        <w:jc w:val="both"/>
        <w:rPr>
          <w:rFonts w:ascii="Times New Roman" w:hAnsi="Times New Roman"/>
          <w:b/>
          <w:sz w:val="24"/>
          <w:szCs w:val="24"/>
          <w:u w:val="single"/>
        </w:rPr>
      </w:pPr>
    </w:p>
    <w:p w:rsidR="0004402F" w:rsidRDefault="0004402F" w:rsidP="0004402F">
      <w:pPr>
        <w:jc w:val="both"/>
        <w:rPr>
          <w:rFonts w:ascii="Times New Roman" w:hAnsi="Times New Roman"/>
          <w:b/>
          <w:sz w:val="24"/>
          <w:szCs w:val="24"/>
          <w:u w:val="single"/>
        </w:rPr>
      </w:pPr>
    </w:p>
    <w:p w:rsidR="0023284E" w:rsidRDefault="0023284E" w:rsidP="0004402F">
      <w:pPr>
        <w:jc w:val="both"/>
        <w:rPr>
          <w:rFonts w:ascii="Times New Roman" w:hAnsi="Times New Roman"/>
          <w:b/>
          <w:sz w:val="24"/>
          <w:szCs w:val="24"/>
          <w:u w:val="single"/>
        </w:rPr>
      </w:pPr>
    </w:p>
    <w:p w:rsidR="0004402F" w:rsidRDefault="0004402F" w:rsidP="0004402F">
      <w:pPr>
        <w:jc w:val="both"/>
        <w:rPr>
          <w:rFonts w:ascii="Times New Roman" w:hAnsi="Times New Roman"/>
          <w:b/>
          <w:sz w:val="24"/>
          <w:szCs w:val="24"/>
          <w:u w:val="single"/>
        </w:rPr>
      </w:pPr>
    </w:p>
    <w:p w:rsidR="0004402F" w:rsidRDefault="0004402F" w:rsidP="0004402F">
      <w:pPr>
        <w:jc w:val="both"/>
        <w:rPr>
          <w:rFonts w:ascii="Times New Roman" w:hAnsi="Times New Roman"/>
          <w:b/>
          <w:sz w:val="24"/>
          <w:szCs w:val="24"/>
          <w:u w:val="single"/>
        </w:rPr>
      </w:pPr>
    </w:p>
    <w:p w:rsidR="0004402F" w:rsidRDefault="0004402F" w:rsidP="0004402F">
      <w:pPr>
        <w:jc w:val="both"/>
        <w:rPr>
          <w:rFonts w:ascii="Times New Roman" w:hAnsi="Times New Roman"/>
          <w:b/>
          <w:sz w:val="24"/>
          <w:szCs w:val="24"/>
          <w:u w:val="single"/>
        </w:rPr>
      </w:pPr>
    </w:p>
    <w:p w:rsidR="0004402F" w:rsidRPr="006045CB" w:rsidRDefault="0004402F" w:rsidP="0004402F">
      <w:pPr>
        <w:spacing w:after="0" w:line="240" w:lineRule="auto"/>
        <w:jc w:val="center"/>
        <w:rPr>
          <w:rFonts w:ascii="Times New Roman" w:hAnsi="Times New Roman"/>
          <w:b/>
          <w:sz w:val="28"/>
          <w:szCs w:val="28"/>
          <w:lang w:eastAsia="sk-SK"/>
        </w:rPr>
      </w:pPr>
      <w:r>
        <w:rPr>
          <w:rFonts w:ascii="Times New Roman" w:hAnsi="Times New Roman"/>
          <w:b/>
          <w:sz w:val="28"/>
          <w:szCs w:val="28"/>
          <w:lang w:eastAsia="sk-SK"/>
        </w:rPr>
        <w:lastRenderedPageBreak/>
        <w:t>D</w:t>
      </w:r>
      <w:r w:rsidRPr="006045CB">
        <w:rPr>
          <w:rFonts w:ascii="Times New Roman" w:hAnsi="Times New Roman"/>
          <w:b/>
          <w:sz w:val="28"/>
          <w:szCs w:val="28"/>
          <w:lang w:eastAsia="sk-SK"/>
        </w:rPr>
        <w:t>oložka vybraných vplyvov</w:t>
      </w: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04402F" w:rsidRPr="00B043B4" w:rsidTr="0004402F">
        <w:tc>
          <w:tcPr>
            <w:tcW w:w="9180" w:type="dxa"/>
            <w:gridSpan w:val="11"/>
            <w:tcBorders>
              <w:bottom w:val="single" w:sz="4" w:space="0" w:color="FFFFFF"/>
            </w:tcBorders>
            <w:shd w:val="clear" w:color="auto" w:fill="E2E2E2"/>
          </w:tcPr>
          <w:p w:rsidR="0004402F" w:rsidRPr="00B043B4" w:rsidRDefault="0004402F" w:rsidP="0004402F">
            <w:pPr>
              <w:numPr>
                <w:ilvl w:val="0"/>
                <w:numId w:val="1"/>
              </w:numPr>
              <w:ind w:left="426"/>
              <w:contextualSpacing/>
              <w:rPr>
                <w:rFonts w:ascii="Times New Roman" w:hAnsi="Times New Roman"/>
                <w:b/>
              </w:rPr>
            </w:pPr>
            <w:r w:rsidRPr="00B043B4">
              <w:rPr>
                <w:rFonts w:ascii="Times New Roman" w:hAnsi="Times New Roman"/>
                <w:b/>
              </w:rPr>
              <w:t>Základné údaje</w:t>
            </w:r>
          </w:p>
        </w:tc>
      </w:tr>
      <w:tr w:rsidR="0004402F" w:rsidRPr="00B043B4" w:rsidTr="0004402F">
        <w:tc>
          <w:tcPr>
            <w:tcW w:w="9180" w:type="dxa"/>
            <w:gridSpan w:val="11"/>
            <w:tcBorders>
              <w:bottom w:val="single" w:sz="4" w:space="0" w:color="FFFFFF"/>
            </w:tcBorders>
            <w:shd w:val="clear" w:color="auto" w:fill="E2E2E2"/>
          </w:tcPr>
          <w:p w:rsidR="0004402F" w:rsidRPr="00B043B4" w:rsidRDefault="0004402F" w:rsidP="0004402F">
            <w:pPr>
              <w:spacing w:after="200" w:line="276" w:lineRule="auto"/>
              <w:ind w:left="142"/>
              <w:contextualSpacing/>
              <w:rPr>
                <w:rFonts w:ascii="Times New Roman" w:hAnsi="Times New Roman"/>
                <w:b/>
              </w:rPr>
            </w:pPr>
            <w:r w:rsidRPr="00B043B4">
              <w:rPr>
                <w:rFonts w:ascii="Times New Roman" w:hAnsi="Times New Roman"/>
                <w:b/>
              </w:rPr>
              <w:t>Názov materiálu</w:t>
            </w:r>
          </w:p>
        </w:tc>
      </w:tr>
      <w:tr w:rsidR="0004402F" w:rsidRPr="00B043B4" w:rsidTr="0004402F">
        <w:tc>
          <w:tcPr>
            <w:tcW w:w="9180" w:type="dxa"/>
            <w:gridSpan w:val="11"/>
            <w:tcBorders>
              <w:top w:val="single" w:sz="4" w:space="0" w:color="FFFFFF"/>
            </w:tcBorders>
          </w:tcPr>
          <w:p w:rsidR="0004402F" w:rsidRDefault="0004402F" w:rsidP="0004402F">
            <w:pPr>
              <w:jc w:val="both"/>
              <w:rPr>
                <w:rFonts w:ascii="Times New Roman" w:hAnsi="Times New Roman"/>
                <w:sz w:val="24"/>
                <w:szCs w:val="24"/>
                <w:lang w:eastAsia="sk-SK"/>
              </w:rPr>
            </w:pPr>
            <w:r>
              <w:rPr>
                <w:rFonts w:ascii="Times New Roman" w:hAnsi="Times New Roman"/>
                <w:sz w:val="24"/>
                <w:szCs w:val="24"/>
                <w:lang w:eastAsia="sk-SK"/>
              </w:rPr>
              <w:t>Návrh zákona, ktorým</w:t>
            </w:r>
            <w:r w:rsidRPr="00871115">
              <w:rPr>
                <w:rFonts w:ascii="Times New Roman" w:hAnsi="Times New Roman"/>
                <w:sz w:val="24"/>
                <w:szCs w:val="24"/>
                <w:lang w:eastAsia="sk-SK"/>
              </w:rPr>
              <w:t xml:space="preserve"> sa mení a dopĺňa zákon č. 595/2003 Z. z. o dani z príjmov v znení neskorších predpisov </w:t>
            </w:r>
            <w:r>
              <w:rPr>
                <w:rFonts w:ascii="Times New Roman" w:hAnsi="Times New Roman"/>
                <w:sz w:val="24"/>
                <w:szCs w:val="24"/>
                <w:lang w:eastAsia="sk-SK"/>
              </w:rPr>
              <w:t>a ktorým sa mení a dopĺňa zákon</w:t>
            </w:r>
            <w:r w:rsidRPr="00871115">
              <w:rPr>
                <w:rFonts w:ascii="Times New Roman" w:hAnsi="Times New Roman"/>
                <w:sz w:val="24"/>
                <w:szCs w:val="24"/>
                <w:lang w:eastAsia="sk-SK"/>
              </w:rPr>
              <w:t xml:space="preserve"> č. 563/2009 Z. z. o správe daní (daňový poriadok) </w:t>
            </w:r>
            <w:r w:rsidRPr="005F2DD3">
              <w:rPr>
                <w:rFonts w:ascii="Times New Roman" w:hAnsi="Times New Roman"/>
                <w:sz w:val="24"/>
                <w:szCs w:val="24"/>
                <w:lang w:eastAsia="sk-SK"/>
              </w:rPr>
              <w:t>a o zmene a doplnení niektorých zákonov </w:t>
            </w:r>
            <w:r w:rsidRPr="00871115">
              <w:rPr>
                <w:rFonts w:ascii="Times New Roman" w:hAnsi="Times New Roman"/>
                <w:sz w:val="24"/>
                <w:szCs w:val="24"/>
                <w:lang w:eastAsia="sk-SK"/>
              </w:rPr>
              <w:t xml:space="preserve"> v znení neskorších predpisov </w:t>
            </w:r>
          </w:p>
          <w:p w:rsidR="0004402F" w:rsidRPr="00EA3A14" w:rsidRDefault="0004402F" w:rsidP="0004402F">
            <w:pPr>
              <w:jc w:val="both"/>
              <w:rPr>
                <w:rFonts w:ascii="Times New Roman" w:hAnsi="Times New Roman"/>
                <w:sz w:val="24"/>
                <w:szCs w:val="24"/>
                <w:lang w:eastAsia="sk-SK"/>
              </w:rPr>
            </w:pPr>
          </w:p>
        </w:tc>
      </w:tr>
      <w:tr w:rsidR="0004402F" w:rsidRPr="00B043B4" w:rsidTr="0004402F">
        <w:tc>
          <w:tcPr>
            <w:tcW w:w="9180" w:type="dxa"/>
            <w:gridSpan w:val="11"/>
            <w:tcBorders>
              <w:bottom w:val="single" w:sz="4" w:space="0" w:color="FFFFFF"/>
            </w:tcBorders>
            <w:shd w:val="clear" w:color="auto" w:fill="E2E2E2"/>
          </w:tcPr>
          <w:p w:rsidR="0004402F" w:rsidRPr="00B043B4" w:rsidRDefault="0004402F" w:rsidP="0004402F">
            <w:pPr>
              <w:spacing w:after="200" w:line="276" w:lineRule="auto"/>
              <w:ind w:left="142"/>
              <w:contextualSpacing/>
              <w:rPr>
                <w:rFonts w:ascii="Times New Roman" w:hAnsi="Times New Roman"/>
                <w:b/>
              </w:rPr>
            </w:pPr>
            <w:r w:rsidRPr="00B043B4">
              <w:rPr>
                <w:rFonts w:ascii="Times New Roman" w:hAnsi="Times New Roman"/>
                <w:b/>
              </w:rPr>
              <w:t>Predkladateľ (a spolupredkladateľ)</w:t>
            </w:r>
          </w:p>
        </w:tc>
      </w:tr>
      <w:tr w:rsidR="0004402F" w:rsidRPr="00B043B4" w:rsidTr="0004402F">
        <w:tc>
          <w:tcPr>
            <w:tcW w:w="9180" w:type="dxa"/>
            <w:gridSpan w:val="11"/>
            <w:tcBorders>
              <w:top w:val="single" w:sz="4" w:space="0" w:color="FFFFFF"/>
            </w:tcBorders>
            <w:shd w:val="clear" w:color="auto" w:fill="FFFFFF"/>
          </w:tcPr>
          <w:p w:rsidR="0004402F" w:rsidRPr="00EA3A14" w:rsidRDefault="0004402F" w:rsidP="0004402F">
            <w:pPr>
              <w:rPr>
                <w:rFonts w:ascii="Times New Roman" w:hAnsi="Times New Roman"/>
                <w:sz w:val="24"/>
                <w:szCs w:val="24"/>
                <w:lang w:eastAsia="sk-SK"/>
              </w:rPr>
            </w:pPr>
            <w:r w:rsidRPr="00FB3A0F">
              <w:rPr>
                <w:rFonts w:ascii="Times New Roman" w:hAnsi="Times New Roman"/>
                <w:sz w:val="24"/>
                <w:szCs w:val="24"/>
                <w:lang w:eastAsia="sk-SK"/>
              </w:rPr>
              <w:t>Ministerstvo financií SR</w:t>
            </w:r>
          </w:p>
        </w:tc>
      </w:tr>
      <w:tr w:rsidR="0004402F" w:rsidRPr="00B043B4" w:rsidTr="0004402F">
        <w:tc>
          <w:tcPr>
            <w:tcW w:w="4212" w:type="dxa"/>
            <w:gridSpan w:val="2"/>
            <w:vMerge w:val="restart"/>
            <w:tcBorders>
              <w:bottom w:val="single" w:sz="4" w:space="0" w:color="FFFFFF"/>
            </w:tcBorders>
            <w:shd w:val="clear" w:color="auto" w:fill="E2E2E2"/>
            <w:vAlign w:val="center"/>
          </w:tcPr>
          <w:p w:rsidR="0004402F" w:rsidRPr="00B043B4" w:rsidRDefault="0004402F" w:rsidP="0004402F">
            <w:pPr>
              <w:spacing w:after="200" w:line="276" w:lineRule="auto"/>
              <w:ind w:left="142"/>
              <w:contextualSpacing/>
              <w:rPr>
                <w:rFonts w:ascii="Times New Roman" w:hAnsi="Times New Roman"/>
                <w:b/>
              </w:rPr>
            </w:pPr>
            <w:r w:rsidRPr="00B043B4">
              <w:rPr>
                <w:rFonts w:ascii="Times New Roman" w:hAnsi="Times New Roman"/>
                <w:b/>
              </w:rPr>
              <w:t>Charakter predkladaného materiálu</w:t>
            </w:r>
          </w:p>
        </w:tc>
        <w:tc>
          <w:tcPr>
            <w:tcW w:w="705" w:type="dxa"/>
            <w:gridSpan w:val="2"/>
            <w:tcBorders>
              <w:right w:val="nil"/>
            </w:tcBorders>
            <w:shd w:val="clear" w:color="auto" w:fill="FFFFFF"/>
          </w:tcPr>
          <w:p w:rsidR="0004402F" w:rsidRPr="00B043B4" w:rsidRDefault="0004402F" w:rsidP="0004402F">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4263" w:type="dxa"/>
            <w:gridSpan w:val="7"/>
            <w:tcBorders>
              <w:left w:val="nil"/>
            </w:tcBorders>
            <w:shd w:val="clear" w:color="auto" w:fill="FFFFFF"/>
          </w:tcPr>
          <w:p w:rsidR="0004402F" w:rsidRPr="00B043B4" w:rsidRDefault="0004402F" w:rsidP="0004402F">
            <w:pPr>
              <w:rPr>
                <w:rFonts w:ascii="Times New Roman" w:hAnsi="Times New Roman"/>
                <w:sz w:val="20"/>
                <w:szCs w:val="20"/>
                <w:lang w:eastAsia="sk-SK"/>
              </w:rPr>
            </w:pPr>
            <w:r w:rsidRPr="00B043B4">
              <w:rPr>
                <w:rFonts w:ascii="Times New Roman" w:hAnsi="Times New Roman"/>
                <w:sz w:val="20"/>
                <w:szCs w:val="20"/>
                <w:lang w:eastAsia="sk-SK"/>
              </w:rPr>
              <w:t>Materiál nelegislatívnej povahy</w:t>
            </w:r>
          </w:p>
        </w:tc>
      </w:tr>
      <w:tr w:rsidR="0004402F" w:rsidRPr="00B043B4" w:rsidTr="0004402F">
        <w:tc>
          <w:tcPr>
            <w:tcW w:w="4212" w:type="dxa"/>
            <w:gridSpan w:val="2"/>
            <w:vMerge/>
            <w:tcBorders>
              <w:top w:val="nil"/>
              <w:bottom w:val="single" w:sz="4" w:space="0" w:color="FFFFFF"/>
            </w:tcBorders>
            <w:shd w:val="clear" w:color="auto" w:fill="E2E2E2"/>
          </w:tcPr>
          <w:p w:rsidR="0004402F" w:rsidRPr="00B043B4" w:rsidRDefault="0004402F" w:rsidP="0004402F">
            <w:pPr>
              <w:rPr>
                <w:rFonts w:ascii="Times New Roman" w:hAnsi="Times New Roman"/>
                <w:sz w:val="20"/>
                <w:szCs w:val="20"/>
                <w:lang w:eastAsia="sk-SK"/>
              </w:rPr>
            </w:pPr>
          </w:p>
        </w:tc>
        <w:tc>
          <w:tcPr>
            <w:tcW w:w="705" w:type="dxa"/>
            <w:gridSpan w:val="2"/>
            <w:tcBorders>
              <w:right w:val="nil"/>
            </w:tcBorders>
            <w:shd w:val="clear" w:color="auto" w:fill="FFFFFF"/>
          </w:tcPr>
          <w:p w:rsidR="0004402F" w:rsidRPr="00B043B4" w:rsidRDefault="0004402F" w:rsidP="0004402F">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4263" w:type="dxa"/>
            <w:gridSpan w:val="7"/>
            <w:tcBorders>
              <w:left w:val="nil"/>
            </w:tcBorders>
            <w:shd w:val="clear" w:color="auto" w:fill="FFFFFF"/>
          </w:tcPr>
          <w:p w:rsidR="0004402F" w:rsidRPr="00B043B4" w:rsidRDefault="0004402F" w:rsidP="0004402F">
            <w:pPr>
              <w:ind w:left="175" w:hanging="175"/>
              <w:rPr>
                <w:rFonts w:ascii="Times New Roman" w:hAnsi="Times New Roman"/>
                <w:sz w:val="20"/>
                <w:szCs w:val="20"/>
                <w:lang w:eastAsia="sk-SK"/>
              </w:rPr>
            </w:pPr>
            <w:r w:rsidRPr="00B043B4">
              <w:rPr>
                <w:rFonts w:ascii="Times New Roman" w:hAnsi="Times New Roman"/>
                <w:sz w:val="20"/>
                <w:szCs w:val="20"/>
                <w:lang w:eastAsia="sk-SK"/>
              </w:rPr>
              <w:t>Materiál legislatívnej povahy</w:t>
            </w:r>
          </w:p>
        </w:tc>
      </w:tr>
      <w:tr w:rsidR="0004402F" w:rsidRPr="00B043B4" w:rsidTr="0004402F">
        <w:tc>
          <w:tcPr>
            <w:tcW w:w="4212" w:type="dxa"/>
            <w:gridSpan w:val="2"/>
            <w:vMerge/>
            <w:tcBorders>
              <w:top w:val="nil"/>
            </w:tcBorders>
            <w:shd w:val="clear" w:color="auto" w:fill="E2E2E2"/>
          </w:tcPr>
          <w:p w:rsidR="0004402F" w:rsidRPr="00B043B4" w:rsidRDefault="0004402F" w:rsidP="0004402F">
            <w:pPr>
              <w:rPr>
                <w:rFonts w:ascii="Times New Roman" w:hAnsi="Times New Roman"/>
                <w:sz w:val="20"/>
                <w:szCs w:val="20"/>
                <w:lang w:eastAsia="sk-SK"/>
              </w:rPr>
            </w:pPr>
          </w:p>
        </w:tc>
        <w:tc>
          <w:tcPr>
            <w:tcW w:w="705" w:type="dxa"/>
            <w:gridSpan w:val="2"/>
            <w:tcBorders>
              <w:right w:val="nil"/>
            </w:tcBorders>
            <w:shd w:val="clear" w:color="auto" w:fill="FFFFFF"/>
          </w:tcPr>
          <w:p w:rsidR="0004402F" w:rsidRPr="00B043B4" w:rsidRDefault="0004402F" w:rsidP="0004402F">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4263" w:type="dxa"/>
            <w:gridSpan w:val="7"/>
            <w:tcBorders>
              <w:left w:val="nil"/>
            </w:tcBorders>
            <w:shd w:val="clear" w:color="auto" w:fill="FFFFFF"/>
          </w:tcPr>
          <w:p w:rsidR="0004402F" w:rsidRPr="00B043B4" w:rsidRDefault="0004402F" w:rsidP="0004402F">
            <w:pPr>
              <w:rPr>
                <w:rFonts w:ascii="Times New Roman" w:hAnsi="Times New Roman"/>
                <w:sz w:val="20"/>
                <w:szCs w:val="20"/>
                <w:lang w:eastAsia="sk-SK"/>
              </w:rPr>
            </w:pPr>
            <w:r w:rsidRPr="00B043B4">
              <w:rPr>
                <w:rFonts w:ascii="Times New Roman" w:hAnsi="Times New Roman"/>
                <w:sz w:val="20"/>
                <w:szCs w:val="20"/>
                <w:lang w:eastAsia="sk-SK"/>
              </w:rPr>
              <w:t>Transpozícia práva EÚ</w:t>
            </w:r>
          </w:p>
        </w:tc>
      </w:tr>
      <w:tr w:rsidR="0004402F" w:rsidRPr="00B043B4" w:rsidTr="0004402F">
        <w:tc>
          <w:tcPr>
            <w:tcW w:w="9180" w:type="dxa"/>
            <w:gridSpan w:val="11"/>
            <w:tcBorders>
              <w:bottom w:val="single" w:sz="4" w:space="0" w:color="FFFFFF"/>
            </w:tcBorders>
            <w:shd w:val="clear" w:color="auto" w:fill="FFFFFF"/>
          </w:tcPr>
          <w:p w:rsidR="0004402F" w:rsidRPr="00B043B4" w:rsidRDefault="0004402F" w:rsidP="0004402F">
            <w:pPr>
              <w:rPr>
                <w:rFonts w:ascii="Times New Roman" w:hAnsi="Times New Roman"/>
                <w:i/>
                <w:sz w:val="20"/>
                <w:szCs w:val="20"/>
                <w:lang w:eastAsia="sk-SK"/>
              </w:rPr>
            </w:pPr>
            <w:r w:rsidRPr="00B043B4">
              <w:rPr>
                <w:rFonts w:ascii="Times New Roman" w:hAnsi="Times New Roman"/>
                <w:i/>
                <w:sz w:val="20"/>
                <w:szCs w:val="20"/>
                <w:lang w:eastAsia="sk-SK"/>
              </w:rPr>
              <w:t>V prípade transpozície uveďte zoznam transponovaných predpisov:</w:t>
            </w:r>
          </w:p>
          <w:p w:rsidR="0004402F" w:rsidRPr="00B043B4" w:rsidRDefault="0004402F" w:rsidP="0004402F">
            <w:pPr>
              <w:rPr>
                <w:rFonts w:ascii="Times New Roman" w:hAnsi="Times New Roman"/>
                <w:sz w:val="20"/>
                <w:szCs w:val="20"/>
                <w:lang w:eastAsia="sk-SK"/>
              </w:rPr>
            </w:pPr>
            <w:r w:rsidRPr="00813E47">
              <w:rPr>
                <w:rFonts w:ascii="Times New Roman" w:hAnsi="Times New Roman"/>
                <w:sz w:val="24"/>
                <w:szCs w:val="24"/>
                <w:lang w:eastAsia="sk-SK"/>
              </w:rPr>
              <w:t>Smernica Rady (EÚ) 2016/1164 z 12. júla 2016, ktorou sa stanovujú pravidlá proti praktikám vyhýbania sa daňovým povinnostiam, ktoré majú priamy vplyv na fungovanie vnútorného trhu</w:t>
            </w:r>
          </w:p>
        </w:tc>
      </w:tr>
      <w:tr w:rsidR="0004402F" w:rsidRPr="00B043B4" w:rsidTr="0004402F">
        <w:tc>
          <w:tcPr>
            <w:tcW w:w="5949" w:type="dxa"/>
            <w:gridSpan w:val="6"/>
            <w:tcBorders>
              <w:top w:val="single" w:sz="4" w:space="0" w:color="000000"/>
              <w:bottom w:val="single" w:sz="4" w:space="0" w:color="FFFFFF"/>
            </w:tcBorders>
            <w:shd w:val="clear" w:color="auto" w:fill="E2E2E2"/>
          </w:tcPr>
          <w:p w:rsidR="0004402F" w:rsidRPr="00B043B4" w:rsidRDefault="0004402F" w:rsidP="0004402F">
            <w:pPr>
              <w:spacing w:after="200" w:line="276" w:lineRule="auto"/>
              <w:ind w:left="142"/>
              <w:contextualSpacing/>
              <w:rPr>
                <w:rFonts w:ascii="Times New Roman" w:hAnsi="Times New Roman"/>
                <w:b/>
              </w:rPr>
            </w:pPr>
            <w:r w:rsidRPr="00B043B4">
              <w:rPr>
                <w:rFonts w:ascii="Times New Roman" w:hAnsi="Times New Roman"/>
                <w:b/>
              </w:rPr>
              <w:t>Termín začiatku a ukončenia PPK</w:t>
            </w:r>
          </w:p>
        </w:tc>
        <w:tc>
          <w:tcPr>
            <w:tcW w:w="3231" w:type="dxa"/>
            <w:gridSpan w:val="5"/>
            <w:tcBorders>
              <w:top w:val="single" w:sz="4" w:space="0" w:color="000000"/>
            </w:tcBorders>
          </w:tcPr>
          <w:p w:rsidR="0004402F" w:rsidRPr="00B043B4" w:rsidRDefault="0004402F" w:rsidP="0004402F">
            <w:pPr>
              <w:rPr>
                <w:rFonts w:ascii="Times New Roman" w:hAnsi="Times New Roman"/>
                <w:i/>
                <w:sz w:val="20"/>
                <w:szCs w:val="20"/>
                <w:lang w:eastAsia="sk-SK"/>
              </w:rPr>
            </w:pPr>
            <w:r>
              <w:rPr>
                <w:rFonts w:ascii="Times New Roman" w:hAnsi="Times New Roman"/>
                <w:i/>
                <w:sz w:val="20"/>
                <w:szCs w:val="20"/>
                <w:lang w:eastAsia="sk-SK"/>
              </w:rPr>
              <w:t>21. 6. 2022 – 29. 6. 2022</w:t>
            </w:r>
          </w:p>
        </w:tc>
      </w:tr>
      <w:tr w:rsidR="0004402F" w:rsidRPr="00B043B4" w:rsidTr="0004402F">
        <w:tc>
          <w:tcPr>
            <w:tcW w:w="5949" w:type="dxa"/>
            <w:gridSpan w:val="6"/>
            <w:tcBorders>
              <w:bottom w:val="single" w:sz="4" w:space="0" w:color="FFFFFF"/>
            </w:tcBorders>
            <w:shd w:val="clear" w:color="auto" w:fill="E2E2E2"/>
          </w:tcPr>
          <w:p w:rsidR="0004402F" w:rsidRPr="00B043B4" w:rsidRDefault="0004402F" w:rsidP="0004402F">
            <w:pPr>
              <w:spacing w:after="200" w:line="276" w:lineRule="auto"/>
              <w:ind w:left="142"/>
              <w:contextualSpacing/>
              <w:rPr>
                <w:rFonts w:ascii="Times New Roman" w:hAnsi="Times New Roman"/>
                <w:b/>
              </w:rPr>
            </w:pPr>
            <w:r w:rsidRPr="00B043B4">
              <w:rPr>
                <w:rFonts w:ascii="Times New Roman" w:hAnsi="Times New Roman"/>
                <w:b/>
              </w:rPr>
              <w:t>Predpokl</w:t>
            </w:r>
            <w:r>
              <w:rPr>
                <w:rFonts w:ascii="Times New Roman" w:hAnsi="Times New Roman"/>
                <w:b/>
              </w:rPr>
              <w:t>adaný termín predloženia na pripomienkové konanie</w:t>
            </w:r>
          </w:p>
        </w:tc>
        <w:tc>
          <w:tcPr>
            <w:tcW w:w="3231" w:type="dxa"/>
            <w:gridSpan w:val="5"/>
          </w:tcPr>
          <w:p w:rsidR="0004402F" w:rsidRPr="00B043B4" w:rsidRDefault="0004402F" w:rsidP="0004402F">
            <w:pPr>
              <w:rPr>
                <w:rFonts w:ascii="Times New Roman" w:hAnsi="Times New Roman"/>
                <w:i/>
                <w:sz w:val="20"/>
                <w:szCs w:val="20"/>
                <w:lang w:eastAsia="sk-SK"/>
              </w:rPr>
            </w:pPr>
            <w:r>
              <w:rPr>
                <w:rFonts w:ascii="Times New Roman" w:hAnsi="Times New Roman"/>
                <w:i/>
                <w:sz w:val="20"/>
                <w:szCs w:val="20"/>
                <w:lang w:eastAsia="sk-SK"/>
              </w:rPr>
              <w:t>Júl 2022</w:t>
            </w:r>
          </w:p>
        </w:tc>
      </w:tr>
      <w:tr w:rsidR="0004402F" w:rsidRPr="00B043B4" w:rsidTr="0004402F">
        <w:trPr>
          <w:trHeight w:val="320"/>
        </w:trPr>
        <w:tc>
          <w:tcPr>
            <w:tcW w:w="5949" w:type="dxa"/>
            <w:gridSpan w:val="6"/>
            <w:tcBorders>
              <w:bottom w:val="single" w:sz="4" w:space="0" w:color="FFFFFF"/>
            </w:tcBorders>
            <w:shd w:val="clear" w:color="auto" w:fill="E2E2E2"/>
          </w:tcPr>
          <w:p w:rsidR="0004402F" w:rsidRPr="00B043B4" w:rsidRDefault="0004402F" w:rsidP="0004402F">
            <w:pPr>
              <w:spacing w:line="276" w:lineRule="auto"/>
              <w:ind w:left="142"/>
              <w:contextualSpacing/>
              <w:rPr>
                <w:rFonts w:ascii="Calibri" w:hAnsi="Calibri"/>
                <w:b/>
              </w:rPr>
            </w:pPr>
            <w:r w:rsidRPr="00B043B4">
              <w:rPr>
                <w:rFonts w:ascii="Times New Roman" w:hAnsi="Times New Roman"/>
                <w:b/>
              </w:rPr>
              <w:t>Predpokladaný termín začiatku a ukončenia ZP**</w:t>
            </w:r>
            <w:r w:rsidRPr="00B043B4">
              <w:rPr>
                <w:rFonts w:ascii="Calibri" w:hAnsi="Calibri"/>
                <w:b/>
              </w:rPr>
              <w:t xml:space="preserve"> </w:t>
            </w:r>
          </w:p>
        </w:tc>
        <w:tc>
          <w:tcPr>
            <w:tcW w:w="3231" w:type="dxa"/>
            <w:gridSpan w:val="5"/>
          </w:tcPr>
          <w:p w:rsidR="0004402F" w:rsidRPr="00B043B4" w:rsidRDefault="0004402F" w:rsidP="0004402F">
            <w:pPr>
              <w:rPr>
                <w:rFonts w:ascii="Times New Roman" w:hAnsi="Times New Roman"/>
                <w:i/>
                <w:sz w:val="20"/>
                <w:szCs w:val="20"/>
                <w:lang w:eastAsia="sk-SK"/>
              </w:rPr>
            </w:pPr>
          </w:p>
        </w:tc>
      </w:tr>
      <w:tr w:rsidR="0004402F" w:rsidRPr="00B043B4" w:rsidTr="0004402F">
        <w:tc>
          <w:tcPr>
            <w:tcW w:w="5949" w:type="dxa"/>
            <w:gridSpan w:val="6"/>
            <w:tcBorders>
              <w:bottom w:val="single" w:sz="4" w:space="0" w:color="FFFFFF"/>
            </w:tcBorders>
            <w:shd w:val="clear" w:color="auto" w:fill="E2E2E2"/>
          </w:tcPr>
          <w:p w:rsidR="0004402F" w:rsidRPr="00B043B4" w:rsidRDefault="0004402F" w:rsidP="0004402F">
            <w:pPr>
              <w:spacing w:after="200" w:line="276" w:lineRule="auto"/>
              <w:ind w:left="142"/>
              <w:contextualSpacing/>
              <w:jc w:val="both"/>
              <w:rPr>
                <w:rFonts w:ascii="Times New Roman" w:hAnsi="Times New Roman"/>
                <w:b/>
              </w:rPr>
            </w:pPr>
            <w:r w:rsidRPr="00B043B4">
              <w:rPr>
                <w:rFonts w:ascii="Times New Roman" w:hAnsi="Times New Roman"/>
                <w:b/>
              </w:rPr>
              <w:t>Predpokladaný termín predloženia na rokovanie vlády SR*</w:t>
            </w:r>
          </w:p>
        </w:tc>
        <w:tc>
          <w:tcPr>
            <w:tcW w:w="3231" w:type="dxa"/>
            <w:gridSpan w:val="5"/>
          </w:tcPr>
          <w:p w:rsidR="0004402F" w:rsidRPr="00B043B4" w:rsidRDefault="0004402F" w:rsidP="0004402F">
            <w:pPr>
              <w:rPr>
                <w:rFonts w:ascii="Times New Roman" w:hAnsi="Times New Roman"/>
                <w:i/>
                <w:sz w:val="20"/>
                <w:szCs w:val="20"/>
                <w:lang w:eastAsia="sk-SK"/>
              </w:rPr>
            </w:pPr>
          </w:p>
        </w:tc>
      </w:tr>
      <w:tr w:rsidR="0004402F" w:rsidRPr="00B043B4" w:rsidTr="0004402F">
        <w:tc>
          <w:tcPr>
            <w:tcW w:w="9180" w:type="dxa"/>
            <w:gridSpan w:val="11"/>
            <w:tcBorders>
              <w:left w:val="nil"/>
              <w:right w:val="nil"/>
            </w:tcBorders>
            <w:shd w:val="clear" w:color="auto" w:fill="FFFFFF"/>
          </w:tcPr>
          <w:p w:rsidR="0004402F" w:rsidRPr="00B043B4" w:rsidRDefault="0004402F" w:rsidP="0004402F">
            <w:pPr>
              <w:rPr>
                <w:rFonts w:ascii="Times New Roman" w:hAnsi="Times New Roman"/>
                <w:sz w:val="20"/>
                <w:szCs w:val="20"/>
                <w:lang w:eastAsia="sk-SK"/>
              </w:rPr>
            </w:pPr>
          </w:p>
        </w:tc>
      </w:tr>
      <w:tr w:rsidR="0004402F" w:rsidRPr="00B043B4" w:rsidTr="0004402F">
        <w:tc>
          <w:tcPr>
            <w:tcW w:w="9180" w:type="dxa"/>
            <w:gridSpan w:val="11"/>
            <w:tcBorders>
              <w:bottom w:val="single" w:sz="4" w:space="0" w:color="FFFFFF"/>
            </w:tcBorders>
            <w:shd w:val="clear" w:color="auto" w:fill="E2E2E2"/>
          </w:tcPr>
          <w:p w:rsidR="0004402F" w:rsidRPr="00B043B4" w:rsidRDefault="0004402F" w:rsidP="0004402F">
            <w:pPr>
              <w:numPr>
                <w:ilvl w:val="0"/>
                <w:numId w:val="1"/>
              </w:numPr>
              <w:ind w:left="426"/>
              <w:contextualSpacing/>
              <w:rPr>
                <w:rFonts w:ascii="Times New Roman" w:hAnsi="Times New Roman"/>
                <w:b/>
              </w:rPr>
            </w:pPr>
            <w:r w:rsidRPr="00B043B4">
              <w:rPr>
                <w:rFonts w:ascii="Times New Roman" w:hAnsi="Times New Roman"/>
                <w:b/>
              </w:rPr>
              <w:t>Definovanie problému</w:t>
            </w:r>
          </w:p>
        </w:tc>
      </w:tr>
      <w:tr w:rsidR="0004402F" w:rsidRPr="00B043B4" w:rsidTr="0004402F">
        <w:trPr>
          <w:trHeight w:val="718"/>
        </w:trPr>
        <w:tc>
          <w:tcPr>
            <w:tcW w:w="9180" w:type="dxa"/>
            <w:gridSpan w:val="11"/>
            <w:tcBorders>
              <w:top w:val="single" w:sz="4" w:space="0" w:color="FFFFFF"/>
            </w:tcBorders>
            <w:shd w:val="clear" w:color="auto" w:fill="FFFFFF"/>
          </w:tcPr>
          <w:p w:rsidR="0004402F" w:rsidRPr="00B648DC" w:rsidRDefault="0004402F" w:rsidP="0004402F">
            <w:pPr>
              <w:jc w:val="both"/>
              <w:rPr>
                <w:rStyle w:val="awspan"/>
                <w:rFonts w:ascii="Times New Roman" w:hAnsi="Times New Roman"/>
                <w:b/>
                <w:color w:val="000000"/>
                <w:sz w:val="24"/>
                <w:szCs w:val="24"/>
              </w:rPr>
            </w:pPr>
            <w:r w:rsidRPr="00B648DC">
              <w:rPr>
                <w:rStyle w:val="awspan"/>
                <w:rFonts w:ascii="Times New Roman" w:hAnsi="Times New Roman"/>
                <w:b/>
                <w:color w:val="000000"/>
                <w:sz w:val="24"/>
                <w:szCs w:val="24"/>
              </w:rPr>
              <w:t>K novele zákona o dani z príjmov:</w:t>
            </w:r>
          </w:p>
          <w:p w:rsidR="0004402F" w:rsidRDefault="0004402F" w:rsidP="0004402F">
            <w:pPr>
              <w:spacing w:after="60"/>
              <w:jc w:val="both"/>
              <w:rPr>
                <w:rFonts w:ascii="Times New Roman" w:hAnsi="Times New Roman"/>
                <w:sz w:val="24"/>
                <w:szCs w:val="24"/>
              </w:rPr>
            </w:pPr>
            <w:r>
              <w:rPr>
                <w:rFonts w:ascii="Times New Roman" w:hAnsi="Times New Roman"/>
                <w:sz w:val="24"/>
                <w:szCs w:val="24"/>
              </w:rPr>
              <w:t>Zavedením</w:t>
            </w:r>
            <w:r>
              <w:rPr>
                <w:rFonts w:ascii="Times New Roman" w:hAnsi="Times New Roman"/>
                <w:sz w:val="24"/>
                <w:szCs w:val="24"/>
                <w:lang w:eastAsia="sk-SK"/>
              </w:rPr>
              <w:t xml:space="preserve"> nového </w:t>
            </w:r>
            <w:r w:rsidRPr="0063461B">
              <w:rPr>
                <w:rFonts w:ascii="Times New Roman" w:hAnsi="Times New Roman"/>
                <w:sz w:val="24"/>
                <w:szCs w:val="24"/>
                <w:lang w:eastAsia="sk-SK"/>
              </w:rPr>
              <w:t>pravidla</w:t>
            </w:r>
            <w:r>
              <w:rPr>
                <w:rFonts w:ascii="Times New Roman" w:hAnsi="Times New Roman"/>
                <w:sz w:val="24"/>
                <w:szCs w:val="24"/>
                <w:lang w:eastAsia="sk-SK"/>
              </w:rPr>
              <w:t xml:space="preserve"> o obmedzení úrokových nákladov </w:t>
            </w:r>
            <w:r w:rsidRPr="0063461B">
              <w:rPr>
                <w:rFonts w:ascii="Times New Roman" w:hAnsi="Times New Roman"/>
                <w:sz w:val="24"/>
                <w:szCs w:val="24"/>
                <w:lang w:eastAsia="sk-SK"/>
              </w:rPr>
              <w:t xml:space="preserve">s účinnosťou </w:t>
            </w:r>
            <w:r>
              <w:rPr>
                <w:rFonts w:ascii="Times New Roman" w:hAnsi="Times New Roman"/>
                <w:sz w:val="24"/>
                <w:szCs w:val="24"/>
                <w:lang w:eastAsia="sk-SK"/>
              </w:rPr>
              <w:t xml:space="preserve">od </w:t>
            </w:r>
            <w:r w:rsidRPr="0063461B">
              <w:rPr>
                <w:rFonts w:ascii="Times New Roman" w:hAnsi="Times New Roman"/>
                <w:sz w:val="24"/>
                <w:szCs w:val="24"/>
                <w:lang w:eastAsia="sk-SK"/>
              </w:rPr>
              <w:t>1. januára 2024</w:t>
            </w:r>
            <w:r>
              <w:rPr>
                <w:rFonts w:ascii="Times New Roman" w:hAnsi="Times New Roman"/>
                <w:sz w:val="24"/>
                <w:szCs w:val="24"/>
                <w:lang w:eastAsia="sk-SK"/>
              </w:rPr>
              <w:t xml:space="preserve"> podľa </w:t>
            </w:r>
            <w:r w:rsidRPr="000B6F2D">
              <w:rPr>
                <w:rFonts w:ascii="Times New Roman" w:hAnsi="Times New Roman"/>
                <w:sz w:val="24"/>
                <w:szCs w:val="24"/>
              </w:rPr>
              <w:t>článk</w:t>
            </w:r>
            <w:r>
              <w:rPr>
                <w:rFonts w:ascii="Times New Roman" w:hAnsi="Times New Roman"/>
                <w:sz w:val="24"/>
                <w:szCs w:val="24"/>
              </w:rPr>
              <w:t xml:space="preserve">u </w:t>
            </w:r>
            <w:r w:rsidRPr="00E50F77">
              <w:rPr>
                <w:rFonts w:ascii="Times New Roman" w:hAnsi="Times New Roman"/>
                <w:sz w:val="24"/>
                <w:szCs w:val="24"/>
              </w:rPr>
              <w:t>4 smernice Rady (EÚ) 2016</w:t>
            </w:r>
            <w:r>
              <w:rPr>
                <w:rFonts w:ascii="Times New Roman" w:hAnsi="Times New Roman"/>
                <w:sz w:val="24"/>
                <w:szCs w:val="24"/>
              </w:rPr>
              <w:t>/1164 z 12. júla 2016, ktorou sa stanovujú pravidlá proti praktikám vyhýbania sa daňovým povinnostiam, ktoré majú priamy vplyv na fungovanie vnútorného trhu</w:t>
            </w:r>
            <w:r w:rsidRPr="000B6F2D">
              <w:rPr>
                <w:rFonts w:ascii="Times New Roman" w:hAnsi="Times New Roman"/>
                <w:sz w:val="24"/>
                <w:szCs w:val="24"/>
              </w:rPr>
              <w:t xml:space="preserve"> </w:t>
            </w:r>
            <w:r>
              <w:rPr>
                <w:rFonts w:ascii="Times New Roman" w:hAnsi="Times New Roman"/>
                <w:sz w:val="24"/>
                <w:szCs w:val="24"/>
              </w:rPr>
              <w:t xml:space="preserve">(ATAD) dochádza k zavŕšeniu transpozície smernice EÚ do slovenských právnych predpisov. Podstatou pravidla je zamedzenie erózii základu dane na vnútornom trhu a presunu zisku do zahraničia u najväčších daňovníkov  cez obmedzenie nadmerne vysokých úrokových platieb, resp. obdobných nákladov (limit pre uplatnenie pravidla nad 3 mil. eur čistých úrokových nákladov). </w:t>
            </w:r>
          </w:p>
          <w:p w:rsidR="0004402F" w:rsidRDefault="0004402F" w:rsidP="0004402F">
            <w:pPr>
              <w:jc w:val="both"/>
              <w:rPr>
                <w:rFonts w:ascii="Times New Roman" w:hAnsi="Times New Roman"/>
                <w:sz w:val="24"/>
                <w:szCs w:val="24"/>
                <w:lang w:eastAsia="sk-SK"/>
              </w:rPr>
            </w:pPr>
            <w:r w:rsidRPr="000A18D8">
              <w:rPr>
                <w:rFonts w:ascii="Times New Roman" w:hAnsi="Times New Roman"/>
                <w:sz w:val="24"/>
                <w:szCs w:val="24"/>
                <w:lang w:eastAsia="sk-SK"/>
              </w:rPr>
              <w:t>V</w:t>
            </w:r>
            <w:r w:rsidRPr="00BD057F">
              <w:rPr>
                <w:rFonts w:ascii="Times New Roman" w:hAnsi="Times New Roman"/>
                <w:sz w:val="24"/>
                <w:szCs w:val="24"/>
                <w:lang w:eastAsia="sk-SK"/>
              </w:rPr>
              <w:t xml:space="preserve"> návrhu zákona</w:t>
            </w:r>
            <w:r>
              <w:rPr>
                <w:rFonts w:ascii="Times New Roman" w:hAnsi="Times New Roman"/>
                <w:sz w:val="24"/>
                <w:szCs w:val="24"/>
                <w:lang w:eastAsia="sk-SK"/>
              </w:rPr>
              <w:t xml:space="preserve"> ďalej dochádza</w:t>
            </w:r>
            <w:r w:rsidRPr="00C8693E">
              <w:rPr>
                <w:rFonts w:ascii="Times New Roman" w:hAnsi="Times New Roman"/>
                <w:sz w:val="24"/>
                <w:szCs w:val="24"/>
                <w:lang w:eastAsia="sk-SK"/>
              </w:rPr>
              <w:t xml:space="preserve"> k spresneniu a doplneniu </w:t>
            </w:r>
            <w:r>
              <w:rPr>
                <w:rFonts w:ascii="Times New Roman" w:hAnsi="Times New Roman"/>
                <w:sz w:val="24"/>
                <w:szCs w:val="24"/>
                <w:lang w:eastAsia="sk-SK"/>
              </w:rPr>
              <w:t xml:space="preserve">nových </w:t>
            </w:r>
            <w:r w:rsidRPr="00C8693E">
              <w:rPr>
                <w:rFonts w:ascii="Times New Roman" w:hAnsi="Times New Roman"/>
                <w:sz w:val="24"/>
                <w:szCs w:val="24"/>
                <w:lang w:eastAsia="sk-SK"/>
              </w:rPr>
              <w:t xml:space="preserve">pravidiel transferového oceňovania, vrátane doplnenia odkazu na </w:t>
            </w:r>
            <w:r>
              <w:rPr>
                <w:rFonts w:ascii="Times New Roman" w:hAnsi="Times New Roman"/>
                <w:sz w:val="24"/>
                <w:szCs w:val="24"/>
                <w:lang w:eastAsia="sk-SK"/>
              </w:rPr>
              <w:t xml:space="preserve">Smernicu OECD </w:t>
            </w:r>
            <w:r w:rsidRPr="003824F7">
              <w:rPr>
                <w:rFonts w:ascii="Times New Roman" w:hAnsi="Times New Roman"/>
                <w:sz w:val="24"/>
                <w:szCs w:val="24"/>
                <w:lang w:eastAsia="sk-SK"/>
              </w:rPr>
              <w:t xml:space="preserve">o transferovom oceňovaní pre nadnárodné spoločnosti a správu </w:t>
            </w:r>
            <w:r>
              <w:rPr>
                <w:rFonts w:ascii="Times New Roman" w:hAnsi="Times New Roman"/>
                <w:sz w:val="24"/>
                <w:szCs w:val="24"/>
                <w:lang w:eastAsia="sk-SK"/>
              </w:rPr>
              <w:t>daní</w:t>
            </w:r>
            <w:r w:rsidRPr="00C8693E">
              <w:rPr>
                <w:rFonts w:ascii="Times New Roman" w:hAnsi="Times New Roman"/>
                <w:sz w:val="24"/>
                <w:szCs w:val="24"/>
                <w:lang w:eastAsia="sk-SK"/>
              </w:rPr>
              <w:t>.</w:t>
            </w:r>
            <w:r>
              <w:rPr>
                <w:rFonts w:ascii="Times New Roman" w:hAnsi="Times New Roman"/>
                <w:color w:val="FF0000"/>
                <w:sz w:val="24"/>
                <w:szCs w:val="24"/>
                <w:lang w:eastAsia="sk-SK"/>
              </w:rPr>
              <w:t xml:space="preserve"> </w:t>
            </w:r>
            <w:r>
              <w:rPr>
                <w:rFonts w:ascii="Times New Roman" w:hAnsi="Times New Roman"/>
                <w:sz w:val="24"/>
                <w:szCs w:val="24"/>
                <w:lang w:eastAsia="sk-SK"/>
              </w:rPr>
              <w:t>Z</w:t>
            </w:r>
            <w:r w:rsidRPr="00274CB3">
              <w:rPr>
                <w:rFonts w:ascii="Times New Roman" w:hAnsi="Times New Roman"/>
                <w:sz w:val="24"/>
                <w:szCs w:val="24"/>
                <w:lang w:eastAsia="sk-SK"/>
              </w:rPr>
              <w:t xml:space="preserve">avedením bezpečného prístavu pri posudzovaní </w:t>
            </w:r>
            <w:r w:rsidRPr="008566E4">
              <w:rPr>
                <w:rFonts w:ascii="Times New Roman" w:hAnsi="Times New Roman"/>
                <w:sz w:val="24"/>
                <w:szCs w:val="24"/>
                <w:lang w:eastAsia="sk-SK"/>
              </w:rPr>
              <w:t>významnej</w:t>
            </w:r>
            <w:r w:rsidRPr="00274CB3">
              <w:rPr>
                <w:rFonts w:ascii="Times New Roman" w:hAnsi="Times New Roman"/>
                <w:sz w:val="24"/>
                <w:szCs w:val="24"/>
                <w:lang w:eastAsia="sk-SK"/>
              </w:rPr>
              <w:t xml:space="preserve"> kontrolovanej transakcie a </w:t>
            </w:r>
            <w:r>
              <w:rPr>
                <w:rFonts w:ascii="Times New Roman" w:hAnsi="Times New Roman"/>
                <w:sz w:val="24"/>
                <w:szCs w:val="24"/>
                <w:lang w:eastAsia="sk-SK"/>
              </w:rPr>
              <w:t xml:space="preserve">bezpečného prístavu </w:t>
            </w:r>
            <w:r w:rsidRPr="00274CB3">
              <w:rPr>
                <w:rFonts w:ascii="Times New Roman" w:hAnsi="Times New Roman"/>
                <w:sz w:val="24"/>
                <w:szCs w:val="24"/>
                <w:lang w:eastAsia="sk-SK"/>
              </w:rPr>
              <w:t>pri uplatňovaní pravidla o obmedzení úrokových nákladov</w:t>
            </w:r>
            <w:r>
              <w:rPr>
                <w:rFonts w:ascii="Times New Roman" w:hAnsi="Times New Roman"/>
                <w:sz w:val="24"/>
                <w:szCs w:val="24"/>
                <w:lang w:eastAsia="sk-SK"/>
              </w:rPr>
              <w:t xml:space="preserve"> sa </w:t>
            </w:r>
            <w:r w:rsidRPr="00274CB3">
              <w:rPr>
                <w:rFonts w:ascii="Times New Roman" w:hAnsi="Times New Roman"/>
                <w:sz w:val="24"/>
                <w:szCs w:val="24"/>
                <w:lang w:eastAsia="sk-SK"/>
              </w:rPr>
              <w:t xml:space="preserve">významne znižuje administratívna záťaž </w:t>
            </w:r>
            <w:r>
              <w:rPr>
                <w:rFonts w:ascii="Times New Roman" w:hAnsi="Times New Roman"/>
                <w:sz w:val="24"/>
                <w:szCs w:val="24"/>
                <w:lang w:eastAsia="sk-SK"/>
              </w:rPr>
              <w:t xml:space="preserve">malých a stredných </w:t>
            </w:r>
            <w:r w:rsidRPr="00274CB3">
              <w:rPr>
                <w:rFonts w:ascii="Times New Roman" w:hAnsi="Times New Roman"/>
                <w:sz w:val="24"/>
                <w:szCs w:val="24"/>
                <w:lang w:eastAsia="sk-SK"/>
              </w:rPr>
              <w:t>podnikateľov</w:t>
            </w:r>
            <w:r>
              <w:rPr>
                <w:rFonts w:ascii="Times New Roman" w:hAnsi="Times New Roman"/>
                <w:sz w:val="24"/>
                <w:szCs w:val="24"/>
                <w:lang w:eastAsia="sk-SK"/>
              </w:rPr>
              <w:t xml:space="preserve">. </w:t>
            </w:r>
            <w:r w:rsidRPr="00274CB3">
              <w:rPr>
                <w:rFonts w:ascii="Times New Roman" w:hAnsi="Times New Roman"/>
                <w:sz w:val="24"/>
                <w:szCs w:val="24"/>
                <w:lang w:eastAsia="sk-SK"/>
              </w:rPr>
              <w:t xml:space="preserve"> </w:t>
            </w:r>
          </w:p>
          <w:p w:rsidR="0004402F" w:rsidRDefault="0004402F" w:rsidP="0004402F">
            <w:pPr>
              <w:spacing w:after="60"/>
              <w:jc w:val="both"/>
              <w:rPr>
                <w:rFonts w:ascii="Times New Roman" w:hAnsi="Times New Roman"/>
                <w:color w:val="FF0000"/>
                <w:sz w:val="24"/>
                <w:szCs w:val="24"/>
                <w:lang w:eastAsia="sk-SK"/>
              </w:rPr>
            </w:pPr>
            <w:r>
              <w:rPr>
                <w:rFonts w:ascii="Times New Roman" w:hAnsi="Times New Roman"/>
                <w:bCs/>
                <w:kern w:val="36"/>
                <w:sz w:val="24"/>
                <w:szCs w:val="24"/>
                <w:lang w:eastAsia="cs-CZ"/>
              </w:rPr>
              <w:t xml:space="preserve">Po prijatí </w:t>
            </w:r>
            <w:r w:rsidRPr="00152668">
              <w:rPr>
                <w:rFonts w:ascii="Times New Roman" w:hAnsi="Times New Roman"/>
                <w:bCs/>
                <w:kern w:val="36"/>
                <w:sz w:val="24"/>
                <w:szCs w:val="24"/>
                <w:lang w:eastAsia="cs-CZ"/>
              </w:rPr>
              <w:t>nového medzinárodného štandardu finančného výkazníctva IFRS 17</w:t>
            </w:r>
            <w:r>
              <w:rPr>
                <w:rFonts w:ascii="Times New Roman" w:hAnsi="Times New Roman"/>
                <w:bCs/>
                <w:kern w:val="36"/>
                <w:sz w:val="24"/>
                <w:szCs w:val="24"/>
                <w:lang w:eastAsia="cs-CZ"/>
              </w:rPr>
              <w:t>-</w:t>
            </w:r>
            <w:r w:rsidRPr="00152668">
              <w:rPr>
                <w:rFonts w:ascii="Times New Roman" w:hAnsi="Times New Roman"/>
                <w:bCs/>
                <w:kern w:val="36"/>
                <w:sz w:val="24"/>
                <w:szCs w:val="24"/>
                <w:lang w:eastAsia="cs-CZ"/>
              </w:rPr>
              <w:t>Poistné zmluvy, ktorý nahrádza dočasný IFRS 4</w:t>
            </w:r>
            <w:r>
              <w:rPr>
                <w:rFonts w:ascii="Times New Roman" w:hAnsi="Times New Roman"/>
                <w:bCs/>
                <w:kern w:val="36"/>
                <w:sz w:val="24"/>
                <w:szCs w:val="24"/>
                <w:lang w:eastAsia="cs-CZ"/>
              </w:rPr>
              <w:t>-</w:t>
            </w:r>
            <w:r w:rsidRPr="00152668">
              <w:rPr>
                <w:rFonts w:ascii="Times New Roman" w:hAnsi="Times New Roman"/>
                <w:bCs/>
                <w:kern w:val="36"/>
                <w:sz w:val="24"/>
                <w:szCs w:val="24"/>
                <w:lang w:eastAsia="cs-CZ"/>
              </w:rPr>
              <w:t>Poistné zmluvy</w:t>
            </w:r>
            <w:r>
              <w:rPr>
                <w:rFonts w:ascii="Times New Roman" w:hAnsi="Times New Roman"/>
                <w:bCs/>
                <w:kern w:val="36"/>
                <w:sz w:val="24"/>
                <w:szCs w:val="24"/>
                <w:lang w:eastAsia="cs-CZ"/>
              </w:rPr>
              <w:t xml:space="preserve">, je nevyhnutné zmeniť aj súvisiace ustanovenia zákona o dani z príjmov </w:t>
            </w:r>
            <w:r w:rsidRPr="00152668">
              <w:rPr>
                <w:rFonts w:ascii="Times New Roman" w:hAnsi="Times New Roman"/>
                <w:bCs/>
                <w:kern w:val="36"/>
                <w:sz w:val="24"/>
                <w:szCs w:val="24"/>
                <w:lang w:eastAsia="cs-CZ"/>
              </w:rPr>
              <w:t>upravuj</w:t>
            </w:r>
            <w:r>
              <w:rPr>
                <w:rFonts w:ascii="Times New Roman" w:hAnsi="Times New Roman"/>
                <w:bCs/>
                <w:kern w:val="36"/>
                <w:sz w:val="24"/>
                <w:szCs w:val="24"/>
                <w:lang w:eastAsia="cs-CZ"/>
              </w:rPr>
              <w:t>úce</w:t>
            </w:r>
            <w:r w:rsidRPr="00152668">
              <w:rPr>
                <w:rFonts w:ascii="Times New Roman" w:hAnsi="Times New Roman"/>
                <w:bCs/>
                <w:kern w:val="36"/>
                <w:sz w:val="24"/>
                <w:szCs w:val="24"/>
                <w:lang w:eastAsia="cs-CZ"/>
              </w:rPr>
              <w:t xml:space="preserve"> zahrnovanie technických rezerv vytváraných v po</w:t>
            </w:r>
            <w:r>
              <w:rPr>
                <w:rFonts w:ascii="Times New Roman" w:hAnsi="Times New Roman"/>
                <w:bCs/>
                <w:kern w:val="36"/>
                <w:sz w:val="24"/>
                <w:szCs w:val="24"/>
                <w:lang w:eastAsia="cs-CZ"/>
              </w:rPr>
              <w:t>isťovníctve do daňových výdavkov. V dôsledku uvedenej zmeny môže dôjsť u dotknutých daňovníkov k zjednodušeniu zisťovania základu dane.</w:t>
            </w:r>
          </w:p>
          <w:p w:rsidR="0004402F" w:rsidRPr="00B215D1" w:rsidRDefault="0004402F" w:rsidP="0004402F">
            <w:pPr>
              <w:jc w:val="both"/>
              <w:rPr>
                <w:rFonts w:ascii="Times New Roman" w:hAnsi="Times New Roman"/>
                <w:b/>
                <w:sz w:val="24"/>
                <w:szCs w:val="24"/>
                <w:lang w:eastAsia="sk-SK"/>
              </w:rPr>
            </w:pPr>
            <w:r w:rsidRPr="00B215D1">
              <w:rPr>
                <w:rFonts w:ascii="Times New Roman" w:hAnsi="Times New Roman"/>
                <w:b/>
                <w:sz w:val="24"/>
                <w:szCs w:val="24"/>
                <w:lang w:eastAsia="sk-SK"/>
              </w:rPr>
              <w:t>K </w:t>
            </w:r>
            <w:r>
              <w:rPr>
                <w:rFonts w:ascii="Times New Roman" w:hAnsi="Times New Roman"/>
                <w:b/>
                <w:sz w:val="24"/>
                <w:szCs w:val="24"/>
                <w:lang w:eastAsia="sk-SK"/>
              </w:rPr>
              <w:t>n</w:t>
            </w:r>
            <w:r w:rsidRPr="00B215D1">
              <w:rPr>
                <w:rFonts w:ascii="Times New Roman" w:hAnsi="Times New Roman"/>
                <w:b/>
                <w:sz w:val="24"/>
                <w:szCs w:val="24"/>
                <w:lang w:eastAsia="sk-SK"/>
              </w:rPr>
              <w:t>ovele Daňového poriadku:</w:t>
            </w:r>
          </w:p>
          <w:p w:rsidR="0004402F" w:rsidRPr="00D03B1D" w:rsidRDefault="0004402F" w:rsidP="0004402F">
            <w:pPr>
              <w:jc w:val="both"/>
              <w:rPr>
                <w:rFonts w:ascii="Times New Roman" w:hAnsi="Times New Roman"/>
                <w:sz w:val="24"/>
                <w:szCs w:val="24"/>
                <w:lang w:eastAsia="sk-SK"/>
              </w:rPr>
            </w:pPr>
            <w:r w:rsidRPr="00D03B1D">
              <w:rPr>
                <w:rFonts w:ascii="Times New Roman" w:hAnsi="Times New Roman"/>
                <w:sz w:val="24"/>
                <w:szCs w:val="24"/>
                <w:lang w:eastAsia="sk-SK"/>
              </w:rPr>
              <w:t xml:space="preserve">Pokutu za porušenie povinností nepeňažnej povahy musí správca dane vždy uložiť, nie je možnosť v prípade „prvého porušenia“ upustiť od uloženia pokuty. </w:t>
            </w:r>
          </w:p>
          <w:p w:rsidR="0004402F" w:rsidRDefault="0004402F" w:rsidP="0004402F">
            <w:pPr>
              <w:jc w:val="both"/>
              <w:rPr>
                <w:rFonts w:ascii="Times New Roman" w:hAnsi="Times New Roman"/>
                <w:sz w:val="24"/>
                <w:szCs w:val="24"/>
                <w:lang w:eastAsia="sk-SK"/>
              </w:rPr>
            </w:pPr>
            <w:r w:rsidRPr="00D03B1D">
              <w:rPr>
                <w:rFonts w:ascii="Times New Roman" w:hAnsi="Times New Roman"/>
                <w:sz w:val="24"/>
                <w:szCs w:val="24"/>
                <w:lang w:eastAsia="sk-SK"/>
              </w:rPr>
              <w:t>Úrok z omeškania pri oneskorenej úhrade je možné vyrubiť až päť rokov od konca roka, v ktorom bola povinnosť daň uhradiť.</w:t>
            </w:r>
          </w:p>
          <w:p w:rsidR="0023284E" w:rsidRDefault="0023284E" w:rsidP="0004402F">
            <w:pPr>
              <w:jc w:val="both"/>
              <w:rPr>
                <w:rFonts w:ascii="Times New Roman" w:hAnsi="Times New Roman"/>
                <w:sz w:val="24"/>
                <w:szCs w:val="24"/>
                <w:lang w:eastAsia="sk-SK"/>
              </w:rPr>
            </w:pPr>
          </w:p>
          <w:p w:rsidR="0004402F" w:rsidRPr="00B043B4" w:rsidRDefault="0004402F" w:rsidP="0004402F">
            <w:pPr>
              <w:jc w:val="both"/>
              <w:rPr>
                <w:rFonts w:ascii="Times New Roman" w:hAnsi="Times New Roman"/>
                <w:b/>
                <w:sz w:val="20"/>
                <w:szCs w:val="20"/>
                <w:lang w:eastAsia="sk-SK"/>
              </w:rPr>
            </w:pPr>
          </w:p>
        </w:tc>
      </w:tr>
      <w:tr w:rsidR="0004402F" w:rsidRPr="00B043B4" w:rsidTr="0004402F">
        <w:tc>
          <w:tcPr>
            <w:tcW w:w="9180" w:type="dxa"/>
            <w:gridSpan w:val="11"/>
            <w:tcBorders>
              <w:bottom w:val="nil"/>
            </w:tcBorders>
            <w:shd w:val="clear" w:color="auto" w:fill="E2E2E2"/>
          </w:tcPr>
          <w:p w:rsidR="0004402F" w:rsidRPr="00B043B4" w:rsidRDefault="0004402F" w:rsidP="0004402F">
            <w:pPr>
              <w:numPr>
                <w:ilvl w:val="0"/>
                <w:numId w:val="1"/>
              </w:numPr>
              <w:ind w:left="426"/>
              <w:contextualSpacing/>
              <w:rPr>
                <w:rFonts w:ascii="Times New Roman" w:hAnsi="Times New Roman"/>
                <w:b/>
              </w:rPr>
            </w:pPr>
            <w:r w:rsidRPr="00B043B4">
              <w:rPr>
                <w:rFonts w:ascii="Times New Roman" w:hAnsi="Times New Roman"/>
                <w:b/>
              </w:rPr>
              <w:lastRenderedPageBreak/>
              <w:t>Ciele a výsledný stav</w:t>
            </w:r>
          </w:p>
        </w:tc>
      </w:tr>
      <w:tr w:rsidR="0004402F" w:rsidRPr="00B043B4" w:rsidTr="0004402F">
        <w:trPr>
          <w:trHeight w:val="741"/>
        </w:trPr>
        <w:tc>
          <w:tcPr>
            <w:tcW w:w="9180" w:type="dxa"/>
            <w:gridSpan w:val="11"/>
            <w:tcBorders>
              <w:top w:val="nil"/>
            </w:tcBorders>
            <w:shd w:val="clear" w:color="auto" w:fill="FFFFFF"/>
          </w:tcPr>
          <w:p w:rsidR="0004402F" w:rsidRPr="00B648DC" w:rsidRDefault="0004402F" w:rsidP="0004402F">
            <w:pPr>
              <w:ind w:firstLine="29"/>
              <w:jc w:val="both"/>
              <w:rPr>
                <w:rStyle w:val="awspan"/>
                <w:rFonts w:ascii="Times New Roman" w:hAnsi="Times New Roman"/>
                <w:b/>
                <w:color w:val="000000"/>
                <w:sz w:val="24"/>
                <w:szCs w:val="24"/>
              </w:rPr>
            </w:pPr>
            <w:r w:rsidRPr="00B648DC">
              <w:rPr>
                <w:rStyle w:val="awspan"/>
                <w:rFonts w:ascii="Times New Roman" w:hAnsi="Times New Roman"/>
                <w:b/>
                <w:color w:val="000000"/>
                <w:sz w:val="24"/>
                <w:szCs w:val="24"/>
              </w:rPr>
              <w:t>K novele zákona o dani z príjmov:</w:t>
            </w:r>
          </w:p>
          <w:p w:rsidR="0004402F" w:rsidRPr="00FD5CF6" w:rsidRDefault="0004402F" w:rsidP="0004402F">
            <w:pPr>
              <w:pStyle w:val="Odsekzoznamu"/>
              <w:numPr>
                <w:ilvl w:val="0"/>
                <w:numId w:val="3"/>
              </w:numPr>
              <w:ind w:left="313" w:hanging="284"/>
              <w:jc w:val="both"/>
              <w:rPr>
                <w:rFonts w:ascii="Times New Roman" w:hAnsi="Times New Roman"/>
                <w:sz w:val="24"/>
                <w:szCs w:val="24"/>
              </w:rPr>
            </w:pPr>
            <w:r w:rsidRPr="00FD5CF6">
              <w:rPr>
                <w:rFonts w:ascii="Times New Roman" w:hAnsi="Times New Roman"/>
                <w:sz w:val="24"/>
                <w:szCs w:val="24"/>
              </w:rPr>
              <w:t>V návrhu zákona sa spresňujú a dopĺňajú ustanovenia týkajúce sa pravidiel transferového oceňovania, a to najmä:</w:t>
            </w:r>
          </w:p>
          <w:p w:rsidR="0004402F" w:rsidRPr="00286A36" w:rsidRDefault="0004402F" w:rsidP="0004402F">
            <w:pPr>
              <w:pStyle w:val="Odsekzoznamu"/>
              <w:numPr>
                <w:ilvl w:val="0"/>
                <w:numId w:val="2"/>
              </w:numPr>
              <w:ind w:left="738" w:hanging="425"/>
              <w:jc w:val="both"/>
              <w:rPr>
                <w:rFonts w:ascii="Times New Roman" w:hAnsi="Times New Roman"/>
                <w:sz w:val="24"/>
                <w:szCs w:val="24"/>
                <w:lang w:eastAsia="sk-SK"/>
              </w:rPr>
            </w:pPr>
            <w:r>
              <w:rPr>
                <w:rFonts w:ascii="Times New Roman" w:hAnsi="Times New Roman"/>
                <w:sz w:val="24"/>
                <w:szCs w:val="24"/>
                <w:lang w:eastAsia="sk-SK"/>
              </w:rPr>
              <w:t>ú</w:t>
            </w:r>
            <w:r w:rsidRPr="00286A36">
              <w:rPr>
                <w:rFonts w:ascii="Times New Roman" w:hAnsi="Times New Roman"/>
                <w:sz w:val="24"/>
                <w:szCs w:val="24"/>
                <w:lang w:eastAsia="sk-SK"/>
              </w:rPr>
              <w:t>prava</w:t>
            </w:r>
            <w:r>
              <w:rPr>
                <w:rFonts w:ascii="Times New Roman" w:hAnsi="Times New Roman"/>
                <w:sz w:val="24"/>
                <w:szCs w:val="24"/>
                <w:lang w:eastAsia="sk-SK"/>
              </w:rPr>
              <w:t xml:space="preserve"> a spresnenie</w:t>
            </w:r>
            <w:r w:rsidRPr="00286A36">
              <w:rPr>
                <w:rFonts w:ascii="Times New Roman" w:hAnsi="Times New Roman"/>
                <w:sz w:val="24"/>
                <w:szCs w:val="24"/>
                <w:lang w:eastAsia="sk-SK"/>
              </w:rPr>
              <w:t xml:space="preserve"> definície zahraničnej závislej osoby, </w:t>
            </w:r>
          </w:p>
          <w:p w:rsidR="0004402F" w:rsidRPr="00286A36" w:rsidRDefault="0004402F" w:rsidP="0004402F">
            <w:pPr>
              <w:pStyle w:val="Odsekzoznamu"/>
              <w:numPr>
                <w:ilvl w:val="0"/>
                <w:numId w:val="2"/>
              </w:numPr>
              <w:ind w:left="738" w:hanging="425"/>
              <w:jc w:val="both"/>
              <w:rPr>
                <w:rFonts w:ascii="Times New Roman" w:hAnsi="Times New Roman"/>
                <w:sz w:val="24"/>
                <w:szCs w:val="24"/>
                <w:lang w:eastAsia="sk-SK"/>
              </w:rPr>
            </w:pPr>
            <w:r w:rsidRPr="00286A36">
              <w:rPr>
                <w:rFonts w:ascii="Times New Roman" w:hAnsi="Times New Roman"/>
                <w:sz w:val="24"/>
                <w:szCs w:val="24"/>
                <w:lang w:eastAsia="sk-SK"/>
              </w:rPr>
              <w:t>spresnenie definície kontrolovanej transakcie</w:t>
            </w:r>
            <w:r>
              <w:rPr>
                <w:rFonts w:ascii="Times New Roman" w:hAnsi="Times New Roman"/>
                <w:sz w:val="24"/>
                <w:szCs w:val="24"/>
                <w:lang w:eastAsia="sk-SK"/>
              </w:rPr>
              <w:t xml:space="preserve"> a doplnenie významnej kontrolovanej transakcie (bezpečný prístav),</w:t>
            </w:r>
          </w:p>
          <w:p w:rsidR="0004402F" w:rsidRPr="00286A36" w:rsidRDefault="0004402F" w:rsidP="0004402F">
            <w:pPr>
              <w:pStyle w:val="Odsekzoznamu"/>
              <w:numPr>
                <w:ilvl w:val="0"/>
                <w:numId w:val="2"/>
              </w:numPr>
              <w:ind w:left="738" w:hanging="425"/>
              <w:jc w:val="both"/>
              <w:rPr>
                <w:rFonts w:ascii="Times New Roman" w:hAnsi="Times New Roman"/>
                <w:sz w:val="24"/>
                <w:szCs w:val="24"/>
                <w:lang w:eastAsia="sk-SK"/>
              </w:rPr>
            </w:pPr>
            <w:r>
              <w:rPr>
                <w:rFonts w:ascii="Times New Roman" w:hAnsi="Times New Roman"/>
                <w:sz w:val="24"/>
                <w:szCs w:val="24"/>
                <w:lang w:eastAsia="sk-SK"/>
              </w:rPr>
              <w:t>doplnenie pravidiel pri určení</w:t>
            </w:r>
            <w:r w:rsidRPr="00286A36">
              <w:rPr>
                <w:rFonts w:ascii="Times New Roman" w:hAnsi="Times New Roman"/>
                <w:sz w:val="24"/>
                <w:szCs w:val="24"/>
                <w:lang w:eastAsia="sk-SK"/>
              </w:rPr>
              <w:t xml:space="preserve"> základu dane stálej prevádzkarne daňovník</w:t>
            </w:r>
            <w:r>
              <w:rPr>
                <w:rFonts w:ascii="Times New Roman" w:hAnsi="Times New Roman"/>
                <w:sz w:val="24"/>
                <w:szCs w:val="24"/>
                <w:lang w:eastAsia="sk-SK"/>
              </w:rPr>
              <w:t>a</w:t>
            </w:r>
            <w:r w:rsidRPr="00286A36">
              <w:rPr>
                <w:rFonts w:ascii="Times New Roman" w:hAnsi="Times New Roman"/>
                <w:sz w:val="24"/>
                <w:szCs w:val="24"/>
                <w:lang w:eastAsia="sk-SK"/>
              </w:rPr>
              <w:t xml:space="preserve"> s obmedzenou daňovou povinnosťou (nerezident</w:t>
            </w:r>
            <w:r>
              <w:rPr>
                <w:rFonts w:ascii="Times New Roman" w:hAnsi="Times New Roman"/>
                <w:sz w:val="24"/>
                <w:szCs w:val="24"/>
                <w:lang w:eastAsia="sk-SK"/>
              </w:rPr>
              <w:t>a</w:t>
            </w:r>
            <w:r w:rsidRPr="00286A36">
              <w:rPr>
                <w:rFonts w:ascii="Times New Roman" w:hAnsi="Times New Roman"/>
                <w:sz w:val="24"/>
                <w:szCs w:val="24"/>
                <w:lang w:eastAsia="sk-SK"/>
              </w:rPr>
              <w:t>) na území SR</w:t>
            </w:r>
            <w:r>
              <w:rPr>
                <w:rFonts w:ascii="Times New Roman" w:hAnsi="Times New Roman"/>
                <w:sz w:val="24"/>
                <w:szCs w:val="24"/>
                <w:lang w:eastAsia="sk-SK"/>
              </w:rPr>
              <w:t xml:space="preserve"> v súlade s aktuálnou metodikou Smernice OECD </w:t>
            </w:r>
            <w:r w:rsidRPr="00AE791B">
              <w:rPr>
                <w:rFonts w:ascii="Times New Roman" w:hAnsi="Times New Roman"/>
                <w:sz w:val="24"/>
                <w:szCs w:val="24"/>
                <w:lang w:eastAsia="sk-SK"/>
              </w:rPr>
              <w:t>o transferovom oceňovaní</w:t>
            </w:r>
            <w:r>
              <w:rPr>
                <w:rFonts w:ascii="Times New Roman" w:hAnsi="Times New Roman"/>
                <w:sz w:val="24"/>
                <w:szCs w:val="24"/>
                <w:lang w:eastAsia="sk-SK"/>
              </w:rPr>
              <w:t>,</w:t>
            </w:r>
            <w:r w:rsidRPr="00286A36">
              <w:rPr>
                <w:rFonts w:ascii="Times New Roman" w:hAnsi="Times New Roman"/>
                <w:sz w:val="24"/>
                <w:szCs w:val="24"/>
                <w:lang w:eastAsia="sk-SK"/>
              </w:rPr>
              <w:t xml:space="preserve"> </w:t>
            </w:r>
          </w:p>
          <w:p w:rsidR="0004402F" w:rsidRDefault="0004402F" w:rsidP="0004402F">
            <w:pPr>
              <w:pStyle w:val="Odsekzoznamu"/>
              <w:numPr>
                <w:ilvl w:val="0"/>
                <w:numId w:val="2"/>
              </w:numPr>
              <w:ind w:left="738" w:hanging="425"/>
              <w:jc w:val="both"/>
              <w:rPr>
                <w:rFonts w:ascii="Times New Roman" w:hAnsi="Times New Roman"/>
                <w:sz w:val="24"/>
                <w:szCs w:val="24"/>
                <w:lang w:eastAsia="sk-SK"/>
              </w:rPr>
            </w:pPr>
            <w:r>
              <w:rPr>
                <w:rFonts w:ascii="Times New Roman" w:hAnsi="Times New Roman"/>
                <w:sz w:val="24"/>
                <w:szCs w:val="24"/>
                <w:lang w:eastAsia="sk-SK"/>
              </w:rPr>
              <w:t xml:space="preserve">doplnenie pravidiel pri korešpondujúcej úprave základu dane v prípade </w:t>
            </w:r>
            <w:r w:rsidRPr="00286A36">
              <w:rPr>
                <w:rFonts w:ascii="Times New Roman" w:hAnsi="Times New Roman"/>
                <w:sz w:val="24"/>
                <w:szCs w:val="24"/>
                <w:lang w:eastAsia="sk-SK"/>
              </w:rPr>
              <w:t>stálej prevádzkarne daňovník</w:t>
            </w:r>
            <w:r>
              <w:rPr>
                <w:rFonts w:ascii="Times New Roman" w:hAnsi="Times New Roman"/>
                <w:sz w:val="24"/>
                <w:szCs w:val="24"/>
                <w:lang w:eastAsia="sk-SK"/>
              </w:rPr>
              <w:t xml:space="preserve">a </w:t>
            </w:r>
            <w:r w:rsidRPr="00286A36">
              <w:rPr>
                <w:rFonts w:ascii="Times New Roman" w:hAnsi="Times New Roman"/>
                <w:sz w:val="24"/>
                <w:szCs w:val="24"/>
                <w:lang w:eastAsia="sk-SK"/>
              </w:rPr>
              <w:t>s obmedzenou daňovou povinnosťou (nerezident</w:t>
            </w:r>
            <w:r>
              <w:rPr>
                <w:rFonts w:ascii="Times New Roman" w:hAnsi="Times New Roman"/>
                <w:sz w:val="24"/>
                <w:szCs w:val="24"/>
                <w:lang w:eastAsia="sk-SK"/>
              </w:rPr>
              <w:t>a</w:t>
            </w:r>
            <w:r w:rsidRPr="00286A36">
              <w:rPr>
                <w:rFonts w:ascii="Times New Roman" w:hAnsi="Times New Roman"/>
                <w:sz w:val="24"/>
                <w:szCs w:val="24"/>
                <w:lang w:eastAsia="sk-SK"/>
              </w:rPr>
              <w:t>) na území SR</w:t>
            </w:r>
            <w:r>
              <w:rPr>
                <w:rFonts w:ascii="Times New Roman" w:hAnsi="Times New Roman"/>
                <w:sz w:val="24"/>
                <w:szCs w:val="24"/>
                <w:lang w:eastAsia="sk-SK"/>
              </w:rPr>
              <w:t xml:space="preserve">, </w:t>
            </w:r>
          </w:p>
          <w:p w:rsidR="0004402F" w:rsidRDefault="0004402F" w:rsidP="0004402F">
            <w:pPr>
              <w:pStyle w:val="Odsekzoznamu"/>
              <w:numPr>
                <w:ilvl w:val="0"/>
                <w:numId w:val="2"/>
              </w:numPr>
              <w:ind w:left="738" w:hanging="425"/>
              <w:jc w:val="both"/>
              <w:rPr>
                <w:rFonts w:ascii="Times New Roman" w:hAnsi="Times New Roman"/>
                <w:sz w:val="24"/>
                <w:szCs w:val="24"/>
                <w:lang w:eastAsia="sk-SK"/>
              </w:rPr>
            </w:pPr>
            <w:r>
              <w:rPr>
                <w:rFonts w:ascii="Times New Roman" w:hAnsi="Times New Roman"/>
                <w:sz w:val="24"/>
                <w:szCs w:val="24"/>
                <w:lang w:eastAsia="sk-SK"/>
              </w:rPr>
              <w:t xml:space="preserve">doplnenie odkazu na </w:t>
            </w:r>
            <w:r w:rsidRPr="00AE791B">
              <w:rPr>
                <w:rFonts w:ascii="Times New Roman" w:hAnsi="Times New Roman"/>
                <w:sz w:val="24"/>
                <w:szCs w:val="24"/>
                <w:lang w:eastAsia="sk-SK"/>
              </w:rPr>
              <w:t>Smernicu OECD o transferovom oceňovaní do zákona o dani z príjmov z dôvodu zabezpečenia právnej istoty pri uplatňovaní pravidiel transferového oceňovania</w:t>
            </w:r>
            <w:r>
              <w:rPr>
                <w:rFonts w:ascii="Times New Roman" w:hAnsi="Times New Roman"/>
                <w:sz w:val="24"/>
                <w:szCs w:val="24"/>
                <w:lang w:eastAsia="sk-SK"/>
              </w:rPr>
              <w:t>.</w:t>
            </w:r>
          </w:p>
          <w:p w:rsidR="0004402F" w:rsidRPr="004424FB" w:rsidRDefault="0004402F" w:rsidP="0004402F">
            <w:pPr>
              <w:pStyle w:val="Odsekzoznamu"/>
              <w:numPr>
                <w:ilvl w:val="0"/>
                <w:numId w:val="4"/>
              </w:numPr>
              <w:ind w:left="313" w:hanging="284"/>
              <w:jc w:val="both"/>
              <w:rPr>
                <w:rFonts w:ascii="Times New Roman" w:hAnsi="Times New Roman"/>
                <w:sz w:val="24"/>
                <w:szCs w:val="24"/>
              </w:rPr>
            </w:pPr>
            <w:r w:rsidRPr="004424FB">
              <w:rPr>
                <w:rFonts w:ascii="Times New Roman" w:hAnsi="Times New Roman"/>
                <w:sz w:val="24"/>
                <w:szCs w:val="24"/>
              </w:rPr>
              <w:t xml:space="preserve">Transpozíciou </w:t>
            </w:r>
            <w:r>
              <w:rPr>
                <w:rFonts w:ascii="Times New Roman" w:hAnsi="Times New Roman"/>
                <w:sz w:val="24"/>
                <w:szCs w:val="24"/>
              </w:rPr>
              <w:t xml:space="preserve">smernice EÚ </w:t>
            </w:r>
            <w:r w:rsidRPr="004424FB">
              <w:rPr>
                <w:rFonts w:ascii="Times New Roman" w:hAnsi="Times New Roman"/>
                <w:sz w:val="24"/>
                <w:szCs w:val="24"/>
              </w:rPr>
              <w:t xml:space="preserve">do </w:t>
            </w:r>
            <w:r>
              <w:rPr>
                <w:rFonts w:ascii="Times New Roman" w:hAnsi="Times New Roman"/>
                <w:sz w:val="24"/>
                <w:szCs w:val="24"/>
              </w:rPr>
              <w:t xml:space="preserve">vnútroštátneho </w:t>
            </w:r>
            <w:r w:rsidRPr="004424FB">
              <w:rPr>
                <w:rFonts w:ascii="Times New Roman" w:hAnsi="Times New Roman"/>
                <w:sz w:val="24"/>
                <w:szCs w:val="24"/>
              </w:rPr>
              <w:t>zákona dochádza k obmedzeniu čistých úrokových nákladov u právnických osôb s cieľom zabrániť umelému znižovaniu základu dane z príjmov právnických osôb prostredníctvom dlhového financovania.</w:t>
            </w:r>
          </w:p>
          <w:p w:rsidR="0004402F" w:rsidRPr="004424FB" w:rsidRDefault="0004402F" w:rsidP="0004402F">
            <w:pPr>
              <w:pStyle w:val="Odsekzoznamu"/>
              <w:numPr>
                <w:ilvl w:val="0"/>
                <w:numId w:val="4"/>
              </w:numPr>
              <w:ind w:left="313" w:hanging="284"/>
              <w:jc w:val="both"/>
              <w:rPr>
                <w:rFonts w:ascii="Times New Roman" w:hAnsi="Times New Roman"/>
                <w:sz w:val="24"/>
                <w:szCs w:val="24"/>
              </w:rPr>
            </w:pPr>
            <w:r>
              <w:rPr>
                <w:rFonts w:ascii="Times New Roman" w:hAnsi="Times New Roman"/>
                <w:sz w:val="24"/>
                <w:szCs w:val="24"/>
              </w:rPr>
              <w:t>V n</w:t>
            </w:r>
            <w:r w:rsidRPr="004424FB">
              <w:rPr>
                <w:rFonts w:ascii="Times New Roman" w:hAnsi="Times New Roman"/>
                <w:sz w:val="24"/>
                <w:szCs w:val="24"/>
              </w:rPr>
              <w:t>ovel</w:t>
            </w:r>
            <w:r>
              <w:rPr>
                <w:rFonts w:ascii="Times New Roman" w:hAnsi="Times New Roman"/>
                <w:sz w:val="24"/>
                <w:szCs w:val="24"/>
              </w:rPr>
              <w:t>e</w:t>
            </w:r>
            <w:r w:rsidRPr="004424FB">
              <w:rPr>
                <w:rFonts w:ascii="Times New Roman" w:hAnsi="Times New Roman"/>
                <w:sz w:val="24"/>
                <w:szCs w:val="24"/>
              </w:rPr>
              <w:t xml:space="preserve"> zákona </w:t>
            </w:r>
            <w:r>
              <w:rPr>
                <w:rFonts w:ascii="Times New Roman" w:hAnsi="Times New Roman"/>
                <w:sz w:val="24"/>
                <w:szCs w:val="24"/>
              </w:rPr>
              <w:t xml:space="preserve">sa </w:t>
            </w:r>
            <w:r w:rsidRPr="004424FB">
              <w:rPr>
                <w:rFonts w:ascii="Times New Roman" w:hAnsi="Times New Roman"/>
                <w:sz w:val="24"/>
                <w:szCs w:val="24"/>
              </w:rPr>
              <w:t>dopĺňa postup daňovníka v prípade preventívnej reštrukturalizácie. Ide o legislatívnu úpravu tzv. zákonného a daňovo uznaného odpisu pohľadávok, podľa ktorej bude postupovať daňovník pri zániku pohľadávky alebo záväzku, vrátane odpustenia dlhu, ako aj pri tvorbe opravných položiek k pohľadávkam.</w:t>
            </w:r>
          </w:p>
          <w:p w:rsidR="0004402F" w:rsidRDefault="0004402F" w:rsidP="0004402F">
            <w:pPr>
              <w:pStyle w:val="Odsekzoznamu"/>
              <w:numPr>
                <w:ilvl w:val="0"/>
                <w:numId w:val="4"/>
              </w:numPr>
              <w:ind w:left="313" w:hanging="284"/>
              <w:jc w:val="both"/>
              <w:rPr>
                <w:rFonts w:ascii="Times New Roman" w:hAnsi="Times New Roman"/>
                <w:sz w:val="24"/>
                <w:szCs w:val="24"/>
              </w:rPr>
            </w:pPr>
            <w:r>
              <w:rPr>
                <w:rFonts w:ascii="Times New Roman" w:hAnsi="Times New Roman"/>
                <w:sz w:val="24"/>
                <w:szCs w:val="24"/>
              </w:rPr>
              <w:t>Novelou zákona sa od</w:t>
            </w:r>
            <w:r w:rsidRPr="004424FB">
              <w:rPr>
                <w:rFonts w:ascii="Times New Roman" w:hAnsi="Times New Roman"/>
                <w:sz w:val="24"/>
                <w:szCs w:val="24"/>
              </w:rPr>
              <w:t xml:space="preserve"> 1. 1. 2023 </w:t>
            </w:r>
            <w:r>
              <w:rPr>
                <w:rFonts w:ascii="Times New Roman" w:hAnsi="Times New Roman"/>
                <w:sz w:val="24"/>
                <w:szCs w:val="24"/>
              </w:rPr>
              <w:t>sa  mení spôsob registrácie k dani z príjmov u vybraných typov daňovníkov</w:t>
            </w:r>
            <w:r w:rsidRPr="004424FB">
              <w:rPr>
                <w:rFonts w:ascii="Times New Roman" w:hAnsi="Times New Roman"/>
                <w:sz w:val="24"/>
                <w:szCs w:val="24"/>
              </w:rPr>
              <w:t>. Správca dane bude registrovať daňovníkov na daň z príjmov z úradnej moci na základe údajov z registra právnických osôb, podnikateľov a orgánov verejnej moci zapísaných do obchodného registra a živnostenského registra</w:t>
            </w:r>
            <w:r>
              <w:rPr>
                <w:rFonts w:ascii="Times New Roman" w:hAnsi="Times New Roman"/>
                <w:sz w:val="24"/>
                <w:szCs w:val="24"/>
              </w:rPr>
              <w:t xml:space="preserve"> a podľa oznámenia finančného riaditeľstva zverejneného na jeho webovom sídle</w:t>
            </w:r>
            <w:r w:rsidRPr="004424FB">
              <w:rPr>
                <w:rFonts w:ascii="Times New Roman" w:hAnsi="Times New Roman"/>
                <w:sz w:val="24"/>
                <w:szCs w:val="24"/>
              </w:rPr>
              <w:t>.</w:t>
            </w:r>
          </w:p>
          <w:p w:rsidR="0004402F" w:rsidRDefault="0004402F" w:rsidP="0004402F">
            <w:pPr>
              <w:ind w:left="29"/>
              <w:jc w:val="both"/>
              <w:rPr>
                <w:rFonts w:ascii="Times New Roman" w:hAnsi="Times New Roman"/>
                <w:b/>
                <w:sz w:val="24"/>
                <w:szCs w:val="24"/>
              </w:rPr>
            </w:pPr>
            <w:r w:rsidRPr="0089386C">
              <w:rPr>
                <w:rFonts w:ascii="Times New Roman" w:hAnsi="Times New Roman"/>
                <w:b/>
                <w:sz w:val="24"/>
                <w:szCs w:val="24"/>
              </w:rPr>
              <w:t>K novele Daňového poriadku</w:t>
            </w:r>
            <w:r>
              <w:rPr>
                <w:rFonts w:ascii="Times New Roman" w:hAnsi="Times New Roman"/>
                <w:b/>
                <w:sz w:val="24"/>
                <w:szCs w:val="24"/>
              </w:rPr>
              <w:t>:</w:t>
            </w:r>
          </w:p>
          <w:p w:rsidR="0004402F" w:rsidRPr="009D61A8" w:rsidRDefault="0004402F" w:rsidP="0004402F">
            <w:pPr>
              <w:pStyle w:val="Odsekzoznamu"/>
              <w:numPr>
                <w:ilvl w:val="0"/>
                <w:numId w:val="3"/>
              </w:numPr>
              <w:ind w:left="313" w:hanging="284"/>
              <w:jc w:val="both"/>
              <w:rPr>
                <w:rFonts w:ascii="Times New Roman" w:hAnsi="Times New Roman"/>
                <w:sz w:val="24"/>
                <w:szCs w:val="24"/>
              </w:rPr>
            </w:pPr>
            <w:r w:rsidRPr="009D61A8">
              <w:rPr>
                <w:rFonts w:ascii="Times New Roman" w:hAnsi="Times New Roman"/>
                <w:sz w:val="24"/>
                <w:szCs w:val="24"/>
              </w:rPr>
              <w:t>Zavádza sa „druhá šanca“ pri ukladaní pokút. Navrhuje sa, aby pri prvom zistení porušenia, správca dane pokutu, ktorú je možné určiť v rámci intervalového rozpätia, neuložil, ale aby vyzval na splnenie povinnosti a aby zároveň upozornil daňový subjekt, že pri ďalšom porušení už bude uložená pokuta.</w:t>
            </w:r>
          </w:p>
          <w:p w:rsidR="0004402F" w:rsidRPr="0004402F" w:rsidRDefault="0004402F" w:rsidP="0004402F">
            <w:pPr>
              <w:pStyle w:val="Odsekzoznamu"/>
              <w:numPr>
                <w:ilvl w:val="0"/>
                <w:numId w:val="3"/>
              </w:numPr>
              <w:ind w:left="313" w:hanging="284"/>
              <w:jc w:val="both"/>
              <w:rPr>
                <w:rFonts w:ascii="Times New Roman" w:hAnsi="Times New Roman"/>
                <w:b/>
                <w:sz w:val="24"/>
                <w:szCs w:val="24"/>
              </w:rPr>
            </w:pPr>
            <w:r w:rsidRPr="00D03B1D">
              <w:rPr>
                <w:rFonts w:ascii="Times New Roman" w:hAnsi="Times New Roman"/>
                <w:sz w:val="24"/>
                <w:szCs w:val="24"/>
              </w:rPr>
              <w:t>Skracuje</w:t>
            </w:r>
            <w:r w:rsidRPr="009D61A8">
              <w:rPr>
                <w:rFonts w:ascii="Times New Roman" w:hAnsi="Times New Roman"/>
                <w:sz w:val="24"/>
                <w:szCs w:val="24"/>
              </w:rPr>
              <w:t xml:space="preserve"> sa lehota na vyrubenie úroku z omeškania pri úhrade nedoplatku v plnej výške. Navrhuje sa</w:t>
            </w:r>
            <w:r>
              <w:rPr>
                <w:rFonts w:ascii="Times New Roman" w:hAnsi="Times New Roman"/>
                <w:sz w:val="24"/>
                <w:szCs w:val="24"/>
              </w:rPr>
              <w:t>,</w:t>
            </w:r>
            <w:r w:rsidRPr="009D61A8">
              <w:rPr>
                <w:rFonts w:ascii="Times New Roman" w:hAnsi="Times New Roman"/>
                <w:sz w:val="24"/>
                <w:szCs w:val="24"/>
              </w:rPr>
              <w:t xml:space="preserve"> aby správca dane vyrubil úrok z omeškania do jedného roka od konca roka, v ktorom bola táto suma uhradená. </w:t>
            </w:r>
          </w:p>
          <w:p w:rsidR="0004402F" w:rsidRPr="009D61A8" w:rsidRDefault="0004402F" w:rsidP="0004402F">
            <w:pPr>
              <w:pStyle w:val="Odsekzoznamu"/>
              <w:ind w:left="313"/>
              <w:jc w:val="both"/>
              <w:rPr>
                <w:rFonts w:ascii="Times New Roman" w:hAnsi="Times New Roman"/>
                <w:b/>
                <w:sz w:val="24"/>
                <w:szCs w:val="24"/>
              </w:rPr>
            </w:pPr>
          </w:p>
        </w:tc>
      </w:tr>
      <w:tr w:rsidR="0004402F" w:rsidRPr="00B043B4" w:rsidTr="0004402F">
        <w:tc>
          <w:tcPr>
            <w:tcW w:w="9180" w:type="dxa"/>
            <w:gridSpan w:val="11"/>
            <w:tcBorders>
              <w:bottom w:val="nil"/>
            </w:tcBorders>
            <w:shd w:val="clear" w:color="auto" w:fill="E2E2E2"/>
          </w:tcPr>
          <w:p w:rsidR="0004402F" w:rsidRPr="00B043B4" w:rsidRDefault="0004402F" w:rsidP="0004402F">
            <w:pPr>
              <w:numPr>
                <w:ilvl w:val="0"/>
                <w:numId w:val="1"/>
              </w:numPr>
              <w:ind w:left="426"/>
              <w:contextualSpacing/>
              <w:rPr>
                <w:rFonts w:ascii="Times New Roman" w:hAnsi="Times New Roman"/>
                <w:b/>
              </w:rPr>
            </w:pPr>
            <w:r w:rsidRPr="00B043B4">
              <w:rPr>
                <w:rFonts w:ascii="Times New Roman" w:hAnsi="Times New Roman"/>
                <w:b/>
              </w:rPr>
              <w:t>Dotknuté subjekty</w:t>
            </w:r>
          </w:p>
        </w:tc>
      </w:tr>
      <w:tr w:rsidR="0004402F" w:rsidRPr="00B043B4" w:rsidTr="0004402F">
        <w:tc>
          <w:tcPr>
            <w:tcW w:w="9180" w:type="dxa"/>
            <w:gridSpan w:val="11"/>
            <w:tcBorders>
              <w:top w:val="nil"/>
            </w:tcBorders>
            <w:shd w:val="clear" w:color="auto" w:fill="FFFFFF"/>
          </w:tcPr>
          <w:p w:rsidR="0004402F" w:rsidRPr="00C72927" w:rsidRDefault="0004402F" w:rsidP="0004402F">
            <w:pPr>
              <w:jc w:val="both"/>
              <w:rPr>
                <w:rFonts w:ascii="Times New Roman" w:hAnsi="Times New Roman"/>
                <w:sz w:val="24"/>
                <w:szCs w:val="24"/>
                <w:lang w:eastAsia="sk-SK"/>
              </w:rPr>
            </w:pPr>
            <w:r w:rsidRPr="005775C9">
              <w:rPr>
                <w:rFonts w:ascii="Times New Roman" w:hAnsi="Times New Roman"/>
                <w:sz w:val="24"/>
                <w:szCs w:val="24"/>
                <w:lang w:eastAsia="sk-SK"/>
              </w:rPr>
              <w:t xml:space="preserve">Navrhovaná </w:t>
            </w:r>
            <w:r w:rsidRPr="00C72927">
              <w:rPr>
                <w:rFonts w:ascii="Times New Roman" w:hAnsi="Times New Roman"/>
                <w:sz w:val="24"/>
                <w:szCs w:val="24"/>
                <w:lang w:eastAsia="sk-SK"/>
              </w:rPr>
              <w:t xml:space="preserve">úprava v zákone o dani z príjmov sa dotkne právnických osôb  a fyzických osôb-podnikateľov a všetkých fyzických osôb, ktoré majú nárok na uplatnenie daňového bonusu.  </w:t>
            </w:r>
          </w:p>
          <w:p w:rsidR="0004402F" w:rsidRDefault="0004402F" w:rsidP="0004402F">
            <w:pPr>
              <w:jc w:val="both"/>
              <w:rPr>
                <w:rFonts w:ascii="Times New Roman" w:hAnsi="Times New Roman"/>
                <w:sz w:val="24"/>
                <w:szCs w:val="24"/>
                <w:lang w:eastAsia="sk-SK"/>
              </w:rPr>
            </w:pPr>
            <w:r w:rsidRPr="00C72927">
              <w:rPr>
                <w:rFonts w:ascii="Times New Roman" w:hAnsi="Times New Roman"/>
                <w:sz w:val="24"/>
                <w:szCs w:val="24"/>
                <w:lang w:eastAsia="sk-SK"/>
              </w:rPr>
              <w:t>Navrhovaná úprava v daňovom poriadku sa dotkne všetkých daňových subjektov.</w:t>
            </w:r>
          </w:p>
          <w:p w:rsidR="0004402F" w:rsidRPr="005775C9" w:rsidRDefault="0004402F" w:rsidP="0004402F">
            <w:pPr>
              <w:jc w:val="both"/>
              <w:rPr>
                <w:rFonts w:ascii="Times New Roman" w:hAnsi="Times New Roman"/>
                <w:sz w:val="24"/>
                <w:szCs w:val="24"/>
                <w:lang w:eastAsia="sk-SK"/>
              </w:rPr>
            </w:pPr>
          </w:p>
        </w:tc>
      </w:tr>
      <w:tr w:rsidR="0004402F" w:rsidRPr="00B043B4" w:rsidTr="0004402F">
        <w:tc>
          <w:tcPr>
            <w:tcW w:w="9180" w:type="dxa"/>
            <w:gridSpan w:val="11"/>
            <w:shd w:val="clear" w:color="auto" w:fill="E2E2E2"/>
          </w:tcPr>
          <w:p w:rsidR="0004402F" w:rsidRPr="00B043B4" w:rsidRDefault="0004402F" w:rsidP="0004402F">
            <w:pPr>
              <w:numPr>
                <w:ilvl w:val="0"/>
                <w:numId w:val="1"/>
              </w:numPr>
              <w:ind w:left="426"/>
              <w:contextualSpacing/>
              <w:rPr>
                <w:rFonts w:ascii="Times New Roman" w:hAnsi="Times New Roman"/>
                <w:b/>
              </w:rPr>
            </w:pPr>
            <w:r w:rsidRPr="00B043B4">
              <w:rPr>
                <w:rFonts w:ascii="Times New Roman" w:hAnsi="Times New Roman"/>
                <w:b/>
              </w:rPr>
              <w:t>Alternatívne riešenia</w:t>
            </w:r>
          </w:p>
        </w:tc>
      </w:tr>
      <w:tr w:rsidR="0004402F" w:rsidRPr="00B043B4" w:rsidTr="0004402F">
        <w:trPr>
          <w:trHeight w:val="605"/>
        </w:trPr>
        <w:tc>
          <w:tcPr>
            <w:tcW w:w="9180" w:type="dxa"/>
            <w:gridSpan w:val="11"/>
            <w:shd w:val="clear" w:color="auto" w:fill="FFFFFF"/>
          </w:tcPr>
          <w:p w:rsidR="0004402F" w:rsidRPr="004C0B34" w:rsidRDefault="0004402F" w:rsidP="0004402F">
            <w:pPr>
              <w:pStyle w:val="Default"/>
              <w:jc w:val="both"/>
              <w:rPr>
                <w:b/>
                <w:color w:val="auto"/>
              </w:rPr>
            </w:pPr>
            <w:r w:rsidRPr="004C0B34">
              <w:rPr>
                <w:b/>
                <w:color w:val="auto"/>
              </w:rPr>
              <w:t>Daň z príjmov</w:t>
            </w:r>
          </w:p>
          <w:p w:rsidR="0004402F" w:rsidRPr="00C72927" w:rsidRDefault="0004402F" w:rsidP="0004402F">
            <w:pPr>
              <w:pStyle w:val="Default"/>
              <w:jc w:val="both"/>
              <w:rPr>
                <w:color w:val="auto"/>
              </w:rPr>
            </w:pPr>
            <w:r w:rsidRPr="00C72927">
              <w:rPr>
                <w:color w:val="auto"/>
              </w:rPr>
              <w:t>Nulový variant – pravidlo o obmedzení úrokových nákladov</w:t>
            </w:r>
          </w:p>
          <w:p w:rsidR="0004402F" w:rsidRDefault="0004402F" w:rsidP="0004402F">
            <w:pPr>
              <w:pStyle w:val="Default"/>
              <w:jc w:val="both"/>
              <w:rPr>
                <w:color w:val="auto"/>
              </w:rPr>
            </w:pPr>
            <w:r w:rsidRPr="00C72927">
              <w:rPr>
                <w:color w:val="auto"/>
              </w:rPr>
              <w:t>Nezavedenie pravidla o obmedzení úrokových nákladov do zákona o dani z príjmov by viedlo k začatiu konania Komisie EÚ o porušení z dôvodu neimplementácie prijatej smernice EÚ (</w:t>
            </w:r>
            <w:r w:rsidRPr="00C72927">
              <w:rPr>
                <w:color w:val="auto"/>
                <w:lang w:val="en-GB"/>
              </w:rPr>
              <w:t xml:space="preserve">infringement procedure) s </w:t>
            </w:r>
            <w:r w:rsidRPr="00C72927">
              <w:rPr>
                <w:color w:val="auto"/>
              </w:rPr>
              <w:t>následnými sankciami voči SR.</w:t>
            </w:r>
          </w:p>
          <w:p w:rsidR="0004402F" w:rsidRDefault="0004402F" w:rsidP="0004402F">
            <w:pPr>
              <w:pStyle w:val="Default"/>
              <w:jc w:val="both"/>
              <w:rPr>
                <w:color w:val="auto"/>
              </w:rPr>
            </w:pPr>
          </w:p>
          <w:p w:rsidR="0004402F" w:rsidRPr="00C72927" w:rsidRDefault="0004402F" w:rsidP="0004402F">
            <w:pPr>
              <w:pStyle w:val="Default"/>
              <w:jc w:val="both"/>
              <w:rPr>
                <w:color w:val="auto"/>
              </w:rPr>
            </w:pPr>
          </w:p>
          <w:p w:rsidR="0004402F" w:rsidRPr="00C72927" w:rsidRDefault="0004402F" w:rsidP="0004402F">
            <w:pPr>
              <w:pStyle w:val="Default"/>
              <w:jc w:val="both"/>
              <w:rPr>
                <w:color w:val="auto"/>
              </w:rPr>
            </w:pPr>
            <w:r w:rsidRPr="00C72927">
              <w:rPr>
                <w:color w:val="auto"/>
              </w:rPr>
              <w:t>Nulový variant – bezpečný prístav</w:t>
            </w:r>
          </w:p>
          <w:p w:rsidR="0004402F" w:rsidRPr="00C72927" w:rsidRDefault="0004402F" w:rsidP="0004402F">
            <w:pPr>
              <w:pStyle w:val="Default"/>
              <w:jc w:val="both"/>
              <w:rPr>
                <w:color w:val="auto"/>
              </w:rPr>
            </w:pPr>
            <w:r w:rsidRPr="00C72927">
              <w:rPr>
                <w:color w:val="auto"/>
              </w:rPr>
              <w:lastRenderedPageBreak/>
              <w:t>Zavedenie bezpečného prístavu  pri posudzovaní významnej kontrolovanej transakcie bola dlhodobá požiadavka zo strany podnikateľských subjektov za účelom zníženia administratívnej záťaže podnikateľov, ktorí sú závislými osobami.</w:t>
            </w:r>
          </w:p>
          <w:p w:rsidR="0004402F" w:rsidRPr="00C72927" w:rsidRDefault="0004402F" w:rsidP="0004402F">
            <w:pPr>
              <w:jc w:val="both"/>
              <w:rPr>
                <w:rFonts w:ascii="Times New Roman" w:hAnsi="Times New Roman"/>
                <w:sz w:val="24"/>
                <w:szCs w:val="24"/>
              </w:rPr>
            </w:pPr>
            <w:r w:rsidRPr="00C72927">
              <w:rPr>
                <w:rFonts w:ascii="Times New Roman" w:hAnsi="Times New Roman"/>
                <w:sz w:val="24"/>
                <w:szCs w:val="24"/>
              </w:rPr>
              <w:t xml:space="preserve">Nulový variant – tvorba rezerv v poisťovniach </w:t>
            </w:r>
          </w:p>
          <w:p w:rsidR="0004402F" w:rsidRPr="00C72927" w:rsidRDefault="0004402F" w:rsidP="0004402F">
            <w:pPr>
              <w:jc w:val="both"/>
              <w:rPr>
                <w:rFonts w:ascii="Times New Roman" w:hAnsi="Times New Roman"/>
                <w:sz w:val="24"/>
                <w:szCs w:val="24"/>
              </w:rPr>
            </w:pPr>
            <w:r w:rsidRPr="00C72927">
              <w:rPr>
                <w:rFonts w:ascii="Times New Roman" w:hAnsi="Times New Roman"/>
                <w:sz w:val="24"/>
                <w:szCs w:val="24"/>
              </w:rPr>
              <w:t xml:space="preserve">Poisťovniam vzniká povinnosť vytvárať rezervy novým spôsobom podľa štandardu IFRS 17, a preto je nevyhnuté zosúladiť tento spôsob vykazovania aj s príslušnými ustanoveniami v zákone o dani z príjmov. </w:t>
            </w:r>
          </w:p>
          <w:p w:rsidR="0004402F" w:rsidRPr="00C72927" w:rsidRDefault="0004402F" w:rsidP="0004402F">
            <w:pPr>
              <w:jc w:val="both"/>
              <w:rPr>
                <w:rFonts w:ascii="Times New Roman" w:hAnsi="Times New Roman"/>
                <w:sz w:val="24"/>
                <w:szCs w:val="24"/>
              </w:rPr>
            </w:pPr>
            <w:r w:rsidRPr="00C72927">
              <w:rPr>
                <w:rFonts w:ascii="Times New Roman" w:hAnsi="Times New Roman"/>
                <w:sz w:val="24"/>
                <w:szCs w:val="24"/>
              </w:rPr>
              <w:t>Nulový variant – možnosť uplatnenia vyššej sumy daňového bonusu na vyživované dieťa (deti)</w:t>
            </w:r>
          </w:p>
          <w:p w:rsidR="0004402F" w:rsidRPr="00C72927" w:rsidRDefault="0004402F" w:rsidP="0004402F">
            <w:pPr>
              <w:jc w:val="both"/>
              <w:rPr>
                <w:rFonts w:ascii="Times New Roman" w:hAnsi="Times New Roman"/>
                <w:sz w:val="24"/>
                <w:szCs w:val="24"/>
              </w:rPr>
            </w:pPr>
            <w:r w:rsidRPr="00C72927">
              <w:rPr>
                <w:rFonts w:ascii="Times New Roman" w:hAnsi="Times New Roman"/>
                <w:sz w:val="24"/>
                <w:szCs w:val="24"/>
              </w:rPr>
              <w:t>Zavedením možnosti zápočtu príjmov (čiastkových základov dane) obidvoch oprávnených osôb (napr,. rodičov)  do úhrnu príjmov na účely uplatnenia daňového bonusu sa umožní uplatnenie daňového bonusu vo vyššej sume u daňovníkov, ktorým ich vlastný príjem (čiastkový základ dane) nepostačuje na uplatnenie daňového bonusu v plnej výške.</w:t>
            </w:r>
          </w:p>
          <w:p w:rsidR="0004402F" w:rsidRPr="00C72927" w:rsidRDefault="0004402F" w:rsidP="0004402F">
            <w:pPr>
              <w:jc w:val="both"/>
              <w:rPr>
                <w:rFonts w:ascii="Times New Roman" w:hAnsi="Times New Roman"/>
                <w:sz w:val="24"/>
                <w:szCs w:val="24"/>
              </w:rPr>
            </w:pPr>
          </w:p>
          <w:p w:rsidR="0004402F" w:rsidRPr="004C0B34" w:rsidRDefault="0004402F" w:rsidP="0004402F">
            <w:pPr>
              <w:jc w:val="both"/>
              <w:rPr>
                <w:rFonts w:ascii="Times New Roman" w:hAnsi="Times New Roman"/>
                <w:b/>
                <w:sz w:val="24"/>
                <w:szCs w:val="24"/>
              </w:rPr>
            </w:pPr>
            <w:r w:rsidRPr="004C0B34">
              <w:rPr>
                <w:rFonts w:ascii="Times New Roman" w:hAnsi="Times New Roman"/>
                <w:b/>
                <w:sz w:val="24"/>
                <w:szCs w:val="24"/>
              </w:rPr>
              <w:t xml:space="preserve">Správa daní </w:t>
            </w:r>
          </w:p>
          <w:p w:rsidR="0004402F" w:rsidRPr="00C72927" w:rsidRDefault="0004402F" w:rsidP="0004402F">
            <w:pPr>
              <w:jc w:val="both"/>
              <w:rPr>
                <w:rFonts w:ascii="Times New Roman" w:hAnsi="Times New Roman"/>
                <w:sz w:val="24"/>
                <w:szCs w:val="24"/>
              </w:rPr>
            </w:pPr>
            <w:r w:rsidRPr="00C72927">
              <w:rPr>
                <w:rFonts w:ascii="Times New Roman" w:hAnsi="Times New Roman"/>
                <w:sz w:val="24"/>
                <w:szCs w:val="24"/>
              </w:rPr>
              <w:t>Nulový variant - pokuty</w:t>
            </w:r>
          </w:p>
          <w:p w:rsidR="0004402F" w:rsidRPr="00C72927" w:rsidRDefault="0004402F" w:rsidP="0004402F">
            <w:pPr>
              <w:jc w:val="both"/>
              <w:rPr>
                <w:rFonts w:ascii="Times New Roman" w:hAnsi="Times New Roman"/>
                <w:sz w:val="24"/>
                <w:szCs w:val="24"/>
              </w:rPr>
            </w:pPr>
            <w:r w:rsidRPr="00C72927">
              <w:rPr>
                <w:rFonts w:ascii="Times New Roman" w:hAnsi="Times New Roman"/>
                <w:sz w:val="24"/>
                <w:szCs w:val="24"/>
              </w:rPr>
              <w:t xml:space="preserve">V súčasnosti je správca dane povinný vyrubiť pokutu pri každom porušení (aj pri prvom). Ak má mať pokuta aj výchovný charakter, navrhuje sa pri prvom porušení pokutu neuložiť, ale vyzvať daňový subjekt na dodatočné splnenie povinnosti, alebo ak bola povinnosť splnená, oneskorene upozorniť, že pri ďalšom porušení už bude uložená pokuta. </w:t>
            </w:r>
          </w:p>
          <w:p w:rsidR="0004402F" w:rsidRDefault="0004402F" w:rsidP="0004402F">
            <w:pPr>
              <w:jc w:val="both"/>
              <w:rPr>
                <w:rFonts w:ascii="Times New Roman" w:hAnsi="Times New Roman"/>
                <w:sz w:val="24"/>
                <w:szCs w:val="24"/>
              </w:rPr>
            </w:pPr>
            <w:r w:rsidRPr="00C72927">
              <w:rPr>
                <w:rFonts w:ascii="Times New Roman" w:hAnsi="Times New Roman"/>
                <w:sz w:val="24"/>
                <w:szCs w:val="24"/>
              </w:rPr>
              <w:t xml:space="preserve">Zavedením „druhej šance“ sa splní úloha z programového vyhlásenia vlády, ako aj požiadavky daňových subjektov. </w:t>
            </w:r>
          </w:p>
          <w:p w:rsidR="0004402F" w:rsidRPr="00C72927" w:rsidRDefault="0004402F" w:rsidP="0004402F">
            <w:pPr>
              <w:jc w:val="both"/>
              <w:rPr>
                <w:rFonts w:ascii="Times New Roman" w:hAnsi="Times New Roman"/>
                <w:sz w:val="24"/>
                <w:szCs w:val="24"/>
              </w:rPr>
            </w:pPr>
            <w:r w:rsidRPr="00C72927">
              <w:rPr>
                <w:rFonts w:ascii="Times New Roman" w:hAnsi="Times New Roman"/>
                <w:sz w:val="24"/>
                <w:szCs w:val="24"/>
              </w:rPr>
              <w:t>Nulový variant – skrátenie lehoty na vyrubenie úroku z omeškania</w:t>
            </w:r>
          </w:p>
          <w:p w:rsidR="0004402F" w:rsidRDefault="0004402F" w:rsidP="0004402F">
            <w:pPr>
              <w:jc w:val="both"/>
              <w:rPr>
                <w:rFonts w:ascii="Times New Roman" w:hAnsi="Times New Roman"/>
                <w:sz w:val="24"/>
                <w:szCs w:val="24"/>
              </w:rPr>
            </w:pPr>
            <w:r w:rsidRPr="00C72927">
              <w:rPr>
                <w:rFonts w:ascii="Times New Roman" w:hAnsi="Times New Roman"/>
                <w:sz w:val="24"/>
                <w:szCs w:val="24"/>
              </w:rPr>
              <w:t xml:space="preserve">Úrok z omeškania je možné vyrubiť v lehote päť rokov od konca roka, v ktorom bola povinnosť uhradiť  daň, preddavok na daň, a to aj v prípade, že nedoplatok bol uhradený v plnej výške už v prvom roku. Navrhovanou úpravou sa zabezpečí, aby bol úrok z omeškania vyrubený do konca roka nasledujúceho po roku, v ktorom bola suma nedoplatku uhradená.  Skoršie vyrubenie úroku z omeškania bude zároveň pôsobiť preventívne, aby daňové subjekty platili daňové povinnosti včas.   </w:t>
            </w:r>
          </w:p>
          <w:p w:rsidR="0004402F" w:rsidRPr="00C72927" w:rsidRDefault="0004402F" w:rsidP="0004402F">
            <w:pPr>
              <w:jc w:val="both"/>
              <w:rPr>
                <w:rFonts w:ascii="Times New Roman" w:hAnsi="Times New Roman"/>
                <w:sz w:val="24"/>
                <w:szCs w:val="24"/>
              </w:rPr>
            </w:pPr>
          </w:p>
        </w:tc>
      </w:tr>
      <w:tr w:rsidR="0004402F" w:rsidRPr="00B043B4" w:rsidTr="0004402F">
        <w:tc>
          <w:tcPr>
            <w:tcW w:w="9180" w:type="dxa"/>
            <w:gridSpan w:val="11"/>
            <w:tcBorders>
              <w:bottom w:val="single" w:sz="4" w:space="0" w:color="FFFFFF"/>
            </w:tcBorders>
            <w:shd w:val="clear" w:color="auto" w:fill="E2E2E2"/>
          </w:tcPr>
          <w:p w:rsidR="0004402F" w:rsidRPr="00B043B4" w:rsidRDefault="0004402F" w:rsidP="0004402F">
            <w:pPr>
              <w:numPr>
                <w:ilvl w:val="0"/>
                <w:numId w:val="1"/>
              </w:numPr>
              <w:ind w:left="426"/>
              <w:contextualSpacing/>
              <w:rPr>
                <w:rFonts w:ascii="Times New Roman" w:hAnsi="Times New Roman"/>
                <w:b/>
              </w:rPr>
            </w:pPr>
            <w:r w:rsidRPr="00B043B4">
              <w:rPr>
                <w:rFonts w:ascii="Times New Roman" w:hAnsi="Times New Roman"/>
                <w:b/>
              </w:rPr>
              <w:lastRenderedPageBreak/>
              <w:t>Vykonávacie predpisy</w:t>
            </w:r>
          </w:p>
        </w:tc>
      </w:tr>
      <w:tr w:rsidR="0004402F" w:rsidRPr="00B043B4" w:rsidTr="0004402F">
        <w:tc>
          <w:tcPr>
            <w:tcW w:w="6203" w:type="dxa"/>
            <w:gridSpan w:val="7"/>
            <w:tcBorders>
              <w:top w:val="single" w:sz="4" w:space="0" w:color="FFFFFF"/>
              <w:bottom w:val="nil"/>
              <w:right w:val="nil"/>
            </w:tcBorders>
            <w:shd w:val="clear" w:color="auto" w:fill="FFFFFF"/>
          </w:tcPr>
          <w:p w:rsidR="0004402F" w:rsidRPr="00B043B4" w:rsidRDefault="0004402F" w:rsidP="0004402F">
            <w:pPr>
              <w:rPr>
                <w:rFonts w:ascii="Times New Roman" w:hAnsi="Times New Roman"/>
                <w:i/>
                <w:sz w:val="20"/>
                <w:szCs w:val="20"/>
                <w:lang w:eastAsia="sk-SK"/>
              </w:rPr>
            </w:pPr>
            <w:r w:rsidRPr="00B043B4">
              <w:rPr>
                <w:rFonts w:ascii="Times New Roman" w:hAnsi="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04402F" w:rsidRPr="00B043B4" w:rsidRDefault="0004402F" w:rsidP="0004402F">
            <w:pPr>
              <w:jc w:val="center"/>
              <w:rPr>
                <w:rFonts w:ascii="Times New Roman" w:hAnsi="Times New Roman"/>
                <w:b/>
                <w:sz w:val="20"/>
                <w:szCs w:val="20"/>
                <w:lang w:eastAsia="sk-SK"/>
              </w:rPr>
            </w:pPr>
            <w:r>
              <w:rPr>
                <w:rFonts w:ascii="MS Gothic" w:eastAsia="MS Gothic" w:hAnsi="MS Gothic" w:hint="eastAsia"/>
                <w:b/>
                <w:sz w:val="20"/>
                <w:szCs w:val="20"/>
                <w:lang w:eastAsia="sk-SK"/>
              </w:rPr>
              <w:t>☐</w:t>
            </w:r>
            <w:r w:rsidRPr="00B043B4">
              <w:rPr>
                <w:rFonts w:ascii="Times New Roman" w:hAnsi="Times New Roman"/>
                <w:b/>
                <w:sz w:val="20"/>
                <w:szCs w:val="20"/>
                <w:lang w:eastAsia="sk-SK"/>
              </w:rPr>
              <w:t xml:space="preserve">  Áno</w:t>
            </w:r>
          </w:p>
        </w:tc>
        <w:tc>
          <w:tcPr>
            <w:tcW w:w="1560" w:type="dxa"/>
            <w:gridSpan w:val="2"/>
            <w:tcBorders>
              <w:top w:val="single" w:sz="4" w:space="0" w:color="FFFFFF"/>
              <w:left w:val="nil"/>
              <w:bottom w:val="nil"/>
            </w:tcBorders>
            <w:shd w:val="clear" w:color="auto" w:fill="FFFFFF"/>
          </w:tcPr>
          <w:p w:rsidR="0004402F" w:rsidRPr="00B043B4" w:rsidRDefault="0004402F" w:rsidP="0004402F">
            <w:pPr>
              <w:jc w:val="center"/>
              <w:rPr>
                <w:rFonts w:ascii="Times New Roman" w:hAnsi="Times New Roman"/>
                <w:b/>
                <w:sz w:val="20"/>
                <w:szCs w:val="20"/>
                <w:lang w:eastAsia="sk-SK"/>
              </w:rPr>
            </w:pPr>
            <w:r>
              <w:rPr>
                <w:rFonts w:ascii="MS Gothic" w:eastAsia="MS Gothic" w:hAnsi="MS Gothic" w:hint="eastAsia"/>
                <w:b/>
                <w:sz w:val="20"/>
                <w:szCs w:val="20"/>
                <w:lang w:eastAsia="sk-SK"/>
              </w:rPr>
              <w:t>☒</w:t>
            </w:r>
            <w:r w:rsidRPr="00B043B4">
              <w:rPr>
                <w:rFonts w:ascii="Times New Roman" w:hAnsi="Times New Roman"/>
                <w:b/>
                <w:sz w:val="20"/>
                <w:szCs w:val="20"/>
                <w:lang w:eastAsia="sk-SK"/>
              </w:rPr>
              <w:t xml:space="preserve">  Nie</w:t>
            </w:r>
          </w:p>
        </w:tc>
      </w:tr>
      <w:tr w:rsidR="0004402F" w:rsidRPr="00B043B4" w:rsidTr="0004402F">
        <w:tc>
          <w:tcPr>
            <w:tcW w:w="9180" w:type="dxa"/>
            <w:gridSpan w:val="11"/>
            <w:tcBorders>
              <w:top w:val="nil"/>
            </w:tcBorders>
            <w:shd w:val="clear" w:color="auto" w:fill="FFFFFF"/>
          </w:tcPr>
          <w:p w:rsidR="0004402F" w:rsidRPr="00B043B4" w:rsidRDefault="0004402F" w:rsidP="0004402F">
            <w:pPr>
              <w:rPr>
                <w:rFonts w:ascii="Times New Roman" w:hAnsi="Times New Roman"/>
                <w:sz w:val="20"/>
                <w:szCs w:val="20"/>
                <w:lang w:eastAsia="sk-SK"/>
              </w:rPr>
            </w:pPr>
          </w:p>
        </w:tc>
      </w:tr>
      <w:tr w:rsidR="0004402F" w:rsidRPr="00B043B4" w:rsidTr="0004402F">
        <w:tc>
          <w:tcPr>
            <w:tcW w:w="9180" w:type="dxa"/>
            <w:gridSpan w:val="11"/>
            <w:tcBorders>
              <w:bottom w:val="single" w:sz="4" w:space="0" w:color="FFFFFF"/>
            </w:tcBorders>
            <w:shd w:val="clear" w:color="auto" w:fill="E2E2E2"/>
          </w:tcPr>
          <w:p w:rsidR="0004402F" w:rsidRPr="00B043B4" w:rsidRDefault="0004402F" w:rsidP="0004402F">
            <w:pPr>
              <w:numPr>
                <w:ilvl w:val="0"/>
                <w:numId w:val="1"/>
              </w:numPr>
              <w:ind w:left="426"/>
              <w:contextualSpacing/>
              <w:rPr>
                <w:rFonts w:ascii="Times New Roman" w:hAnsi="Times New Roman"/>
                <w:b/>
              </w:rPr>
            </w:pPr>
            <w:r w:rsidRPr="00B043B4">
              <w:rPr>
                <w:rFonts w:ascii="Times New Roman" w:hAnsi="Times New Roman"/>
                <w:b/>
              </w:rPr>
              <w:t xml:space="preserve">Transpozícia práva EÚ </w:t>
            </w:r>
          </w:p>
        </w:tc>
      </w:tr>
      <w:tr w:rsidR="0004402F" w:rsidRPr="00B043B4" w:rsidTr="0004402F">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04402F" w:rsidRDefault="0004402F" w:rsidP="0004402F">
            <w:pPr>
              <w:jc w:val="both"/>
              <w:rPr>
                <w:rFonts w:ascii="Times New Roman" w:hAnsi="Times New Roman"/>
                <w:sz w:val="24"/>
                <w:szCs w:val="24"/>
              </w:rPr>
            </w:pPr>
          </w:p>
          <w:p w:rsidR="0004402F" w:rsidRPr="00EF25D0" w:rsidRDefault="0004402F" w:rsidP="0004402F">
            <w:pPr>
              <w:jc w:val="both"/>
              <w:rPr>
                <w:rFonts w:ascii="Times New Roman" w:hAnsi="Times New Roman"/>
                <w:sz w:val="24"/>
                <w:szCs w:val="24"/>
              </w:rPr>
            </w:pPr>
            <w:r w:rsidRPr="00EF25D0">
              <w:rPr>
                <w:rFonts w:ascii="Times New Roman" w:hAnsi="Times New Roman"/>
                <w:sz w:val="24"/>
                <w:szCs w:val="24"/>
              </w:rPr>
              <w:t xml:space="preserve">V predkladanom návrhu zákona sa pristupuje k dobrovoľnej transpozícii niektorých ustanovení článku 4 smernice Rady EÚ 2016/1164 z 12. júla 2016, ktorou sa stanovujú pravidlá proti praktikám vyhýbania sa daňovým povinnostiam, ktoré majú priamy vplyv na fungovanie vnútorného trhu. </w:t>
            </w:r>
          </w:p>
          <w:p w:rsidR="0004402F" w:rsidRPr="00EF25D0" w:rsidRDefault="0004402F" w:rsidP="0004402F">
            <w:pPr>
              <w:jc w:val="both"/>
              <w:rPr>
                <w:rFonts w:ascii="Times New Roman" w:hAnsi="Times New Roman"/>
                <w:sz w:val="24"/>
                <w:szCs w:val="24"/>
              </w:rPr>
            </w:pPr>
            <w:r w:rsidRPr="00EF25D0">
              <w:rPr>
                <w:rFonts w:ascii="Times New Roman" w:hAnsi="Times New Roman"/>
                <w:sz w:val="24"/>
                <w:szCs w:val="24"/>
              </w:rPr>
              <w:t>Ide najmä o:</w:t>
            </w:r>
          </w:p>
          <w:p w:rsidR="0004402F" w:rsidRPr="00EF25D0" w:rsidRDefault="0004402F" w:rsidP="0004402F">
            <w:pPr>
              <w:jc w:val="both"/>
              <w:rPr>
                <w:rFonts w:ascii="Times New Roman" w:hAnsi="Times New Roman"/>
                <w:sz w:val="24"/>
                <w:szCs w:val="24"/>
              </w:rPr>
            </w:pPr>
            <w:r w:rsidRPr="00EF25D0">
              <w:rPr>
                <w:rFonts w:ascii="Times New Roman" w:hAnsi="Times New Roman"/>
                <w:sz w:val="24"/>
                <w:szCs w:val="24"/>
              </w:rPr>
              <w:t xml:space="preserve">- § 17k ods. 2 zákona, kde sa v súlade s článkom 4 ods. 3 písm. a) smernice daňovníkom priznáva právo odpočítať presahujúce náklady na prijaté úvery a pôžičky do výšky 3 000 000 EUR, </w:t>
            </w:r>
          </w:p>
          <w:p w:rsidR="0004402F" w:rsidRPr="00EF25D0" w:rsidRDefault="0004402F" w:rsidP="0004402F">
            <w:pPr>
              <w:jc w:val="both"/>
              <w:rPr>
                <w:rFonts w:ascii="Times New Roman" w:hAnsi="Times New Roman"/>
                <w:sz w:val="24"/>
                <w:szCs w:val="24"/>
              </w:rPr>
            </w:pPr>
            <w:r w:rsidRPr="00EF25D0">
              <w:rPr>
                <w:rFonts w:ascii="Times New Roman" w:hAnsi="Times New Roman"/>
                <w:sz w:val="24"/>
                <w:szCs w:val="24"/>
              </w:rPr>
              <w:t xml:space="preserve">- § 17k ods. 8, kde </w:t>
            </w:r>
            <w:r>
              <w:rPr>
                <w:rFonts w:ascii="Times New Roman" w:hAnsi="Times New Roman"/>
                <w:sz w:val="24"/>
                <w:szCs w:val="24"/>
              </w:rPr>
              <w:t xml:space="preserve">sa </w:t>
            </w:r>
            <w:r w:rsidRPr="00EF25D0">
              <w:rPr>
                <w:rFonts w:ascii="Times New Roman" w:hAnsi="Times New Roman"/>
                <w:sz w:val="24"/>
                <w:szCs w:val="24"/>
              </w:rPr>
              <w:t>v súlade s článkom 4 ods. 7 smernice vylučujú určené finančné inštitúcie z rozsahu pôsobnosti úpravy.</w:t>
            </w:r>
          </w:p>
          <w:p w:rsidR="0004402F" w:rsidRDefault="0004402F" w:rsidP="0004402F">
            <w:pPr>
              <w:jc w:val="both"/>
              <w:rPr>
                <w:rFonts w:ascii="Times New Roman" w:hAnsi="Times New Roman"/>
                <w:sz w:val="24"/>
                <w:szCs w:val="24"/>
              </w:rPr>
            </w:pPr>
            <w:r w:rsidRPr="00EF25D0">
              <w:rPr>
                <w:rFonts w:ascii="Times New Roman" w:hAnsi="Times New Roman"/>
                <w:sz w:val="24"/>
                <w:szCs w:val="24"/>
              </w:rPr>
              <w:t>Predkladaným návrhom sa nezavádza prísnejšia úprava ako je právna úprava smernice, pričom je v súlade s možnosťou, ktorú záväzný právny akt EÚ pripúšťa a je v prospech daňových subjektov (najmä z hľadiska zníženia administratívnej záťaže).</w:t>
            </w:r>
          </w:p>
          <w:p w:rsidR="0004402F" w:rsidRDefault="0004402F" w:rsidP="0004402F">
            <w:pPr>
              <w:jc w:val="both"/>
              <w:rPr>
                <w:rFonts w:ascii="Times New Roman" w:hAnsi="Times New Roman"/>
                <w:sz w:val="24"/>
                <w:szCs w:val="24"/>
              </w:rPr>
            </w:pPr>
          </w:p>
          <w:p w:rsidR="0004402F" w:rsidRPr="00B043B4" w:rsidRDefault="0004402F" w:rsidP="0004402F">
            <w:pPr>
              <w:jc w:val="both"/>
              <w:rPr>
                <w:rFonts w:ascii="Times New Roman" w:hAnsi="Times New Roman"/>
                <w:i/>
                <w:sz w:val="20"/>
                <w:szCs w:val="20"/>
                <w:lang w:eastAsia="sk-SK"/>
              </w:rPr>
            </w:pPr>
          </w:p>
        </w:tc>
      </w:tr>
      <w:tr w:rsidR="0004402F" w:rsidRPr="00B043B4" w:rsidTr="0004402F">
        <w:tc>
          <w:tcPr>
            <w:tcW w:w="9180" w:type="dxa"/>
            <w:gridSpan w:val="11"/>
            <w:tcBorders>
              <w:bottom w:val="single" w:sz="4" w:space="0" w:color="FFFFFF"/>
            </w:tcBorders>
            <w:shd w:val="clear" w:color="auto" w:fill="E2E2E2"/>
          </w:tcPr>
          <w:p w:rsidR="0004402F" w:rsidRPr="00B043B4" w:rsidRDefault="0004402F" w:rsidP="0004402F">
            <w:pPr>
              <w:numPr>
                <w:ilvl w:val="0"/>
                <w:numId w:val="1"/>
              </w:numPr>
              <w:ind w:left="426"/>
              <w:contextualSpacing/>
              <w:rPr>
                <w:rFonts w:ascii="Times New Roman" w:hAnsi="Times New Roman"/>
                <w:b/>
              </w:rPr>
            </w:pPr>
            <w:r w:rsidRPr="00B043B4">
              <w:rPr>
                <w:rFonts w:ascii="Times New Roman" w:hAnsi="Times New Roman"/>
                <w:b/>
              </w:rPr>
              <w:t>Preskúmanie účelnosti</w:t>
            </w:r>
          </w:p>
        </w:tc>
      </w:tr>
      <w:tr w:rsidR="0004402F" w:rsidRPr="00B043B4" w:rsidTr="0004402F">
        <w:tc>
          <w:tcPr>
            <w:tcW w:w="9180" w:type="dxa"/>
            <w:gridSpan w:val="11"/>
            <w:tcBorders>
              <w:top w:val="single" w:sz="4" w:space="0" w:color="FFFFFF"/>
            </w:tcBorders>
            <w:shd w:val="clear" w:color="auto" w:fill="FFFFFF"/>
          </w:tcPr>
          <w:p w:rsidR="0004402F" w:rsidRPr="005E72C3" w:rsidRDefault="0004402F" w:rsidP="0004402F">
            <w:pPr>
              <w:jc w:val="both"/>
              <w:rPr>
                <w:rFonts w:ascii="Times New Roman" w:hAnsi="Times New Roman"/>
                <w:sz w:val="24"/>
                <w:szCs w:val="24"/>
              </w:rPr>
            </w:pPr>
            <w:r w:rsidRPr="005E72C3">
              <w:rPr>
                <w:rFonts w:ascii="Times New Roman" w:hAnsi="Times New Roman"/>
                <w:sz w:val="24"/>
                <w:szCs w:val="24"/>
              </w:rPr>
              <w:lastRenderedPageBreak/>
              <w:t xml:space="preserve">Preskúmanie účelnosti v súvislosti so zavedením pravidla o obmedzení úrokových nákladov je bezpredmetné, pretože SR má povinnosť implementovať smernice EÚ. </w:t>
            </w:r>
          </w:p>
          <w:p w:rsidR="0004402F" w:rsidRPr="005E72C3" w:rsidRDefault="0004402F" w:rsidP="0004402F">
            <w:pPr>
              <w:jc w:val="both"/>
              <w:rPr>
                <w:rFonts w:ascii="Times New Roman" w:hAnsi="Times New Roman"/>
                <w:sz w:val="24"/>
                <w:szCs w:val="24"/>
              </w:rPr>
            </w:pPr>
            <w:r w:rsidRPr="005E72C3">
              <w:rPr>
                <w:rFonts w:ascii="Times New Roman" w:hAnsi="Times New Roman"/>
                <w:sz w:val="24"/>
                <w:szCs w:val="24"/>
              </w:rPr>
              <w:t>Ďalšie predkladané  opatrenia [zjednodušenie vykazovania technických rezerv u poisťovní, spresnenie a úprava pravidiel transferového oceňovania, automatická registrácia na daň z príjmov pre FO a PO s povinnosťou registrácie v ŽR a OR, zavedenie možnosti uplatnenia vyššej sumy daňového bonusu na vyživovanie dieťa (deti)] sú jednoznačne v prospech daňovníkov, ich účelnosť je aj bez akéhokoľvek ďalšieho skúmania zrejmá a preukázateľná.</w:t>
            </w:r>
          </w:p>
          <w:p w:rsidR="0004402F" w:rsidRPr="005E72C3" w:rsidRDefault="0004402F" w:rsidP="0004402F">
            <w:pPr>
              <w:jc w:val="both"/>
              <w:rPr>
                <w:rFonts w:ascii="Times New Roman" w:hAnsi="Times New Roman"/>
                <w:sz w:val="24"/>
                <w:szCs w:val="24"/>
              </w:rPr>
            </w:pPr>
            <w:r w:rsidRPr="005E72C3">
              <w:rPr>
                <w:rFonts w:ascii="Times New Roman" w:hAnsi="Times New Roman"/>
                <w:sz w:val="24"/>
                <w:szCs w:val="24"/>
              </w:rPr>
              <w:t xml:space="preserve">Cieľom navrhovaných opatrení je predovšetkým odstrániť časť nákladov podnikateľského prostredia na základe podnetov, ktoré boli identifikované ako problémové. </w:t>
            </w:r>
          </w:p>
          <w:p w:rsidR="0004402F" w:rsidRPr="00B043B4" w:rsidRDefault="0004402F" w:rsidP="0004402F">
            <w:pPr>
              <w:jc w:val="both"/>
              <w:rPr>
                <w:rFonts w:ascii="Times New Roman" w:hAnsi="Times New Roman"/>
                <w:i/>
                <w:sz w:val="20"/>
                <w:szCs w:val="20"/>
                <w:lang w:eastAsia="sk-SK"/>
              </w:rPr>
            </w:pPr>
            <w:r w:rsidRPr="005E72C3">
              <w:rPr>
                <w:rFonts w:ascii="Times New Roman" w:hAnsi="Times New Roman"/>
                <w:sz w:val="24"/>
                <w:szCs w:val="24"/>
              </w:rPr>
              <w:t xml:space="preserve">V daňovom poriadku navrhnuté zmeny - zavedenie „druhej šance“ pri pokutách, ako aj skoršie </w:t>
            </w:r>
            <w:r w:rsidRPr="00A565F5">
              <w:rPr>
                <w:rFonts w:ascii="Times New Roman" w:hAnsi="Times New Roman"/>
                <w:sz w:val="24"/>
                <w:szCs w:val="24"/>
              </w:rPr>
              <w:t>vyrubenie úroku z omeškania, sú v prospech daňových subjektov a ich účelnosť je evidentná</w:t>
            </w:r>
          </w:p>
        </w:tc>
      </w:tr>
      <w:tr w:rsidR="0004402F" w:rsidRPr="00B043B4" w:rsidTr="0004402F">
        <w:trPr>
          <w:trHeight w:val="283"/>
        </w:trPr>
        <w:tc>
          <w:tcPr>
            <w:tcW w:w="9180" w:type="dxa"/>
            <w:gridSpan w:val="11"/>
            <w:tcBorders>
              <w:bottom w:val="single" w:sz="4" w:space="0" w:color="FFFFFF"/>
            </w:tcBorders>
            <w:shd w:val="clear" w:color="auto" w:fill="E2E2E2"/>
            <w:vAlign w:val="center"/>
          </w:tcPr>
          <w:p w:rsidR="0004402F" w:rsidRPr="00B043B4" w:rsidRDefault="0004402F" w:rsidP="0004402F">
            <w:pPr>
              <w:numPr>
                <w:ilvl w:val="0"/>
                <w:numId w:val="1"/>
              </w:numPr>
              <w:ind w:left="426"/>
              <w:contextualSpacing/>
              <w:rPr>
                <w:rFonts w:ascii="Times New Roman" w:hAnsi="Times New Roman"/>
                <w:b/>
              </w:rPr>
            </w:pPr>
            <w:r w:rsidRPr="00B043B4">
              <w:rPr>
                <w:rFonts w:ascii="Times New Roman" w:hAnsi="Times New Roman"/>
                <w:b/>
              </w:rPr>
              <w:t>Vybrané vplyvy  materiálu</w:t>
            </w:r>
          </w:p>
        </w:tc>
      </w:tr>
      <w:tr w:rsidR="0004402F" w:rsidRPr="00B043B4" w:rsidTr="0004402F">
        <w:tc>
          <w:tcPr>
            <w:tcW w:w="3812" w:type="dxa"/>
            <w:tcBorders>
              <w:bottom w:val="nil"/>
            </w:tcBorders>
            <w:shd w:val="clear" w:color="auto" w:fill="E2E2E2"/>
          </w:tcPr>
          <w:p w:rsidR="0004402F" w:rsidRPr="00B043B4" w:rsidRDefault="0004402F" w:rsidP="0004402F">
            <w:pPr>
              <w:rPr>
                <w:rFonts w:ascii="Times New Roman" w:hAnsi="Times New Roman"/>
                <w:b/>
                <w:sz w:val="20"/>
                <w:szCs w:val="20"/>
                <w:lang w:eastAsia="sk-SK"/>
              </w:rPr>
            </w:pPr>
            <w:r w:rsidRPr="00B043B4">
              <w:rPr>
                <w:rFonts w:ascii="Times New Roman" w:hAnsi="Times New Roman"/>
                <w:b/>
                <w:sz w:val="20"/>
                <w:szCs w:val="20"/>
                <w:lang w:eastAsia="sk-SK"/>
              </w:rPr>
              <w:t>Vplyvy na rozpočet verejnej správy</w:t>
            </w:r>
          </w:p>
        </w:tc>
        <w:tc>
          <w:tcPr>
            <w:tcW w:w="541" w:type="dxa"/>
            <w:gridSpan w:val="2"/>
            <w:tcBorders>
              <w:bottom w:val="dotted" w:sz="4" w:space="0" w:color="auto"/>
              <w:right w:val="nil"/>
            </w:tcBorders>
          </w:tcPr>
          <w:p w:rsidR="0004402F" w:rsidRPr="00B043B4" w:rsidRDefault="0004402F" w:rsidP="0004402F">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312" w:type="dxa"/>
            <w:gridSpan w:val="2"/>
            <w:tcBorders>
              <w:left w:val="nil"/>
              <w:bottom w:val="dotted" w:sz="4" w:space="0" w:color="auto"/>
              <w:right w:val="nil"/>
            </w:tcBorders>
          </w:tcPr>
          <w:p w:rsidR="0004402F" w:rsidRPr="00B043B4" w:rsidRDefault="0004402F" w:rsidP="0004402F">
            <w:pPr>
              <w:rPr>
                <w:rFonts w:ascii="Times New Roman" w:hAnsi="Times New Roman"/>
                <w:b/>
                <w:sz w:val="20"/>
                <w:szCs w:val="20"/>
                <w:lang w:eastAsia="sk-SK"/>
              </w:rPr>
            </w:pPr>
            <w:r w:rsidRPr="00B043B4">
              <w:rPr>
                <w:rFonts w:ascii="Times New Roman" w:hAnsi="Times New Roman"/>
                <w:b/>
                <w:sz w:val="20"/>
                <w:szCs w:val="20"/>
                <w:lang w:eastAsia="sk-SK"/>
              </w:rPr>
              <w:t>Pozitívne</w:t>
            </w:r>
          </w:p>
        </w:tc>
        <w:tc>
          <w:tcPr>
            <w:tcW w:w="538" w:type="dxa"/>
            <w:gridSpan w:val="2"/>
            <w:tcBorders>
              <w:left w:val="nil"/>
              <w:bottom w:val="dotted" w:sz="4" w:space="0" w:color="auto"/>
              <w:right w:val="nil"/>
            </w:tcBorders>
          </w:tcPr>
          <w:p w:rsidR="0004402F" w:rsidRPr="00B043B4" w:rsidRDefault="0004402F" w:rsidP="0004402F">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left w:val="nil"/>
              <w:bottom w:val="dotted" w:sz="4" w:space="0" w:color="auto"/>
              <w:right w:val="nil"/>
            </w:tcBorders>
          </w:tcPr>
          <w:p w:rsidR="0004402F" w:rsidRPr="00B043B4" w:rsidRDefault="0004402F" w:rsidP="0004402F">
            <w:pPr>
              <w:rPr>
                <w:rFonts w:ascii="Times New Roman" w:hAnsi="Times New Roman"/>
                <w:b/>
                <w:sz w:val="20"/>
                <w:szCs w:val="20"/>
                <w:lang w:eastAsia="sk-SK"/>
              </w:rPr>
            </w:pPr>
            <w:r w:rsidRPr="00B043B4">
              <w:rPr>
                <w:rFonts w:ascii="Times New Roman" w:hAnsi="Times New Roman"/>
                <w:b/>
                <w:sz w:val="20"/>
                <w:szCs w:val="20"/>
                <w:lang w:eastAsia="sk-SK"/>
              </w:rPr>
              <w:t>Žiadne</w:t>
            </w:r>
          </w:p>
        </w:tc>
        <w:tc>
          <w:tcPr>
            <w:tcW w:w="547" w:type="dxa"/>
            <w:gridSpan w:val="2"/>
            <w:tcBorders>
              <w:left w:val="nil"/>
              <w:bottom w:val="dotted" w:sz="4" w:space="0" w:color="auto"/>
              <w:right w:val="nil"/>
            </w:tcBorders>
          </w:tcPr>
          <w:p w:rsidR="0004402F" w:rsidRPr="00B043B4" w:rsidRDefault="0004402F" w:rsidP="0004402F">
            <w:pPr>
              <w:ind w:left="-107" w:right="-108"/>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297" w:type="dxa"/>
            <w:tcBorders>
              <w:left w:val="nil"/>
              <w:bottom w:val="dotted" w:sz="4" w:space="0" w:color="auto"/>
            </w:tcBorders>
          </w:tcPr>
          <w:p w:rsidR="0004402F" w:rsidRPr="00B043B4" w:rsidRDefault="0004402F" w:rsidP="0004402F">
            <w:pPr>
              <w:ind w:left="34"/>
              <w:rPr>
                <w:rFonts w:ascii="Times New Roman" w:hAnsi="Times New Roman"/>
                <w:b/>
                <w:sz w:val="20"/>
                <w:szCs w:val="20"/>
                <w:lang w:eastAsia="sk-SK"/>
              </w:rPr>
            </w:pPr>
            <w:r w:rsidRPr="00B043B4">
              <w:rPr>
                <w:rFonts w:ascii="Times New Roman" w:hAnsi="Times New Roman"/>
                <w:b/>
                <w:sz w:val="20"/>
                <w:szCs w:val="20"/>
                <w:lang w:eastAsia="sk-SK"/>
              </w:rPr>
              <w:t>Negatívne</w:t>
            </w:r>
          </w:p>
        </w:tc>
      </w:tr>
      <w:tr w:rsidR="0004402F" w:rsidRPr="00B043B4" w:rsidTr="0004402F">
        <w:tc>
          <w:tcPr>
            <w:tcW w:w="3812" w:type="dxa"/>
            <w:tcBorders>
              <w:top w:val="nil"/>
              <w:bottom w:val="nil"/>
            </w:tcBorders>
            <w:shd w:val="clear" w:color="auto" w:fill="E2E2E2"/>
          </w:tcPr>
          <w:p w:rsidR="0004402F" w:rsidRDefault="0004402F" w:rsidP="0004402F">
            <w:pPr>
              <w:rPr>
                <w:rFonts w:ascii="Times New Roman" w:hAnsi="Times New Roman"/>
                <w:sz w:val="20"/>
                <w:szCs w:val="20"/>
                <w:lang w:eastAsia="sk-SK"/>
              </w:rPr>
            </w:pPr>
            <w:r>
              <w:rPr>
                <w:rFonts w:ascii="Times New Roman" w:hAnsi="Times New Roman"/>
                <w:sz w:val="20"/>
                <w:szCs w:val="20"/>
                <w:lang w:eastAsia="sk-SK"/>
              </w:rPr>
              <w:t xml:space="preserve">    </w:t>
            </w:r>
            <w:r w:rsidRPr="00A340BB">
              <w:rPr>
                <w:rFonts w:ascii="Times New Roman" w:hAnsi="Times New Roman"/>
                <w:sz w:val="20"/>
                <w:szCs w:val="20"/>
                <w:lang w:eastAsia="sk-SK"/>
              </w:rPr>
              <w:t xml:space="preserve">z toho rozpočtovo zabezpečené vplyvy,     </w:t>
            </w:r>
            <w:r>
              <w:rPr>
                <w:rFonts w:ascii="Times New Roman" w:hAnsi="Times New Roman"/>
                <w:sz w:val="20"/>
                <w:szCs w:val="20"/>
                <w:lang w:eastAsia="sk-SK"/>
              </w:rPr>
              <w:t xml:space="preserve">    </w:t>
            </w:r>
          </w:p>
          <w:p w:rsidR="0004402F" w:rsidRDefault="0004402F" w:rsidP="0004402F">
            <w:pPr>
              <w:rPr>
                <w:rFonts w:ascii="Times New Roman" w:hAnsi="Times New Roman"/>
                <w:sz w:val="20"/>
                <w:szCs w:val="20"/>
                <w:lang w:eastAsia="sk-SK"/>
              </w:rPr>
            </w:pPr>
            <w:r>
              <w:rPr>
                <w:rFonts w:ascii="Times New Roman" w:hAnsi="Times New Roman"/>
                <w:sz w:val="20"/>
                <w:szCs w:val="20"/>
                <w:lang w:eastAsia="sk-SK"/>
              </w:rPr>
              <w:t xml:space="preserve">    </w:t>
            </w:r>
            <w:r w:rsidRPr="00A340BB">
              <w:rPr>
                <w:rFonts w:ascii="Times New Roman" w:hAnsi="Times New Roman"/>
                <w:sz w:val="20"/>
                <w:szCs w:val="20"/>
                <w:lang w:eastAsia="sk-SK"/>
              </w:rPr>
              <w:t xml:space="preserve">v prípade identifikovaného negatívneho </w:t>
            </w:r>
          </w:p>
          <w:p w:rsidR="0004402F" w:rsidRPr="00A340BB" w:rsidRDefault="0004402F" w:rsidP="0004402F">
            <w:pPr>
              <w:rPr>
                <w:rFonts w:ascii="Times New Roman" w:hAnsi="Times New Roman"/>
                <w:sz w:val="20"/>
                <w:szCs w:val="20"/>
                <w:lang w:eastAsia="sk-SK"/>
              </w:rPr>
            </w:pPr>
            <w:r>
              <w:rPr>
                <w:rFonts w:ascii="Times New Roman" w:hAnsi="Times New Roman"/>
                <w:sz w:val="20"/>
                <w:szCs w:val="20"/>
                <w:lang w:eastAsia="sk-SK"/>
              </w:rPr>
              <w:t xml:space="preserve">    </w:t>
            </w:r>
            <w:r w:rsidRPr="00A340BB">
              <w:rPr>
                <w:rFonts w:ascii="Times New Roman" w:hAnsi="Times New Roman"/>
                <w:sz w:val="20"/>
                <w:szCs w:val="20"/>
                <w:lang w:eastAsia="sk-SK"/>
              </w:rPr>
              <w:t>vplyvu</w:t>
            </w:r>
          </w:p>
        </w:tc>
        <w:tc>
          <w:tcPr>
            <w:tcW w:w="541" w:type="dxa"/>
            <w:gridSpan w:val="2"/>
            <w:tcBorders>
              <w:top w:val="dotted" w:sz="4" w:space="0" w:color="auto"/>
              <w:bottom w:val="dotted" w:sz="4" w:space="0" w:color="auto"/>
              <w:right w:val="nil"/>
            </w:tcBorders>
            <w:vAlign w:val="center"/>
          </w:tcPr>
          <w:p w:rsidR="0004402F" w:rsidRPr="00B043B4" w:rsidRDefault="0004402F" w:rsidP="0004402F">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1312" w:type="dxa"/>
            <w:gridSpan w:val="2"/>
            <w:tcBorders>
              <w:top w:val="dotted" w:sz="4" w:space="0" w:color="auto"/>
              <w:left w:val="nil"/>
              <w:bottom w:val="dotted" w:sz="4" w:space="0" w:color="auto"/>
              <w:right w:val="nil"/>
            </w:tcBorders>
            <w:vAlign w:val="center"/>
          </w:tcPr>
          <w:p w:rsidR="0004402F" w:rsidRPr="00B043B4" w:rsidRDefault="0004402F" w:rsidP="0004402F">
            <w:pPr>
              <w:rPr>
                <w:rFonts w:ascii="Times New Roman" w:hAnsi="Times New Roman"/>
                <w:sz w:val="20"/>
                <w:szCs w:val="20"/>
                <w:lang w:eastAsia="sk-SK"/>
              </w:rPr>
            </w:pPr>
            <w:r w:rsidRPr="00B043B4">
              <w:rPr>
                <w:rFonts w:ascii="Times New Roman" w:hAnsi="Times New Roman"/>
                <w:sz w:val="20"/>
                <w:szCs w:val="20"/>
                <w:lang w:eastAsia="sk-SK"/>
              </w:rPr>
              <w:t>Áno</w:t>
            </w:r>
          </w:p>
        </w:tc>
        <w:tc>
          <w:tcPr>
            <w:tcW w:w="538" w:type="dxa"/>
            <w:gridSpan w:val="2"/>
            <w:tcBorders>
              <w:top w:val="dotted" w:sz="4" w:space="0" w:color="auto"/>
              <w:left w:val="nil"/>
              <w:bottom w:val="dotted" w:sz="4" w:space="0" w:color="auto"/>
              <w:right w:val="nil"/>
            </w:tcBorders>
            <w:vAlign w:val="center"/>
          </w:tcPr>
          <w:p w:rsidR="0004402F" w:rsidRPr="00B043B4" w:rsidRDefault="0004402F" w:rsidP="0004402F">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1133" w:type="dxa"/>
            <w:tcBorders>
              <w:top w:val="dotted" w:sz="4" w:space="0" w:color="auto"/>
              <w:left w:val="nil"/>
              <w:bottom w:val="dotted" w:sz="4" w:space="0" w:color="auto"/>
              <w:right w:val="nil"/>
            </w:tcBorders>
            <w:vAlign w:val="center"/>
          </w:tcPr>
          <w:p w:rsidR="0004402F" w:rsidRPr="00B043B4" w:rsidRDefault="0004402F" w:rsidP="0004402F">
            <w:pPr>
              <w:rPr>
                <w:rFonts w:ascii="Times New Roman" w:hAnsi="Times New Roman"/>
                <w:sz w:val="20"/>
                <w:szCs w:val="20"/>
                <w:lang w:eastAsia="sk-SK"/>
              </w:rPr>
            </w:pPr>
            <w:r w:rsidRPr="00B043B4">
              <w:rPr>
                <w:rFonts w:ascii="Times New Roman" w:hAnsi="Times New Roman"/>
                <w:sz w:val="20"/>
                <w:szCs w:val="20"/>
                <w:lang w:eastAsia="sk-SK"/>
              </w:rPr>
              <w:t>Nie</w:t>
            </w:r>
          </w:p>
        </w:tc>
        <w:tc>
          <w:tcPr>
            <w:tcW w:w="547" w:type="dxa"/>
            <w:gridSpan w:val="2"/>
            <w:tcBorders>
              <w:top w:val="dotted" w:sz="4" w:space="0" w:color="auto"/>
              <w:left w:val="nil"/>
              <w:bottom w:val="dotted" w:sz="4" w:space="0" w:color="auto"/>
              <w:right w:val="nil"/>
            </w:tcBorders>
            <w:vAlign w:val="center"/>
          </w:tcPr>
          <w:p w:rsidR="0004402F" w:rsidRPr="00B043B4" w:rsidRDefault="0004402F" w:rsidP="0004402F">
            <w:pPr>
              <w:ind w:left="-107" w:right="-108"/>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1297" w:type="dxa"/>
            <w:tcBorders>
              <w:top w:val="dotted" w:sz="4" w:space="0" w:color="auto"/>
              <w:left w:val="nil"/>
              <w:bottom w:val="dotted" w:sz="4" w:space="0" w:color="auto"/>
            </w:tcBorders>
            <w:vAlign w:val="center"/>
          </w:tcPr>
          <w:p w:rsidR="0004402F" w:rsidRPr="00B043B4" w:rsidRDefault="0004402F" w:rsidP="0004402F">
            <w:pPr>
              <w:ind w:left="34"/>
              <w:rPr>
                <w:rFonts w:ascii="Times New Roman" w:hAnsi="Times New Roman"/>
                <w:sz w:val="20"/>
                <w:szCs w:val="20"/>
                <w:lang w:eastAsia="sk-SK"/>
              </w:rPr>
            </w:pPr>
            <w:r w:rsidRPr="00B043B4">
              <w:rPr>
                <w:rFonts w:ascii="Times New Roman" w:hAnsi="Times New Roman"/>
                <w:sz w:val="20"/>
                <w:szCs w:val="20"/>
                <w:lang w:eastAsia="sk-SK"/>
              </w:rPr>
              <w:t>Čiastočne</w:t>
            </w:r>
          </w:p>
        </w:tc>
      </w:tr>
      <w:tr w:rsidR="0004402F" w:rsidRPr="00B043B4" w:rsidTr="0004402F">
        <w:tc>
          <w:tcPr>
            <w:tcW w:w="3812" w:type="dxa"/>
            <w:tcBorders>
              <w:top w:val="nil"/>
              <w:bottom w:val="nil"/>
            </w:tcBorders>
            <w:shd w:val="clear" w:color="auto" w:fill="E2E2E2"/>
          </w:tcPr>
          <w:p w:rsidR="0004402F" w:rsidRPr="003145AE" w:rsidRDefault="0004402F" w:rsidP="0004402F">
            <w:pPr>
              <w:rPr>
                <w:rFonts w:ascii="Times New Roman" w:hAnsi="Times New Roman"/>
                <w:b/>
                <w:sz w:val="20"/>
                <w:szCs w:val="20"/>
                <w:lang w:eastAsia="sk-SK"/>
              </w:rPr>
            </w:pPr>
            <w:r>
              <w:rPr>
                <w:rFonts w:ascii="Times New Roman" w:hAnsi="Times New Roman"/>
                <w:b/>
                <w:sz w:val="20"/>
                <w:szCs w:val="20"/>
                <w:lang w:eastAsia="sk-SK"/>
              </w:rPr>
              <w:t>v tom vplyvy na rozpočty obcí a vyšších územných celkov</w:t>
            </w:r>
          </w:p>
        </w:tc>
        <w:tc>
          <w:tcPr>
            <w:tcW w:w="541" w:type="dxa"/>
            <w:gridSpan w:val="2"/>
            <w:tcBorders>
              <w:top w:val="dotted" w:sz="4" w:space="0" w:color="auto"/>
              <w:bottom w:val="dotted" w:sz="4" w:space="0" w:color="auto"/>
              <w:right w:val="nil"/>
            </w:tcBorders>
          </w:tcPr>
          <w:p w:rsidR="0004402F" w:rsidRPr="00B043B4" w:rsidRDefault="0004402F" w:rsidP="0004402F">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312" w:type="dxa"/>
            <w:gridSpan w:val="2"/>
            <w:tcBorders>
              <w:top w:val="dotted" w:sz="4" w:space="0" w:color="auto"/>
              <w:left w:val="nil"/>
              <w:bottom w:val="dotted" w:sz="4" w:space="0" w:color="auto"/>
              <w:right w:val="nil"/>
            </w:tcBorders>
          </w:tcPr>
          <w:p w:rsidR="0004402F" w:rsidRPr="00B043B4" w:rsidRDefault="0004402F" w:rsidP="0004402F">
            <w:pPr>
              <w:rPr>
                <w:rFonts w:ascii="Times New Roman" w:hAnsi="Times New Roman"/>
                <w:b/>
                <w:sz w:val="20"/>
                <w:szCs w:val="20"/>
                <w:lang w:eastAsia="sk-SK"/>
              </w:rPr>
            </w:pPr>
            <w:r w:rsidRPr="00B043B4">
              <w:rPr>
                <w:rFonts w:ascii="Times New Roman" w:hAnsi="Times New Roman"/>
                <w:b/>
                <w:sz w:val="20"/>
                <w:szCs w:val="20"/>
                <w:lang w:eastAsia="sk-SK"/>
              </w:rPr>
              <w:t>Pozitívne</w:t>
            </w:r>
          </w:p>
        </w:tc>
        <w:tc>
          <w:tcPr>
            <w:tcW w:w="538" w:type="dxa"/>
            <w:gridSpan w:val="2"/>
            <w:tcBorders>
              <w:top w:val="dotted" w:sz="4" w:space="0" w:color="auto"/>
              <w:left w:val="nil"/>
              <w:bottom w:val="dotted" w:sz="4" w:space="0" w:color="auto"/>
              <w:right w:val="nil"/>
            </w:tcBorders>
          </w:tcPr>
          <w:p w:rsidR="0004402F" w:rsidRPr="00B043B4" w:rsidRDefault="0004402F" w:rsidP="0004402F">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top w:val="dotted" w:sz="4" w:space="0" w:color="auto"/>
              <w:left w:val="nil"/>
              <w:bottom w:val="dotted" w:sz="4" w:space="0" w:color="auto"/>
              <w:right w:val="nil"/>
            </w:tcBorders>
          </w:tcPr>
          <w:p w:rsidR="0004402F" w:rsidRPr="00B043B4" w:rsidRDefault="0004402F" w:rsidP="0004402F">
            <w:pPr>
              <w:rPr>
                <w:rFonts w:ascii="Times New Roman" w:hAnsi="Times New Roman"/>
                <w:b/>
                <w:sz w:val="20"/>
                <w:szCs w:val="20"/>
                <w:lang w:eastAsia="sk-SK"/>
              </w:rPr>
            </w:pPr>
            <w:r w:rsidRPr="00B043B4">
              <w:rPr>
                <w:rFonts w:ascii="Times New Roman" w:hAnsi="Times New Roman"/>
                <w:b/>
                <w:sz w:val="20"/>
                <w:szCs w:val="20"/>
                <w:lang w:eastAsia="sk-SK"/>
              </w:rPr>
              <w:t>Žiadne</w:t>
            </w:r>
          </w:p>
        </w:tc>
        <w:tc>
          <w:tcPr>
            <w:tcW w:w="547" w:type="dxa"/>
            <w:gridSpan w:val="2"/>
            <w:tcBorders>
              <w:top w:val="dotted" w:sz="4" w:space="0" w:color="auto"/>
              <w:left w:val="nil"/>
              <w:bottom w:val="dotted" w:sz="4" w:space="0" w:color="auto"/>
              <w:right w:val="nil"/>
            </w:tcBorders>
          </w:tcPr>
          <w:p w:rsidR="0004402F" w:rsidRPr="00B043B4" w:rsidRDefault="0004402F" w:rsidP="0004402F">
            <w:pPr>
              <w:ind w:left="-107" w:right="-108"/>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297" w:type="dxa"/>
            <w:tcBorders>
              <w:top w:val="dotted" w:sz="4" w:space="0" w:color="auto"/>
              <w:left w:val="nil"/>
              <w:bottom w:val="dotted" w:sz="4" w:space="0" w:color="auto"/>
            </w:tcBorders>
          </w:tcPr>
          <w:p w:rsidR="0004402F" w:rsidRPr="00B043B4" w:rsidRDefault="0004402F" w:rsidP="0004402F">
            <w:pPr>
              <w:ind w:left="34"/>
              <w:rPr>
                <w:rFonts w:ascii="Times New Roman" w:hAnsi="Times New Roman"/>
                <w:b/>
                <w:sz w:val="20"/>
                <w:szCs w:val="20"/>
                <w:lang w:eastAsia="sk-SK"/>
              </w:rPr>
            </w:pPr>
            <w:r w:rsidRPr="00B043B4">
              <w:rPr>
                <w:rFonts w:ascii="Times New Roman" w:hAnsi="Times New Roman"/>
                <w:b/>
                <w:sz w:val="20"/>
                <w:szCs w:val="20"/>
                <w:lang w:eastAsia="sk-SK"/>
              </w:rPr>
              <w:t>Negatívne</w:t>
            </w:r>
          </w:p>
        </w:tc>
      </w:tr>
      <w:tr w:rsidR="0004402F" w:rsidRPr="00B043B4" w:rsidTr="0004402F">
        <w:tc>
          <w:tcPr>
            <w:tcW w:w="3812" w:type="dxa"/>
            <w:tcBorders>
              <w:top w:val="nil"/>
              <w:bottom w:val="single" w:sz="4" w:space="0" w:color="000000"/>
            </w:tcBorders>
            <w:shd w:val="clear" w:color="auto" w:fill="E2E2E2"/>
          </w:tcPr>
          <w:p w:rsidR="0004402F" w:rsidRDefault="0004402F" w:rsidP="0004402F">
            <w:pPr>
              <w:ind w:left="171"/>
              <w:rPr>
                <w:rFonts w:ascii="Times New Roman" w:hAnsi="Times New Roman"/>
                <w:sz w:val="20"/>
                <w:szCs w:val="20"/>
                <w:lang w:eastAsia="sk-SK"/>
              </w:rPr>
            </w:pPr>
            <w:r>
              <w:rPr>
                <w:rFonts w:ascii="Times New Roman" w:hAnsi="Times New Roman"/>
                <w:sz w:val="20"/>
                <w:szCs w:val="20"/>
                <w:lang w:eastAsia="sk-SK"/>
              </w:rPr>
              <w:t>z toho rozpočtovo zabezpečené vplyvy,</w:t>
            </w:r>
          </w:p>
          <w:p w:rsidR="0004402F" w:rsidRPr="003145AE" w:rsidRDefault="0004402F" w:rsidP="0004402F">
            <w:pPr>
              <w:ind w:left="171"/>
              <w:rPr>
                <w:rFonts w:ascii="Times New Roman" w:hAnsi="Times New Roman"/>
                <w:sz w:val="20"/>
                <w:szCs w:val="20"/>
                <w:lang w:eastAsia="sk-SK"/>
              </w:rPr>
            </w:pPr>
            <w:r>
              <w:rPr>
                <w:rFonts w:ascii="Times New Roman" w:hAnsi="Times New Roman"/>
                <w:sz w:val="20"/>
                <w:szCs w:val="20"/>
                <w:lang w:eastAsia="sk-SK"/>
              </w:rPr>
              <w:t>v prípade identifikovaného negatívneho vplyvu</w:t>
            </w:r>
          </w:p>
        </w:tc>
        <w:tc>
          <w:tcPr>
            <w:tcW w:w="541" w:type="dxa"/>
            <w:gridSpan w:val="2"/>
            <w:tcBorders>
              <w:top w:val="dotted" w:sz="4" w:space="0" w:color="auto"/>
              <w:bottom w:val="dotted" w:sz="4" w:space="0" w:color="auto"/>
              <w:right w:val="nil"/>
            </w:tcBorders>
            <w:vAlign w:val="center"/>
          </w:tcPr>
          <w:p w:rsidR="0004402F" w:rsidRPr="00B043B4" w:rsidRDefault="0004402F" w:rsidP="0004402F">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1312" w:type="dxa"/>
            <w:gridSpan w:val="2"/>
            <w:tcBorders>
              <w:top w:val="dotted" w:sz="4" w:space="0" w:color="auto"/>
              <w:left w:val="nil"/>
              <w:bottom w:val="dotted" w:sz="4" w:space="0" w:color="auto"/>
              <w:right w:val="nil"/>
            </w:tcBorders>
            <w:vAlign w:val="center"/>
          </w:tcPr>
          <w:p w:rsidR="0004402F" w:rsidRPr="00B043B4" w:rsidRDefault="0004402F" w:rsidP="0004402F">
            <w:pPr>
              <w:rPr>
                <w:rFonts w:ascii="Times New Roman" w:hAnsi="Times New Roman"/>
                <w:sz w:val="20"/>
                <w:szCs w:val="20"/>
                <w:lang w:eastAsia="sk-SK"/>
              </w:rPr>
            </w:pPr>
            <w:r w:rsidRPr="00B043B4">
              <w:rPr>
                <w:rFonts w:ascii="Times New Roman" w:hAnsi="Times New Roman"/>
                <w:sz w:val="20"/>
                <w:szCs w:val="20"/>
                <w:lang w:eastAsia="sk-SK"/>
              </w:rPr>
              <w:t>Áno</w:t>
            </w:r>
          </w:p>
        </w:tc>
        <w:tc>
          <w:tcPr>
            <w:tcW w:w="538" w:type="dxa"/>
            <w:gridSpan w:val="2"/>
            <w:tcBorders>
              <w:top w:val="dotted" w:sz="4" w:space="0" w:color="auto"/>
              <w:left w:val="nil"/>
              <w:bottom w:val="dotted" w:sz="4" w:space="0" w:color="auto"/>
              <w:right w:val="nil"/>
            </w:tcBorders>
            <w:vAlign w:val="center"/>
          </w:tcPr>
          <w:p w:rsidR="0004402F" w:rsidRPr="00B043B4" w:rsidRDefault="0004402F" w:rsidP="0004402F">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1133" w:type="dxa"/>
            <w:tcBorders>
              <w:top w:val="dotted" w:sz="4" w:space="0" w:color="auto"/>
              <w:left w:val="nil"/>
              <w:bottom w:val="dotted" w:sz="4" w:space="0" w:color="auto"/>
              <w:right w:val="nil"/>
            </w:tcBorders>
            <w:vAlign w:val="center"/>
          </w:tcPr>
          <w:p w:rsidR="0004402F" w:rsidRPr="00B043B4" w:rsidRDefault="0004402F" w:rsidP="0004402F">
            <w:pPr>
              <w:rPr>
                <w:rFonts w:ascii="Times New Roman" w:hAnsi="Times New Roman"/>
                <w:sz w:val="20"/>
                <w:szCs w:val="20"/>
                <w:lang w:eastAsia="sk-SK"/>
              </w:rPr>
            </w:pPr>
            <w:r w:rsidRPr="00B043B4">
              <w:rPr>
                <w:rFonts w:ascii="Times New Roman" w:hAnsi="Times New Roman"/>
                <w:sz w:val="20"/>
                <w:szCs w:val="20"/>
                <w:lang w:eastAsia="sk-SK"/>
              </w:rPr>
              <w:t>Nie</w:t>
            </w:r>
          </w:p>
        </w:tc>
        <w:tc>
          <w:tcPr>
            <w:tcW w:w="547" w:type="dxa"/>
            <w:gridSpan w:val="2"/>
            <w:tcBorders>
              <w:top w:val="dotted" w:sz="4" w:space="0" w:color="auto"/>
              <w:left w:val="nil"/>
              <w:bottom w:val="dotted" w:sz="4" w:space="0" w:color="auto"/>
              <w:right w:val="nil"/>
            </w:tcBorders>
            <w:vAlign w:val="center"/>
          </w:tcPr>
          <w:p w:rsidR="0004402F" w:rsidRPr="00B043B4" w:rsidRDefault="0004402F" w:rsidP="0004402F">
            <w:pPr>
              <w:ind w:left="-107" w:right="-108"/>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1297" w:type="dxa"/>
            <w:tcBorders>
              <w:top w:val="dotted" w:sz="4" w:space="0" w:color="auto"/>
              <w:left w:val="nil"/>
              <w:bottom w:val="dotted" w:sz="4" w:space="0" w:color="auto"/>
            </w:tcBorders>
            <w:vAlign w:val="center"/>
          </w:tcPr>
          <w:p w:rsidR="0004402F" w:rsidRPr="00B043B4" w:rsidRDefault="0004402F" w:rsidP="0004402F">
            <w:pPr>
              <w:ind w:left="34"/>
              <w:rPr>
                <w:rFonts w:ascii="Times New Roman" w:hAnsi="Times New Roman"/>
                <w:sz w:val="20"/>
                <w:szCs w:val="20"/>
                <w:lang w:eastAsia="sk-SK"/>
              </w:rPr>
            </w:pPr>
            <w:r w:rsidRPr="00B043B4">
              <w:rPr>
                <w:rFonts w:ascii="Times New Roman" w:hAnsi="Times New Roman"/>
                <w:sz w:val="20"/>
                <w:szCs w:val="20"/>
                <w:lang w:eastAsia="sk-SK"/>
              </w:rPr>
              <w:t>Čiastočne</w:t>
            </w:r>
          </w:p>
        </w:tc>
      </w:tr>
      <w:tr w:rsidR="0004402F" w:rsidRPr="00B043B4" w:rsidTr="0004402F">
        <w:tc>
          <w:tcPr>
            <w:tcW w:w="3812" w:type="dxa"/>
            <w:tcBorders>
              <w:top w:val="single" w:sz="4" w:space="0" w:color="000000"/>
              <w:bottom w:val="nil"/>
            </w:tcBorders>
            <w:shd w:val="clear" w:color="auto" w:fill="E2E2E2"/>
          </w:tcPr>
          <w:p w:rsidR="0004402F" w:rsidRPr="00B043B4" w:rsidRDefault="0004402F" w:rsidP="0004402F">
            <w:pPr>
              <w:rPr>
                <w:rFonts w:ascii="Times New Roman" w:hAnsi="Times New Roman"/>
                <w:b/>
                <w:sz w:val="20"/>
                <w:szCs w:val="20"/>
                <w:lang w:eastAsia="sk-SK"/>
              </w:rPr>
            </w:pPr>
            <w:r w:rsidRPr="00B043B4">
              <w:rPr>
                <w:rFonts w:ascii="Times New Roman" w:hAnsi="Times New Roman"/>
                <w:b/>
                <w:sz w:val="20"/>
                <w:szCs w:val="20"/>
                <w:lang w:eastAsia="sk-SK"/>
              </w:rPr>
              <w:t>Vplyvy na podnikateľské prostredie</w:t>
            </w:r>
          </w:p>
        </w:tc>
        <w:tc>
          <w:tcPr>
            <w:tcW w:w="541" w:type="dxa"/>
            <w:gridSpan w:val="2"/>
            <w:tcBorders>
              <w:bottom w:val="dotted" w:sz="4" w:space="0" w:color="auto"/>
              <w:right w:val="nil"/>
            </w:tcBorders>
            <w:vAlign w:val="center"/>
          </w:tcPr>
          <w:p w:rsidR="0004402F" w:rsidRPr="00B043B4" w:rsidRDefault="0004402F" w:rsidP="0004402F">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312" w:type="dxa"/>
            <w:gridSpan w:val="2"/>
            <w:tcBorders>
              <w:left w:val="nil"/>
              <w:bottom w:val="dotted" w:sz="4" w:space="0" w:color="auto"/>
              <w:right w:val="nil"/>
            </w:tcBorders>
            <w:vAlign w:val="center"/>
          </w:tcPr>
          <w:p w:rsidR="0004402F" w:rsidRPr="00B043B4" w:rsidRDefault="0004402F" w:rsidP="0004402F">
            <w:pPr>
              <w:ind w:right="-108"/>
              <w:rPr>
                <w:rFonts w:ascii="Times New Roman" w:hAnsi="Times New Roman"/>
                <w:b/>
                <w:sz w:val="20"/>
                <w:szCs w:val="20"/>
                <w:lang w:eastAsia="sk-SK"/>
              </w:rPr>
            </w:pPr>
            <w:r w:rsidRPr="00B043B4">
              <w:rPr>
                <w:rFonts w:ascii="Times New Roman" w:hAnsi="Times New Roman"/>
                <w:b/>
                <w:sz w:val="20"/>
                <w:szCs w:val="20"/>
                <w:lang w:eastAsia="sk-SK"/>
              </w:rPr>
              <w:t>Pozitívne</w:t>
            </w:r>
          </w:p>
        </w:tc>
        <w:tc>
          <w:tcPr>
            <w:tcW w:w="538" w:type="dxa"/>
            <w:gridSpan w:val="2"/>
            <w:tcBorders>
              <w:left w:val="nil"/>
              <w:bottom w:val="dotted" w:sz="4" w:space="0" w:color="auto"/>
              <w:right w:val="nil"/>
            </w:tcBorders>
            <w:vAlign w:val="center"/>
          </w:tcPr>
          <w:p w:rsidR="0004402F" w:rsidRPr="00B043B4" w:rsidRDefault="0004402F" w:rsidP="0004402F">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left w:val="nil"/>
              <w:bottom w:val="dotted" w:sz="4" w:space="0" w:color="auto"/>
              <w:right w:val="nil"/>
            </w:tcBorders>
            <w:vAlign w:val="center"/>
          </w:tcPr>
          <w:p w:rsidR="0004402F" w:rsidRPr="00B043B4" w:rsidRDefault="0004402F" w:rsidP="0004402F">
            <w:pPr>
              <w:rPr>
                <w:rFonts w:ascii="Times New Roman" w:hAnsi="Times New Roman"/>
                <w:b/>
                <w:sz w:val="20"/>
                <w:szCs w:val="20"/>
                <w:lang w:eastAsia="sk-SK"/>
              </w:rPr>
            </w:pPr>
            <w:r w:rsidRPr="00B043B4">
              <w:rPr>
                <w:rFonts w:ascii="Times New Roman" w:hAnsi="Times New Roman"/>
                <w:b/>
                <w:sz w:val="20"/>
                <w:szCs w:val="20"/>
                <w:lang w:eastAsia="sk-SK"/>
              </w:rPr>
              <w:t>Žiadne</w:t>
            </w:r>
          </w:p>
        </w:tc>
        <w:tc>
          <w:tcPr>
            <w:tcW w:w="547" w:type="dxa"/>
            <w:gridSpan w:val="2"/>
            <w:tcBorders>
              <w:left w:val="nil"/>
              <w:bottom w:val="dotted" w:sz="4" w:space="0" w:color="auto"/>
              <w:right w:val="nil"/>
            </w:tcBorders>
            <w:vAlign w:val="center"/>
          </w:tcPr>
          <w:p w:rsidR="0004402F" w:rsidRPr="00B043B4" w:rsidRDefault="0004402F" w:rsidP="0004402F">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297" w:type="dxa"/>
            <w:tcBorders>
              <w:left w:val="nil"/>
              <w:bottom w:val="dotted" w:sz="4" w:space="0" w:color="auto"/>
            </w:tcBorders>
            <w:vAlign w:val="center"/>
          </w:tcPr>
          <w:p w:rsidR="0004402F" w:rsidRPr="00B043B4" w:rsidRDefault="0004402F" w:rsidP="0004402F">
            <w:pPr>
              <w:ind w:left="54"/>
              <w:rPr>
                <w:rFonts w:ascii="Times New Roman" w:hAnsi="Times New Roman"/>
                <w:b/>
                <w:sz w:val="20"/>
                <w:szCs w:val="20"/>
                <w:lang w:eastAsia="sk-SK"/>
              </w:rPr>
            </w:pPr>
            <w:r w:rsidRPr="00B043B4">
              <w:rPr>
                <w:rFonts w:ascii="Times New Roman" w:hAnsi="Times New Roman"/>
                <w:b/>
                <w:sz w:val="20"/>
                <w:szCs w:val="20"/>
                <w:lang w:eastAsia="sk-SK"/>
              </w:rPr>
              <w:t>Negatívne</w:t>
            </w:r>
          </w:p>
        </w:tc>
      </w:tr>
      <w:tr w:rsidR="0004402F" w:rsidRPr="00B043B4" w:rsidTr="0004402F">
        <w:tc>
          <w:tcPr>
            <w:tcW w:w="3812" w:type="dxa"/>
            <w:tcBorders>
              <w:top w:val="nil"/>
              <w:left w:val="single" w:sz="4" w:space="0" w:color="000000"/>
              <w:bottom w:val="nil"/>
              <w:right w:val="single" w:sz="4" w:space="0" w:color="000000"/>
            </w:tcBorders>
            <w:shd w:val="clear" w:color="auto" w:fill="E2E2E2"/>
          </w:tcPr>
          <w:p w:rsidR="0004402F" w:rsidRPr="00B043B4" w:rsidRDefault="0004402F" w:rsidP="0004402F">
            <w:pPr>
              <w:rPr>
                <w:rFonts w:ascii="Times New Roman" w:hAnsi="Times New Roman"/>
                <w:sz w:val="20"/>
                <w:szCs w:val="20"/>
                <w:lang w:eastAsia="sk-SK"/>
              </w:rPr>
            </w:pPr>
            <w:r w:rsidRPr="00B043B4">
              <w:rPr>
                <w:rFonts w:ascii="Times New Roman" w:hAnsi="Times New Roman"/>
                <w:sz w:val="20"/>
                <w:szCs w:val="20"/>
                <w:lang w:eastAsia="sk-SK"/>
              </w:rPr>
              <w:t xml:space="preserve"> </w:t>
            </w:r>
            <w:r>
              <w:rPr>
                <w:rFonts w:ascii="Times New Roman" w:hAnsi="Times New Roman"/>
                <w:sz w:val="20"/>
                <w:szCs w:val="20"/>
                <w:lang w:eastAsia="sk-SK"/>
              </w:rPr>
              <w:t xml:space="preserve">   </w:t>
            </w:r>
            <w:r w:rsidRPr="00B043B4">
              <w:rPr>
                <w:rFonts w:ascii="Times New Roman" w:hAnsi="Times New Roman"/>
                <w:sz w:val="20"/>
                <w:szCs w:val="20"/>
                <w:lang w:eastAsia="sk-SK"/>
              </w:rPr>
              <w:t>z toho vplyvy na MSP</w:t>
            </w:r>
          </w:p>
          <w:p w:rsidR="0004402F" w:rsidRPr="00B043B4" w:rsidRDefault="0004402F" w:rsidP="0004402F">
            <w:pPr>
              <w:rPr>
                <w:rFonts w:ascii="Times New Roman" w:hAnsi="Times New Roman"/>
                <w:sz w:val="20"/>
                <w:szCs w:val="20"/>
                <w:lang w:eastAsia="sk-SK"/>
              </w:rPr>
            </w:pPr>
          </w:p>
        </w:tc>
        <w:tc>
          <w:tcPr>
            <w:tcW w:w="541" w:type="dxa"/>
            <w:gridSpan w:val="2"/>
            <w:tcBorders>
              <w:top w:val="dotted" w:sz="4" w:space="0" w:color="auto"/>
              <w:left w:val="single" w:sz="4" w:space="0" w:color="000000"/>
              <w:bottom w:val="dotted" w:sz="4" w:space="0" w:color="auto"/>
              <w:right w:val="nil"/>
            </w:tcBorders>
            <w:vAlign w:val="center"/>
          </w:tcPr>
          <w:p w:rsidR="0004402F" w:rsidRPr="00B043B4" w:rsidRDefault="0004402F" w:rsidP="0004402F">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1312" w:type="dxa"/>
            <w:gridSpan w:val="2"/>
            <w:tcBorders>
              <w:top w:val="dotted" w:sz="4" w:space="0" w:color="auto"/>
              <w:left w:val="nil"/>
              <w:bottom w:val="dotted" w:sz="4" w:space="0" w:color="auto"/>
              <w:right w:val="nil"/>
            </w:tcBorders>
            <w:vAlign w:val="center"/>
          </w:tcPr>
          <w:p w:rsidR="0004402F" w:rsidRPr="00B043B4" w:rsidRDefault="0004402F" w:rsidP="0004402F">
            <w:pPr>
              <w:ind w:right="-108"/>
              <w:rPr>
                <w:rFonts w:ascii="Times New Roman" w:hAnsi="Times New Roman"/>
                <w:sz w:val="20"/>
                <w:szCs w:val="20"/>
                <w:lang w:eastAsia="sk-SK"/>
              </w:rPr>
            </w:pPr>
            <w:r w:rsidRPr="00B043B4">
              <w:rPr>
                <w:rFonts w:ascii="Times New Roman" w:hAnsi="Times New Roman"/>
                <w:sz w:val="20"/>
                <w:szCs w:val="20"/>
                <w:lang w:eastAsia="sk-SK"/>
              </w:rPr>
              <w:t>Pozitívne</w:t>
            </w:r>
          </w:p>
        </w:tc>
        <w:tc>
          <w:tcPr>
            <w:tcW w:w="538" w:type="dxa"/>
            <w:gridSpan w:val="2"/>
            <w:tcBorders>
              <w:top w:val="dotted" w:sz="4" w:space="0" w:color="auto"/>
              <w:left w:val="nil"/>
              <w:bottom w:val="dotted" w:sz="4" w:space="0" w:color="auto"/>
              <w:right w:val="nil"/>
            </w:tcBorders>
            <w:vAlign w:val="center"/>
          </w:tcPr>
          <w:p w:rsidR="0004402F" w:rsidRPr="00B043B4" w:rsidRDefault="0004402F" w:rsidP="0004402F">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1133" w:type="dxa"/>
            <w:tcBorders>
              <w:top w:val="dotted" w:sz="4" w:space="0" w:color="auto"/>
              <w:left w:val="nil"/>
              <w:bottom w:val="dotted" w:sz="4" w:space="0" w:color="auto"/>
              <w:right w:val="nil"/>
            </w:tcBorders>
            <w:vAlign w:val="center"/>
          </w:tcPr>
          <w:p w:rsidR="0004402F" w:rsidRPr="00B043B4" w:rsidRDefault="0004402F" w:rsidP="0004402F">
            <w:pPr>
              <w:rPr>
                <w:rFonts w:ascii="Times New Roman" w:hAnsi="Times New Roman"/>
                <w:sz w:val="20"/>
                <w:szCs w:val="20"/>
                <w:lang w:eastAsia="sk-SK"/>
              </w:rPr>
            </w:pPr>
            <w:r w:rsidRPr="00B043B4">
              <w:rPr>
                <w:rFonts w:ascii="Times New Roman" w:hAnsi="Times New Roman"/>
                <w:sz w:val="20"/>
                <w:szCs w:val="20"/>
                <w:lang w:eastAsia="sk-SK"/>
              </w:rPr>
              <w:t>Žiadne</w:t>
            </w:r>
          </w:p>
        </w:tc>
        <w:tc>
          <w:tcPr>
            <w:tcW w:w="547" w:type="dxa"/>
            <w:gridSpan w:val="2"/>
            <w:tcBorders>
              <w:top w:val="dotted" w:sz="4" w:space="0" w:color="auto"/>
              <w:left w:val="nil"/>
              <w:bottom w:val="dotted" w:sz="4" w:space="0" w:color="auto"/>
              <w:right w:val="nil"/>
            </w:tcBorders>
            <w:vAlign w:val="center"/>
          </w:tcPr>
          <w:p w:rsidR="0004402F" w:rsidRPr="00B043B4" w:rsidRDefault="0004402F" w:rsidP="0004402F">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1297" w:type="dxa"/>
            <w:tcBorders>
              <w:top w:val="dotted" w:sz="4" w:space="0" w:color="auto"/>
              <w:left w:val="nil"/>
              <w:bottom w:val="dotted" w:sz="4" w:space="0" w:color="auto"/>
            </w:tcBorders>
            <w:vAlign w:val="center"/>
          </w:tcPr>
          <w:p w:rsidR="0004402F" w:rsidRPr="00B043B4" w:rsidRDefault="0004402F" w:rsidP="0004402F">
            <w:pPr>
              <w:ind w:left="54"/>
              <w:rPr>
                <w:rFonts w:ascii="Times New Roman" w:hAnsi="Times New Roman"/>
                <w:sz w:val="20"/>
                <w:szCs w:val="20"/>
                <w:lang w:eastAsia="sk-SK"/>
              </w:rPr>
            </w:pPr>
            <w:r w:rsidRPr="00B043B4">
              <w:rPr>
                <w:rFonts w:ascii="Times New Roman" w:hAnsi="Times New Roman"/>
                <w:sz w:val="20"/>
                <w:szCs w:val="20"/>
                <w:lang w:eastAsia="sk-SK"/>
              </w:rPr>
              <w:t>Negatívne</w:t>
            </w:r>
          </w:p>
        </w:tc>
      </w:tr>
      <w:tr w:rsidR="0004402F" w:rsidRPr="00B043B4" w:rsidTr="0004402F">
        <w:tc>
          <w:tcPr>
            <w:tcW w:w="3812" w:type="dxa"/>
            <w:tcBorders>
              <w:top w:val="nil"/>
            </w:tcBorders>
            <w:shd w:val="clear" w:color="auto" w:fill="E2E2E2"/>
          </w:tcPr>
          <w:p w:rsidR="0004402F" w:rsidRDefault="0004402F" w:rsidP="0004402F">
            <w:pPr>
              <w:rPr>
                <w:rFonts w:ascii="Times New Roman" w:hAnsi="Times New Roman"/>
                <w:sz w:val="20"/>
                <w:szCs w:val="20"/>
                <w:lang w:eastAsia="sk-SK"/>
              </w:rPr>
            </w:pPr>
            <w:r>
              <w:rPr>
                <w:rFonts w:ascii="Times New Roman" w:hAnsi="Times New Roman"/>
                <w:sz w:val="20"/>
                <w:szCs w:val="20"/>
                <w:lang w:eastAsia="sk-SK"/>
              </w:rPr>
              <w:t xml:space="preserve">    </w:t>
            </w:r>
            <w:r w:rsidRPr="00B043B4">
              <w:rPr>
                <w:rFonts w:ascii="Times New Roman" w:hAnsi="Times New Roman"/>
                <w:sz w:val="20"/>
                <w:szCs w:val="20"/>
                <w:lang w:eastAsia="sk-SK"/>
              </w:rPr>
              <w:t xml:space="preserve">Mechanizmus znižovania byrokracie </w:t>
            </w:r>
            <w:r>
              <w:rPr>
                <w:rFonts w:ascii="Times New Roman" w:hAnsi="Times New Roman"/>
                <w:sz w:val="20"/>
                <w:szCs w:val="20"/>
                <w:lang w:eastAsia="sk-SK"/>
              </w:rPr>
              <w:t xml:space="preserve">   </w:t>
            </w:r>
          </w:p>
          <w:p w:rsidR="0004402F" w:rsidRPr="00B043B4" w:rsidRDefault="0004402F" w:rsidP="0004402F">
            <w:pPr>
              <w:rPr>
                <w:rFonts w:ascii="Times New Roman" w:hAnsi="Times New Roman"/>
                <w:b/>
                <w:sz w:val="20"/>
                <w:szCs w:val="20"/>
                <w:lang w:eastAsia="sk-SK"/>
              </w:rPr>
            </w:pPr>
            <w:r>
              <w:rPr>
                <w:rFonts w:ascii="Times New Roman" w:hAnsi="Times New Roman"/>
                <w:sz w:val="20"/>
                <w:szCs w:val="20"/>
                <w:lang w:eastAsia="sk-SK"/>
              </w:rPr>
              <w:t xml:space="preserve">    </w:t>
            </w:r>
            <w:r w:rsidRPr="00B043B4">
              <w:rPr>
                <w:rFonts w:ascii="Times New Roman" w:hAnsi="Times New Roman"/>
                <w:sz w:val="20"/>
                <w:szCs w:val="20"/>
                <w:lang w:eastAsia="sk-SK"/>
              </w:rPr>
              <w:t>a nákladov sa uplatňuje:</w:t>
            </w:r>
          </w:p>
        </w:tc>
        <w:tc>
          <w:tcPr>
            <w:tcW w:w="541" w:type="dxa"/>
            <w:gridSpan w:val="2"/>
            <w:tcBorders>
              <w:top w:val="dotted" w:sz="4" w:space="0" w:color="auto"/>
              <w:right w:val="nil"/>
            </w:tcBorders>
            <w:vAlign w:val="center"/>
          </w:tcPr>
          <w:p w:rsidR="0004402F" w:rsidRPr="00B043B4" w:rsidRDefault="0004402F" w:rsidP="0004402F">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596" w:type="dxa"/>
            <w:gridSpan w:val="3"/>
            <w:tcBorders>
              <w:top w:val="dotted" w:sz="4" w:space="0" w:color="auto"/>
              <w:left w:val="nil"/>
              <w:right w:val="nil"/>
            </w:tcBorders>
            <w:vAlign w:val="center"/>
          </w:tcPr>
          <w:p w:rsidR="0004402F" w:rsidRPr="00B043B4" w:rsidRDefault="0004402F" w:rsidP="0004402F">
            <w:pPr>
              <w:ind w:right="-108"/>
              <w:rPr>
                <w:rFonts w:ascii="Times New Roman" w:hAnsi="Times New Roman"/>
                <w:b/>
                <w:sz w:val="20"/>
                <w:szCs w:val="20"/>
                <w:lang w:eastAsia="sk-SK"/>
              </w:rPr>
            </w:pPr>
            <w:r w:rsidRPr="00B043B4">
              <w:rPr>
                <w:rFonts w:ascii="Times New Roman" w:hAnsi="Times New Roman"/>
                <w:sz w:val="20"/>
                <w:szCs w:val="20"/>
                <w:lang w:eastAsia="sk-SK"/>
              </w:rPr>
              <w:t>Áno</w:t>
            </w:r>
          </w:p>
        </w:tc>
        <w:tc>
          <w:tcPr>
            <w:tcW w:w="254" w:type="dxa"/>
            <w:tcBorders>
              <w:top w:val="dotted" w:sz="4" w:space="0" w:color="auto"/>
              <w:left w:val="nil"/>
              <w:right w:val="nil"/>
            </w:tcBorders>
            <w:vAlign w:val="center"/>
          </w:tcPr>
          <w:p w:rsidR="0004402F" w:rsidRPr="00B043B4" w:rsidRDefault="0004402F" w:rsidP="0004402F">
            <w:pPr>
              <w:jc w:val="center"/>
              <w:rPr>
                <w:rFonts w:ascii="Times New Roman" w:hAnsi="Times New Roman"/>
                <w:b/>
                <w:sz w:val="20"/>
                <w:szCs w:val="20"/>
                <w:lang w:eastAsia="sk-SK"/>
              </w:rPr>
            </w:pPr>
          </w:p>
        </w:tc>
        <w:tc>
          <w:tcPr>
            <w:tcW w:w="1133" w:type="dxa"/>
            <w:tcBorders>
              <w:top w:val="dotted" w:sz="4" w:space="0" w:color="auto"/>
              <w:left w:val="nil"/>
              <w:right w:val="nil"/>
            </w:tcBorders>
            <w:vAlign w:val="center"/>
          </w:tcPr>
          <w:p w:rsidR="0004402F" w:rsidRPr="00B043B4" w:rsidRDefault="0004402F" w:rsidP="0004402F">
            <w:pPr>
              <w:jc w:val="center"/>
              <w:rPr>
                <w:rFonts w:ascii="Times New Roman" w:hAnsi="Times New Roman"/>
                <w:b/>
                <w:sz w:val="20"/>
                <w:szCs w:val="20"/>
                <w:lang w:eastAsia="sk-SK"/>
              </w:rPr>
            </w:pPr>
          </w:p>
        </w:tc>
        <w:tc>
          <w:tcPr>
            <w:tcW w:w="547" w:type="dxa"/>
            <w:gridSpan w:val="2"/>
            <w:tcBorders>
              <w:top w:val="dotted" w:sz="4" w:space="0" w:color="auto"/>
              <w:left w:val="nil"/>
              <w:right w:val="nil"/>
            </w:tcBorders>
            <w:vAlign w:val="center"/>
          </w:tcPr>
          <w:p w:rsidR="0004402F" w:rsidRPr="00B043B4" w:rsidRDefault="0004402F" w:rsidP="0004402F">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297" w:type="dxa"/>
            <w:tcBorders>
              <w:top w:val="dotted" w:sz="4" w:space="0" w:color="auto"/>
              <w:left w:val="nil"/>
            </w:tcBorders>
            <w:vAlign w:val="center"/>
          </w:tcPr>
          <w:p w:rsidR="0004402F" w:rsidRPr="00B043B4" w:rsidRDefault="0004402F" w:rsidP="0004402F">
            <w:pPr>
              <w:ind w:left="54"/>
              <w:rPr>
                <w:rFonts w:ascii="Times New Roman" w:hAnsi="Times New Roman"/>
                <w:b/>
                <w:sz w:val="20"/>
                <w:szCs w:val="20"/>
                <w:lang w:eastAsia="sk-SK"/>
              </w:rPr>
            </w:pPr>
            <w:r w:rsidRPr="00B043B4">
              <w:rPr>
                <w:rFonts w:ascii="Times New Roman" w:hAnsi="Times New Roman"/>
                <w:sz w:val="20"/>
                <w:szCs w:val="20"/>
                <w:lang w:eastAsia="sk-SK"/>
              </w:rPr>
              <w:t>Nie</w:t>
            </w:r>
          </w:p>
        </w:tc>
      </w:tr>
      <w:tr w:rsidR="0004402F" w:rsidRPr="00B043B4" w:rsidTr="0004402F">
        <w:tc>
          <w:tcPr>
            <w:tcW w:w="3812" w:type="dxa"/>
            <w:tcBorders>
              <w:top w:val="single" w:sz="4" w:space="0" w:color="000000"/>
            </w:tcBorders>
            <w:shd w:val="clear" w:color="auto" w:fill="E2E2E2"/>
          </w:tcPr>
          <w:p w:rsidR="0004402F" w:rsidRPr="00B043B4" w:rsidRDefault="0004402F" w:rsidP="0004402F">
            <w:pPr>
              <w:rPr>
                <w:rFonts w:ascii="Times New Roman" w:hAnsi="Times New Roman"/>
                <w:b/>
                <w:sz w:val="20"/>
                <w:szCs w:val="20"/>
                <w:lang w:eastAsia="sk-SK"/>
              </w:rPr>
            </w:pPr>
            <w:r w:rsidRPr="00B043B4">
              <w:rPr>
                <w:rFonts w:ascii="Times New Roman" w:hAnsi="Times New Roman"/>
                <w:b/>
                <w:sz w:val="20"/>
                <w:szCs w:val="20"/>
                <w:lang w:eastAsia="sk-SK"/>
              </w:rPr>
              <w:t>Sociálne vplyvy</w:t>
            </w:r>
          </w:p>
        </w:tc>
        <w:tc>
          <w:tcPr>
            <w:tcW w:w="541" w:type="dxa"/>
            <w:gridSpan w:val="2"/>
            <w:tcBorders>
              <w:right w:val="nil"/>
            </w:tcBorders>
          </w:tcPr>
          <w:p w:rsidR="0004402F" w:rsidRPr="00B043B4" w:rsidRDefault="0004402F" w:rsidP="0004402F">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312" w:type="dxa"/>
            <w:gridSpan w:val="2"/>
            <w:tcBorders>
              <w:left w:val="nil"/>
              <w:right w:val="nil"/>
            </w:tcBorders>
          </w:tcPr>
          <w:p w:rsidR="0004402F" w:rsidRPr="00B043B4" w:rsidRDefault="0004402F" w:rsidP="0004402F">
            <w:pPr>
              <w:ind w:right="-108"/>
              <w:rPr>
                <w:rFonts w:ascii="Times New Roman" w:hAnsi="Times New Roman"/>
                <w:b/>
                <w:sz w:val="20"/>
                <w:szCs w:val="20"/>
                <w:lang w:eastAsia="sk-SK"/>
              </w:rPr>
            </w:pPr>
            <w:r w:rsidRPr="00B043B4">
              <w:rPr>
                <w:rFonts w:ascii="Times New Roman" w:hAnsi="Times New Roman"/>
                <w:b/>
                <w:sz w:val="20"/>
                <w:szCs w:val="20"/>
                <w:lang w:eastAsia="sk-SK"/>
              </w:rPr>
              <w:t>Pozitívne</w:t>
            </w:r>
          </w:p>
        </w:tc>
        <w:tc>
          <w:tcPr>
            <w:tcW w:w="538" w:type="dxa"/>
            <w:gridSpan w:val="2"/>
            <w:tcBorders>
              <w:left w:val="nil"/>
              <w:right w:val="nil"/>
            </w:tcBorders>
          </w:tcPr>
          <w:p w:rsidR="0004402F" w:rsidRPr="00B043B4" w:rsidRDefault="0004402F" w:rsidP="0004402F">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left w:val="nil"/>
              <w:right w:val="nil"/>
            </w:tcBorders>
          </w:tcPr>
          <w:p w:rsidR="0004402F" w:rsidRPr="00B043B4" w:rsidRDefault="0004402F" w:rsidP="0004402F">
            <w:pPr>
              <w:rPr>
                <w:rFonts w:ascii="Times New Roman" w:hAnsi="Times New Roman"/>
                <w:b/>
                <w:sz w:val="20"/>
                <w:szCs w:val="20"/>
                <w:lang w:eastAsia="sk-SK"/>
              </w:rPr>
            </w:pPr>
            <w:r w:rsidRPr="00B043B4">
              <w:rPr>
                <w:rFonts w:ascii="Times New Roman" w:hAnsi="Times New Roman"/>
                <w:b/>
                <w:sz w:val="20"/>
                <w:szCs w:val="20"/>
                <w:lang w:eastAsia="sk-SK"/>
              </w:rPr>
              <w:t>Žiadne</w:t>
            </w:r>
          </w:p>
        </w:tc>
        <w:tc>
          <w:tcPr>
            <w:tcW w:w="547" w:type="dxa"/>
            <w:gridSpan w:val="2"/>
            <w:tcBorders>
              <w:left w:val="nil"/>
              <w:right w:val="nil"/>
            </w:tcBorders>
          </w:tcPr>
          <w:p w:rsidR="0004402F" w:rsidRPr="00B043B4" w:rsidRDefault="0004402F" w:rsidP="0004402F">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297" w:type="dxa"/>
            <w:tcBorders>
              <w:left w:val="nil"/>
            </w:tcBorders>
          </w:tcPr>
          <w:p w:rsidR="0004402F" w:rsidRPr="00B043B4" w:rsidRDefault="0004402F" w:rsidP="0004402F">
            <w:pPr>
              <w:ind w:left="54"/>
              <w:rPr>
                <w:rFonts w:ascii="Times New Roman" w:hAnsi="Times New Roman"/>
                <w:b/>
                <w:sz w:val="20"/>
                <w:szCs w:val="20"/>
                <w:lang w:eastAsia="sk-SK"/>
              </w:rPr>
            </w:pPr>
            <w:r w:rsidRPr="00B043B4">
              <w:rPr>
                <w:rFonts w:ascii="Times New Roman" w:hAnsi="Times New Roman"/>
                <w:b/>
                <w:sz w:val="20"/>
                <w:szCs w:val="20"/>
                <w:lang w:eastAsia="sk-SK"/>
              </w:rPr>
              <w:t>Negatívne</w:t>
            </w:r>
          </w:p>
        </w:tc>
      </w:tr>
      <w:tr w:rsidR="0004402F" w:rsidRPr="00B043B4" w:rsidTr="0004402F">
        <w:tc>
          <w:tcPr>
            <w:tcW w:w="3812" w:type="dxa"/>
            <w:shd w:val="clear" w:color="auto" w:fill="E2E2E2"/>
          </w:tcPr>
          <w:p w:rsidR="0004402F" w:rsidRPr="00B043B4" w:rsidRDefault="0004402F" w:rsidP="0004402F">
            <w:pPr>
              <w:rPr>
                <w:rFonts w:ascii="Times New Roman" w:hAnsi="Times New Roman"/>
                <w:b/>
                <w:sz w:val="20"/>
                <w:szCs w:val="20"/>
                <w:lang w:eastAsia="sk-SK"/>
              </w:rPr>
            </w:pPr>
            <w:r w:rsidRPr="00B043B4">
              <w:rPr>
                <w:rFonts w:ascii="Times New Roman" w:hAnsi="Times New Roman"/>
                <w:b/>
                <w:sz w:val="20"/>
                <w:szCs w:val="20"/>
                <w:lang w:eastAsia="sk-SK"/>
              </w:rPr>
              <w:t>Vplyvy na životné prostredie</w:t>
            </w:r>
          </w:p>
        </w:tc>
        <w:tc>
          <w:tcPr>
            <w:tcW w:w="541" w:type="dxa"/>
            <w:gridSpan w:val="2"/>
            <w:tcBorders>
              <w:right w:val="nil"/>
            </w:tcBorders>
          </w:tcPr>
          <w:p w:rsidR="0004402F" w:rsidRPr="00B043B4" w:rsidRDefault="0004402F" w:rsidP="0004402F">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312" w:type="dxa"/>
            <w:gridSpan w:val="2"/>
            <w:tcBorders>
              <w:left w:val="nil"/>
              <w:right w:val="nil"/>
            </w:tcBorders>
          </w:tcPr>
          <w:p w:rsidR="0004402F" w:rsidRPr="00B043B4" w:rsidRDefault="0004402F" w:rsidP="0004402F">
            <w:pPr>
              <w:ind w:right="-108"/>
              <w:rPr>
                <w:rFonts w:ascii="Times New Roman" w:hAnsi="Times New Roman"/>
                <w:b/>
                <w:sz w:val="20"/>
                <w:szCs w:val="20"/>
                <w:lang w:eastAsia="sk-SK"/>
              </w:rPr>
            </w:pPr>
            <w:r w:rsidRPr="00B043B4">
              <w:rPr>
                <w:rFonts w:ascii="Times New Roman" w:hAnsi="Times New Roman"/>
                <w:b/>
                <w:sz w:val="20"/>
                <w:szCs w:val="20"/>
                <w:lang w:eastAsia="sk-SK"/>
              </w:rPr>
              <w:t>Pozitívne</w:t>
            </w:r>
          </w:p>
        </w:tc>
        <w:tc>
          <w:tcPr>
            <w:tcW w:w="538" w:type="dxa"/>
            <w:gridSpan w:val="2"/>
            <w:tcBorders>
              <w:left w:val="nil"/>
              <w:right w:val="nil"/>
            </w:tcBorders>
          </w:tcPr>
          <w:p w:rsidR="0004402F" w:rsidRPr="00B043B4" w:rsidRDefault="0004402F" w:rsidP="0004402F">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left w:val="nil"/>
              <w:right w:val="nil"/>
            </w:tcBorders>
          </w:tcPr>
          <w:p w:rsidR="0004402F" w:rsidRPr="00B043B4" w:rsidRDefault="0004402F" w:rsidP="0004402F">
            <w:pPr>
              <w:rPr>
                <w:rFonts w:ascii="Times New Roman" w:hAnsi="Times New Roman"/>
                <w:b/>
                <w:sz w:val="20"/>
                <w:szCs w:val="20"/>
                <w:lang w:eastAsia="sk-SK"/>
              </w:rPr>
            </w:pPr>
            <w:r w:rsidRPr="00B043B4">
              <w:rPr>
                <w:rFonts w:ascii="Times New Roman" w:hAnsi="Times New Roman"/>
                <w:b/>
                <w:sz w:val="20"/>
                <w:szCs w:val="20"/>
                <w:lang w:eastAsia="sk-SK"/>
              </w:rPr>
              <w:t>Žiadne</w:t>
            </w:r>
          </w:p>
        </w:tc>
        <w:tc>
          <w:tcPr>
            <w:tcW w:w="547" w:type="dxa"/>
            <w:gridSpan w:val="2"/>
            <w:tcBorders>
              <w:left w:val="nil"/>
              <w:right w:val="nil"/>
            </w:tcBorders>
          </w:tcPr>
          <w:p w:rsidR="0004402F" w:rsidRPr="00B043B4" w:rsidRDefault="0004402F" w:rsidP="0004402F">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297" w:type="dxa"/>
            <w:tcBorders>
              <w:left w:val="nil"/>
            </w:tcBorders>
          </w:tcPr>
          <w:p w:rsidR="0004402F" w:rsidRPr="00B043B4" w:rsidRDefault="0004402F" w:rsidP="0004402F">
            <w:pPr>
              <w:ind w:left="54"/>
              <w:rPr>
                <w:rFonts w:ascii="Times New Roman" w:hAnsi="Times New Roman"/>
                <w:b/>
                <w:sz w:val="20"/>
                <w:szCs w:val="20"/>
                <w:lang w:eastAsia="sk-SK"/>
              </w:rPr>
            </w:pPr>
            <w:r w:rsidRPr="00B043B4">
              <w:rPr>
                <w:rFonts w:ascii="Times New Roman" w:hAnsi="Times New Roman"/>
                <w:b/>
                <w:sz w:val="20"/>
                <w:szCs w:val="20"/>
                <w:lang w:eastAsia="sk-SK"/>
              </w:rPr>
              <w:t>Negatívne</w:t>
            </w:r>
          </w:p>
        </w:tc>
      </w:tr>
      <w:tr w:rsidR="0004402F" w:rsidRPr="00B043B4" w:rsidTr="0004402F">
        <w:tc>
          <w:tcPr>
            <w:tcW w:w="3812" w:type="dxa"/>
            <w:shd w:val="clear" w:color="auto" w:fill="E2E2E2"/>
          </w:tcPr>
          <w:p w:rsidR="0004402F" w:rsidRPr="00B043B4" w:rsidRDefault="0004402F" w:rsidP="0004402F">
            <w:pPr>
              <w:rPr>
                <w:rFonts w:ascii="Times New Roman" w:hAnsi="Times New Roman"/>
                <w:b/>
                <w:sz w:val="20"/>
                <w:szCs w:val="20"/>
                <w:lang w:eastAsia="sk-SK"/>
              </w:rPr>
            </w:pPr>
            <w:r w:rsidRPr="00B043B4">
              <w:rPr>
                <w:rFonts w:ascii="Times New Roman" w:hAnsi="Times New Roman"/>
                <w:b/>
                <w:sz w:val="20"/>
                <w:szCs w:val="20"/>
                <w:lang w:eastAsia="sk-SK"/>
              </w:rPr>
              <w:t>Vplyvy na informatizáciu</w:t>
            </w:r>
            <w:r>
              <w:rPr>
                <w:rFonts w:ascii="Times New Roman" w:hAnsi="Times New Roman"/>
                <w:b/>
                <w:sz w:val="20"/>
                <w:szCs w:val="20"/>
                <w:lang w:eastAsia="sk-SK"/>
              </w:rPr>
              <w:t xml:space="preserve"> spoločnosti</w:t>
            </w:r>
          </w:p>
        </w:tc>
        <w:tc>
          <w:tcPr>
            <w:tcW w:w="541" w:type="dxa"/>
            <w:gridSpan w:val="2"/>
            <w:tcBorders>
              <w:right w:val="nil"/>
            </w:tcBorders>
          </w:tcPr>
          <w:p w:rsidR="0004402F" w:rsidRPr="00B043B4" w:rsidRDefault="0004402F" w:rsidP="0004402F">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312" w:type="dxa"/>
            <w:gridSpan w:val="2"/>
            <w:tcBorders>
              <w:left w:val="nil"/>
              <w:right w:val="nil"/>
            </w:tcBorders>
          </w:tcPr>
          <w:p w:rsidR="0004402F" w:rsidRPr="00B043B4" w:rsidRDefault="0004402F" w:rsidP="0004402F">
            <w:pPr>
              <w:ind w:right="-108"/>
              <w:rPr>
                <w:rFonts w:ascii="Times New Roman" w:hAnsi="Times New Roman"/>
                <w:b/>
                <w:sz w:val="20"/>
                <w:szCs w:val="20"/>
                <w:lang w:eastAsia="sk-SK"/>
              </w:rPr>
            </w:pPr>
            <w:r w:rsidRPr="00B043B4">
              <w:rPr>
                <w:rFonts w:ascii="Times New Roman" w:hAnsi="Times New Roman"/>
                <w:b/>
                <w:sz w:val="20"/>
                <w:szCs w:val="20"/>
                <w:lang w:eastAsia="sk-SK"/>
              </w:rPr>
              <w:t>Pozitívne</w:t>
            </w:r>
          </w:p>
        </w:tc>
        <w:tc>
          <w:tcPr>
            <w:tcW w:w="538" w:type="dxa"/>
            <w:gridSpan w:val="2"/>
            <w:tcBorders>
              <w:left w:val="nil"/>
              <w:right w:val="nil"/>
            </w:tcBorders>
          </w:tcPr>
          <w:p w:rsidR="0004402F" w:rsidRPr="00B043B4" w:rsidRDefault="0004402F" w:rsidP="0004402F">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left w:val="nil"/>
              <w:right w:val="nil"/>
            </w:tcBorders>
          </w:tcPr>
          <w:p w:rsidR="0004402F" w:rsidRPr="00B043B4" w:rsidRDefault="0004402F" w:rsidP="0004402F">
            <w:pPr>
              <w:rPr>
                <w:rFonts w:ascii="Times New Roman" w:hAnsi="Times New Roman"/>
                <w:b/>
                <w:sz w:val="20"/>
                <w:szCs w:val="20"/>
                <w:lang w:eastAsia="sk-SK"/>
              </w:rPr>
            </w:pPr>
            <w:r w:rsidRPr="00B043B4">
              <w:rPr>
                <w:rFonts w:ascii="Times New Roman" w:hAnsi="Times New Roman"/>
                <w:b/>
                <w:sz w:val="20"/>
                <w:szCs w:val="20"/>
                <w:lang w:eastAsia="sk-SK"/>
              </w:rPr>
              <w:t>Žiadne</w:t>
            </w:r>
          </w:p>
        </w:tc>
        <w:tc>
          <w:tcPr>
            <w:tcW w:w="547" w:type="dxa"/>
            <w:gridSpan w:val="2"/>
            <w:tcBorders>
              <w:left w:val="nil"/>
              <w:right w:val="nil"/>
            </w:tcBorders>
          </w:tcPr>
          <w:p w:rsidR="0004402F" w:rsidRPr="00B043B4" w:rsidRDefault="0004402F" w:rsidP="0004402F">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297" w:type="dxa"/>
            <w:tcBorders>
              <w:left w:val="nil"/>
            </w:tcBorders>
          </w:tcPr>
          <w:p w:rsidR="0004402F" w:rsidRPr="00B043B4" w:rsidRDefault="0004402F" w:rsidP="0004402F">
            <w:pPr>
              <w:ind w:left="54"/>
              <w:rPr>
                <w:rFonts w:ascii="Times New Roman" w:hAnsi="Times New Roman"/>
                <w:b/>
                <w:sz w:val="20"/>
                <w:szCs w:val="20"/>
                <w:lang w:eastAsia="sk-SK"/>
              </w:rPr>
            </w:pPr>
            <w:r w:rsidRPr="00B043B4">
              <w:rPr>
                <w:rFonts w:ascii="Times New Roman" w:hAnsi="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4402F" w:rsidRPr="00B043B4" w:rsidTr="0004402F">
        <w:tc>
          <w:tcPr>
            <w:tcW w:w="3812" w:type="dxa"/>
            <w:tcBorders>
              <w:bottom w:val="nil"/>
            </w:tcBorders>
            <w:shd w:val="clear" w:color="auto" w:fill="E2E2E2"/>
          </w:tcPr>
          <w:p w:rsidR="0004402F" w:rsidRPr="00B043B4" w:rsidRDefault="0004402F" w:rsidP="0004402F">
            <w:pPr>
              <w:spacing w:after="0" w:line="240" w:lineRule="auto"/>
              <w:rPr>
                <w:rFonts w:ascii="Times New Roman" w:hAnsi="Times New Roman"/>
                <w:b/>
                <w:sz w:val="20"/>
                <w:szCs w:val="20"/>
                <w:lang w:eastAsia="sk-SK"/>
              </w:rPr>
            </w:pPr>
            <w:r w:rsidRPr="00B043B4">
              <w:rPr>
                <w:rFonts w:ascii="Times New Roman" w:hAnsi="Times New Roman"/>
                <w:b/>
                <w:sz w:val="20"/>
                <w:szCs w:val="20"/>
              </w:rPr>
              <w:t>Vplyvy na služby verejnej správy pre občana, z</w:t>
            </w:r>
            <w:r>
              <w:rPr>
                <w:rFonts w:ascii="Times New Roman" w:hAnsi="Times New Roman"/>
                <w:b/>
                <w:sz w:val="20"/>
                <w:szCs w:val="20"/>
              </w:rPr>
              <w:t> </w:t>
            </w:r>
            <w:r w:rsidRPr="00B043B4">
              <w:rPr>
                <w:rFonts w:ascii="Times New Roman" w:hAnsi="Times New Roman"/>
                <w:b/>
                <w:sz w:val="20"/>
                <w:szCs w:val="20"/>
              </w:rPr>
              <w:t>toho</w:t>
            </w:r>
          </w:p>
        </w:tc>
        <w:tc>
          <w:tcPr>
            <w:tcW w:w="541" w:type="dxa"/>
            <w:tcBorders>
              <w:bottom w:val="nil"/>
              <w:right w:val="nil"/>
            </w:tcBorders>
          </w:tcPr>
          <w:p w:rsidR="0004402F" w:rsidRPr="00B043B4" w:rsidRDefault="0004402F" w:rsidP="0004402F">
            <w:pPr>
              <w:spacing w:after="0" w:line="240" w:lineRule="auto"/>
              <w:jc w:val="center"/>
              <w:rPr>
                <w:rFonts w:ascii="Times New Roman" w:eastAsia="MS Mincho" w:hAnsi="Times New Roman"/>
                <w:b/>
                <w:sz w:val="20"/>
                <w:szCs w:val="20"/>
                <w:lang w:eastAsia="sk-SK"/>
              </w:rPr>
            </w:pPr>
          </w:p>
        </w:tc>
        <w:tc>
          <w:tcPr>
            <w:tcW w:w="1281" w:type="dxa"/>
            <w:tcBorders>
              <w:left w:val="nil"/>
              <w:bottom w:val="nil"/>
              <w:right w:val="nil"/>
            </w:tcBorders>
          </w:tcPr>
          <w:p w:rsidR="0004402F" w:rsidRPr="00B043B4" w:rsidRDefault="0004402F" w:rsidP="0004402F">
            <w:pPr>
              <w:spacing w:after="0" w:line="240" w:lineRule="auto"/>
              <w:ind w:right="-108"/>
              <w:rPr>
                <w:rFonts w:ascii="Times New Roman" w:hAnsi="Times New Roman"/>
                <w:b/>
                <w:sz w:val="20"/>
                <w:szCs w:val="20"/>
                <w:lang w:eastAsia="sk-SK"/>
              </w:rPr>
            </w:pPr>
          </w:p>
        </w:tc>
        <w:tc>
          <w:tcPr>
            <w:tcW w:w="569" w:type="dxa"/>
            <w:gridSpan w:val="2"/>
            <w:tcBorders>
              <w:left w:val="nil"/>
              <w:bottom w:val="nil"/>
              <w:right w:val="nil"/>
            </w:tcBorders>
          </w:tcPr>
          <w:p w:rsidR="0004402F" w:rsidRPr="00B043B4" w:rsidRDefault="0004402F" w:rsidP="0004402F">
            <w:pPr>
              <w:spacing w:after="0" w:line="240" w:lineRule="auto"/>
              <w:jc w:val="center"/>
              <w:rPr>
                <w:rFonts w:ascii="Times New Roman" w:eastAsia="MS Mincho" w:hAnsi="Times New Roman"/>
                <w:b/>
                <w:sz w:val="20"/>
                <w:szCs w:val="20"/>
                <w:lang w:eastAsia="sk-SK"/>
              </w:rPr>
            </w:pPr>
          </w:p>
        </w:tc>
        <w:tc>
          <w:tcPr>
            <w:tcW w:w="1133" w:type="dxa"/>
            <w:tcBorders>
              <w:left w:val="nil"/>
              <w:bottom w:val="nil"/>
              <w:right w:val="nil"/>
            </w:tcBorders>
          </w:tcPr>
          <w:p w:rsidR="0004402F" w:rsidRPr="00B043B4" w:rsidRDefault="0004402F" w:rsidP="0004402F">
            <w:pPr>
              <w:spacing w:after="0" w:line="240" w:lineRule="auto"/>
              <w:rPr>
                <w:rFonts w:ascii="Times New Roman" w:hAnsi="Times New Roman"/>
                <w:b/>
                <w:sz w:val="20"/>
                <w:szCs w:val="20"/>
                <w:lang w:eastAsia="sk-SK"/>
              </w:rPr>
            </w:pPr>
          </w:p>
        </w:tc>
        <w:tc>
          <w:tcPr>
            <w:tcW w:w="547" w:type="dxa"/>
            <w:tcBorders>
              <w:left w:val="nil"/>
              <w:bottom w:val="nil"/>
              <w:right w:val="nil"/>
            </w:tcBorders>
          </w:tcPr>
          <w:p w:rsidR="0004402F" w:rsidRPr="00B043B4" w:rsidRDefault="0004402F" w:rsidP="0004402F">
            <w:pPr>
              <w:spacing w:after="0" w:line="240" w:lineRule="auto"/>
              <w:jc w:val="center"/>
              <w:rPr>
                <w:rFonts w:ascii="Times New Roman" w:eastAsia="MS Mincho" w:hAnsi="Times New Roman"/>
                <w:b/>
                <w:sz w:val="20"/>
                <w:szCs w:val="20"/>
                <w:lang w:eastAsia="sk-SK"/>
              </w:rPr>
            </w:pPr>
          </w:p>
        </w:tc>
        <w:tc>
          <w:tcPr>
            <w:tcW w:w="1297" w:type="dxa"/>
            <w:tcBorders>
              <w:left w:val="nil"/>
              <w:bottom w:val="nil"/>
            </w:tcBorders>
          </w:tcPr>
          <w:p w:rsidR="0004402F" w:rsidRPr="00B043B4" w:rsidRDefault="0004402F" w:rsidP="0004402F">
            <w:pPr>
              <w:spacing w:after="0" w:line="240" w:lineRule="auto"/>
              <w:ind w:left="54"/>
              <w:rPr>
                <w:rFonts w:ascii="Times New Roman" w:hAnsi="Times New Roman"/>
                <w:b/>
                <w:sz w:val="20"/>
                <w:szCs w:val="20"/>
                <w:lang w:eastAsia="sk-SK"/>
              </w:rPr>
            </w:pPr>
          </w:p>
        </w:tc>
      </w:tr>
      <w:tr w:rsidR="0004402F" w:rsidRPr="00B043B4" w:rsidTr="0004402F">
        <w:tc>
          <w:tcPr>
            <w:tcW w:w="3812" w:type="dxa"/>
            <w:tcBorders>
              <w:top w:val="nil"/>
              <w:bottom w:val="nil"/>
            </w:tcBorders>
            <w:shd w:val="clear" w:color="auto" w:fill="E2E2E2"/>
          </w:tcPr>
          <w:p w:rsidR="0004402F" w:rsidRPr="00B043B4" w:rsidRDefault="0004402F" w:rsidP="0004402F">
            <w:pPr>
              <w:spacing w:after="0" w:line="240" w:lineRule="auto"/>
              <w:ind w:left="196" w:hanging="196"/>
              <w:rPr>
                <w:rFonts w:ascii="Times New Roman" w:hAnsi="Times New Roman"/>
                <w:b/>
                <w:sz w:val="20"/>
                <w:szCs w:val="20"/>
              </w:rPr>
            </w:pPr>
            <w:r w:rsidRPr="00B043B4">
              <w:rPr>
                <w:rFonts w:ascii="Times New Roman" w:hAnsi="Times New Roman"/>
                <w:b/>
                <w:sz w:val="20"/>
                <w:szCs w:val="20"/>
              </w:rPr>
              <w:t xml:space="preserve">    vplyvy služieb verejnej správy na občana</w:t>
            </w:r>
          </w:p>
        </w:tc>
        <w:tc>
          <w:tcPr>
            <w:tcW w:w="541" w:type="dxa"/>
            <w:tcBorders>
              <w:top w:val="nil"/>
              <w:bottom w:val="dotted" w:sz="4" w:space="0" w:color="auto"/>
              <w:right w:val="nil"/>
            </w:tcBorders>
          </w:tcPr>
          <w:p w:rsidR="0004402F" w:rsidRPr="00B043B4" w:rsidRDefault="0004402F" w:rsidP="0004402F">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312" w:type="dxa"/>
            <w:gridSpan w:val="2"/>
            <w:tcBorders>
              <w:top w:val="nil"/>
              <w:left w:val="nil"/>
              <w:bottom w:val="dotted" w:sz="4" w:space="0" w:color="auto"/>
              <w:right w:val="nil"/>
            </w:tcBorders>
          </w:tcPr>
          <w:p w:rsidR="0004402F" w:rsidRPr="00B043B4" w:rsidRDefault="0004402F" w:rsidP="0004402F">
            <w:pPr>
              <w:spacing w:after="0" w:line="240" w:lineRule="auto"/>
              <w:ind w:right="-108"/>
              <w:rPr>
                <w:rFonts w:ascii="Times New Roman" w:hAnsi="Times New Roman"/>
                <w:b/>
                <w:sz w:val="20"/>
                <w:szCs w:val="20"/>
                <w:lang w:eastAsia="sk-SK"/>
              </w:rPr>
            </w:pPr>
            <w:r w:rsidRPr="00B043B4">
              <w:rPr>
                <w:rFonts w:ascii="Times New Roman" w:hAnsi="Times New Roman"/>
                <w:b/>
                <w:sz w:val="20"/>
                <w:szCs w:val="20"/>
                <w:lang w:eastAsia="sk-SK"/>
              </w:rPr>
              <w:t>Pozitívne</w:t>
            </w:r>
          </w:p>
        </w:tc>
        <w:tc>
          <w:tcPr>
            <w:tcW w:w="538" w:type="dxa"/>
            <w:tcBorders>
              <w:top w:val="nil"/>
              <w:left w:val="nil"/>
              <w:bottom w:val="dotted" w:sz="4" w:space="0" w:color="auto"/>
              <w:right w:val="nil"/>
            </w:tcBorders>
          </w:tcPr>
          <w:p w:rsidR="0004402F" w:rsidRPr="00B043B4" w:rsidRDefault="0004402F" w:rsidP="0004402F">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top w:val="nil"/>
              <w:left w:val="nil"/>
              <w:bottom w:val="dotted" w:sz="4" w:space="0" w:color="auto"/>
              <w:right w:val="nil"/>
            </w:tcBorders>
          </w:tcPr>
          <w:p w:rsidR="0004402F" w:rsidRPr="00B043B4" w:rsidRDefault="0004402F" w:rsidP="0004402F">
            <w:pPr>
              <w:spacing w:after="0" w:line="240" w:lineRule="auto"/>
              <w:rPr>
                <w:rFonts w:ascii="Times New Roman" w:hAnsi="Times New Roman"/>
                <w:b/>
                <w:sz w:val="20"/>
                <w:szCs w:val="20"/>
                <w:lang w:eastAsia="sk-SK"/>
              </w:rPr>
            </w:pPr>
            <w:r w:rsidRPr="00B043B4">
              <w:rPr>
                <w:rFonts w:ascii="Times New Roman" w:hAnsi="Times New Roman"/>
                <w:b/>
                <w:sz w:val="20"/>
                <w:szCs w:val="20"/>
                <w:lang w:eastAsia="sk-SK"/>
              </w:rPr>
              <w:t>Žiadne</w:t>
            </w:r>
          </w:p>
        </w:tc>
        <w:tc>
          <w:tcPr>
            <w:tcW w:w="547" w:type="dxa"/>
            <w:tcBorders>
              <w:top w:val="nil"/>
              <w:left w:val="nil"/>
              <w:bottom w:val="dotted" w:sz="4" w:space="0" w:color="auto"/>
              <w:right w:val="nil"/>
            </w:tcBorders>
          </w:tcPr>
          <w:p w:rsidR="0004402F" w:rsidRPr="00B043B4" w:rsidRDefault="0004402F" w:rsidP="0004402F">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297" w:type="dxa"/>
            <w:tcBorders>
              <w:top w:val="nil"/>
              <w:left w:val="nil"/>
              <w:bottom w:val="dotted" w:sz="4" w:space="0" w:color="auto"/>
            </w:tcBorders>
          </w:tcPr>
          <w:p w:rsidR="0004402F" w:rsidRPr="00B043B4" w:rsidRDefault="0004402F" w:rsidP="0004402F">
            <w:pPr>
              <w:spacing w:after="0" w:line="240" w:lineRule="auto"/>
              <w:ind w:left="54"/>
              <w:rPr>
                <w:rFonts w:ascii="Times New Roman" w:hAnsi="Times New Roman"/>
                <w:b/>
                <w:sz w:val="20"/>
                <w:szCs w:val="20"/>
                <w:lang w:eastAsia="sk-SK"/>
              </w:rPr>
            </w:pPr>
            <w:r w:rsidRPr="00B043B4">
              <w:rPr>
                <w:rFonts w:ascii="Times New Roman" w:hAnsi="Times New Roman"/>
                <w:b/>
                <w:sz w:val="20"/>
                <w:szCs w:val="20"/>
                <w:lang w:eastAsia="sk-SK"/>
              </w:rPr>
              <w:t>Negatívne</w:t>
            </w:r>
          </w:p>
        </w:tc>
      </w:tr>
      <w:tr w:rsidR="0004402F" w:rsidRPr="00B043B4" w:rsidTr="0004402F">
        <w:tc>
          <w:tcPr>
            <w:tcW w:w="3812" w:type="dxa"/>
            <w:tcBorders>
              <w:top w:val="nil"/>
              <w:bottom w:val="nil"/>
            </w:tcBorders>
            <w:shd w:val="clear" w:color="auto" w:fill="E2E2E2"/>
          </w:tcPr>
          <w:p w:rsidR="0004402F" w:rsidRPr="00B043B4" w:rsidRDefault="0004402F" w:rsidP="0004402F">
            <w:pPr>
              <w:spacing w:after="0" w:line="240" w:lineRule="auto"/>
              <w:ind w:left="168" w:hanging="168"/>
              <w:rPr>
                <w:rFonts w:ascii="Times New Roman" w:hAnsi="Times New Roman"/>
                <w:b/>
                <w:sz w:val="20"/>
                <w:szCs w:val="20"/>
              </w:rPr>
            </w:pPr>
            <w:r w:rsidRPr="00B043B4">
              <w:rPr>
                <w:rFonts w:ascii="Times New Roman" w:hAnsi="Times New Roman"/>
                <w:b/>
                <w:sz w:val="20"/>
                <w:szCs w:val="20"/>
              </w:rPr>
              <w:t xml:space="preserve">    vplyvy na procesy služieb vo verejnej správe</w:t>
            </w:r>
          </w:p>
        </w:tc>
        <w:tc>
          <w:tcPr>
            <w:tcW w:w="541" w:type="dxa"/>
            <w:tcBorders>
              <w:top w:val="dotted" w:sz="4" w:space="0" w:color="auto"/>
              <w:bottom w:val="dotted" w:sz="4" w:space="0" w:color="auto"/>
              <w:right w:val="nil"/>
            </w:tcBorders>
            <w:vAlign w:val="center"/>
          </w:tcPr>
          <w:p w:rsidR="0004402F" w:rsidRPr="00B043B4" w:rsidRDefault="0004402F" w:rsidP="0004402F">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312" w:type="dxa"/>
            <w:gridSpan w:val="2"/>
            <w:tcBorders>
              <w:top w:val="dotted" w:sz="4" w:space="0" w:color="auto"/>
              <w:left w:val="nil"/>
              <w:bottom w:val="dotted" w:sz="4" w:space="0" w:color="auto"/>
              <w:right w:val="nil"/>
            </w:tcBorders>
            <w:vAlign w:val="center"/>
          </w:tcPr>
          <w:p w:rsidR="0004402F" w:rsidRPr="00B043B4" w:rsidRDefault="0004402F" w:rsidP="0004402F">
            <w:pPr>
              <w:spacing w:after="0" w:line="240" w:lineRule="auto"/>
              <w:ind w:right="-108"/>
              <w:rPr>
                <w:rFonts w:ascii="Times New Roman" w:hAnsi="Times New Roman"/>
                <w:b/>
                <w:sz w:val="20"/>
                <w:szCs w:val="20"/>
                <w:lang w:eastAsia="sk-SK"/>
              </w:rPr>
            </w:pPr>
            <w:r w:rsidRPr="00B043B4">
              <w:rPr>
                <w:rFonts w:ascii="Times New Roman" w:hAnsi="Times New Roman"/>
                <w:b/>
                <w:sz w:val="20"/>
                <w:szCs w:val="20"/>
                <w:lang w:eastAsia="sk-SK"/>
              </w:rPr>
              <w:t>Pozitívne</w:t>
            </w:r>
          </w:p>
        </w:tc>
        <w:tc>
          <w:tcPr>
            <w:tcW w:w="538" w:type="dxa"/>
            <w:tcBorders>
              <w:top w:val="dotted" w:sz="4" w:space="0" w:color="auto"/>
              <w:left w:val="nil"/>
              <w:bottom w:val="dotted" w:sz="4" w:space="0" w:color="auto"/>
              <w:right w:val="nil"/>
            </w:tcBorders>
            <w:vAlign w:val="center"/>
          </w:tcPr>
          <w:p w:rsidR="0004402F" w:rsidRPr="00B043B4" w:rsidRDefault="0004402F" w:rsidP="0004402F">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top w:val="dotted" w:sz="4" w:space="0" w:color="auto"/>
              <w:left w:val="nil"/>
              <w:bottom w:val="dotted" w:sz="4" w:space="0" w:color="auto"/>
              <w:right w:val="nil"/>
            </w:tcBorders>
            <w:vAlign w:val="center"/>
          </w:tcPr>
          <w:p w:rsidR="0004402F" w:rsidRPr="00B043B4" w:rsidRDefault="0004402F" w:rsidP="0004402F">
            <w:pPr>
              <w:spacing w:after="0" w:line="240" w:lineRule="auto"/>
              <w:rPr>
                <w:rFonts w:ascii="Times New Roman" w:hAnsi="Times New Roman"/>
                <w:b/>
                <w:sz w:val="20"/>
                <w:szCs w:val="20"/>
                <w:lang w:eastAsia="sk-SK"/>
              </w:rPr>
            </w:pPr>
            <w:r w:rsidRPr="00B043B4">
              <w:rPr>
                <w:rFonts w:ascii="Times New Roman" w:hAnsi="Times New Roman"/>
                <w:b/>
                <w:sz w:val="20"/>
                <w:szCs w:val="20"/>
                <w:lang w:eastAsia="sk-SK"/>
              </w:rPr>
              <w:t>Žiadne</w:t>
            </w:r>
          </w:p>
        </w:tc>
        <w:tc>
          <w:tcPr>
            <w:tcW w:w="547" w:type="dxa"/>
            <w:tcBorders>
              <w:top w:val="dotted" w:sz="4" w:space="0" w:color="auto"/>
              <w:left w:val="nil"/>
              <w:bottom w:val="dotted" w:sz="4" w:space="0" w:color="auto"/>
              <w:right w:val="nil"/>
            </w:tcBorders>
            <w:vAlign w:val="center"/>
          </w:tcPr>
          <w:p w:rsidR="0004402F" w:rsidRPr="00B043B4" w:rsidRDefault="0004402F" w:rsidP="0004402F">
            <w:pPr>
              <w:spacing w:after="0" w:line="240" w:lineRule="auto"/>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297" w:type="dxa"/>
            <w:tcBorders>
              <w:top w:val="dotted" w:sz="4" w:space="0" w:color="auto"/>
              <w:left w:val="nil"/>
              <w:bottom w:val="dotted" w:sz="4" w:space="0" w:color="auto"/>
            </w:tcBorders>
            <w:vAlign w:val="center"/>
          </w:tcPr>
          <w:p w:rsidR="0004402F" w:rsidRPr="00B043B4" w:rsidRDefault="0004402F" w:rsidP="0004402F">
            <w:pPr>
              <w:spacing w:after="0" w:line="240" w:lineRule="auto"/>
              <w:ind w:left="54"/>
              <w:rPr>
                <w:rFonts w:ascii="Times New Roman" w:hAnsi="Times New Roman"/>
                <w:b/>
                <w:sz w:val="20"/>
                <w:szCs w:val="20"/>
                <w:lang w:eastAsia="sk-SK"/>
              </w:rPr>
            </w:pPr>
            <w:r w:rsidRPr="00B043B4">
              <w:rPr>
                <w:rFonts w:ascii="Times New Roman" w:hAnsi="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04402F" w:rsidRPr="00B043B4" w:rsidTr="0004402F">
        <w:tc>
          <w:tcPr>
            <w:tcW w:w="3812" w:type="dxa"/>
            <w:tcBorders>
              <w:top w:val="single" w:sz="4" w:space="0" w:color="000000"/>
            </w:tcBorders>
            <w:shd w:val="clear" w:color="auto" w:fill="E2E2E2"/>
          </w:tcPr>
          <w:p w:rsidR="0004402F" w:rsidRPr="00B043B4" w:rsidRDefault="0004402F" w:rsidP="0004402F">
            <w:pPr>
              <w:rPr>
                <w:rFonts w:ascii="Times New Roman" w:hAnsi="Times New Roman"/>
                <w:b/>
                <w:sz w:val="20"/>
                <w:szCs w:val="20"/>
                <w:lang w:eastAsia="sk-SK"/>
              </w:rPr>
            </w:pPr>
            <w:r w:rsidRPr="00F87681">
              <w:rPr>
                <w:rFonts w:ascii="Times New Roman" w:hAnsi="Times New Roman"/>
                <w:b/>
                <w:sz w:val="20"/>
                <w:szCs w:val="20"/>
              </w:rPr>
              <w:t>Vplyvy na manželstvo</w:t>
            </w:r>
            <w:r>
              <w:rPr>
                <w:rFonts w:ascii="Times New Roman" w:hAnsi="Times New Roman"/>
                <w:b/>
                <w:sz w:val="20"/>
                <w:szCs w:val="20"/>
              </w:rPr>
              <w:t>,</w:t>
            </w:r>
            <w:r w:rsidRPr="00F87681">
              <w:rPr>
                <w:rFonts w:ascii="Times New Roman" w:hAnsi="Times New Roman"/>
                <w:b/>
                <w:sz w:val="20"/>
                <w:szCs w:val="20"/>
              </w:rPr>
              <w:t xml:space="preserve"> rodičovstvo a</w:t>
            </w:r>
            <w:r>
              <w:rPr>
                <w:rFonts w:ascii="Times New Roman" w:hAnsi="Times New Roman"/>
                <w:b/>
                <w:sz w:val="20"/>
                <w:szCs w:val="20"/>
              </w:rPr>
              <w:t> </w:t>
            </w:r>
            <w:r w:rsidRPr="00F87681">
              <w:rPr>
                <w:rFonts w:ascii="Times New Roman" w:hAnsi="Times New Roman"/>
                <w:b/>
                <w:sz w:val="20"/>
                <w:szCs w:val="20"/>
              </w:rPr>
              <w:t>rodinu</w:t>
            </w:r>
          </w:p>
        </w:tc>
        <w:tc>
          <w:tcPr>
            <w:tcW w:w="541" w:type="dxa"/>
            <w:tcBorders>
              <w:right w:val="nil"/>
            </w:tcBorders>
            <w:vAlign w:val="center"/>
          </w:tcPr>
          <w:p w:rsidR="0004402F" w:rsidRPr="00B043B4" w:rsidRDefault="0004402F" w:rsidP="0004402F">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312" w:type="dxa"/>
            <w:tcBorders>
              <w:left w:val="nil"/>
              <w:right w:val="nil"/>
            </w:tcBorders>
            <w:vAlign w:val="center"/>
          </w:tcPr>
          <w:p w:rsidR="0004402F" w:rsidRPr="00B043B4" w:rsidRDefault="0004402F" w:rsidP="0004402F">
            <w:pPr>
              <w:ind w:right="-108"/>
              <w:rPr>
                <w:rFonts w:ascii="Times New Roman" w:hAnsi="Times New Roman"/>
                <w:b/>
                <w:sz w:val="20"/>
                <w:szCs w:val="20"/>
                <w:lang w:eastAsia="sk-SK"/>
              </w:rPr>
            </w:pPr>
            <w:r w:rsidRPr="00B043B4">
              <w:rPr>
                <w:rFonts w:ascii="Times New Roman" w:hAnsi="Times New Roman"/>
                <w:b/>
                <w:sz w:val="20"/>
                <w:szCs w:val="20"/>
                <w:lang w:eastAsia="sk-SK"/>
              </w:rPr>
              <w:t>Pozitívne</w:t>
            </w:r>
          </w:p>
        </w:tc>
        <w:tc>
          <w:tcPr>
            <w:tcW w:w="538" w:type="dxa"/>
            <w:tcBorders>
              <w:left w:val="nil"/>
              <w:right w:val="nil"/>
            </w:tcBorders>
            <w:vAlign w:val="center"/>
          </w:tcPr>
          <w:p w:rsidR="0004402F" w:rsidRPr="00B043B4" w:rsidRDefault="0004402F" w:rsidP="0004402F">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left w:val="nil"/>
              <w:right w:val="nil"/>
            </w:tcBorders>
            <w:vAlign w:val="center"/>
          </w:tcPr>
          <w:p w:rsidR="0004402F" w:rsidRPr="00B043B4" w:rsidRDefault="0004402F" w:rsidP="0004402F">
            <w:pPr>
              <w:rPr>
                <w:rFonts w:ascii="Times New Roman" w:hAnsi="Times New Roman"/>
                <w:b/>
                <w:sz w:val="20"/>
                <w:szCs w:val="20"/>
                <w:lang w:eastAsia="sk-SK"/>
              </w:rPr>
            </w:pPr>
            <w:r w:rsidRPr="00B043B4">
              <w:rPr>
                <w:rFonts w:ascii="Times New Roman" w:hAnsi="Times New Roman"/>
                <w:b/>
                <w:sz w:val="20"/>
                <w:szCs w:val="20"/>
                <w:lang w:eastAsia="sk-SK"/>
              </w:rPr>
              <w:t>Žiadne</w:t>
            </w:r>
          </w:p>
        </w:tc>
        <w:tc>
          <w:tcPr>
            <w:tcW w:w="547" w:type="dxa"/>
            <w:tcBorders>
              <w:left w:val="nil"/>
              <w:right w:val="nil"/>
            </w:tcBorders>
            <w:vAlign w:val="center"/>
          </w:tcPr>
          <w:p w:rsidR="0004402F" w:rsidRPr="00B043B4" w:rsidRDefault="0004402F" w:rsidP="0004402F">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297" w:type="dxa"/>
            <w:tcBorders>
              <w:left w:val="nil"/>
            </w:tcBorders>
            <w:vAlign w:val="center"/>
          </w:tcPr>
          <w:p w:rsidR="0004402F" w:rsidRPr="00B043B4" w:rsidRDefault="0004402F" w:rsidP="0004402F">
            <w:pPr>
              <w:ind w:left="54"/>
              <w:rPr>
                <w:rFonts w:ascii="Times New Roman" w:hAnsi="Times New Roman"/>
                <w:b/>
                <w:sz w:val="20"/>
                <w:szCs w:val="20"/>
                <w:lang w:eastAsia="sk-SK"/>
              </w:rPr>
            </w:pPr>
            <w:r w:rsidRPr="00B043B4">
              <w:rPr>
                <w:rFonts w:ascii="Times New Roman" w:hAnsi="Times New Roman"/>
                <w:b/>
                <w:sz w:val="20"/>
                <w:szCs w:val="20"/>
                <w:lang w:eastAsia="sk-SK"/>
              </w:rPr>
              <w:t>Negatívne</w:t>
            </w:r>
          </w:p>
        </w:tc>
      </w:tr>
      <w:tr w:rsidR="0004402F" w:rsidRPr="00B043B4" w:rsidTr="0004402F">
        <w:tc>
          <w:tcPr>
            <w:tcW w:w="9176" w:type="dxa"/>
            <w:gridSpan w:val="7"/>
            <w:tcBorders>
              <w:bottom w:val="nil"/>
            </w:tcBorders>
            <w:shd w:val="clear" w:color="auto" w:fill="E2E2E2"/>
          </w:tcPr>
          <w:p w:rsidR="0004402F" w:rsidRPr="00B043B4" w:rsidRDefault="0004402F" w:rsidP="0004402F">
            <w:pPr>
              <w:numPr>
                <w:ilvl w:val="0"/>
                <w:numId w:val="1"/>
              </w:numPr>
              <w:ind w:left="426"/>
              <w:contextualSpacing/>
              <w:rPr>
                <w:rFonts w:ascii="Times New Roman" w:hAnsi="Times New Roman"/>
                <w:b/>
              </w:rPr>
            </w:pPr>
            <w:r w:rsidRPr="00B043B4">
              <w:rPr>
                <w:rFonts w:ascii="Times New Roman" w:hAnsi="Times New Roman"/>
                <w:b/>
              </w:rPr>
              <w:t>Poznámky</w:t>
            </w:r>
          </w:p>
        </w:tc>
      </w:tr>
      <w:tr w:rsidR="0004402F" w:rsidRPr="00B043B4" w:rsidTr="0004402F">
        <w:trPr>
          <w:trHeight w:val="713"/>
        </w:trPr>
        <w:tc>
          <w:tcPr>
            <w:tcW w:w="9176" w:type="dxa"/>
            <w:gridSpan w:val="7"/>
            <w:tcBorders>
              <w:top w:val="nil"/>
            </w:tcBorders>
          </w:tcPr>
          <w:p w:rsidR="0004402F" w:rsidRPr="00B648DC" w:rsidRDefault="0004402F" w:rsidP="0004402F">
            <w:pPr>
              <w:jc w:val="both"/>
              <w:rPr>
                <w:rStyle w:val="awspan"/>
                <w:rFonts w:ascii="Times New Roman" w:hAnsi="Times New Roman"/>
                <w:b/>
                <w:color w:val="000000"/>
                <w:sz w:val="24"/>
                <w:szCs w:val="24"/>
              </w:rPr>
            </w:pPr>
            <w:r w:rsidRPr="00B648DC">
              <w:rPr>
                <w:rStyle w:val="awspan"/>
                <w:rFonts w:ascii="Times New Roman" w:hAnsi="Times New Roman"/>
                <w:b/>
                <w:color w:val="000000"/>
                <w:sz w:val="24"/>
                <w:szCs w:val="24"/>
              </w:rPr>
              <w:t>K novele zákona o dani z príjmov:</w:t>
            </w:r>
          </w:p>
          <w:p w:rsidR="0004402F" w:rsidRPr="004263D9" w:rsidRDefault="0004402F" w:rsidP="0004402F">
            <w:pPr>
              <w:jc w:val="both"/>
              <w:rPr>
                <w:rFonts w:ascii="Times New Roman" w:eastAsiaTheme="minorEastAsia" w:hAnsi="Times New Roman"/>
                <w:sz w:val="24"/>
                <w:szCs w:val="24"/>
                <w:lang w:eastAsia="sk-SK"/>
              </w:rPr>
            </w:pPr>
            <w:r w:rsidRPr="004263D9">
              <w:rPr>
                <w:rFonts w:ascii="Times New Roman" w:eastAsiaTheme="minorEastAsia" w:hAnsi="Times New Roman"/>
                <w:sz w:val="24"/>
                <w:szCs w:val="24"/>
                <w:lang w:eastAsia="sk-SK"/>
              </w:rPr>
              <w:t>Úprava a spresnenie pravidiel transferového oceňovania v návrhu zákona má pozitívny vplyv na podnikateľské prostredie, nakoľko dochádza k zníženiu administratívnej náročnosti a zvýšeniu právnej istoty daňovníkov.</w:t>
            </w:r>
          </w:p>
          <w:p w:rsidR="0004402F" w:rsidRPr="004263D9" w:rsidRDefault="0004402F" w:rsidP="0004402F">
            <w:pPr>
              <w:jc w:val="both"/>
              <w:rPr>
                <w:rFonts w:ascii="Times New Roman" w:eastAsiaTheme="minorEastAsia" w:hAnsi="Times New Roman"/>
                <w:sz w:val="24"/>
                <w:szCs w:val="24"/>
                <w:lang w:eastAsia="sk-SK"/>
              </w:rPr>
            </w:pPr>
            <w:r w:rsidRPr="004263D9">
              <w:rPr>
                <w:rFonts w:ascii="Times New Roman" w:eastAsiaTheme="minorEastAsia" w:hAnsi="Times New Roman"/>
                <w:sz w:val="24"/>
                <w:szCs w:val="24"/>
                <w:lang w:eastAsia="sk-SK"/>
              </w:rPr>
              <w:t>Zavedením pravidla o obmedzení úrokových nákladov sa zamedzí proti praktikám cieleným na umelé znižovanie základu dane z príjmov prostredníctvom dlhového financovania, čo bude mať pozitívny vplyv na štátny rozpočet.</w:t>
            </w:r>
          </w:p>
          <w:p w:rsidR="0004402F" w:rsidRDefault="0004402F" w:rsidP="0004402F">
            <w:pPr>
              <w:jc w:val="both"/>
              <w:rPr>
                <w:rFonts w:ascii="Times New Roman" w:eastAsiaTheme="minorEastAsia" w:hAnsi="Times New Roman"/>
                <w:sz w:val="24"/>
                <w:szCs w:val="24"/>
                <w:lang w:eastAsia="sk-SK"/>
              </w:rPr>
            </w:pPr>
            <w:r w:rsidRPr="004263D9">
              <w:rPr>
                <w:rFonts w:ascii="Times New Roman" w:eastAsiaTheme="minorEastAsia" w:hAnsi="Times New Roman"/>
                <w:sz w:val="24"/>
                <w:szCs w:val="24"/>
                <w:lang w:eastAsia="sk-SK"/>
              </w:rPr>
              <w:t>Legislatívna úprava vykazovania technických rezerv v poisťovníctve premietnutá do návrhu zákona v nadväznosti na nový medzinárodný štandard finančného výkazníctva IFRS 17 zníži administratívnu náročnosť pre poisťovne.</w:t>
            </w:r>
          </w:p>
          <w:p w:rsidR="0004402F" w:rsidRDefault="0004402F" w:rsidP="0004402F">
            <w:pPr>
              <w:jc w:val="both"/>
              <w:rPr>
                <w:rFonts w:ascii="Times New Roman" w:eastAsiaTheme="minorEastAsia" w:hAnsi="Times New Roman"/>
                <w:sz w:val="24"/>
                <w:szCs w:val="24"/>
                <w:lang w:eastAsia="sk-SK"/>
              </w:rPr>
            </w:pPr>
            <w:r>
              <w:rPr>
                <w:rFonts w:ascii="Times New Roman" w:eastAsiaTheme="minorEastAsia" w:hAnsi="Times New Roman"/>
                <w:sz w:val="24"/>
                <w:szCs w:val="24"/>
                <w:lang w:eastAsia="sk-SK"/>
              </w:rPr>
              <w:t>Novelou zákona sa zavádza zjednodušenie spôsobu registrácie podnikateľských subjektov a verejnej správy, ide o antibyrokratické opatrenie.</w:t>
            </w:r>
          </w:p>
          <w:p w:rsidR="0004402F" w:rsidRPr="0004402F" w:rsidRDefault="0004402F" w:rsidP="0004402F">
            <w:pPr>
              <w:jc w:val="both"/>
              <w:rPr>
                <w:rFonts w:ascii="Times New Roman" w:eastAsiaTheme="minorEastAsia" w:hAnsi="Times New Roman"/>
                <w:sz w:val="24"/>
                <w:szCs w:val="24"/>
                <w:lang w:eastAsia="sk-SK"/>
              </w:rPr>
            </w:pPr>
            <w:r w:rsidRPr="001E010C">
              <w:rPr>
                <w:rFonts w:ascii="Times New Roman" w:eastAsiaTheme="minorEastAsia" w:hAnsi="Times New Roman"/>
                <w:sz w:val="24"/>
                <w:szCs w:val="24"/>
                <w:lang w:eastAsia="sk-SK"/>
              </w:rPr>
              <w:t>Legislatívna úprava týkajúca sa oblasti uplatňovania daňového bonusu nebola predmetom predbežného pripomienkového konania.</w:t>
            </w:r>
          </w:p>
        </w:tc>
      </w:tr>
      <w:tr w:rsidR="0004402F" w:rsidRPr="00B043B4" w:rsidTr="0004402F">
        <w:tc>
          <w:tcPr>
            <w:tcW w:w="9176" w:type="dxa"/>
            <w:gridSpan w:val="7"/>
            <w:tcBorders>
              <w:bottom w:val="single" w:sz="4" w:space="0" w:color="FFFFFF"/>
            </w:tcBorders>
            <w:shd w:val="clear" w:color="auto" w:fill="E2E2E2"/>
          </w:tcPr>
          <w:p w:rsidR="0004402F" w:rsidRPr="00B043B4" w:rsidRDefault="0004402F" w:rsidP="0004402F">
            <w:pPr>
              <w:numPr>
                <w:ilvl w:val="0"/>
                <w:numId w:val="1"/>
              </w:numPr>
              <w:ind w:left="426"/>
              <w:contextualSpacing/>
              <w:rPr>
                <w:rFonts w:ascii="Times New Roman" w:hAnsi="Times New Roman"/>
                <w:b/>
              </w:rPr>
            </w:pPr>
            <w:r w:rsidRPr="00B043B4">
              <w:rPr>
                <w:rFonts w:ascii="Times New Roman" w:hAnsi="Times New Roman"/>
                <w:b/>
              </w:rPr>
              <w:t>Kontakt na spracovateľa</w:t>
            </w:r>
          </w:p>
        </w:tc>
      </w:tr>
      <w:tr w:rsidR="0004402F" w:rsidRPr="00B043B4" w:rsidTr="0004402F">
        <w:trPr>
          <w:trHeight w:val="586"/>
        </w:trPr>
        <w:tc>
          <w:tcPr>
            <w:tcW w:w="9176" w:type="dxa"/>
            <w:gridSpan w:val="7"/>
            <w:tcBorders>
              <w:top w:val="single" w:sz="4" w:space="0" w:color="FFFFFF"/>
            </w:tcBorders>
            <w:shd w:val="clear" w:color="auto" w:fill="FFFFFF"/>
          </w:tcPr>
          <w:p w:rsidR="0004402F" w:rsidRDefault="0004402F" w:rsidP="0004402F">
            <w:pPr>
              <w:pStyle w:val="Podpise-mailu"/>
              <w:spacing w:before="120" w:after="120"/>
              <w:rPr>
                <w:rFonts w:ascii="Times New Roman" w:hAnsi="Times New Roman"/>
                <w:sz w:val="24"/>
                <w:szCs w:val="24"/>
              </w:rPr>
            </w:pPr>
            <w:r w:rsidRPr="00D76286">
              <w:rPr>
                <w:rFonts w:ascii="Times New Roman" w:hAnsi="Times New Roman"/>
                <w:sz w:val="24"/>
                <w:szCs w:val="24"/>
              </w:rPr>
              <w:lastRenderedPageBreak/>
              <w:t>Ministerstvo financií Slovenskej republiky</w:t>
            </w:r>
          </w:p>
          <w:p w:rsidR="0004402F" w:rsidRDefault="0004402F" w:rsidP="0004402F">
            <w:pPr>
              <w:pStyle w:val="Podpise-mailu"/>
              <w:spacing w:before="120" w:after="120"/>
              <w:rPr>
                <w:rStyle w:val="Hypertextovprepojenie"/>
              </w:rPr>
            </w:pPr>
            <w:r w:rsidRPr="00535DFA">
              <w:rPr>
                <w:rStyle w:val="Hypertextovprepojenie"/>
              </w:rPr>
              <w:t>michaela.vidova@mfsr.sk, tel.: 5958 3480</w:t>
            </w:r>
          </w:p>
          <w:p w:rsidR="0004402F" w:rsidRPr="00B043B4" w:rsidRDefault="0004402F" w:rsidP="0004402F">
            <w:pPr>
              <w:rPr>
                <w:rFonts w:ascii="Times New Roman" w:hAnsi="Times New Roman"/>
                <w:i/>
                <w:sz w:val="20"/>
                <w:szCs w:val="20"/>
                <w:lang w:eastAsia="sk-SK"/>
              </w:rPr>
            </w:pPr>
          </w:p>
        </w:tc>
      </w:tr>
      <w:tr w:rsidR="0004402F" w:rsidRPr="00B043B4" w:rsidTr="0004402F">
        <w:tc>
          <w:tcPr>
            <w:tcW w:w="9176" w:type="dxa"/>
            <w:gridSpan w:val="7"/>
            <w:tcBorders>
              <w:bottom w:val="single" w:sz="4" w:space="0" w:color="FFFFFF"/>
            </w:tcBorders>
            <w:shd w:val="clear" w:color="auto" w:fill="E2E2E2"/>
          </w:tcPr>
          <w:p w:rsidR="0004402F" w:rsidRPr="00B043B4" w:rsidRDefault="0004402F" w:rsidP="0004402F">
            <w:pPr>
              <w:numPr>
                <w:ilvl w:val="0"/>
                <w:numId w:val="1"/>
              </w:numPr>
              <w:ind w:left="426"/>
              <w:contextualSpacing/>
              <w:rPr>
                <w:rFonts w:ascii="Times New Roman" w:hAnsi="Times New Roman"/>
                <w:b/>
              </w:rPr>
            </w:pPr>
            <w:r w:rsidRPr="00B043B4">
              <w:rPr>
                <w:rFonts w:ascii="Times New Roman" w:hAnsi="Times New Roman"/>
                <w:b/>
              </w:rPr>
              <w:t>Zdroje</w:t>
            </w:r>
          </w:p>
        </w:tc>
      </w:tr>
      <w:tr w:rsidR="0004402F" w:rsidRPr="00B043B4" w:rsidTr="0004402F">
        <w:trPr>
          <w:trHeight w:val="401"/>
        </w:trPr>
        <w:tc>
          <w:tcPr>
            <w:tcW w:w="9176" w:type="dxa"/>
            <w:gridSpan w:val="7"/>
            <w:tcBorders>
              <w:top w:val="single" w:sz="4" w:space="0" w:color="FFFFFF"/>
            </w:tcBorders>
            <w:shd w:val="clear" w:color="auto" w:fill="FFFFFF"/>
          </w:tcPr>
          <w:p w:rsidR="0004402F" w:rsidRPr="00FE7F61" w:rsidRDefault="0004402F" w:rsidP="0004402F">
            <w:pPr>
              <w:jc w:val="both"/>
              <w:rPr>
                <w:rFonts w:ascii="Times New Roman" w:hAnsi="Times New Roman"/>
                <w:sz w:val="24"/>
                <w:szCs w:val="24"/>
                <w:lang w:eastAsia="sk-SK"/>
              </w:rPr>
            </w:pPr>
            <w:r>
              <w:rPr>
                <w:rFonts w:ascii="Times New Roman" w:hAnsi="Times New Roman"/>
                <w:sz w:val="24"/>
                <w:szCs w:val="24"/>
                <w:lang w:eastAsia="sk-SK"/>
              </w:rPr>
              <w:t>Pri vypracovaní doložky vplyvov</w:t>
            </w:r>
            <w:r w:rsidRPr="00A21201">
              <w:rPr>
                <w:rFonts w:ascii="Times New Roman" w:hAnsi="Times New Roman"/>
                <w:sz w:val="24"/>
                <w:szCs w:val="24"/>
                <w:lang w:eastAsia="sk-SK"/>
              </w:rPr>
              <w:t xml:space="preserve"> na rozpočet verejnej správy vychádzalo Ministerstvo financií</w:t>
            </w:r>
            <w:r>
              <w:rPr>
                <w:rFonts w:ascii="Times New Roman" w:hAnsi="Times New Roman"/>
                <w:sz w:val="24"/>
                <w:szCs w:val="24"/>
                <w:lang w:eastAsia="sk-SK"/>
              </w:rPr>
              <w:t> </w:t>
            </w:r>
            <w:r w:rsidRPr="00A21201">
              <w:rPr>
                <w:rFonts w:ascii="Times New Roman" w:hAnsi="Times New Roman"/>
                <w:sz w:val="24"/>
                <w:szCs w:val="24"/>
                <w:lang w:eastAsia="sk-SK"/>
              </w:rPr>
              <w:t>SR</w:t>
            </w:r>
            <w:r>
              <w:rPr>
                <w:rFonts w:ascii="Times New Roman" w:hAnsi="Times New Roman"/>
                <w:sz w:val="24"/>
                <w:szCs w:val="24"/>
                <w:lang w:eastAsia="sk-SK"/>
              </w:rPr>
              <w:t> z </w:t>
            </w:r>
            <w:r w:rsidRPr="00A21201">
              <w:rPr>
                <w:rFonts w:ascii="Times" w:hAnsi="Times" w:cs="Times"/>
                <w:sz w:val="24"/>
                <w:szCs w:val="24"/>
              </w:rPr>
              <w:t>Registra</w:t>
            </w:r>
            <w:r>
              <w:rPr>
                <w:rFonts w:ascii="Times" w:hAnsi="Times" w:cs="Times"/>
                <w:sz w:val="24"/>
                <w:szCs w:val="24"/>
              </w:rPr>
              <w:t> </w:t>
            </w:r>
            <w:r w:rsidRPr="00A21201">
              <w:rPr>
                <w:rFonts w:ascii="Times" w:hAnsi="Times" w:cs="Times"/>
                <w:sz w:val="24"/>
                <w:szCs w:val="24"/>
              </w:rPr>
              <w:t>účtovných</w:t>
            </w:r>
            <w:r>
              <w:rPr>
                <w:rFonts w:ascii="Times" w:hAnsi="Times" w:cs="Times"/>
                <w:sz w:val="24"/>
                <w:szCs w:val="24"/>
              </w:rPr>
              <w:t> </w:t>
            </w:r>
            <w:r w:rsidRPr="00A21201">
              <w:rPr>
                <w:rFonts w:ascii="Times" w:hAnsi="Times" w:cs="Times"/>
                <w:sz w:val="24"/>
                <w:szCs w:val="24"/>
              </w:rPr>
              <w:t>závierok</w:t>
            </w:r>
            <w:r>
              <w:rPr>
                <w:rFonts w:ascii="Times" w:hAnsi="Times" w:cs="Times"/>
                <w:sz w:val="24"/>
                <w:szCs w:val="24"/>
              </w:rPr>
              <w:t> </w:t>
            </w:r>
            <w:hyperlink r:id="rId7" w:history="1">
              <w:r w:rsidRPr="00A71868">
                <w:rPr>
                  <w:rStyle w:val="Hypertextovprepojenie"/>
                  <w:rFonts w:ascii="Times" w:hAnsi="Times" w:cs="Times"/>
                  <w:sz w:val="24"/>
                  <w:szCs w:val="24"/>
                </w:rPr>
                <w:t>https://registeruz.sk/cruzpublic/domain/accountingentity/simplesearch</w:t>
              </w:r>
            </w:hyperlink>
            <w:r>
              <w:rPr>
                <w:rFonts w:ascii="Times" w:hAnsi="Times" w:cs="Times"/>
                <w:sz w:val="24"/>
                <w:szCs w:val="24"/>
              </w:rPr>
              <w:t xml:space="preserve">), </w:t>
            </w:r>
            <w:r w:rsidRPr="00A21201">
              <w:rPr>
                <w:rFonts w:ascii="Times New Roman" w:hAnsi="Times New Roman"/>
                <w:sz w:val="24"/>
                <w:szCs w:val="24"/>
                <w:lang w:eastAsia="sk-SK"/>
              </w:rPr>
              <w:t xml:space="preserve">z dostupných zdrojov Ministerstva </w:t>
            </w:r>
            <w:r>
              <w:rPr>
                <w:rFonts w:ascii="Times New Roman" w:hAnsi="Times New Roman"/>
                <w:sz w:val="24"/>
                <w:szCs w:val="24"/>
                <w:lang w:eastAsia="sk-SK"/>
              </w:rPr>
              <w:t>financií</w:t>
            </w:r>
            <w:r w:rsidRPr="00A21201">
              <w:rPr>
                <w:rFonts w:ascii="Times New Roman" w:hAnsi="Times New Roman"/>
                <w:sz w:val="24"/>
                <w:szCs w:val="24"/>
                <w:lang w:eastAsia="sk-SK"/>
              </w:rPr>
              <w:t xml:space="preserve"> Slovenskej republiky</w:t>
            </w:r>
            <w:r>
              <w:rPr>
                <w:rFonts w:ascii="Times New Roman" w:hAnsi="Times New Roman"/>
                <w:sz w:val="24"/>
                <w:szCs w:val="24"/>
                <w:lang w:eastAsia="sk-SK"/>
              </w:rPr>
              <w:t xml:space="preserve"> </w:t>
            </w:r>
            <w:r w:rsidRPr="00A21201">
              <w:rPr>
                <w:rFonts w:ascii="Times New Roman" w:hAnsi="Times New Roman"/>
                <w:sz w:val="24"/>
                <w:szCs w:val="24"/>
                <w:lang w:eastAsia="sk-SK"/>
              </w:rPr>
              <w:t>a anal</w:t>
            </w:r>
            <w:r>
              <w:rPr>
                <w:rFonts w:ascii="Times New Roman" w:hAnsi="Times New Roman"/>
                <w:sz w:val="24"/>
                <w:szCs w:val="24"/>
                <w:lang w:eastAsia="sk-SK"/>
              </w:rPr>
              <w:t xml:space="preserve">ýz Inštitútu finančnej politiky. </w:t>
            </w:r>
          </w:p>
          <w:p w:rsidR="0004402F" w:rsidRPr="00B043B4" w:rsidRDefault="0004402F" w:rsidP="0004402F">
            <w:pPr>
              <w:rPr>
                <w:rFonts w:ascii="Times New Roman" w:hAnsi="Times New Roman"/>
                <w:b/>
                <w:sz w:val="20"/>
                <w:szCs w:val="20"/>
                <w:lang w:eastAsia="sk-SK"/>
              </w:rPr>
            </w:pPr>
          </w:p>
        </w:tc>
      </w:tr>
      <w:tr w:rsidR="0004402F" w:rsidRPr="00B043B4" w:rsidTr="0004402F">
        <w:tc>
          <w:tcPr>
            <w:tcW w:w="9176" w:type="dxa"/>
            <w:gridSpan w:val="7"/>
            <w:shd w:val="clear" w:color="auto" w:fill="E2E2E2"/>
          </w:tcPr>
          <w:p w:rsidR="0004402F" w:rsidRPr="00B043B4" w:rsidRDefault="0004402F" w:rsidP="0004402F">
            <w:pPr>
              <w:numPr>
                <w:ilvl w:val="0"/>
                <w:numId w:val="1"/>
              </w:numPr>
              <w:ind w:left="447" w:hanging="425"/>
              <w:contextualSpacing/>
              <w:rPr>
                <w:rFonts w:ascii="Times New Roman" w:hAnsi="Times New Roman"/>
                <w:b/>
              </w:rPr>
            </w:pPr>
            <w:r w:rsidRPr="00B043B4">
              <w:rPr>
                <w:rFonts w:ascii="Times New Roman" w:hAnsi="Times New Roman"/>
                <w:b/>
              </w:rPr>
              <w:t xml:space="preserve">Stanovisko Komisie na posudzovanie vybraných vplyvov z PPK č. </w:t>
            </w:r>
            <w:r>
              <w:rPr>
                <w:rFonts w:ascii="Times New Roman" w:hAnsi="Times New Roman"/>
                <w:b/>
              </w:rPr>
              <w:t>131/2022</w:t>
            </w:r>
            <w:r w:rsidRPr="00B043B4">
              <w:rPr>
                <w:rFonts w:ascii="Calibri" w:hAnsi="Calibri"/>
              </w:rPr>
              <w:t xml:space="preserve"> </w:t>
            </w:r>
          </w:p>
          <w:p w:rsidR="0004402F" w:rsidRPr="00B043B4" w:rsidRDefault="0004402F" w:rsidP="0004402F">
            <w:pPr>
              <w:ind w:left="502"/>
              <w:rPr>
                <w:rFonts w:ascii="Times New Roman" w:hAnsi="Times New Roman"/>
                <w:b/>
                <w:sz w:val="20"/>
                <w:szCs w:val="20"/>
                <w:lang w:eastAsia="sk-SK"/>
              </w:rPr>
            </w:pPr>
            <w:r w:rsidRPr="00B043B4">
              <w:rPr>
                <w:rFonts w:ascii="Times New Roman" w:hAnsi="Times New Roman"/>
              </w:rPr>
              <w:t>(v prípade, ak sa uskutočnilo v zmysle bodu 8.1 Jednotnej metodiky)</w:t>
            </w:r>
          </w:p>
        </w:tc>
      </w:tr>
      <w:tr w:rsidR="0004402F" w:rsidRPr="00B043B4" w:rsidTr="0004402F">
        <w:trPr>
          <w:trHeight w:val="70"/>
        </w:trPr>
        <w:tc>
          <w:tcPr>
            <w:tcW w:w="9176" w:type="dxa"/>
            <w:gridSpan w:val="7"/>
            <w:shd w:val="clear" w:color="auto" w:fill="FFFFFF" w:themeFill="background1"/>
          </w:tcPr>
          <w:p w:rsidR="0004402F" w:rsidRPr="00B768B8" w:rsidRDefault="0004402F" w:rsidP="0004402F">
            <w:pPr>
              <w:rPr>
                <w:rFonts w:ascii="Times New Roman" w:hAnsi="Times New Roman"/>
                <w:b/>
                <w:sz w:val="24"/>
                <w:szCs w:val="24"/>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04402F" w:rsidRPr="00B768B8" w:rsidTr="0004402F">
              <w:trPr>
                <w:trHeight w:val="396"/>
              </w:trPr>
              <w:tc>
                <w:tcPr>
                  <w:tcW w:w="2552" w:type="dxa"/>
                  <w:tcBorders>
                    <w:top w:val="nil"/>
                    <w:left w:val="nil"/>
                    <w:bottom w:val="nil"/>
                    <w:right w:val="nil"/>
                  </w:tcBorders>
                </w:tcPr>
                <w:p w:rsidR="0004402F" w:rsidRPr="00B768B8" w:rsidRDefault="0004402F" w:rsidP="0004402F">
                  <w:pPr>
                    <w:rPr>
                      <w:rFonts w:ascii="Times New Roman" w:hAnsi="Times New Roman"/>
                      <w:b/>
                      <w:sz w:val="24"/>
                      <w:szCs w:val="24"/>
                      <w:lang w:eastAsia="sk-SK"/>
                    </w:rPr>
                  </w:pPr>
                  <w:r w:rsidRPr="00B768B8">
                    <w:rPr>
                      <w:rFonts w:ascii="Segoe UI Symbol" w:eastAsia="MS Gothic" w:hAnsi="Segoe UI Symbol" w:cs="Segoe UI Symbol"/>
                      <w:b/>
                      <w:sz w:val="24"/>
                      <w:szCs w:val="24"/>
                      <w:lang w:eastAsia="sk-SK"/>
                    </w:rPr>
                    <w:t>☐</w:t>
                  </w:r>
                  <w:r w:rsidRPr="00B768B8">
                    <w:rPr>
                      <w:rFonts w:ascii="Times New Roman" w:hAnsi="Times New Roman"/>
                      <w:b/>
                      <w:sz w:val="24"/>
                      <w:szCs w:val="24"/>
                      <w:lang w:eastAsia="sk-SK"/>
                    </w:rPr>
                    <w:t xml:space="preserve">  Súhlasné </w:t>
                  </w:r>
                </w:p>
              </w:tc>
              <w:tc>
                <w:tcPr>
                  <w:tcW w:w="3827" w:type="dxa"/>
                  <w:tcBorders>
                    <w:top w:val="nil"/>
                    <w:left w:val="nil"/>
                    <w:bottom w:val="nil"/>
                    <w:right w:val="nil"/>
                  </w:tcBorders>
                </w:tcPr>
                <w:p w:rsidR="0004402F" w:rsidRPr="00B768B8" w:rsidRDefault="0004402F" w:rsidP="0004402F">
                  <w:pPr>
                    <w:rPr>
                      <w:rFonts w:ascii="Times New Roman" w:hAnsi="Times New Roman"/>
                      <w:b/>
                      <w:sz w:val="24"/>
                      <w:szCs w:val="24"/>
                      <w:lang w:eastAsia="sk-SK"/>
                    </w:rPr>
                  </w:pPr>
                  <w:r w:rsidRPr="00B768B8">
                    <w:rPr>
                      <w:rFonts w:ascii="Segoe UI Symbol" w:eastAsia="MS Gothic" w:hAnsi="Segoe UI Symbol" w:cs="Segoe UI Symbol"/>
                      <w:b/>
                      <w:sz w:val="24"/>
                      <w:szCs w:val="24"/>
                      <w:lang w:eastAsia="sk-SK"/>
                    </w:rPr>
                    <w:t>☐</w:t>
                  </w:r>
                  <w:r w:rsidRPr="00B768B8">
                    <w:rPr>
                      <w:rFonts w:ascii="Times New Roman" w:hAnsi="Times New Roman"/>
                      <w:b/>
                      <w:sz w:val="24"/>
                      <w:szCs w:val="24"/>
                      <w:lang w:eastAsia="sk-SK"/>
                    </w:rPr>
                    <w:t xml:space="preserve">  Súhlasné s návrhom na dopracovanie</w:t>
                  </w:r>
                </w:p>
              </w:tc>
              <w:tc>
                <w:tcPr>
                  <w:tcW w:w="2534" w:type="dxa"/>
                  <w:tcBorders>
                    <w:top w:val="nil"/>
                    <w:left w:val="nil"/>
                    <w:bottom w:val="nil"/>
                    <w:right w:val="nil"/>
                  </w:tcBorders>
                </w:tcPr>
                <w:p w:rsidR="0004402F" w:rsidRPr="00B768B8" w:rsidRDefault="0004402F" w:rsidP="0004402F">
                  <w:pPr>
                    <w:ind w:right="459"/>
                    <w:rPr>
                      <w:rFonts w:ascii="Times New Roman" w:hAnsi="Times New Roman"/>
                      <w:b/>
                      <w:sz w:val="24"/>
                      <w:szCs w:val="24"/>
                      <w:lang w:eastAsia="sk-SK"/>
                    </w:rPr>
                  </w:pPr>
                  <w:r>
                    <w:rPr>
                      <w:rFonts w:ascii="MS Gothic" w:eastAsia="MS Gothic" w:hAnsi="MS Gothic" w:hint="eastAsia"/>
                      <w:b/>
                      <w:sz w:val="24"/>
                      <w:szCs w:val="24"/>
                      <w:lang w:eastAsia="sk-SK"/>
                    </w:rPr>
                    <w:t>☒</w:t>
                  </w:r>
                  <w:r w:rsidRPr="00B768B8">
                    <w:rPr>
                      <w:rFonts w:ascii="Times New Roman" w:hAnsi="Times New Roman"/>
                      <w:b/>
                      <w:sz w:val="24"/>
                      <w:szCs w:val="24"/>
                      <w:lang w:eastAsia="sk-SK"/>
                    </w:rPr>
                    <w:t xml:space="preserve">  Nesúhlasné</w:t>
                  </w:r>
                </w:p>
              </w:tc>
            </w:tr>
          </w:tbl>
          <w:p w:rsidR="0004402F" w:rsidRPr="00B768B8" w:rsidRDefault="0004402F" w:rsidP="0004402F">
            <w:pPr>
              <w:jc w:val="both"/>
              <w:rPr>
                <w:rFonts w:ascii="Times New Roman" w:hAnsi="Times New Roman"/>
                <w:sz w:val="24"/>
                <w:szCs w:val="24"/>
              </w:rPr>
            </w:pPr>
            <w:r w:rsidRPr="00B768B8">
              <w:rPr>
                <w:rFonts w:ascii="Times New Roman" w:hAnsi="Times New Roman"/>
                <w:bCs/>
                <w:sz w:val="24"/>
                <w:szCs w:val="24"/>
              </w:rPr>
              <w:t>Komisia uplatňuje k materiálu nasledovné pripomienky a odporúčania:</w:t>
            </w:r>
          </w:p>
          <w:p w:rsidR="0004402F" w:rsidRPr="00B768B8" w:rsidRDefault="0004402F" w:rsidP="0004402F">
            <w:pPr>
              <w:jc w:val="both"/>
              <w:rPr>
                <w:rFonts w:ascii="Times New Roman" w:hAnsi="Times New Roman"/>
                <w:b/>
                <w:sz w:val="24"/>
                <w:szCs w:val="24"/>
                <w:lang w:eastAsia="sk-SK"/>
              </w:rPr>
            </w:pPr>
          </w:p>
          <w:p w:rsidR="0004402F" w:rsidRPr="00B768B8" w:rsidRDefault="0004402F" w:rsidP="0004402F">
            <w:pPr>
              <w:jc w:val="both"/>
              <w:rPr>
                <w:rFonts w:ascii="Times New Roman" w:hAnsi="Times New Roman"/>
                <w:b/>
                <w:bCs/>
                <w:sz w:val="24"/>
                <w:szCs w:val="24"/>
              </w:rPr>
            </w:pPr>
            <w:r w:rsidRPr="00B768B8">
              <w:rPr>
                <w:rFonts w:ascii="Times New Roman" w:hAnsi="Times New Roman"/>
                <w:b/>
                <w:bCs/>
                <w:sz w:val="24"/>
                <w:szCs w:val="24"/>
              </w:rPr>
              <w:t>K doložke vybraných vplyvov</w:t>
            </w:r>
          </w:p>
          <w:p w:rsidR="0004402F" w:rsidRDefault="0004402F" w:rsidP="0004402F">
            <w:pPr>
              <w:spacing w:after="160" w:line="252" w:lineRule="auto"/>
              <w:contextualSpacing/>
              <w:jc w:val="both"/>
              <w:rPr>
                <w:rFonts w:ascii="Times New Roman" w:hAnsi="Times New Roman"/>
                <w:sz w:val="24"/>
                <w:szCs w:val="24"/>
              </w:rPr>
            </w:pPr>
            <w:r w:rsidRPr="00B768B8">
              <w:rPr>
                <w:rFonts w:ascii="Times New Roman" w:hAnsi="Times New Roman"/>
                <w:sz w:val="24"/>
                <w:szCs w:val="24"/>
              </w:rPr>
              <w:t xml:space="preserve">Komisia odporúča  doplniť v Doložke vybraných vplyvov  </w:t>
            </w:r>
            <w:r>
              <w:rPr>
                <w:rFonts w:ascii="Times New Roman" w:hAnsi="Times New Roman"/>
                <w:sz w:val="24"/>
                <w:szCs w:val="24"/>
              </w:rPr>
              <w:t xml:space="preserve">časť 5. „Alternatívne riešenia“, resp. minimálne nulový variant,  </w:t>
            </w:r>
            <w:r w:rsidRPr="00B768B8">
              <w:rPr>
                <w:rFonts w:ascii="Times New Roman" w:hAnsi="Times New Roman"/>
                <w:sz w:val="24"/>
                <w:szCs w:val="24"/>
              </w:rPr>
              <w:t>t.j. analýzu súčasného stavu, v rámci ktorej sa uvedú dôsledky vyplývajúce z dôvodu absencie právnej úpravy alebo nelegislatívneho materiálu resp. z dôvodu ich neprijatia. V prípade, kedy nie je možné realizovať nulový variant, slúži tento nulový variant ako báza, ku ktorej sa môžu porovnávať ostatné alternatívy.</w:t>
            </w:r>
          </w:p>
          <w:p w:rsidR="0004402F" w:rsidRPr="00B768B8" w:rsidRDefault="0004402F" w:rsidP="0004402F">
            <w:pPr>
              <w:spacing w:after="160" w:line="252" w:lineRule="auto"/>
              <w:contextualSpacing/>
              <w:jc w:val="both"/>
              <w:rPr>
                <w:rFonts w:ascii="Times New Roman" w:hAnsi="Times New Roman"/>
                <w:sz w:val="24"/>
                <w:szCs w:val="24"/>
                <w:lang w:eastAsia="ar-SA"/>
              </w:rPr>
            </w:pPr>
          </w:p>
          <w:p w:rsidR="0004402F" w:rsidRPr="00B768B8" w:rsidRDefault="0004402F" w:rsidP="0004402F">
            <w:pPr>
              <w:spacing w:after="160" w:line="252" w:lineRule="auto"/>
              <w:contextualSpacing/>
              <w:jc w:val="both"/>
              <w:rPr>
                <w:rFonts w:ascii="Times New Roman" w:hAnsi="Times New Roman"/>
                <w:sz w:val="24"/>
                <w:szCs w:val="24"/>
              </w:rPr>
            </w:pPr>
            <w:r w:rsidRPr="00B768B8">
              <w:rPr>
                <w:rFonts w:ascii="Times New Roman" w:hAnsi="Times New Roman"/>
                <w:sz w:val="24"/>
                <w:szCs w:val="24"/>
              </w:rPr>
              <w:t>Komisia odporúča doplniť  v časti 8. „Preskúmanie účelnosti“ termín, kedy by malo dôjsť k preskúmaniu účinnosti a účelnosti predkladaného materiálu a kritériá, na základe ktorých bude preskúmanie vykonané.</w:t>
            </w:r>
            <w:r>
              <w:rPr>
                <w:rFonts w:ascii="Times New Roman" w:hAnsi="Times New Roman"/>
                <w:sz w:val="24"/>
                <w:szCs w:val="24"/>
              </w:rPr>
              <w:t xml:space="preserve"> </w:t>
            </w:r>
            <w:r w:rsidRPr="00B768B8">
              <w:rPr>
                <w:rFonts w:ascii="Times New Roman" w:hAnsi="Times New Roman"/>
                <w:sz w:val="24"/>
                <w:szCs w:val="24"/>
              </w:rPr>
              <w:t>Cieľom prieskumu je overiť, či riešenie problému, ktoré bolo prijaté, plní svoj účel a či bol uvedený problém odstránený.</w:t>
            </w:r>
          </w:p>
          <w:p w:rsidR="0004402F" w:rsidRPr="00B768B8" w:rsidRDefault="0004402F" w:rsidP="0004402F">
            <w:pPr>
              <w:jc w:val="both"/>
              <w:rPr>
                <w:rFonts w:ascii="Times New Roman" w:hAnsi="Times New Roman"/>
                <w:b/>
                <w:bCs/>
                <w:sz w:val="24"/>
                <w:szCs w:val="24"/>
              </w:rPr>
            </w:pPr>
          </w:p>
          <w:p w:rsidR="0004402F" w:rsidRPr="00B768B8" w:rsidRDefault="0004402F" w:rsidP="0004402F">
            <w:pPr>
              <w:jc w:val="both"/>
              <w:rPr>
                <w:rFonts w:ascii="Times New Roman" w:hAnsi="Times New Roman"/>
                <w:b/>
                <w:sz w:val="24"/>
                <w:szCs w:val="24"/>
              </w:rPr>
            </w:pPr>
            <w:r w:rsidRPr="00B768B8">
              <w:rPr>
                <w:rFonts w:ascii="Times New Roman" w:hAnsi="Times New Roman"/>
                <w:b/>
                <w:sz w:val="24"/>
                <w:szCs w:val="24"/>
              </w:rPr>
              <w:t>K vplyvom na podnikateľské prostredie</w:t>
            </w:r>
          </w:p>
          <w:p w:rsidR="0004402F" w:rsidRPr="00B768B8" w:rsidRDefault="0004402F" w:rsidP="0004402F">
            <w:pPr>
              <w:spacing w:after="160" w:line="252" w:lineRule="auto"/>
              <w:contextualSpacing/>
              <w:jc w:val="both"/>
              <w:rPr>
                <w:rFonts w:ascii="Times New Roman" w:hAnsi="Times New Roman"/>
                <w:sz w:val="24"/>
                <w:szCs w:val="24"/>
              </w:rPr>
            </w:pPr>
            <w:r w:rsidRPr="00B768B8">
              <w:rPr>
                <w:rFonts w:ascii="Times New Roman" w:hAnsi="Times New Roman"/>
                <w:sz w:val="24"/>
                <w:szCs w:val="24"/>
              </w:rPr>
              <w:t>Komisia žiada predkladateľa o priloženie Kalkulačky nákladov.</w:t>
            </w:r>
          </w:p>
          <w:p w:rsidR="0004402F" w:rsidRDefault="0004402F" w:rsidP="0004402F">
            <w:pPr>
              <w:spacing w:after="160" w:line="252" w:lineRule="auto"/>
              <w:contextualSpacing/>
              <w:jc w:val="both"/>
              <w:rPr>
                <w:rFonts w:ascii="Times New Roman" w:hAnsi="Times New Roman"/>
                <w:sz w:val="24"/>
                <w:szCs w:val="24"/>
              </w:rPr>
            </w:pPr>
            <w:r w:rsidRPr="00B768B8">
              <w:rPr>
                <w:rFonts w:ascii="Times New Roman" w:hAnsi="Times New Roman"/>
                <w:sz w:val="24"/>
                <w:szCs w:val="24"/>
              </w:rPr>
              <w:t>Komisia žiada o vykonanie úpravy v Kalkulačke nákladov a následne v Analýze vplyvov na podnikateľské prostredie.</w:t>
            </w:r>
            <w:r>
              <w:rPr>
                <w:rFonts w:ascii="Times New Roman" w:hAnsi="Times New Roman"/>
                <w:sz w:val="24"/>
                <w:szCs w:val="24"/>
              </w:rPr>
              <w:t xml:space="preserve"> </w:t>
            </w:r>
            <w:r w:rsidRPr="00B768B8">
              <w:rPr>
                <w:rFonts w:ascii="Times New Roman" w:hAnsi="Times New Roman"/>
                <w:sz w:val="24"/>
                <w:szCs w:val="24"/>
              </w:rPr>
              <w:t>V stĺpci „D Administratívne náklady“ musí predkladateľ vyplniť len jednu z alternatív a to buď expertný odhad alebo štandardnú časovú náročnosť pri všetkých uvedených reguláciách.</w:t>
            </w:r>
          </w:p>
          <w:p w:rsidR="0004402F" w:rsidRPr="00B768B8" w:rsidRDefault="0004402F" w:rsidP="0004402F">
            <w:pPr>
              <w:spacing w:after="160" w:line="252" w:lineRule="auto"/>
              <w:contextualSpacing/>
              <w:jc w:val="both"/>
              <w:rPr>
                <w:rFonts w:ascii="Times New Roman" w:hAnsi="Times New Roman"/>
                <w:sz w:val="24"/>
                <w:szCs w:val="24"/>
              </w:rPr>
            </w:pPr>
          </w:p>
          <w:p w:rsidR="0004402F" w:rsidRDefault="0004402F" w:rsidP="0004402F">
            <w:pPr>
              <w:spacing w:after="160" w:line="252" w:lineRule="auto"/>
              <w:contextualSpacing/>
              <w:jc w:val="both"/>
              <w:rPr>
                <w:rFonts w:ascii="Times New Roman" w:hAnsi="Times New Roman"/>
                <w:sz w:val="24"/>
                <w:szCs w:val="24"/>
              </w:rPr>
            </w:pPr>
            <w:r w:rsidRPr="00B768B8">
              <w:rPr>
                <w:rFonts w:ascii="Times New Roman" w:hAnsi="Times New Roman"/>
                <w:sz w:val="24"/>
                <w:szCs w:val="24"/>
              </w:rPr>
              <w:t xml:space="preserve">Komisia žiada o dopracovanie Analýzy vplyvov na podnikateľské prostredie v časti 3.4 Iné vplyvy. V návrhu materiálu sa upravuje postup daňovníka v prípade preventívnej reštrukturalizácie. Ide o úpravu zákonného a daňovo uznaného odpisu pohľadávok, podľa ktorej bude postupovať daňovník pri zániku pohľadávky alebo záväzku, vrátane odpustenia dlhu, ako aj pri tvorbe opravných položiek k pohľadávkam. Vplyv súvisiaci s touto zmenou je potrebné uviesť v časti 3.4 Iné vplyvy na podnikateľské prostredie. Do tejto časti je rovnako potrebné uviesť vplyvy súvisiace so skrátením lehoty na vyrubenie úroku z omeškania, zavedením inštitútu „druhej šance“ a zvýšením dolnej hranice pokút. </w:t>
            </w:r>
          </w:p>
          <w:p w:rsidR="0004402F" w:rsidRPr="00B768B8" w:rsidRDefault="0004402F" w:rsidP="0004402F">
            <w:pPr>
              <w:spacing w:after="160" w:line="252" w:lineRule="auto"/>
              <w:contextualSpacing/>
              <w:jc w:val="both"/>
              <w:rPr>
                <w:rFonts w:ascii="Times New Roman" w:hAnsi="Times New Roman"/>
                <w:sz w:val="24"/>
                <w:szCs w:val="24"/>
              </w:rPr>
            </w:pPr>
          </w:p>
          <w:p w:rsidR="0004402F" w:rsidRDefault="0004402F" w:rsidP="0004402F">
            <w:pPr>
              <w:spacing w:after="160" w:line="252" w:lineRule="auto"/>
              <w:contextualSpacing/>
              <w:jc w:val="both"/>
              <w:rPr>
                <w:rFonts w:ascii="Times New Roman" w:hAnsi="Times New Roman"/>
                <w:sz w:val="24"/>
                <w:szCs w:val="24"/>
              </w:rPr>
            </w:pPr>
            <w:r w:rsidRPr="00B768B8">
              <w:rPr>
                <w:rFonts w:ascii="Times New Roman" w:hAnsi="Times New Roman"/>
                <w:sz w:val="24"/>
                <w:szCs w:val="24"/>
              </w:rPr>
              <w:t>Komisia žiada o vyznačenie aj negatívneho vplyvu na podnikateľské prostredie v Doložke vybraných vplyvov v časti 9. „Vybrané vplyvy materiálu“.</w:t>
            </w:r>
            <w:r>
              <w:rPr>
                <w:rFonts w:ascii="Times New Roman" w:hAnsi="Times New Roman"/>
                <w:sz w:val="24"/>
                <w:szCs w:val="24"/>
              </w:rPr>
              <w:t xml:space="preserve"> </w:t>
            </w:r>
            <w:r w:rsidRPr="00B768B8">
              <w:rPr>
                <w:rFonts w:ascii="Times New Roman" w:hAnsi="Times New Roman"/>
                <w:sz w:val="24"/>
                <w:szCs w:val="24"/>
              </w:rPr>
              <w:t>Návrh materiálu zavádza pravidlo o obmedzení úrokových nákladov a zvyšuje dolnú hranicu pokút, ide o negatívne vplyvy na podnikateľské prostredie.</w:t>
            </w:r>
          </w:p>
          <w:p w:rsidR="0004402F" w:rsidRPr="00B768B8" w:rsidRDefault="0004402F" w:rsidP="0004402F">
            <w:pPr>
              <w:spacing w:after="160" w:line="252" w:lineRule="auto"/>
              <w:contextualSpacing/>
              <w:jc w:val="both"/>
              <w:rPr>
                <w:rFonts w:ascii="Times New Roman" w:hAnsi="Times New Roman"/>
                <w:sz w:val="24"/>
                <w:szCs w:val="24"/>
              </w:rPr>
            </w:pPr>
          </w:p>
          <w:p w:rsidR="0004402F" w:rsidRDefault="0004402F" w:rsidP="0004402F">
            <w:pPr>
              <w:spacing w:after="160" w:line="252" w:lineRule="auto"/>
              <w:contextualSpacing/>
              <w:jc w:val="both"/>
              <w:rPr>
                <w:rFonts w:ascii="Times New Roman" w:hAnsi="Times New Roman"/>
                <w:sz w:val="24"/>
                <w:szCs w:val="24"/>
              </w:rPr>
            </w:pPr>
            <w:r w:rsidRPr="00B768B8">
              <w:rPr>
                <w:rFonts w:ascii="Times New Roman" w:hAnsi="Times New Roman"/>
                <w:sz w:val="24"/>
                <w:szCs w:val="24"/>
              </w:rPr>
              <w:t>Komisia žiada doplniť negatívne vplyvy na podnikateľské prostredie do Kalkulačky nákladov  a následne ich premietnuť do Analýzy vplyvov na podnikateľské prostredie.</w:t>
            </w:r>
            <w:r w:rsidRPr="00B768B8">
              <w:rPr>
                <w:rFonts w:ascii="Times New Roman" w:hAnsi="Times New Roman"/>
                <w:sz w:val="24"/>
                <w:szCs w:val="24"/>
                <w:u w:val="single"/>
              </w:rPr>
              <w:t xml:space="preserve"> </w:t>
            </w:r>
            <w:r w:rsidRPr="00B768B8">
              <w:rPr>
                <w:rFonts w:ascii="Times New Roman" w:hAnsi="Times New Roman"/>
                <w:sz w:val="24"/>
                <w:szCs w:val="24"/>
              </w:rPr>
              <w:t>V návrhu materiálu sa zavádza pravidlo o obmedzení úrokových nákladov u právnických osôb. Tento vplyv je potrebné kvantifikovať v Kalkulačke nákladov v stĺpci „A Dane, odvody, clá a poplatky“. Komisia odporúča predkladateľovi využiť pri kvantifikácii údaje z Analýzy vplyvov na rozpočet verejnej správy. Zároveň je potrebné kvantifikovať administratívnu povinnosť týkajúcu sa novej dokumentačnej povinnosti vyplývajúcej z § 17 ods. Vlastného materiálu.</w:t>
            </w:r>
          </w:p>
          <w:p w:rsidR="0004402F" w:rsidRPr="00B768B8" w:rsidRDefault="0004402F" w:rsidP="0004402F">
            <w:pPr>
              <w:spacing w:after="160" w:line="252" w:lineRule="auto"/>
              <w:contextualSpacing/>
              <w:jc w:val="both"/>
              <w:rPr>
                <w:rFonts w:ascii="Times New Roman" w:hAnsi="Times New Roman"/>
                <w:sz w:val="24"/>
                <w:szCs w:val="24"/>
              </w:rPr>
            </w:pPr>
          </w:p>
          <w:p w:rsidR="0004402F" w:rsidRPr="00B768B8" w:rsidRDefault="0004402F" w:rsidP="0004402F">
            <w:pPr>
              <w:spacing w:after="160" w:line="252" w:lineRule="auto"/>
              <w:contextualSpacing/>
              <w:jc w:val="both"/>
              <w:rPr>
                <w:rFonts w:ascii="Times New Roman" w:hAnsi="Times New Roman"/>
                <w:color w:val="1F497D"/>
                <w:sz w:val="24"/>
                <w:szCs w:val="24"/>
              </w:rPr>
            </w:pPr>
            <w:r w:rsidRPr="00B768B8">
              <w:rPr>
                <w:rFonts w:ascii="Times New Roman" w:hAnsi="Times New Roman"/>
                <w:sz w:val="24"/>
                <w:szCs w:val="24"/>
              </w:rPr>
              <w:t>Komisia žiada predkladateľa o dopracovanie Analýzy vplyvov na podnikateľské prostredie spolu s Kalkulačkou nákladov. Novelou zákona sa zavádza zjednodušenie spôsobu registrácie podnikateľských subjektov úpravou § 49a ods. 2. Tento pozitívny vplyv je potrebné kvantifikovať v Kalkulačke nákladov a následne premietnuť do Analýzy vplyvov. Zároveň sa § 49a dopĺňa odsekmi 12 a 13, ktoré predstavujú negatívny vplyv v podobe oznamovacej povinnosti, ktorú je potrebné rovnako kvantifikovať.</w:t>
            </w:r>
            <w:r>
              <w:rPr>
                <w:rFonts w:ascii="Times New Roman" w:hAnsi="Times New Roman"/>
                <w:sz w:val="24"/>
                <w:szCs w:val="24"/>
              </w:rPr>
              <w:t xml:space="preserve"> </w:t>
            </w:r>
          </w:p>
          <w:p w:rsidR="0004402F" w:rsidRPr="00B768B8" w:rsidRDefault="0004402F" w:rsidP="0004402F">
            <w:pPr>
              <w:jc w:val="both"/>
              <w:rPr>
                <w:rFonts w:ascii="Times New Roman" w:hAnsi="Times New Roman"/>
                <w:b/>
                <w:sz w:val="24"/>
                <w:szCs w:val="24"/>
              </w:rPr>
            </w:pPr>
          </w:p>
          <w:p w:rsidR="0004402F" w:rsidRPr="00B768B8" w:rsidRDefault="0004402F" w:rsidP="0004402F">
            <w:pPr>
              <w:jc w:val="both"/>
              <w:rPr>
                <w:rFonts w:ascii="Times New Roman" w:hAnsi="Times New Roman"/>
                <w:b/>
                <w:bCs/>
                <w:sz w:val="24"/>
                <w:szCs w:val="24"/>
              </w:rPr>
            </w:pPr>
            <w:r w:rsidRPr="00B768B8">
              <w:rPr>
                <w:rFonts w:ascii="Times New Roman" w:hAnsi="Times New Roman"/>
                <w:b/>
                <w:bCs/>
                <w:sz w:val="24"/>
                <w:szCs w:val="24"/>
              </w:rPr>
              <w:t>K vplyvom na rozpočet verejnej správy</w:t>
            </w:r>
          </w:p>
          <w:p w:rsidR="0004402F" w:rsidRPr="00B768B8" w:rsidRDefault="0004402F" w:rsidP="0004402F">
            <w:pPr>
              <w:jc w:val="both"/>
              <w:rPr>
                <w:rFonts w:ascii="Times New Roman" w:hAnsi="Times New Roman"/>
                <w:sz w:val="24"/>
                <w:szCs w:val="24"/>
                <w:lang w:eastAsia="ar-SA"/>
              </w:rPr>
            </w:pPr>
            <w:r w:rsidRPr="00B768B8">
              <w:rPr>
                <w:rFonts w:ascii="Times New Roman" w:hAnsi="Times New Roman"/>
                <w:sz w:val="24"/>
                <w:szCs w:val="24"/>
              </w:rPr>
              <w:t>Podľa doložky vybraných vplyvov má predložený návrh negatívne, rozpočtovo zabezpečené vplyvy. V analýze vplyvov na rozpočet verejnej správy sú, okrem negatívnych vplyvov v roku 2022 v sume 126 084 eur, kvantifikované aj pozitívne vplyvy v roku 2024 v sume 4 057 000 eur a v roku 2025 v sume 6 088 000 eur.  Uvedené je potrebné zohľadniť v doložke vybraných vplyvov, t. j. v bode 9. označiť aj pozitívne vplyvy na rozpočet verejnej správy.</w:t>
            </w:r>
          </w:p>
          <w:p w:rsidR="0004402F" w:rsidRPr="00B768B8" w:rsidRDefault="0004402F" w:rsidP="0004402F">
            <w:pPr>
              <w:jc w:val="both"/>
              <w:rPr>
                <w:rFonts w:ascii="Times New Roman" w:hAnsi="Times New Roman"/>
                <w:b/>
                <w:bCs/>
                <w:sz w:val="24"/>
                <w:szCs w:val="24"/>
              </w:rPr>
            </w:pPr>
          </w:p>
          <w:p w:rsidR="0004402F" w:rsidRPr="00B768B8" w:rsidRDefault="0004402F" w:rsidP="0004402F">
            <w:pPr>
              <w:jc w:val="both"/>
              <w:rPr>
                <w:rFonts w:ascii="Times New Roman" w:hAnsi="Times New Roman"/>
                <w:b/>
                <w:bCs/>
                <w:sz w:val="24"/>
                <w:szCs w:val="24"/>
              </w:rPr>
            </w:pPr>
            <w:r w:rsidRPr="00B768B8">
              <w:rPr>
                <w:rFonts w:ascii="Times New Roman" w:hAnsi="Times New Roman"/>
                <w:b/>
                <w:bCs/>
                <w:sz w:val="24"/>
                <w:szCs w:val="24"/>
              </w:rPr>
              <w:t>K vplyvom na informatizáciu spoločnosti</w:t>
            </w:r>
          </w:p>
          <w:p w:rsidR="0004402F" w:rsidRPr="00B768B8" w:rsidRDefault="0004402F" w:rsidP="0004402F">
            <w:pPr>
              <w:jc w:val="both"/>
              <w:rPr>
                <w:rFonts w:ascii="Times New Roman" w:hAnsi="Times New Roman"/>
                <w:sz w:val="24"/>
                <w:szCs w:val="24"/>
                <w:lang w:eastAsia="sk-SK"/>
              </w:rPr>
            </w:pPr>
            <w:r w:rsidRPr="00B768B8">
              <w:rPr>
                <w:rFonts w:ascii="Times New Roman" w:hAnsi="Times New Roman"/>
                <w:sz w:val="24"/>
                <w:szCs w:val="24"/>
              </w:rPr>
              <w:t>Predkladateľ  musí dopracovať analýzu vplyvov v časti 6.1., kde je nutné uviesť aj názov a kód upravovanej služby a zosúladiť body 6.4.1. až 6.4.3.. Pokiaľ sa konanie nevedie bod 6.4.1. ako sa môže konanie viesť elektronicky? Vyznačenie si navzájom odporuje.</w:t>
            </w:r>
          </w:p>
          <w:p w:rsidR="0004402F" w:rsidRPr="00B768B8" w:rsidRDefault="0004402F" w:rsidP="0004402F">
            <w:pPr>
              <w:jc w:val="both"/>
              <w:rPr>
                <w:rFonts w:ascii="Times New Roman" w:hAnsi="Times New Roman"/>
                <w:b/>
                <w:sz w:val="24"/>
                <w:szCs w:val="24"/>
                <w:lang w:eastAsia="sk-SK"/>
              </w:rPr>
            </w:pPr>
          </w:p>
          <w:p w:rsidR="0004402F" w:rsidRPr="00697D8D" w:rsidRDefault="0004402F" w:rsidP="0004402F">
            <w:pPr>
              <w:suppressAutoHyphens/>
              <w:spacing w:line="100" w:lineRule="atLeast"/>
              <w:jc w:val="both"/>
              <w:rPr>
                <w:rFonts w:ascii="Times New Roman" w:hAnsi="Times New Roman"/>
                <w:b/>
                <w:bCs/>
                <w:sz w:val="24"/>
                <w:lang w:eastAsia="ar-SA"/>
              </w:rPr>
            </w:pPr>
            <w:r w:rsidRPr="00697D8D">
              <w:rPr>
                <w:rFonts w:ascii="Times New Roman" w:hAnsi="Times New Roman"/>
                <w:b/>
                <w:bCs/>
                <w:sz w:val="24"/>
                <w:lang w:eastAsia="ar-SA"/>
              </w:rPr>
              <w:t xml:space="preserve">Vyhodnotenie pripomienok MF SR: </w:t>
            </w:r>
          </w:p>
          <w:p w:rsidR="0004402F" w:rsidRPr="00B768B8" w:rsidRDefault="0004402F" w:rsidP="0004402F">
            <w:pPr>
              <w:rPr>
                <w:rFonts w:ascii="Times New Roman" w:hAnsi="Times New Roman"/>
                <w:b/>
                <w:sz w:val="24"/>
                <w:szCs w:val="24"/>
                <w:lang w:eastAsia="sk-SK"/>
              </w:rPr>
            </w:pPr>
          </w:p>
          <w:p w:rsidR="0004402F" w:rsidRPr="00B768B8" w:rsidRDefault="0004402F" w:rsidP="0004402F">
            <w:pPr>
              <w:jc w:val="both"/>
              <w:rPr>
                <w:rFonts w:ascii="Times New Roman" w:hAnsi="Times New Roman"/>
                <w:b/>
                <w:bCs/>
                <w:sz w:val="24"/>
                <w:szCs w:val="24"/>
              </w:rPr>
            </w:pPr>
            <w:r w:rsidRPr="00B768B8">
              <w:rPr>
                <w:rFonts w:ascii="Times New Roman" w:hAnsi="Times New Roman"/>
                <w:b/>
                <w:bCs/>
                <w:sz w:val="24"/>
                <w:szCs w:val="24"/>
              </w:rPr>
              <w:t>K doložke vybraných vplyvov</w:t>
            </w:r>
          </w:p>
          <w:p w:rsidR="0004402F" w:rsidRPr="00B11CF8" w:rsidRDefault="0004402F" w:rsidP="0004402F">
            <w:pPr>
              <w:jc w:val="both"/>
              <w:rPr>
                <w:rFonts w:ascii="Times New Roman" w:hAnsi="Times New Roman"/>
                <w:sz w:val="24"/>
                <w:szCs w:val="24"/>
              </w:rPr>
            </w:pPr>
            <w:r w:rsidRPr="00B11CF8">
              <w:rPr>
                <w:rFonts w:ascii="Times New Roman" w:hAnsi="Times New Roman"/>
                <w:sz w:val="24"/>
                <w:szCs w:val="24"/>
              </w:rPr>
              <w:t>Doložka vybraných vplyvov bola v zmysle pripomienky upravená</w:t>
            </w:r>
            <w:r>
              <w:rPr>
                <w:rFonts w:ascii="Times New Roman" w:hAnsi="Times New Roman"/>
                <w:sz w:val="24"/>
                <w:szCs w:val="24"/>
              </w:rPr>
              <w:t>.</w:t>
            </w:r>
            <w:r w:rsidRPr="00B11CF8">
              <w:rPr>
                <w:rFonts w:ascii="Times New Roman" w:hAnsi="Times New Roman"/>
                <w:sz w:val="24"/>
                <w:szCs w:val="24"/>
              </w:rPr>
              <w:t xml:space="preserve"> </w:t>
            </w:r>
          </w:p>
          <w:p w:rsidR="0004402F" w:rsidRDefault="0004402F" w:rsidP="0004402F">
            <w:pPr>
              <w:rPr>
                <w:rFonts w:ascii="Times New Roman" w:hAnsi="Times New Roman"/>
                <w:b/>
                <w:sz w:val="24"/>
                <w:szCs w:val="24"/>
                <w:lang w:eastAsia="sk-SK"/>
              </w:rPr>
            </w:pPr>
          </w:p>
          <w:p w:rsidR="0004402F" w:rsidRDefault="0004402F" w:rsidP="0004402F">
            <w:pPr>
              <w:jc w:val="both"/>
              <w:rPr>
                <w:rFonts w:ascii="Times New Roman" w:hAnsi="Times New Roman"/>
                <w:b/>
                <w:sz w:val="24"/>
                <w:szCs w:val="24"/>
              </w:rPr>
            </w:pPr>
            <w:r w:rsidRPr="00B768B8">
              <w:rPr>
                <w:rFonts w:ascii="Times New Roman" w:hAnsi="Times New Roman"/>
                <w:b/>
                <w:sz w:val="24"/>
                <w:szCs w:val="24"/>
              </w:rPr>
              <w:t>K vplyvom na podnikateľské prostredie</w:t>
            </w:r>
          </w:p>
          <w:p w:rsidR="0004402F" w:rsidRPr="00B11CF8" w:rsidRDefault="0004402F" w:rsidP="0004402F">
            <w:pPr>
              <w:jc w:val="both"/>
              <w:rPr>
                <w:rFonts w:ascii="Times New Roman" w:hAnsi="Times New Roman"/>
                <w:sz w:val="24"/>
                <w:szCs w:val="24"/>
              </w:rPr>
            </w:pPr>
            <w:r w:rsidRPr="00B11CF8">
              <w:rPr>
                <w:rFonts w:ascii="Times New Roman" w:hAnsi="Times New Roman"/>
                <w:sz w:val="24"/>
                <w:szCs w:val="24"/>
              </w:rPr>
              <w:t xml:space="preserve">Doložka vybraných vplyvov bola v zmysle </w:t>
            </w:r>
            <w:r>
              <w:rPr>
                <w:rFonts w:ascii="Times New Roman" w:hAnsi="Times New Roman"/>
                <w:sz w:val="24"/>
                <w:szCs w:val="24"/>
              </w:rPr>
              <w:t xml:space="preserve">jednotlivých </w:t>
            </w:r>
            <w:r w:rsidRPr="00B11CF8">
              <w:rPr>
                <w:rFonts w:ascii="Times New Roman" w:hAnsi="Times New Roman"/>
                <w:sz w:val="24"/>
                <w:szCs w:val="24"/>
              </w:rPr>
              <w:t>pripomien</w:t>
            </w:r>
            <w:r>
              <w:rPr>
                <w:rFonts w:ascii="Times New Roman" w:hAnsi="Times New Roman"/>
                <w:sz w:val="24"/>
                <w:szCs w:val="24"/>
              </w:rPr>
              <w:t>ok</w:t>
            </w:r>
            <w:r w:rsidRPr="00B11CF8">
              <w:rPr>
                <w:rFonts w:ascii="Times New Roman" w:hAnsi="Times New Roman"/>
                <w:sz w:val="24"/>
                <w:szCs w:val="24"/>
              </w:rPr>
              <w:t xml:space="preserve"> upravená</w:t>
            </w:r>
            <w:r>
              <w:rPr>
                <w:rFonts w:ascii="Times New Roman" w:hAnsi="Times New Roman"/>
                <w:sz w:val="24"/>
                <w:szCs w:val="24"/>
              </w:rPr>
              <w:t xml:space="preserve"> (s výnimkou pripomienky týkajúcej sa zavedenia automatickej registrácie, ktorá nebude mať negatívny vplyv na daňovníkov v podobe ďalšej oznamovacej povinnosti).</w:t>
            </w:r>
            <w:r w:rsidRPr="00B11CF8">
              <w:rPr>
                <w:rFonts w:ascii="Times New Roman" w:hAnsi="Times New Roman"/>
                <w:sz w:val="24"/>
                <w:szCs w:val="24"/>
              </w:rPr>
              <w:t xml:space="preserve"> </w:t>
            </w:r>
          </w:p>
          <w:p w:rsidR="0004402F" w:rsidRDefault="0004402F" w:rsidP="0004402F">
            <w:pPr>
              <w:jc w:val="both"/>
              <w:rPr>
                <w:rFonts w:ascii="Times New Roman" w:hAnsi="Times New Roman"/>
                <w:b/>
                <w:bCs/>
                <w:sz w:val="24"/>
                <w:szCs w:val="24"/>
              </w:rPr>
            </w:pPr>
          </w:p>
          <w:p w:rsidR="0004402F" w:rsidRPr="00B768B8" w:rsidRDefault="0004402F" w:rsidP="0004402F">
            <w:pPr>
              <w:jc w:val="both"/>
              <w:rPr>
                <w:rFonts w:ascii="Times New Roman" w:hAnsi="Times New Roman"/>
                <w:b/>
                <w:bCs/>
                <w:sz w:val="24"/>
                <w:szCs w:val="24"/>
              </w:rPr>
            </w:pPr>
            <w:r w:rsidRPr="00B768B8">
              <w:rPr>
                <w:rFonts w:ascii="Times New Roman" w:hAnsi="Times New Roman"/>
                <w:b/>
                <w:bCs/>
                <w:sz w:val="24"/>
                <w:szCs w:val="24"/>
              </w:rPr>
              <w:t>K vplyvom na rozpočet verejnej správy</w:t>
            </w:r>
          </w:p>
          <w:p w:rsidR="0004402F" w:rsidRDefault="0004402F" w:rsidP="0004402F">
            <w:pPr>
              <w:jc w:val="both"/>
              <w:rPr>
                <w:rFonts w:ascii="Times New Roman" w:hAnsi="Times New Roman"/>
                <w:sz w:val="24"/>
                <w:szCs w:val="24"/>
              </w:rPr>
            </w:pPr>
            <w:r w:rsidRPr="00125939">
              <w:rPr>
                <w:rFonts w:ascii="Times New Roman" w:hAnsi="Times New Roman"/>
                <w:sz w:val="24"/>
                <w:szCs w:val="24"/>
              </w:rPr>
              <w:t>Doložka vybraných vplyvov bola dopracovaná  v zmysle pripomienky.</w:t>
            </w:r>
          </w:p>
          <w:p w:rsidR="0004402F" w:rsidRDefault="0004402F" w:rsidP="0004402F">
            <w:pPr>
              <w:jc w:val="both"/>
              <w:rPr>
                <w:rFonts w:ascii="Times New Roman" w:hAnsi="Times New Roman"/>
                <w:sz w:val="24"/>
                <w:szCs w:val="24"/>
              </w:rPr>
            </w:pPr>
          </w:p>
          <w:p w:rsidR="0004402F" w:rsidRDefault="0004402F" w:rsidP="0004402F">
            <w:pPr>
              <w:jc w:val="both"/>
              <w:rPr>
                <w:rFonts w:ascii="Times New Roman" w:hAnsi="Times New Roman"/>
                <w:b/>
                <w:bCs/>
                <w:sz w:val="24"/>
                <w:szCs w:val="24"/>
              </w:rPr>
            </w:pPr>
            <w:r w:rsidRPr="00B768B8">
              <w:rPr>
                <w:rFonts w:ascii="Times New Roman" w:hAnsi="Times New Roman"/>
                <w:b/>
                <w:bCs/>
                <w:sz w:val="24"/>
                <w:szCs w:val="24"/>
              </w:rPr>
              <w:t>K vplyvom na informatizáciu spoločnosti</w:t>
            </w:r>
          </w:p>
          <w:p w:rsidR="0004402F" w:rsidRPr="00FC6B6F" w:rsidRDefault="0004402F" w:rsidP="0004402F">
            <w:pPr>
              <w:jc w:val="both"/>
              <w:rPr>
                <w:rFonts w:ascii="Times New Roman" w:hAnsi="Times New Roman"/>
                <w:bCs/>
                <w:sz w:val="24"/>
                <w:szCs w:val="24"/>
              </w:rPr>
            </w:pPr>
            <w:r>
              <w:rPr>
                <w:rFonts w:ascii="Times New Roman" w:hAnsi="Times New Roman"/>
                <w:bCs/>
                <w:sz w:val="24"/>
                <w:szCs w:val="24"/>
              </w:rPr>
              <w:t>Po prehodnotení zákonmi navrhovaných opatrení, predkladateľ dospel k názoru, že tieto nemajú vplyv na informatizáciu spoločnosti. Z uvedeného dôvodu bola analýza vplyvu na informatizáciu vypustená.</w:t>
            </w:r>
          </w:p>
          <w:p w:rsidR="0004402F" w:rsidRPr="00B768B8" w:rsidRDefault="0004402F" w:rsidP="0004402F">
            <w:pPr>
              <w:rPr>
                <w:rFonts w:ascii="Times New Roman" w:hAnsi="Times New Roman"/>
                <w:b/>
                <w:sz w:val="24"/>
                <w:szCs w:val="24"/>
                <w:lang w:eastAsia="sk-SK"/>
              </w:rPr>
            </w:pPr>
          </w:p>
          <w:p w:rsidR="0004402F" w:rsidRPr="00B768B8" w:rsidRDefault="0004402F" w:rsidP="0004402F">
            <w:pPr>
              <w:rPr>
                <w:rFonts w:ascii="Times New Roman" w:hAnsi="Times New Roman"/>
                <w:b/>
                <w:sz w:val="24"/>
                <w:szCs w:val="24"/>
                <w:lang w:eastAsia="sk-SK"/>
              </w:rPr>
            </w:pPr>
          </w:p>
        </w:tc>
      </w:tr>
      <w:tr w:rsidR="0004402F" w:rsidRPr="00B043B4" w:rsidTr="0004402F">
        <w:tblPrEx>
          <w:tblBorders>
            <w:insideH w:val="single" w:sz="4" w:space="0" w:color="FFFFFF"/>
            <w:insideV w:val="single" w:sz="4" w:space="0" w:color="FFFFFF"/>
          </w:tblBorders>
        </w:tblPrEx>
        <w:tc>
          <w:tcPr>
            <w:tcW w:w="9176" w:type="dxa"/>
            <w:gridSpan w:val="7"/>
            <w:tcBorders>
              <w:top w:val="single" w:sz="4" w:space="0" w:color="auto"/>
            </w:tcBorders>
            <w:shd w:val="clear" w:color="auto" w:fill="E2E2E2"/>
          </w:tcPr>
          <w:p w:rsidR="0004402F" w:rsidRPr="00B043B4" w:rsidRDefault="0004402F" w:rsidP="0004402F">
            <w:pPr>
              <w:numPr>
                <w:ilvl w:val="0"/>
                <w:numId w:val="1"/>
              </w:numPr>
              <w:ind w:left="450" w:hanging="425"/>
              <w:contextualSpacing/>
              <w:jc w:val="both"/>
              <w:rPr>
                <w:rFonts w:ascii="Times New Roman" w:hAnsi="Times New Roman"/>
                <w:b/>
              </w:rPr>
            </w:pPr>
            <w:r w:rsidRPr="00B043B4">
              <w:rPr>
                <w:rFonts w:ascii="Times New Roman" w:hAnsi="Times New Roman"/>
                <w:b/>
              </w:rPr>
              <w:lastRenderedPageBreak/>
              <w:t>Stanovisko Komisie na posudzovanie vybraných vplyvov zo záverečného posúdenia č. ..........</w:t>
            </w:r>
            <w:r w:rsidRPr="00B043B4">
              <w:rPr>
                <w:rFonts w:ascii="Times New Roman" w:hAnsi="Times New Roman"/>
              </w:rPr>
              <w:t xml:space="preserve"> (v prípade, ak sa uskutočnilo v zmysle bodu 9.1. Jednotnej metodiky) </w:t>
            </w:r>
          </w:p>
        </w:tc>
      </w:tr>
      <w:tr w:rsidR="0004402F" w:rsidRPr="00B043B4" w:rsidTr="0004402F">
        <w:tblPrEx>
          <w:tblBorders>
            <w:insideH w:val="single" w:sz="4" w:space="0" w:color="FFFFFF"/>
            <w:insideV w:val="single" w:sz="4" w:space="0" w:color="FFFFFF"/>
          </w:tblBorders>
        </w:tblPrEx>
        <w:tc>
          <w:tcPr>
            <w:tcW w:w="9176" w:type="dxa"/>
            <w:gridSpan w:val="7"/>
            <w:tcBorders>
              <w:bottom w:val="single" w:sz="4" w:space="0" w:color="auto"/>
            </w:tcBorders>
            <w:shd w:val="clear" w:color="auto" w:fill="FFFFFF"/>
          </w:tcPr>
          <w:p w:rsidR="0004402F" w:rsidRPr="00B043B4" w:rsidRDefault="0004402F" w:rsidP="0004402F">
            <w:pPr>
              <w:rPr>
                <w:rFonts w:ascii="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04402F" w:rsidRPr="00B043B4" w:rsidTr="0004402F">
              <w:trPr>
                <w:trHeight w:val="396"/>
              </w:trPr>
              <w:tc>
                <w:tcPr>
                  <w:tcW w:w="2552" w:type="dxa"/>
                  <w:tcBorders>
                    <w:top w:val="nil"/>
                    <w:left w:val="nil"/>
                    <w:bottom w:val="nil"/>
                    <w:right w:val="nil"/>
                  </w:tcBorders>
                </w:tcPr>
                <w:p w:rsidR="0004402F" w:rsidRPr="00B043B4" w:rsidRDefault="0004402F" w:rsidP="0004402F">
                  <w:pPr>
                    <w:rPr>
                      <w:rFonts w:ascii="Times New Roman" w:hAnsi="Times New Roman"/>
                      <w:b/>
                      <w:sz w:val="20"/>
                      <w:szCs w:val="20"/>
                      <w:lang w:eastAsia="sk-SK"/>
                    </w:rPr>
                  </w:pPr>
                  <w:r>
                    <w:rPr>
                      <w:rFonts w:ascii="MS Gothic" w:eastAsia="MS Gothic" w:hAnsi="MS Gothic" w:hint="eastAsia"/>
                      <w:b/>
                      <w:sz w:val="20"/>
                      <w:szCs w:val="20"/>
                      <w:lang w:eastAsia="sk-SK"/>
                    </w:rPr>
                    <w:t>☐</w:t>
                  </w:r>
                  <w:r>
                    <w:rPr>
                      <w:rFonts w:ascii="Times New Roman" w:hAnsi="Times New Roman"/>
                      <w:b/>
                      <w:sz w:val="20"/>
                      <w:szCs w:val="20"/>
                      <w:lang w:eastAsia="sk-SK"/>
                    </w:rPr>
                    <w:t xml:space="preserve">   </w:t>
                  </w:r>
                  <w:r w:rsidRPr="00B043B4">
                    <w:rPr>
                      <w:rFonts w:ascii="Times New Roman" w:hAnsi="Times New Roman"/>
                      <w:b/>
                      <w:sz w:val="20"/>
                      <w:szCs w:val="20"/>
                      <w:lang w:eastAsia="sk-SK"/>
                    </w:rPr>
                    <w:t xml:space="preserve">Súhlasné </w:t>
                  </w:r>
                </w:p>
              </w:tc>
              <w:tc>
                <w:tcPr>
                  <w:tcW w:w="3827" w:type="dxa"/>
                  <w:tcBorders>
                    <w:top w:val="nil"/>
                    <w:left w:val="nil"/>
                    <w:bottom w:val="nil"/>
                    <w:right w:val="nil"/>
                  </w:tcBorders>
                </w:tcPr>
                <w:p w:rsidR="0004402F" w:rsidRPr="00B043B4" w:rsidRDefault="0004402F" w:rsidP="0004402F">
                  <w:pPr>
                    <w:rPr>
                      <w:rFonts w:ascii="Times New Roman" w:hAnsi="Times New Roman"/>
                      <w:b/>
                      <w:sz w:val="20"/>
                      <w:szCs w:val="20"/>
                      <w:lang w:eastAsia="sk-SK"/>
                    </w:rPr>
                  </w:pPr>
                  <w:r>
                    <w:rPr>
                      <w:rFonts w:ascii="MS Gothic" w:eastAsia="MS Gothic" w:hAnsi="MS Gothic" w:hint="eastAsia"/>
                      <w:b/>
                      <w:sz w:val="20"/>
                      <w:szCs w:val="20"/>
                      <w:lang w:eastAsia="sk-SK"/>
                    </w:rPr>
                    <w:t>☐</w:t>
                  </w:r>
                  <w:r>
                    <w:rPr>
                      <w:rFonts w:ascii="Times New Roman" w:hAnsi="Times New Roman"/>
                      <w:b/>
                      <w:sz w:val="20"/>
                      <w:szCs w:val="20"/>
                      <w:lang w:eastAsia="sk-SK"/>
                    </w:rPr>
                    <w:t xml:space="preserve">  </w:t>
                  </w:r>
                  <w:r w:rsidRPr="00B043B4">
                    <w:rPr>
                      <w:rFonts w:ascii="Times New Roman" w:hAnsi="Times New Roman"/>
                      <w:b/>
                      <w:sz w:val="20"/>
                      <w:szCs w:val="20"/>
                      <w:lang w:eastAsia="sk-SK"/>
                    </w:rPr>
                    <w:t>Súhlasné s  návrhom na dopracovanie</w:t>
                  </w:r>
                </w:p>
              </w:tc>
              <w:tc>
                <w:tcPr>
                  <w:tcW w:w="2534" w:type="dxa"/>
                  <w:tcBorders>
                    <w:top w:val="nil"/>
                    <w:left w:val="nil"/>
                    <w:bottom w:val="nil"/>
                    <w:right w:val="nil"/>
                  </w:tcBorders>
                </w:tcPr>
                <w:p w:rsidR="0004402F" w:rsidRPr="00B043B4" w:rsidRDefault="0004402F" w:rsidP="0004402F">
                  <w:pPr>
                    <w:ind w:right="459"/>
                    <w:rPr>
                      <w:rFonts w:ascii="Times New Roman" w:hAnsi="Times New Roman"/>
                      <w:b/>
                      <w:sz w:val="20"/>
                      <w:szCs w:val="20"/>
                      <w:lang w:eastAsia="sk-SK"/>
                    </w:rPr>
                  </w:pPr>
                  <w:r>
                    <w:rPr>
                      <w:rFonts w:ascii="MS Gothic" w:eastAsia="MS Gothic" w:hAnsi="MS Gothic" w:hint="eastAsia"/>
                      <w:b/>
                      <w:sz w:val="20"/>
                      <w:szCs w:val="20"/>
                      <w:lang w:eastAsia="sk-SK"/>
                    </w:rPr>
                    <w:t>☐</w:t>
                  </w:r>
                  <w:r>
                    <w:rPr>
                      <w:rFonts w:ascii="Times New Roman" w:hAnsi="Times New Roman"/>
                      <w:b/>
                      <w:sz w:val="20"/>
                      <w:szCs w:val="20"/>
                      <w:lang w:eastAsia="sk-SK"/>
                    </w:rPr>
                    <w:t xml:space="preserve">  </w:t>
                  </w:r>
                  <w:r w:rsidRPr="00B043B4">
                    <w:rPr>
                      <w:rFonts w:ascii="Times New Roman" w:hAnsi="Times New Roman"/>
                      <w:b/>
                      <w:sz w:val="20"/>
                      <w:szCs w:val="20"/>
                      <w:lang w:eastAsia="sk-SK"/>
                    </w:rPr>
                    <w:t>Nesúhlasné</w:t>
                  </w:r>
                </w:p>
              </w:tc>
            </w:tr>
          </w:tbl>
          <w:p w:rsidR="0004402F" w:rsidRPr="00B043B4" w:rsidRDefault="0004402F" w:rsidP="0004402F">
            <w:pPr>
              <w:jc w:val="both"/>
              <w:rPr>
                <w:rFonts w:ascii="Times New Roman" w:hAnsi="Times New Roman"/>
                <w:b/>
                <w:sz w:val="20"/>
                <w:szCs w:val="20"/>
                <w:lang w:eastAsia="sk-SK"/>
              </w:rPr>
            </w:pPr>
            <w:r w:rsidRPr="00B043B4">
              <w:rPr>
                <w:rFonts w:ascii="Times New Roman" w:hAnsi="Times New Roman"/>
                <w:b/>
                <w:sz w:val="20"/>
                <w:szCs w:val="20"/>
                <w:lang w:eastAsia="sk-SK"/>
              </w:rPr>
              <w:t>Uveďte pripomienky zo stanoviska Komisie z časti II. spolu s Vaším vyhodnotením:</w:t>
            </w:r>
          </w:p>
          <w:p w:rsidR="0004402F" w:rsidRPr="00B043B4" w:rsidRDefault="0004402F" w:rsidP="0004402F">
            <w:pPr>
              <w:rPr>
                <w:rFonts w:ascii="Times New Roman" w:hAnsi="Times New Roman"/>
                <w:b/>
                <w:sz w:val="20"/>
                <w:szCs w:val="20"/>
                <w:lang w:eastAsia="sk-SK"/>
              </w:rPr>
            </w:pPr>
          </w:p>
          <w:p w:rsidR="0004402F" w:rsidRPr="00B043B4" w:rsidRDefault="0004402F" w:rsidP="0004402F">
            <w:pPr>
              <w:rPr>
                <w:rFonts w:ascii="Times New Roman" w:hAnsi="Times New Roman"/>
                <w:b/>
                <w:sz w:val="20"/>
                <w:szCs w:val="20"/>
                <w:lang w:eastAsia="sk-SK"/>
              </w:rPr>
            </w:pPr>
          </w:p>
        </w:tc>
      </w:tr>
    </w:tbl>
    <w:p w:rsidR="0004402F" w:rsidRDefault="0004402F" w:rsidP="0004402F"/>
    <w:p w:rsidR="0004402F" w:rsidRDefault="0004402F" w:rsidP="0004402F"/>
    <w:p w:rsidR="0004402F" w:rsidRDefault="0004402F" w:rsidP="0004402F"/>
    <w:p w:rsidR="0004402F" w:rsidRDefault="0004402F" w:rsidP="0004402F"/>
    <w:p w:rsidR="0004402F" w:rsidRDefault="0004402F" w:rsidP="0004402F"/>
    <w:p w:rsidR="0004402F" w:rsidRDefault="0004402F" w:rsidP="0004402F"/>
    <w:p w:rsidR="0004402F" w:rsidRDefault="0004402F" w:rsidP="0004402F"/>
    <w:p w:rsidR="0004402F" w:rsidRDefault="0004402F" w:rsidP="0004402F"/>
    <w:p w:rsidR="0004402F" w:rsidRDefault="0004402F" w:rsidP="0004402F"/>
    <w:p w:rsidR="0004402F" w:rsidRDefault="0004402F" w:rsidP="0004402F"/>
    <w:p w:rsidR="0004402F" w:rsidRDefault="0004402F" w:rsidP="0004402F"/>
    <w:p w:rsidR="0004402F" w:rsidRDefault="0004402F" w:rsidP="0004402F"/>
    <w:p w:rsidR="0004402F" w:rsidRDefault="0004402F" w:rsidP="0004402F"/>
    <w:p w:rsidR="0004402F" w:rsidRDefault="0004402F" w:rsidP="0004402F"/>
    <w:p w:rsidR="0004402F" w:rsidRDefault="0004402F" w:rsidP="0004402F"/>
    <w:p w:rsidR="0004402F" w:rsidRDefault="0004402F" w:rsidP="0004402F"/>
    <w:p w:rsidR="0004402F" w:rsidRDefault="0004402F" w:rsidP="0004402F"/>
    <w:p w:rsidR="0004402F" w:rsidRDefault="0004402F" w:rsidP="0004402F"/>
    <w:p w:rsidR="0004402F" w:rsidRDefault="0004402F" w:rsidP="0004402F"/>
    <w:p w:rsidR="0004402F" w:rsidRDefault="0004402F" w:rsidP="0004402F"/>
    <w:p w:rsidR="0004402F" w:rsidRDefault="0004402F" w:rsidP="0004402F"/>
    <w:p w:rsidR="0004402F" w:rsidRDefault="0004402F" w:rsidP="0004402F"/>
    <w:p w:rsidR="0004402F" w:rsidRDefault="0004402F" w:rsidP="0004402F"/>
    <w:p w:rsidR="0004402F" w:rsidRDefault="0004402F" w:rsidP="0004402F"/>
    <w:p w:rsidR="0004402F" w:rsidRDefault="0004402F" w:rsidP="0004402F"/>
    <w:p w:rsidR="00871485" w:rsidRDefault="00871485" w:rsidP="0004402F"/>
    <w:p w:rsidR="00871485" w:rsidRDefault="00871485" w:rsidP="0004402F"/>
    <w:p w:rsidR="0004402F" w:rsidRDefault="0004402F" w:rsidP="0004402F"/>
    <w:p w:rsidR="0004402F" w:rsidRDefault="0004402F" w:rsidP="0004402F">
      <w:pPr>
        <w:spacing w:after="0" w:line="240" w:lineRule="auto"/>
        <w:jc w:val="center"/>
        <w:rPr>
          <w:rFonts w:ascii="Times New Roman" w:hAnsi="Times New Roman"/>
          <w:b/>
          <w:bCs/>
          <w:sz w:val="28"/>
          <w:szCs w:val="28"/>
          <w:lang w:eastAsia="sk-SK"/>
        </w:rPr>
      </w:pPr>
    </w:p>
    <w:p w:rsidR="0004402F" w:rsidRPr="007D5748" w:rsidRDefault="0004402F" w:rsidP="0004402F">
      <w:pPr>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t>Analýza vplyvov na rozpočet verejnej správy,</w:t>
      </w:r>
    </w:p>
    <w:p w:rsidR="0004402F" w:rsidRPr="007D5748" w:rsidRDefault="0004402F" w:rsidP="0004402F">
      <w:pPr>
        <w:spacing w:after="0" w:line="240" w:lineRule="auto"/>
        <w:jc w:val="center"/>
        <w:rPr>
          <w:rFonts w:ascii="Times New Roman" w:hAnsi="Times New Roman"/>
          <w:b/>
          <w:bCs/>
          <w:sz w:val="28"/>
          <w:szCs w:val="28"/>
          <w:lang w:eastAsia="sk-SK"/>
        </w:rPr>
      </w:pPr>
      <w:r w:rsidRPr="007D5748">
        <w:rPr>
          <w:rFonts w:ascii="Times New Roman" w:hAnsi="Times New Roman"/>
          <w:b/>
          <w:bCs/>
          <w:sz w:val="28"/>
          <w:szCs w:val="28"/>
          <w:lang w:eastAsia="sk-SK"/>
        </w:rPr>
        <w:t>na zamestnanosť vo verejnej správe a financovanie návrhu</w:t>
      </w:r>
    </w:p>
    <w:p w:rsidR="0004402F" w:rsidRPr="00212894" w:rsidRDefault="0004402F" w:rsidP="0004402F">
      <w:pPr>
        <w:spacing w:after="0" w:line="240" w:lineRule="auto"/>
        <w:jc w:val="right"/>
        <w:rPr>
          <w:rFonts w:ascii="Times New Roman" w:hAnsi="Times New Roman"/>
          <w:b/>
          <w:bCs/>
          <w:sz w:val="24"/>
          <w:szCs w:val="24"/>
          <w:lang w:eastAsia="sk-SK"/>
        </w:rPr>
      </w:pPr>
    </w:p>
    <w:p w:rsidR="0004402F" w:rsidRPr="007D5748" w:rsidRDefault="0004402F" w:rsidP="0004402F">
      <w:pPr>
        <w:spacing w:after="0" w:line="240" w:lineRule="auto"/>
        <w:rPr>
          <w:rFonts w:ascii="Times New Roman" w:hAnsi="Times New Roman"/>
          <w:sz w:val="20"/>
          <w:szCs w:val="20"/>
          <w:lang w:eastAsia="sk-SK"/>
        </w:rPr>
      </w:pPr>
      <w:r w:rsidRPr="00212894">
        <w:rPr>
          <w:rFonts w:ascii="Times New Roman" w:hAnsi="Times New Roman"/>
          <w:b/>
          <w:bCs/>
          <w:sz w:val="24"/>
          <w:szCs w:val="24"/>
          <w:lang w:eastAsia="sk-SK"/>
        </w:rPr>
        <w:t>2.1 Zhrnutie vplyvov na rozpočet verejnej správy v</w:t>
      </w:r>
      <w:r>
        <w:rPr>
          <w:rFonts w:ascii="Times New Roman" w:hAnsi="Times New Roman"/>
          <w:b/>
          <w:bCs/>
          <w:sz w:val="24"/>
          <w:szCs w:val="24"/>
          <w:lang w:eastAsia="sk-SK"/>
        </w:rPr>
        <w:t> </w:t>
      </w:r>
      <w:r w:rsidRPr="00212894">
        <w:rPr>
          <w:rFonts w:ascii="Times New Roman" w:hAnsi="Times New Roman"/>
          <w:b/>
          <w:bCs/>
          <w:sz w:val="24"/>
          <w:szCs w:val="24"/>
          <w:lang w:eastAsia="sk-SK"/>
        </w:rPr>
        <w:t>návrhu</w:t>
      </w:r>
      <w:r>
        <w:rPr>
          <w:rFonts w:ascii="Times New Roman" w:hAnsi="Times New Roman"/>
          <w:b/>
          <w:bCs/>
          <w:sz w:val="24"/>
          <w:szCs w:val="24"/>
          <w:lang w:eastAsia="sk-SK"/>
        </w:rPr>
        <w:tab/>
        <w:t xml:space="preserve">           </w:t>
      </w:r>
      <w:r w:rsidRPr="007D5748">
        <w:rPr>
          <w:rFonts w:ascii="Times New Roman" w:hAnsi="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1"/>
        <w:gridCol w:w="993"/>
        <w:gridCol w:w="1417"/>
        <w:gridCol w:w="1418"/>
        <w:gridCol w:w="1370"/>
      </w:tblGrid>
      <w:tr w:rsidR="0004402F" w:rsidRPr="007D5748" w:rsidTr="0004402F">
        <w:trPr>
          <w:cantSplit/>
          <w:trHeight w:val="194"/>
          <w:jc w:val="center"/>
        </w:trPr>
        <w:tc>
          <w:tcPr>
            <w:tcW w:w="4531" w:type="dxa"/>
            <w:vMerge w:val="restart"/>
            <w:shd w:val="clear" w:color="auto" w:fill="BFBFBF" w:themeFill="background1" w:themeFillShade="BF"/>
            <w:vAlign w:val="center"/>
          </w:tcPr>
          <w:p w:rsidR="0004402F" w:rsidRPr="007D5748" w:rsidRDefault="0004402F" w:rsidP="0004402F">
            <w:pPr>
              <w:spacing w:after="0" w:line="240" w:lineRule="auto"/>
              <w:jc w:val="center"/>
              <w:rPr>
                <w:rFonts w:ascii="Times New Roman" w:hAnsi="Times New Roman"/>
                <w:b/>
                <w:bCs/>
                <w:sz w:val="24"/>
                <w:szCs w:val="24"/>
                <w:lang w:eastAsia="sk-SK"/>
              </w:rPr>
            </w:pPr>
            <w:bookmarkStart w:id="0" w:name="OLE_LINK1"/>
            <w:r w:rsidRPr="007D5748">
              <w:rPr>
                <w:rFonts w:ascii="Times New Roman" w:hAnsi="Times New Roman"/>
                <w:b/>
                <w:bCs/>
                <w:sz w:val="24"/>
                <w:szCs w:val="24"/>
                <w:lang w:eastAsia="sk-SK"/>
              </w:rPr>
              <w:t>Vplyvy na rozpočet verejnej správy</w:t>
            </w:r>
          </w:p>
        </w:tc>
        <w:tc>
          <w:tcPr>
            <w:tcW w:w="5198" w:type="dxa"/>
            <w:gridSpan w:val="4"/>
            <w:shd w:val="clear" w:color="auto" w:fill="BFBFBF" w:themeFill="background1" w:themeFillShade="BF"/>
            <w:vAlign w:val="center"/>
          </w:tcPr>
          <w:p w:rsidR="0004402F" w:rsidRPr="007D5748" w:rsidRDefault="0004402F" w:rsidP="0004402F">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 (v eurách)</w:t>
            </w:r>
          </w:p>
        </w:tc>
      </w:tr>
      <w:tr w:rsidR="0004402F" w:rsidRPr="007D5748" w:rsidTr="0004402F">
        <w:trPr>
          <w:cantSplit/>
          <w:trHeight w:val="70"/>
          <w:jc w:val="center"/>
        </w:trPr>
        <w:tc>
          <w:tcPr>
            <w:tcW w:w="4531" w:type="dxa"/>
            <w:vMerge/>
            <w:shd w:val="clear" w:color="auto" w:fill="BFBFBF" w:themeFill="background1" w:themeFillShade="BF"/>
            <w:vAlign w:val="center"/>
          </w:tcPr>
          <w:p w:rsidR="0004402F" w:rsidRPr="007D5748" w:rsidRDefault="0004402F" w:rsidP="0004402F">
            <w:pPr>
              <w:spacing w:after="0" w:line="240" w:lineRule="auto"/>
              <w:jc w:val="center"/>
              <w:rPr>
                <w:rFonts w:ascii="Times New Roman" w:hAnsi="Times New Roman"/>
                <w:b/>
                <w:bCs/>
                <w:sz w:val="24"/>
                <w:szCs w:val="24"/>
                <w:lang w:eastAsia="sk-SK"/>
              </w:rPr>
            </w:pPr>
          </w:p>
        </w:tc>
        <w:tc>
          <w:tcPr>
            <w:tcW w:w="993" w:type="dxa"/>
            <w:shd w:val="clear" w:color="auto" w:fill="BFBFBF" w:themeFill="background1" w:themeFillShade="BF"/>
            <w:vAlign w:val="center"/>
          </w:tcPr>
          <w:p w:rsidR="0004402F" w:rsidRPr="007D5748" w:rsidRDefault="0004402F" w:rsidP="0004402F">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2022</w:t>
            </w:r>
          </w:p>
        </w:tc>
        <w:tc>
          <w:tcPr>
            <w:tcW w:w="1417" w:type="dxa"/>
            <w:shd w:val="clear" w:color="auto" w:fill="BFBFBF" w:themeFill="background1" w:themeFillShade="BF"/>
            <w:vAlign w:val="center"/>
          </w:tcPr>
          <w:p w:rsidR="0004402F" w:rsidRPr="007D5748" w:rsidRDefault="0004402F" w:rsidP="0004402F">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2023</w:t>
            </w:r>
          </w:p>
        </w:tc>
        <w:tc>
          <w:tcPr>
            <w:tcW w:w="1418" w:type="dxa"/>
            <w:shd w:val="clear" w:color="auto" w:fill="BFBFBF" w:themeFill="background1" w:themeFillShade="BF"/>
            <w:vAlign w:val="center"/>
          </w:tcPr>
          <w:p w:rsidR="0004402F" w:rsidRPr="007D5748" w:rsidRDefault="0004402F" w:rsidP="0004402F">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2024</w:t>
            </w:r>
          </w:p>
        </w:tc>
        <w:tc>
          <w:tcPr>
            <w:tcW w:w="1370" w:type="dxa"/>
            <w:shd w:val="clear" w:color="auto" w:fill="BFBFBF" w:themeFill="background1" w:themeFillShade="BF"/>
            <w:vAlign w:val="center"/>
          </w:tcPr>
          <w:p w:rsidR="0004402F" w:rsidRPr="007D5748" w:rsidRDefault="0004402F" w:rsidP="0004402F">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2025</w:t>
            </w:r>
          </w:p>
        </w:tc>
      </w:tr>
      <w:tr w:rsidR="0004402F" w:rsidRPr="007D5748" w:rsidTr="0004402F">
        <w:trPr>
          <w:trHeight w:val="70"/>
          <w:jc w:val="center"/>
        </w:trPr>
        <w:tc>
          <w:tcPr>
            <w:tcW w:w="4531" w:type="dxa"/>
            <w:shd w:val="clear" w:color="auto" w:fill="C0C0C0"/>
            <w:noWrap/>
            <w:vAlign w:val="center"/>
          </w:tcPr>
          <w:p w:rsidR="0004402F" w:rsidRPr="007D5748" w:rsidRDefault="0004402F" w:rsidP="0004402F">
            <w:pPr>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Príjmy verejnej správy celkom</w:t>
            </w:r>
          </w:p>
        </w:tc>
        <w:tc>
          <w:tcPr>
            <w:tcW w:w="993" w:type="dxa"/>
            <w:shd w:val="clear" w:color="auto" w:fill="C0C0C0"/>
            <w:vAlign w:val="center"/>
          </w:tcPr>
          <w:p w:rsidR="0004402F" w:rsidRPr="007D5748" w:rsidRDefault="0004402F" w:rsidP="0004402F">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417" w:type="dxa"/>
            <w:shd w:val="clear" w:color="auto" w:fill="C0C0C0"/>
            <w:vAlign w:val="center"/>
          </w:tcPr>
          <w:p w:rsidR="0004402F" w:rsidRPr="007D5748" w:rsidRDefault="0004402F" w:rsidP="0004402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23 152 500</w:t>
            </w:r>
          </w:p>
        </w:tc>
        <w:tc>
          <w:tcPr>
            <w:tcW w:w="1418" w:type="dxa"/>
            <w:shd w:val="clear" w:color="auto" w:fill="C0C0C0"/>
            <w:vAlign w:val="center"/>
          </w:tcPr>
          <w:p w:rsidR="0004402F" w:rsidRPr="007D5748" w:rsidRDefault="0004402F" w:rsidP="0004402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30 517 000</w:t>
            </w:r>
          </w:p>
        </w:tc>
        <w:tc>
          <w:tcPr>
            <w:tcW w:w="1370" w:type="dxa"/>
            <w:shd w:val="clear" w:color="auto" w:fill="C0C0C0"/>
            <w:vAlign w:val="center"/>
          </w:tcPr>
          <w:p w:rsidR="0004402F" w:rsidRPr="007D5748" w:rsidRDefault="0004402F" w:rsidP="0004402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22 625 500</w:t>
            </w:r>
          </w:p>
        </w:tc>
      </w:tr>
      <w:tr w:rsidR="0004402F" w:rsidRPr="007D5748" w:rsidTr="0004402F">
        <w:trPr>
          <w:trHeight w:val="70"/>
          <w:jc w:val="center"/>
        </w:trPr>
        <w:tc>
          <w:tcPr>
            <w:tcW w:w="4531" w:type="dxa"/>
            <w:noWrap/>
            <w:vAlign w:val="center"/>
          </w:tcPr>
          <w:p w:rsidR="0004402F" w:rsidRPr="007D5748" w:rsidRDefault="0004402F" w:rsidP="0004402F">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xml:space="preserve">z toho:  </w:t>
            </w:r>
          </w:p>
        </w:tc>
        <w:tc>
          <w:tcPr>
            <w:tcW w:w="993"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p>
        </w:tc>
        <w:tc>
          <w:tcPr>
            <w:tcW w:w="1417"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p>
        </w:tc>
        <w:tc>
          <w:tcPr>
            <w:tcW w:w="1418"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p>
        </w:tc>
        <w:tc>
          <w:tcPr>
            <w:tcW w:w="1370"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p>
        </w:tc>
      </w:tr>
      <w:tr w:rsidR="0004402F" w:rsidRPr="007D5748" w:rsidTr="0004402F">
        <w:trPr>
          <w:trHeight w:val="125"/>
          <w:jc w:val="center"/>
        </w:trPr>
        <w:tc>
          <w:tcPr>
            <w:tcW w:w="4531" w:type="dxa"/>
            <w:noWrap/>
            <w:vAlign w:val="center"/>
          </w:tcPr>
          <w:p w:rsidR="0004402F" w:rsidRPr="007D5748" w:rsidRDefault="0004402F" w:rsidP="0004402F">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993"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7"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Pr>
                <w:rFonts w:ascii="Times New Roman" w:hAnsi="Times New Roman"/>
                <w:b/>
                <w:bCs/>
                <w:sz w:val="24"/>
                <w:szCs w:val="24"/>
                <w:lang w:eastAsia="sk-SK"/>
              </w:rPr>
              <w:t>23 152 500</w:t>
            </w:r>
          </w:p>
        </w:tc>
        <w:tc>
          <w:tcPr>
            <w:tcW w:w="1418" w:type="dxa"/>
            <w:noWrap/>
            <w:vAlign w:val="center"/>
          </w:tcPr>
          <w:p w:rsidR="0004402F" w:rsidRPr="004C7A2E" w:rsidRDefault="0004402F" w:rsidP="0004402F">
            <w:pPr>
              <w:spacing w:after="0" w:line="240" w:lineRule="auto"/>
              <w:jc w:val="right"/>
              <w:rPr>
                <w:rFonts w:ascii="Times New Roman" w:hAnsi="Times New Roman"/>
                <w:b/>
                <w:bCs/>
                <w:iCs/>
                <w:sz w:val="24"/>
                <w:szCs w:val="24"/>
                <w:lang w:eastAsia="sk-SK"/>
              </w:rPr>
            </w:pPr>
            <w:r w:rsidRPr="004C7A2E">
              <w:rPr>
                <w:rFonts w:ascii="Times New Roman" w:hAnsi="Times New Roman"/>
                <w:b/>
                <w:bCs/>
                <w:sz w:val="24"/>
                <w:szCs w:val="24"/>
                <w:lang w:eastAsia="sk-SK"/>
              </w:rPr>
              <w:t>30 517 000</w:t>
            </w:r>
          </w:p>
        </w:tc>
        <w:tc>
          <w:tcPr>
            <w:tcW w:w="1370"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Pr>
                <w:rFonts w:ascii="Times New Roman" w:hAnsi="Times New Roman"/>
                <w:bCs/>
                <w:sz w:val="24"/>
                <w:szCs w:val="24"/>
                <w:lang w:eastAsia="sk-SK"/>
              </w:rPr>
              <w:t>22 625 500</w:t>
            </w:r>
          </w:p>
        </w:tc>
      </w:tr>
      <w:tr w:rsidR="0004402F" w:rsidRPr="007D5748" w:rsidTr="0004402F">
        <w:trPr>
          <w:trHeight w:val="125"/>
          <w:jc w:val="center"/>
        </w:trPr>
        <w:tc>
          <w:tcPr>
            <w:tcW w:w="4531" w:type="dxa"/>
            <w:noWrap/>
            <w:vAlign w:val="center"/>
          </w:tcPr>
          <w:p w:rsidR="0004402F" w:rsidRPr="007D5748" w:rsidRDefault="0004402F" w:rsidP="0004402F">
            <w:pPr>
              <w:spacing w:after="0" w:line="240" w:lineRule="auto"/>
              <w:ind w:left="259"/>
              <w:rPr>
                <w:rFonts w:ascii="Times New Roman" w:hAnsi="Times New Roman"/>
                <w:b/>
                <w:bCs/>
                <w:i/>
                <w:iCs/>
                <w:sz w:val="24"/>
                <w:szCs w:val="24"/>
                <w:lang w:eastAsia="sk-SK"/>
              </w:rPr>
            </w:pPr>
            <w:r>
              <w:rPr>
                <w:rFonts w:ascii="Times New Roman" w:hAnsi="Times New Roman"/>
                <w:bCs/>
                <w:i/>
                <w:iCs/>
                <w:sz w:val="24"/>
                <w:szCs w:val="24"/>
                <w:lang w:eastAsia="sk-SK"/>
              </w:rPr>
              <w:t>Rozpočtové prostriedky</w:t>
            </w:r>
          </w:p>
        </w:tc>
        <w:tc>
          <w:tcPr>
            <w:tcW w:w="993"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417"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Pr>
                <w:rFonts w:ascii="Times New Roman" w:hAnsi="Times New Roman"/>
                <w:b/>
                <w:bCs/>
                <w:sz w:val="24"/>
                <w:szCs w:val="24"/>
                <w:lang w:eastAsia="sk-SK"/>
              </w:rPr>
              <w:t>23 152 500</w:t>
            </w:r>
          </w:p>
        </w:tc>
        <w:tc>
          <w:tcPr>
            <w:tcW w:w="1418" w:type="dxa"/>
            <w:noWrap/>
            <w:vAlign w:val="center"/>
          </w:tcPr>
          <w:p w:rsidR="0004402F" w:rsidRPr="004C7A2E" w:rsidRDefault="0004402F" w:rsidP="0004402F">
            <w:pPr>
              <w:spacing w:after="0" w:line="240" w:lineRule="auto"/>
              <w:jc w:val="right"/>
              <w:rPr>
                <w:rFonts w:ascii="Times New Roman" w:hAnsi="Times New Roman"/>
                <w:b/>
                <w:bCs/>
                <w:iCs/>
                <w:sz w:val="24"/>
                <w:szCs w:val="24"/>
                <w:lang w:eastAsia="sk-SK"/>
              </w:rPr>
            </w:pPr>
            <w:r w:rsidRPr="004C7A2E">
              <w:rPr>
                <w:rFonts w:ascii="Times New Roman" w:hAnsi="Times New Roman"/>
                <w:b/>
                <w:bCs/>
                <w:sz w:val="24"/>
                <w:szCs w:val="24"/>
                <w:lang w:eastAsia="sk-SK"/>
              </w:rPr>
              <w:t>30 517 000</w:t>
            </w:r>
          </w:p>
        </w:tc>
        <w:tc>
          <w:tcPr>
            <w:tcW w:w="1370"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Pr>
                <w:rFonts w:ascii="Times New Roman" w:hAnsi="Times New Roman"/>
                <w:bCs/>
                <w:sz w:val="24"/>
                <w:szCs w:val="24"/>
                <w:lang w:eastAsia="sk-SK"/>
              </w:rPr>
              <w:t>22 625 500</w:t>
            </w:r>
          </w:p>
        </w:tc>
      </w:tr>
      <w:tr w:rsidR="0004402F" w:rsidRPr="007D5748" w:rsidTr="0004402F">
        <w:trPr>
          <w:trHeight w:val="125"/>
          <w:jc w:val="center"/>
        </w:trPr>
        <w:tc>
          <w:tcPr>
            <w:tcW w:w="4531" w:type="dxa"/>
            <w:noWrap/>
            <w:vAlign w:val="center"/>
          </w:tcPr>
          <w:p w:rsidR="0004402F" w:rsidRDefault="0004402F" w:rsidP="0004402F">
            <w:pPr>
              <w:spacing w:after="0" w:line="240" w:lineRule="auto"/>
              <w:ind w:left="259"/>
              <w:rPr>
                <w:rFonts w:ascii="Times New Roman" w:hAnsi="Times New Roman"/>
                <w:bCs/>
                <w:i/>
                <w:iCs/>
                <w:sz w:val="24"/>
                <w:szCs w:val="24"/>
                <w:lang w:eastAsia="sk-SK"/>
              </w:rPr>
            </w:pPr>
            <w:r>
              <w:rPr>
                <w:rFonts w:ascii="Times New Roman" w:hAnsi="Times New Roman"/>
                <w:bCs/>
                <w:i/>
                <w:iCs/>
                <w:sz w:val="24"/>
                <w:szCs w:val="24"/>
                <w:lang w:eastAsia="sk-SK"/>
              </w:rPr>
              <w:t>v tom (112) daň z príjmov právnických osôb</w:t>
            </w:r>
          </w:p>
        </w:tc>
        <w:tc>
          <w:tcPr>
            <w:tcW w:w="993" w:type="dxa"/>
            <w:noWrap/>
            <w:vAlign w:val="center"/>
          </w:tcPr>
          <w:p w:rsidR="0004402F" w:rsidRPr="00175721" w:rsidRDefault="0004402F" w:rsidP="0004402F">
            <w:pPr>
              <w:spacing w:after="0" w:line="240" w:lineRule="auto"/>
              <w:jc w:val="right"/>
              <w:rPr>
                <w:rFonts w:ascii="Times New Roman" w:hAnsi="Times New Roman"/>
                <w:bCs/>
                <w:iCs/>
                <w:sz w:val="24"/>
                <w:szCs w:val="24"/>
                <w:lang w:eastAsia="sk-SK"/>
              </w:rPr>
            </w:pPr>
            <w:r w:rsidRPr="00175721">
              <w:rPr>
                <w:rFonts w:ascii="Times New Roman" w:hAnsi="Times New Roman"/>
                <w:bCs/>
                <w:iCs/>
                <w:sz w:val="24"/>
                <w:szCs w:val="24"/>
                <w:lang w:eastAsia="sk-SK"/>
              </w:rPr>
              <w:t>0</w:t>
            </w:r>
          </w:p>
        </w:tc>
        <w:tc>
          <w:tcPr>
            <w:tcW w:w="1417" w:type="dxa"/>
            <w:noWrap/>
            <w:vAlign w:val="center"/>
          </w:tcPr>
          <w:p w:rsidR="0004402F" w:rsidRPr="00175721" w:rsidRDefault="0004402F" w:rsidP="0004402F">
            <w:pPr>
              <w:spacing w:after="0" w:line="240" w:lineRule="auto"/>
              <w:jc w:val="right"/>
              <w:rPr>
                <w:rFonts w:ascii="Times New Roman" w:hAnsi="Times New Roman"/>
                <w:bCs/>
                <w:sz w:val="24"/>
                <w:szCs w:val="24"/>
                <w:lang w:eastAsia="sk-SK"/>
              </w:rPr>
            </w:pPr>
            <w:r w:rsidRPr="00175721">
              <w:rPr>
                <w:rFonts w:ascii="Times New Roman" w:hAnsi="Times New Roman"/>
                <w:bCs/>
                <w:sz w:val="24"/>
                <w:szCs w:val="24"/>
                <w:lang w:eastAsia="sk-SK"/>
              </w:rPr>
              <w:t>23 152 500</w:t>
            </w:r>
          </w:p>
        </w:tc>
        <w:tc>
          <w:tcPr>
            <w:tcW w:w="1418" w:type="dxa"/>
            <w:noWrap/>
            <w:vAlign w:val="center"/>
          </w:tcPr>
          <w:p w:rsidR="0004402F" w:rsidRPr="00175721" w:rsidRDefault="0004402F" w:rsidP="0004402F">
            <w:pPr>
              <w:spacing w:after="0" w:line="240" w:lineRule="auto"/>
              <w:jc w:val="right"/>
              <w:rPr>
                <w:rFonts w:ascii="Times New Roman" w:hAnsi="Times New Roman"/>
                <w:bCs/>
                <w:sz w:val="24"/>
                <w:szCs w:val="24"/>
                <w:lang w:eastAsia="sk-SK"/>
              </w:rPr>
            </w:pPr>
            <w:r w:rsidRPr="00175721">
              <w:rPr>
                <w:rFonts w:ascii="Times New Roman" w:hAnsi="Times New Roman"/>
                <w:bCs/>
                <w:sz w:val="24"/>
                <w:szCs w:val="24"/>
                <w:lang w:eastAsia="sk-SK"/>
              </w:rPr>
              <w:t>30 517 000</w:t>
            </w:r>
          </w:p>
        </w:tc>
        <w:tc>
          <w:tcPr>
            <w:tcW w:w="1370" w:type="dxa"/>
            <w:noWrap/>
            <w:vAlign w:val="center"/>
          </w:tcPr>
          <w:p w:rsidR="0004402F" w:rsidRPr="00175721" w:rsidRDefault="0004402F" w:rsidP="0004402F">
            <w:pPr>
              <w:spacing w:after="0" w:line="240" w:lineRule="auto"/>
              <w:jc w:val="right"/>
              <w:rPr>
                <w:rFonts w:ascii="Times New Roman" w:hAnsi="Times New Roman"/>
                <w:bCs/>
                <w:sz w:val="24"/>
                <w:szCs w:val="24"/>
                <w:lang w:eastAsia="sk-SK"/>
              </w:rPr>
            </w:pPr>
            <w:r>
              <w:rPr>
                <w:rFonts w:ascii="Times New Roman" w:hAnsi="Times New Roman"/>
                <w:bCs/>
                <w:sz w:val="24"/>
                <w:szCs w:val="24"/>
                <w:lang w:eastAsia="sk-SK"/>
              </w:rPr>
              <w:t>22 625 500</w:t>
            </w:r>
          </w:p>
        </w:tc>
      </w:tr>
      <w:tr w:rsidR="0004402F" w:rsidRPr="007D5748" w:rsidTr="0004402F">
        <w:trPr>
          <w:trHeight w:val="125"/>
          <w:jc w:val="center"/>
        </w:trPr>
        <w:tc>
          <w:tcPr>
            <w:tcW w:w="4531" w:type="dxa"/>
            <w:noWrap/>
            <w:vAlign w:val="center"/>
          </w:tcPr>
          <w:p w:rsidR="0004402F" w:rsidRDefault="0004402F" w:rsidP="0004402F">
            <w:pPr>
              <w:spacing w:after="0" w:line="240" w:lineRule="auto"/>
              <w:ind w:left="918" w:hanging="659"/>
              <w:rPr>
                <w:rFonts w:ascii="Times New Roman" w:hAnsi="Times New Roman"/>
                <w:bCs/>
                <w:i/>
                <w:iCs/>
                <w:sz w:val="24"/>
                <w:szCs w:val="24"/>
                <w:lang w:eastAsia="sk-SK"/>
              </w:rPr>
            </w:pPr>
            <w:r>
              <w:rPr>
                <w:rFonts w:ascii="Times New Roman" w:hAnsi="Times New Roman"/>
                <w:bCs/>
                <w:i/>
                <w:iCs/>
                <w:sz w:val="24"/>
                <w:szCs w:val="24"/>
                <w:lang w:eastAsia="sk-SK"/>
              </w:rPr>
              <w:t>z toho: zavedenie pravidla o obmedzení úrokových nákladov</w:t>
            </w:r>
          </w:p>
        </w:tc>
        <w:tc>
          <w:tcPr>
            <w:tcW w:w="993" w:type="dxa"/>
            <w:noWrap/>
            <w:vAlign w:val="center"/>
          </w:tcPr>
          <w:p w:rsidR="0004402F" w:rsidRPr="00175721" w:rsidRDefault="0004402F" w:rsidP="0004402F">
            <w:pPr>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0</w:t>
            </w:r>
          </w:p>
        </w:tc>
        <w:tc>
          <w:tcPr>
            <w:tcW w:w="1417" w:type="dxa"/>
            <w:noWrap/>
            <w:vAlign w:val="center"/>
          </w:tcPr>
          <w:p w:rsidR="0004402F" w:rsidRPr="00175721" w:rsidRDefault="0004402F" w:rsidP="0004402F">
            <w:pPr>
              <w:spacing w:after="0" w:line="240" w:lineRule="auto"/>
              <w:jc w:val="right"/>
              <w:rPr>
                <w:rFonts w:ascii="Times New Roman" w:hAnsi="Times New Roman"/>
                <w:bCs/>
                <w:sz w:val="24"/>
                <w:szCs w:val="24"/>
                <w:lang w:eastAsia="sk-SK"/>
              </w:rPr>
            </w:pPr>
            <w:r>
              <w:rPr>
                <w:rFonts w:ascii="Times New Roman" w:hAnsi="Times New Roman"/>
                <w:bCs/>
                <w:sz w:val="24"/>
                <w:szCs w:val="24"/>
                <w:lang w:eastAsia="sk-SK"/>
              </w:rPr>
              <w:t>0</w:t>
            </w:r>
          </w:p>
        </w:tc>
        <w:tc>
          <w:tcPr>
            <w:tcW w:w="1418" w:type="dxa"/>
            <w:noWrap/>
            <w:vAlign w:val="center"/>
          </w:tcPr>
          <w:p w:rsidR="0004402F" w:rsidRPr="00175721" w:rsidRDefault="0004402F" w:rsidP="0004402F">
            <w:pPr>
              <w:spacing w:after="0" w:line="240" w:lineRule="auto"/>
              <w:jc w:val="right"/>
              <w:rPr>
                <w:rFonts w:ascii="Times New Roman" w:hAnsi="Times New Roman"/>
                <w:bCs/>
                <w:sz w:val="24"/>
                <w:szCs w:val="24"/>
                <w:lang w:eastAsia="sk-SK"/>
              </w:rPr>
            </w:pPr>
            <w:r>
              <w:rPr>
                <w:rFonts w:ascii="Times New Roman" w:hAnsi="Times New Roman"/>
                <w:bCs/>
                <w:sz w:val="24"/>
                <w:szCs w:val="24"/>
                <w:lang w:eastAsia="sk-SK"/>
              </w:rPr>
              <w:t>4 057 000</w:t>
            </w:r>
          </w:p>
        </w:tc>
        <w:tc>
          <w:tcPr>
            <w:tcW w:w="1370" w:type="dxa"/>
            <w:noWrap/>
            <w:vAlign w:val="center"/>
          </w:tcPr>
          <w:p w:rsidR="0004402F" w:rsidRDefault="0004402F" w:rsidP="0004402F">
            <w:pPr>
              <w:spacing w:after="0" w:line="240" w:lineRule="auto"/>
              <w:jc w:val="right"/>
              <w:rPr>
                <w:rFonts w:ascii="Times New Roman" w:hAnsi="Times New Roman"/>
                <w:bCs/>
                <w:sz w:val="24"/>
                <w:szCs w:val="24"/>
                <w:lang w:eastAsia="sk-SK"/>
              </w:rPr>
            </w:pPr>
            <w:r>
              <w:rPr>
                <w:rFonts w:ascii="Times New Roman" w:hAnsi="Times New Roman"/>
                <w:bCs/>
                <w:sz w:val="24"/>
                <w:szCs w:val="24"/>
                <w:lang w:eastAsia="sk-SK"/>
              </w:rPr>
              <w:t>6 088 000</w:t>
            </w:r>
          </w:p>
        </w:tc>
      </w:tr>
      <w:tr w:rsidR="0004402F" w:rsidRPr="007D5748" w:rsidTr="0004402F">
        <w:trPr>
          <w:trHeight w:val="125"/>
          <w:jc w:val="center"/>
        </w:trPr>
        <w:tc>
          <w:tcPr>
            <w:tcW w:w="4531" w:type="dxa"/>
            <w:noWrap/>
            <w:vAlign w:val="center"/>
          </w:tcPr>
          <w:p w:rsidR="0004402F" w:rsidRDefault="0004402F" w:rsidP="0004402F">
            <w:pPr>
              <w:spacing w:after="0" w:line="240" w:lineRule="auto"/>
              <w:ind w:left="259"/>
              <w:rPr>
                <w:rFonts w:ascii="Times New Roman" w:hAnsi="Times New Roman"/>
                <w:bCs/>
                <w:i/>
                <w:iCs/>
                <w:sz w:val="24"/>
                <w:szCs w:val="24"/>
                <w:lang w:eastAsia="sk-SK"/>
              </w:rPr>
            </w:pPr>
            <w:r>
              <w:rPr>
                <w:rFonts w:ascii="Times New Roman" w:hAnsi="Times New Roman"/>
                <w:bCs/>
                <w:i/>
                <w:iCs/>
                <w:sz w:val="24"/>
                <w:szCs w:val="24"/>
                <w:lang w:eastAsia="sk-SK"/>
              </w:rPr>
              <w:t>z toho: prvotná implementácia IFRS 17</w:t>
            </w:r>
          </w:p>
        </w:tc>
        <w:tc>
          <w:tcPr>
            <w:tcW w:w="993" w:type="dxa"/>
            <w:noWrap/>
            <w:vAlign w:val="center"/>
          </w:tcPr>
          <w:p w:rsidR="0004402F" w:rsidRPr="00175721" w:rsidRDefault="0004402F" w:rsidP="0004402F">
            <w:pPr>
              <w:spacing w:after="0" w:line="240" w:lineRule="auto"/>
              <w:jc w:val="right"/>
              <w:rPr>
                <w:rFonts w:ascii="Times New Roman" w:hAnsi="Times New Roman"/>
                <w:bCs/>
                <w:iCs/>
                <w:sz w:val="24"/>
                <w:szCs w:val="24"/>
                <w:lang w:eastAsia="sk-SK"/>
              </w:rPr>
            </w:pPr>
            <w:r>
              <w:rPr>
                <w:rFonts w:ascii="Times New Roman" w:hAnsi="Times New Roman"/>
                <w:bCs/>
                <w:iCs/>
                <w:sz w:val="24"/>
                <w:szCs w:val="24"/>
                <w:lang w:eastAsia="sk-SK"/>
              </w:rPr>
              <w:t>0</w:t>
            </w:r>
          </w:p>
        </w:tc>
        <w:tc>
          <w:tcPr>
            <w:tcW w:w="1417" w:type="dxa"/>
            <w:noWrap/>
            <w:vAlign w:val="center"/>
          </w:tcPr>
          <w:p w:rsidR="0004402F" w:rsidRPr="00175721" w:rsidRDefault="0004402F" w:rsidP="0004402F">
            <w:pPr>
              <w:spacing w:after="0" w:line="240" w:lineRule="auto"/>
              <w:jc w:val="right"/>
              <w:rPr>
                <w:rFonts w:ascii="Times New Roman" w:hAnsi="Times New Roman"/>
                <w:bCs/>
                <w:sz w:val="24"/>
                <w:szCs w:val="24"/>
                <w:lang w:eastAsia="sk-SK"/>
              </w:rPr>
            </w:pPr>
            <w:r>
              <w:rPr>
                <w:rFonts w:ascii="Times New Roman" w:hAnsi="Times New Roman"/>
                <w:bCs/>
                <w:sz w:val="24"/>
                <w:szCs w:val="24"/>
                <w:lang w:eastAsia="sk-SK"/>
              </w:rPr>
              <w:t>23 152 500</w:t>
            </w:r>
          </w:p>
        </w:tc>
        <w:tc>
          <w:tcPr>
            <w:tcW w:w="1418" w:type="dxa"/>
            <w:noWrap/>
            <w:vAlign w:val="center"/>
          </w:tcPr>
          <w:p w:rsidR="0004402F" w:rsidRPr="00175721" w:rsidRDefault="0004402F" w:rsidP="0004402F">
            <w:pPr>
              <w:spacing w:after="0" w:line="240" w:lineRule="auto"/>
              <w:jc w:val="right"/>
              <w:rPr>
                <w:rFonts w:ascii="Times New Roman" w:hAnsi="Times New Roman"/>
                <w:bCs/>
                <w:sz w:val="24"/>
                <w:szCs w:val="24"/>
                <w:lang w:eastAsia="sk-SK"/>
              </w:rPr>
            </w:pPr>
            <w:r>
              <w:rPr>
                <w:rFonts w:ascii="Times New Roman" w:hAnsi="Times New Roman"/>
                <w:bCs/>
                <w:sz w:val="24"/>
                <w:szCs w:val="24"/>
                <w:lang w:eastAsia="sk-SK"/>
              </w:rPr>
              <w:t>26 460 000</w:t>
            </w:r>
          </w:p>
        </w:tc>
        <w:tc>
          <w:tcPr>
            <w:tcW w:w="1370" w:type="dxa"/>
            <w:noWrap/>
            <w:vAlign w:val="center"/>
          </w:tcPr>
          <w:p w:rsidR="0004402F" w:rsidRDefault="0004402F" w:rsidP="0004402F">
            <w:pPr>
              <w:spacing w:after="0" w:line="240" w:lineRule="auto"/>
              <w:jc w:val="right"/>
              <w:rPr>
                <w:rFonts w:ascii="Times New Roman" w:hAnsi="Times New Roman"/>
                <w:bCs/>
                <w:sz w:val="24"/>
                <w:szCs w:val="24"/>
                <w:lang w:eastAsia="sk-SK"/>
              </w:rPr>
            </w:pPr>
            <w:r>
              <w:rPr>
                <w:rFonts w:ascii="Times New Roman" w:hAnsi="Times New Roman"/>
                <w:bCs/>
                <w:sz w:val="24"/>
                <w:szCs w:val="24"/>
                <w:lang w:eastAsia="sk-SK"/>
              </w:rPr>
              <w:t>16 537 500</w:t>
            </w:r>
          </w:p>
        </w:tc>
      </w:tr>
      <w:tr w:rsidR="0004402F" w:rsidRPr="007D5748" w:rsidTr="0004402F">
        <w:trPr>
          <w:trHeight w:val="125"/>
          <w:jc w:val="center"/>
        </w:trPr>
        <w:tc>
          <w:tcPr>
            <w:tcW w:w="4531" w:type="dxa"/>
            <w:noWrap/>
            <w:vAlign w:val="center"/>
          </w:tcPr>
          <w:p w:rsidR="0004402F" w:rsidRPr="007D5748" w:rsidRDefault="0004402F" w:rsidP="0004402F">
            <w:pPr>
              <w:spacing w:after="0" w:line="240" w:lineRule="auto"/>
              <w:ind w:left="259"/>
              <w:rPr>
                <w:rFonts w:ascii="Times New Roman" w:hAnsi="Times New Roman"/>
                <w:bCs/>
                <w:i/>
                <w:iCs/>
                <w:sz w:val="24"/>
                <w:szCs w:val="24"/>
                <w:lang w:eastAsia="sk-SK"/>
              </w:rPr>
            </w:pPr>
            <w:r w:rsidRPr="007D5748">
              <w:rPr>
                <w:rFonts w:ascii="Times New Roman" w:hAnsi="Times New Roman"/>
                <w:bCs/>
                <w:i/>
                <w:iCs/>
                <w:sz w:val="24"/>
                <w:szCs w:val="24"/>
                <w:lang w:eastAsia="sk-SK"/>
              </w:rPr>
              <w:t>EÚ zdroje</w:t>
            </w:r>
          </w:p>
        </w:tc>
        <w:tc>
          <w:tcPr>
            <w:tcW w:w="993" w:type="dxa"/>
            <w:noWrap/>
            <w:vAlign w:val="center"/>
          </w:tcPr>
          <w:p w:rsidR="0004402F" w:rsidRPr="007D5748" w:rsidRDefault="0004402F" w:rsidP="0004402F">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417" w:type="dxa"/>
            <w:noWrap/>
            <w:vAlign w:val="center"/>
          </w:tcPr>
          <w:p w:rsidR="0004402F" w:rsidRPr="007D5748" w:rsidRDefault="0004402F" w:rsidP="0004402F">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418" w:type="dxa"/>
            <w:noWrap/>
            <w:vAlign w:val="center"/>
          </w:tcPr>
          <w:p w:rsidR="0004402F" w:rsidRPr="007D5748" w:rsidRDefault="0004402F" w:rsidP="0004402F">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370" w:type="dxa"/>
            <w:noWrap/>
            <w:vAlign w:val="center"/>
          </w:tcPr>
          <w:p w:rsidR="0004402F" w:rsidRPr="007D5748" w:rsidRDefault="0004402F" w:rsidP="0004402F">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rsidR="0004402F" w:rsidRPr="007D5748" w:rsidTr="0004402F">
        <w:trPr>
          <w:trHeight w:val="125"/>
          <w:jc w:val="center"/>
        </w:trPr>
        <w:tc>
          <w:tcPr>
            <w:tcW w:w="4531" w:type="dxa"/>
            <w:noWrap/>
            <w:vAlign w:val="center"/>
          </w:tcPr>
          <w:p w:rsidR="0004402F" w:rsidRPr="007D5748" w:rsidRDefault="0004402F" w:rsidP="0004402F">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993"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7"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370"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r>
      <w:tr w:rsidR="0004402F" w:rsidRPr="007D5748" w:rsidTr="0004402F">
        <w:trPr>
          <w:trHeight w:val="125"/>
          <w:jc w:val="center"/>
        </w:trPr>
        <w:tc>
          <w:tcPr>
            <w:tcW w:w="4531" w:type="dxa"/>
            <w:noWrap/>
            <w:vAlign w:val="center"/>
          </w:tcPr>
          <w:p w:rsidR="0004402F" w:rsidRPr="007D5748" w:rsidRDefault="0004402F" w:rsidP="0004402F">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993"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7"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370"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r>
      <w:tr w:rsidR="0004402F" w:rsidRPr="007D5748" w:rsidTr="0004402F">
        <w:trPr>
          <w:trHeight w:val="125"/>
          <w:jc w:val="center"/>
        </w:trPr>
        <w:tc>
          <w:tcPr>
            <w:tcW w:w="4531" w:type="dxa"/>
            <w:noWrap/>
            <w:vAlign w:val="center"/>
          </w:tcPr>
          <w:p w:rsidR="0004402F" w:rsidRPr="007D5748" w:rsidRDefault="0004402F" w:rsidP="0004402F">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ostatné subjekty verejnej správy</w:t>
            </w:r>
          </w:p>
        </w:tc>
        <w:tc>
          <w:tcPr>
            <w:tcW w:w="993"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7"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70"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04402F" w:rsidRPr="007D5748" w:rsidTr="0004402F">
        <w:trPr>
          <w:trHeight w:val="125"/>
          <w:jc w:val="center"/>
        </w:trPr>
        <w:tc>
          <w:tcPr>
            <w:tcW w:w="4531" w:type="dxa"/>
            <w:shd w:val="clear" w:color="auto" w:fill="C0C0C0"/>
            <w:noWrap/>
            <w:vAlign w:val="center"/>
          </w:tcPr>
          <w:p w:rsidR="0004402F" w:rsidRPr="007D5748" w:rsidRDefault="0004402F" w:rsidP="0004402F">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Výdavky verejnej správy celkom</w:t>
            </w:r>
          </w:p>
        </w:tc>
        <w:tc>
          <w:tcPr>
            <w:tcW w:w="993" w:type="dxa"/>
            <w:shd w:val="clear" w:color="auto" w:fill="C0C0C0"/>
            <w:noWrap/>
            <w:vAlign w:val="center"/>
          </w:tcPr>
          <w:p w:rsidR="0004402F" w:rsidRPr="007D5748" w:rsidRDefault="0004402F" w:rsidP="0004402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126 084</w:t>
            </w:r>
          </w:p>
        </w:tc>
        <w:tc>
          <w:tcPr>
            <w:tcW w:w="1417" w:type="dxa"/>
            <w:shd w:val="clear" w:color="auto" w:fill="C0C0C0"/>
            <w:noWrap/>
            <w:vAlign w:val="center"/>
          </w:tcPr>
          <w:p w:rsidR="0004402F" w:rsidRPr="007D5748" w:rsidRDefault="0004402F" w:rsidP="0004402F">
            <w:pPr>
              <w:spacing w:after="0" w:line="240" w:lineRule="auto"/>
              <w:jc w:val="right"/>
              <w:rPr>
                <w:rFonts w:ascii="Times New Roman" w:hAnsi="Times New Roman"/>
                <w:b/>
                <w:bCs/>
                <w:sz w:val="24"/>
                <w:szCs w:val="24"/>
                <w:lang w:eastAsia="sk-SK"/>
              </w:rPr>
            </w:pPr>
            <w:r w:rsidRPr="004C7A2E">
              <w:rPr>
                <w:rFonts w:ascii="Times New Roman" w:hAnsi="Times New Roman"/>
                <w:b/>
                <w:sz w:val="24"/>
                <w:szCs w:val="24"/>
                <w:lang w:eastAsia="sk-SK"/>
              </w:rPr>
              <w:t>389 343</w:t>
            </w:r>
          </w:p>
        </w:tc>
        <w:tc>
          <w:tcPr>
            <w:tcW w:w="1418" w:type="dxa"/>
            <w:shd w:val="clear" w:color="auto" w:fill="C0C0C0"/>
            <w:noWrap/>
            <w:vAlign w:val="center"/>
          </w:tcPr>
          <w:p w:rsidR="0004402F" w:rsidRPr="007D5748" w:rsidRDefault="0004402F" w:rsidP="0004402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c>
          <w:tcPr>
            <w:tcW w:w="1370" w:type="dxa"/>
            <w:shd w:val="clear" w:color="auto" w:fill="C0C0C0"/>
            <w:noWrap/>
            <w:vAlign w:val="center"/>
          </w:tcPr>
          <w:p w:rsidR="0004402F" w:rsidRPr="007D5748" w:rsidRDefault="0004402F" w:rsidP="0004402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0</w:t>
            </w:r>
          </w:p>
        </w:tc>
      </w:tr>
      <w:tr w:rsidR="0004402F" w:rsidRPr="007D5748" w:rsidTr="0004402F">
        <w:trPr>
          <w:trHeight w:val="70"/>
          <w:jc w:val="center"/>
        </w:trPr>
        <w:tc>
          <w:tcPr>
            <w:tcW w:w="4531" w:type="dxa"/>
            <w:noWrap/>
            <w:vAlign w:val="center"/>
          </w:tcPr>
          <w:p w:rsidR="0004402F" w:rsidRPr="007D5748" w:rsidRDefault="0004402F" w:rsidP="0004402F">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xml:space="preserve">z toho: </w:t>
            </w:r>
          </w:p>
        </w:tc>
        <w:tc>
          <w:tcPr>
            <w:tcW w:w="993"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p>
        </w:tc>
        <w:tc>
          <w:tcPr>
            <w:tcW w:w="1417"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p>
        </w:tc>
        <w:tc>
          <w:tcPr>
            <w:tcW w:w="1418"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p>
        </w:tc>
        <w:tc>
          <w:tcPr>
            <w:tcW w:w="1370"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p>
        </w:tc>
      </w:tr>
      <w:tr w:rsidR="0004402F" w:rsidRPr="007D5748" w:rsidTr="0004402F">
        <w:trPr>
          <w:trHeight w:val="70"/>
          <w:jc w:val="center"/>
        </w:trPr>
        <w:tc>
          <w:tcPr>
            <w:tcW w:w="4531" w:type="dxa"/>
            <w:noWrap/>
            <w:vAlign w:val="center"/>
          </w:tcPr>
          <w:p w:rsidR="0004402F" w:rsidRPr="007D5748" w:rsidRDefault="0004402F" w:rsidP="0004402F">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993"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Pr>
                <w:rFonts w:ascii="Times New Roman" w:hAnsi="Times New Roman"/>
                <w:b/>
                <w:bCs/>
                <w:sz w:val="24"/>
                <w:szCs w:val="24"/>
                <w:lang w:eastAsia="sk-SK"/>
              </w:rPr>
              <w:t>126 084</w:t>
            </w:r>
          </w:p>
        </w:tc>
        <w:tc>
          <w:tcPr>
            <w:tcW w:w="1417" w:type="dxa"/>
            <w:noWrap/>
            <w:vAlign w:val="center"/>
          </w:tcPr>
          <w:p w:rsidR="0004402F" w:rsidRPr="004C7A2E" w:rsidRDefault="0004402F" w:rsidP="0004402F">
            <w:pPr>
              <w:spacing w:after="0" w:line="240" w:lineRule="auto"/>
              <w:jc w:val="right"/>
              <w:rPr>
                <w:rFonts w:ascii="Times New Roman" w:hAnsi="Times New Roman"/>
                <w:b/>
                <w:bCs/>
                <w:iCs/>
                <w:sz w:val="24"/>
                <w:szCs w:val="24"/>
                <w:lang w:eastAsia="sk-SK"/>
              </w:rPr>
            </w:pPr>
            <w:r w:rsidRPr="004C7A2E">
              <w:rPr>
                <w:rFonts w:ascii="Times New Roman" w:hAnsi="Times New Roman"/>
                <w:b/>
                <w:sz w:val="24"/>
                <w:szCs w:val="24"/>
                <w:lang w:eastAsia="sk-SK"/>
              </w:rPr>
              <w:t>389 343</w:t>
            </w:r>
          </w:p>
        </w:tc>
        <w:tc>
          <w:tcPr>
            <w:tcW w:w="1418"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370"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r>
      <w:tr w:rsidR="0004402F" w:rsidRPr="007D5748" w:rsidTr="0004402F">
        <w:trPr>
          <w:trHeight w:val="70"/>
          <w:jc w:val="center"/>
        </w:trPr>
        <w:tc>
          <w:tcPr>
            <w:tcW w:w="4531" w:type="dxa"/>
            <w:noWrap/>
            <w:vAlign w:val="center"/>
          </w:tcPr>
          <w:p w:rsidR="0004402F" w:rsidRPr="007D5748" w:rsidRDefault="0004402F" w:rsidP="0004402F">
            <w:pPr>
              <w:spacing w:after="0" w:line="240" w:lineRule="auto"/>
              <w:ind w:left="259"/>
              <w:rPr>
                <w:rFonts w:ascii="Times New Roman" w:hAnsi="Times New Roman"/>
                <w:b/>
                <w:bCs/>
                <w:i/>
                <w:iCs/>
                <w:sz w:val="24"/>
                <w:szCs w:val="24"/>
                <w:lang w:eastAsia="sk-SK"/>
              </w:rPr>
            </w:pPr>
            <w:r>
              <w:rPr>
                <w:rFonts w:ascii="Times New Roman" w:hAnsi="Times New Roman"/>
                <w:bCs/>
                <w:i/>
                <w:iCs/>
                <w:sz w:val="24"/>
                <w:szCs w:val="24"/>
                <w:lang w:eastAsia="sk-SK"/>
              </w:rPr>
              <w:t>Rozpočtové prostriedky</w:t>
            </w:r>
          </w:p>
        </w:tc>
        <w:tc>
          <w:tcPr>
            <w:tcW w:w="993"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Pr>
                <w:rFonts w:ascii="Times New Roman" w:hAnsi="Times New Roman"/>
                <w:b/>
                <w:bCs/>
                <w:sz w:val="24"/>
                <w:szCs w:val="24"/>
                <w:lang w:eastAsia="sk-SK"/>
              </w:rPr>
              <w:t>126 084</w:t>
            </w:r>
          </w:p>
        </w:tc>
        <w:tc>
          <w:tcPr>
            <w:tcW w:w="1417" w:type="dxa"/>
            <w:noWrap/>
            <w:vAlign w:val="center"/>
          </w:tcPr>
          <w:p w:rsidR="0004402F" w:rsidRPr="004C7A2E" w:rsidRDefault="0004402F" w:rsidP="0004402F">
            <w:pPr>
              <w:spacing w:after="0" w:line="240" w:lineRule="auto"/>
              <w:jc w:val="right"/>
              <w:rPr>
                <w:rFonts w:ascii="Times New Roman" w:hAnsi="Times New Roman"/>
                <w:b/>
                <w:bCs/>
                <w:iCs/>
                <w:sz w:val="24"/>
                <w:szCs w:val="24"/>
                <w:lang w:eastAsia="sk-SK"/>
              </w:rPr>
            </w:pPr>
            <w:r w:rsidRPr="004C7A2E">
              <w:rPr>
                <w:rFonts w:ascii="Times New Roman" w:hAnsi="Times New Roman"/>
                <w:b/>
                <w:sz w:val="24"/>
                <w:szCs w:val="24"/>
                <w:lang w:eastAsia="sk-SK"/>
              </w:rPr>
              <w:t>389 343</w:t>
            </w:r>
          </w:p>
        </w:tc>
        <w:tc>
          <w:tcPr>
            <w:tcW w:w="1418"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c>
          <w:tcPr>
            <w:tcW w:w="1370"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Pr>
                <w:rFonts w:ascii="Times New Roman" w:hAnsi="Times New Roman"/>
                <w:b/>
                <w:bCs/>
                <w:iCs/>
                <w:sz w:val="24"/>
                <w:szCs w:val="24"/>
                <w:lang w:eastAsia="sk-SK"/>
              </w:rPr>
              <w:t>0</w:t>
            </w:r>
          </w:p>
        </w:tc>
      </w:tr>
      <w:tr w:rsidR="0004402F" w:rsidRPr="007D5748" w:rsidTr="0004402F">
        <w:trPr>
          <w:trHeight w:val="70"/>
          <w:jc w:val="center"/>
        </w:trPr>
        <w:tc>
          <w:tcPr>
            <w:tcW w:w="4531" w:type="dxa"/>
            <w:noWrap/>
            <w:vAlign w:val="center"/>
          </w:tcPr>
          <w:p w:rsidR="0004402F" w:rsidRDefault="0004402F" w:rsidP="0004402F">
            <w:pPr>
              <w:spacing w:after="0" w:line="240" w:lineRule="auto"/>
              <w:ind w:left="259"/>
              <w:rPr>
                <w:rFonts w:ascii="Times New Roman" w:hAnsi="Times New Roman"/>
                <w:bCs/>
                <w:i/>
                <w:iCs/>
                <w:sz w:val="24"/>
                <w:szCs w:val="24"/>
                <w:lang w:eastAsia="sk-SK"/>
              </w:rPr>
            </w:pPr>
            <w:r>
              <w:rPr>
                <w:rFonts w:ascii="Times New Roman" w:hAnsi="Times New Roman"/>
                <w:bCs/>
                <w:i/>
                <w:iCs/>
                <w:sz w:val="24"/>
                <w:szCs w:val="24"/>
                <w:lang w:eastAsia="sk-SK"/>
              </w:rPr>
              <w:t xml:space="preserve">v tom: </w:t>
            </w:r>
            <w:r w:rsidRPr="00766310">
              <w:rPr>
                <w:rFonts w:ascii="Times New Roman" w:hAnsi="Times New Roman"/>
                <w:bCs/>
                <w:i/>
                <w:iCs/>
                <w:sz w:val="24"/>
                <w:szCs w:val="24"/>
                <w:lang w:eastAsia="sk-SK"/>
              </w:rPr>
              <w:t>kapitola MF SR/0EK 0D IT financované zo ŠR – MF SR (org. FR SR)</w:t>
            </w:r>
          </w:p>
        </w:tc>
        <w:tc>
          <w:tcPr>
            <w:tcW w:w="993" w:type="dxa"/>
            <w:noWrap/>
            <w:vAlign w:val="center"/>
          </w:tcPr>
          <w:p w:rsidR="0004402F" w:rsidRPr="00527ECB" w:rsidRDefault="0004402F" w:rsidP="0004402F">
            <w:pPr>
              <w:spacing w:after="0" w:line="240" w:lineRule="auto"/>
              <w:jc w:val="right"/>
              <w:rPr>
                <w:rFonts w:ascii="Times New Roman" w:hAnsi="Times New Roman"/>
                <w:sz w:val="24"/>
                <w:szCs w:val="24"/>
                <w:lang w:eastAsia="sk-SK"/>
              </w:rPr>
            </w:pPr>
            <w:r w:rsidRPr="00527ECB">
              <w:rPr>
                <w:rFonts w:ascii="Times New Roman" w:hAnsi="Times New Roman"/>
                <w:bCs/>
                <w:sz w:val="24"/>
                <w:szCs w:val="24"/>
                <w:lang w:eastAsia="sk-SK"/>
              </w:rPr>
              <w:t>126 084</w:t>
            </w:r>
          </w:p>
        </w:tc>
        <w:tc>
          <w:tcPr>
            <w:tcW w:w="1417" w:type="dxa"/>
            <w:noWrap/>
            <w:vAlign w:val="center"/>
          </w:tcPr>
          <w:p w:rsidR="0004402F" w:rsidRPr="007D5748" w:rsidRDefault="0004402F" w:rsidP="0004402F">
            <w:pPr>
              <w:spacing w:after="0" w:line="240" w:lineRule="auto"/>
              <w:jc w:val="right"/>
              <w:rPr>
                <w:rFonts w:ascii="Times New Roman" w:hAnsi="Times New Roman"/>
                <w:sz w:val="24"/>
                <w:szCs w:val="24"/>
                <w:lang w:eastAsia="sk-SK"/>
              </w:rPr>
            </w:pPr>
            <w:r>
              <w:rPr>
                <w:rFonts w:ascii="Times New Roman" w:hAnsi="Times New Roman"/>
                <w:sz w:val="24"/>
                <w:szCs w:val="24"/>
                <w:lang w:eastAsia="sk-SK"/>
              </w:rPr>
              <w:t>389 343</w:t>
            </w:r>
          </w:p>
        </w:tc>
        <w:tc>
          <w:tcPr>
            <w:tcW w:w="1418" w:type="dxa"/>
            <w:noWrap/>
            <w:vAlign w:val="center"/>
          </w:tcPr>
          <w:p w:rsidR="0004402F" w:rsidRPr="007D5748" w:rsidRDefault="0004402F" w:rsidP="0004402F">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370" w:type="dxa"/>
            <w:noWrap/>
            <w:vAlign w:val="center"/>
          </w:tcPr>
          <w:p w:rsidR="0004402F" w:rsidRPr="007D5748" w:rsidRDefault="0004402F" w:rsidP="0004402F">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rsidR="0004402F" w:rsidRPr="007D5748" w:rsidTr="0004402F">
        <w:trPr>
          <w:trHeight w:val="70"/>
          <w:jc w:val="center"/>
        </w:trPr>
        <w:tc>
          <w:tcPr>
            <w:tcW w:w="4531" w:type="dxa"/>
            <w:noWrap/>
            <w:vAlign w:val="center"/>
          </w:tcPr>
          <w:p w:rsidR="0004402F" w:rsidRPr="007D5748" w:rsidRDefault="0004402F" w:rsidP="0004402F">
            <w:pPr>
              <w:spacing w:after="0" w:line="240" w:lineRule="auto"/>
              <w:rPr>
                <w:rFonts w:ascii="Times New Roman" w:hAnsi="Times New Roman"/>
                <w:bCs/>
                <w:i/>
                <w:iCs/>
                <w:sz w:val="24"/>
                <w:szCs w:val="24"/>
                <w:lang w:eastAsia="sk-SK"/>
              </w:rPr>
            </w:pPr>
            <w:r w:rsidRPr="007D5748">
              <w:rPr>
                <w:rFonts w:ascii="Times New Roman" w:hAnsi="Times New Roman"/>
                <w:bCs/>
                <w:i/>
                <w:iCs/>
                <w:sz w:val="24"/>
                <w:szCs w:val="24"/>
                <w:lang w:eastAsia="sk-SK"/>
              </w:rPr>
              <w:t xml:space="preserve">    EÚ zdroje</w:t>
            </w:r>
          </w:p>
        </w:tc>
        <w:tc>
          <w:tcPr>
            <w:tcW w:w="993" w:type="dxa"/>
            <w:noWrap/>
            <w:vAlign w:val="center"/>
          </w:tcPr>
          <w:p w:rsidR="0004402F" w:rsidRPr="007D5748" w:rsidRDefault="0004402F" w:rsidP="0004402F">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417" w:type="dxa"/>
            <w:noWrap/>
            <w:vAlign w:val="center"/>
          </w:tcPr>
          <w:p w:rsidR="0004402F" w:rsidRPr="007D5748" w:rsidRDefault="0004402F" w:rsidP="0004402F">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418" w:type="dxa"/>
            <w:noWrap/>
            <w:vAlign w:val="center"/>
          </w:tcPr>
          <w:p w:rsidR="0004402F" w:rsidRPr="007D5748" w:rsidRDefault="0004402F" w:rsidP="0004402F">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370" w:type="dxa"/>
            <w:noWrap/>
            <w:vAlign w:val="center"/>
          </w:tcPr>
          <w:p w:rsidR="0004402F" w:rsidRPr="007D5748" w:rsidRDefault="0004402F" w:rsidP="0004402F">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rsidR="0004402F" w:rsidRPr="007D5748" w:rsidTr="0004402F">
        <w:trPr>
          <w:trHeight w:val="70"/>
          <w:jc w:val="center"/>
        </w:trPr>
        <w:tc>
          <w:tcPr>
            <w:tcW w:w="4531" w:type="dxa"/>
            <w:noWrap/>
            <w:vAlign w:val="center"/>
          </w:tcPr>
          <w:p w:rsidR="0004402F" w:rsidRPr="007D5748" w:rsidRDefault="0004402F" w:rsidP="0004402F">
            <w:pPr>
              <w:spacing w:after="0" w:line="240" w:lineRule="auto"/>
              <w:rPr>
                <w:rFonts w:ascii="Times New Roman" w:hAnsi="Times New Roman"/>
                <w:bCs/>
                <w:i/>
                <w:iCs/>
                <w:sz w:val="24"/>
                <w:szCs w:val="24"/>
                <w:lang w:eastAsia="sk-SK"/>
              </w:rPr>
            </w:pPr>
            <w:r w:rsidRPr="007D5748">
              <w:rPr>
                <w:rFonts w:ascii="Times New Roman" w:hAnsi="Times New Roman"/>
                <w:bCs/>
                <w:i/>
                <w:iCs/>
                <w:sz w:val="24"/>
                <w:szCs w:val="24"/>
                <w:lang w:eastAsia="sk-SK"/>
              </w:rPr>
              <w:t xml:space="preserve">    spolufinancovanie</w:t>
            </w:r>
          </w:p>
        </w:tc>
        <w:tc>
          <w:tcPr>
            <w:tcW w:w="993" w:type="dxa"/>
            <w:noWrap/>
            <w:vAlign w:val="center"/>
          </w:tcPr>
          <w:p w:rsidR="0004402F" w:rsidRPr="007D5748" w:rsidRDefault="0004402F" w:rsidP="0004402F">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417" w:type="dxa"/>
            <w:noWrap/>
            <w:vAlign w:val="center"/>
          </w:tcPr>
          <w:p w:rsidR="0004402F" w:rsidRPr="007D5748" w:rsidRDefault="0004402F" w:rsidP="0004402F">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418" w:type="dxa"/>
            <w:noWrap/>
            <w:vAlign w:val="center"/>
          </w:tcPr>
          <w:p w:rsidR="0004402F" w:rsidRPr="007D5748" w:rsidRDefault="0004402F" w:rsidP="0004402F">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c>
          <w:tcPr>
            <w:tcW w:w="1370" w:type="dxa"/>
            <w:noWrap/>
            <w:vAlign w:val="center"/>
          </w:tcPr>
          <w:p w:rsidR="0004402F" w:rsidRPr="007D5748" w:rsidRDefault="0004402F" w:rsidP="0004402F">
            <w:pPr>
              <w:spacing w:after="0" w:line="240" w:lineRule="auto"/>
              <w:jc w:val="right"/>
              <w:rPr>
                <w:rFonts w:ascii="Times New Roman" w:hAnsi="Times New Roman"/>
                <w:sz w:val="24"/>
                <w:szCs w:val="24"/>
                <w:lang w:eastAsia="sk-SK"/>
              </w:rPr>
            </w:pPr>
            <w:r w:rsidRPr="007D5748">
              <w:rPr>
                <w:rFonts w:ascii="Times New Roman" w:hAnsi="Times New Roman"/>
                <w:sz w:val="24"/>
                <w:szCs w:val="24"/>
                <w:lang w:eastAsia="sk-SK"/>
              </w:rPr>
              <w:t>0</w:t>
            </w:r>
          </w:p>
        </w:tc>
      </w:tr>
      <w:tr w:rsidR="0004402F" w:rsidRPr="007D5748" w:rsidTr="0004402F">
        <w:trPr>
          <w:trHeight w:val="125"/>
          <w:jc w:val="center"/>
        </w:trPr>
        <w:tc>
          <w:tcPr>
            <w:tcW w:w="4531" w:type="dxa"/>
            <w:noWrap/>
            <w:vAlign w:val="center"/>
          </w:tcPr>
          <w:p w:rsidR="0004402F" w:rsidRPr="007D5748" w:rsidRDefault="0004402F" w:rsidP="0004402F">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993"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7"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70"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04402F" w:rsidRPr="007D5748" w:rsidTr="0004402F">
        <w:trPr>
          <w:trHeight w:val="125"/>
          <w:jc w:val="center"/>
        </w:trPr>
        <w:tc>
          <w:tcPr>
            <w:tcW w:w="4531" w:type="dxa"/>
            <w:noWrap/>
            <w:vAlign w:val="center"/>
          </w:tcPr>
          <w:p w:rsidR="0004402F" w:rsidRPr="003F7A04" w:rsidRDefault="0004402F" w:rsidP="0004402F">
            <w:pPr>
              <w:spacing w:after="0" w:line="240" w:lineRule="auto"/>
              <w:ind w:left="255"/>
              <w:rPr>
                <w:rFonts w:ascii="Times New Roman" w:hAnsi="Times New Roman"/>
                <w:bCs/>
                <w:i/>
                <w:iCs/>
                <w:sz w:val="24"/>
                <w:szCs w:val="24"/>
                <w:lang w:eastAsia="sk-SK"/>
              </w:rPr>
            </w:pPr>
            <w:r>
              <w:rPr>
                <w:rFonts w:ascii="Times New Roman" w:hAnsi="Times New Roman"/>
                <w:bCs/>
                <w:i/>
                <w:iCs/>
                <w:sz w:val="24"/>
                <w:szCs w:val="24"/>
                <w:lang w:eastAsia="sk-SK"/>
              </w:rPr>
              <w:t>z toho vplyv nových úloh v zmysle ods. 2 Čl. 6 ústavného zákona č. 493/2011 Z. z. o rozpočtovej zodpovednosti</w:t>
            </w:r>
          </w:p>
        </w:tc>
        <w:tc>
          <w:tcPr>
            <w:tcW w:w="993" w:type="dxa"/>
            <w:noWrap/>
            <w:vAlign w:val="center"/>
          </w:tcPr>
          <w:p w:rsidR="0004402F" w:rsidRPr="003F7A04" w:rsidRDefault="0004402F" w:rsidP="0004402F">
            <w:pPr>
              <w:spacing w:after="0" w:line="240" w:lineRule="auto"/>
              <w:jc w:val="right"/>
              <w:rPr>
                <w:rFonts w:ascii="Times New Roman" w:hAnsi="Times New Roman"/>
                <w:bCs/>
                <w:iCs/>
                <w:sz w:val="24"/>
                <w:szCs w:val="24"/>
                <w:lang w:eastAsia="sk-SK"/>
              </w:rPr>
            </w:pPr>
            <w:r w:rsidRPr="003F7A04">
              <w:rPr>
                <w:rFonts w:ascii="Times New Roman" w:hAnsi="Times New Roman"/>
                <w:bCs/>
                <w:iCs/>
                <w:sz w:val="24"/>
                <w:szCs w:val="24"/>
                <w:lang w:eastAsia="sk-SK"/>
              </w:rPr>
              <w:t>0</w:t>
            </w:r>
          </w:p>
        </w:tc>
        <w:tc>
          <w:tcPr>
            <w:tcW w:w="1417" w:type="dxa"/>
            <w:noWrap/>
            <w:vAlign w:val="center"/>
          </w:tcPr>
          <w:p w:rsidR="0004402F" w:rsidRPr="003F7A04" w:rsidRDefault="0004402F" w:rsidP="0004402F">
            <w:pPr>
              <w:spacing w:after="0" w:line="240" w:lineRule="auto"/>
              <w:jc w:val="right"/>
              <w:rPr>
                <w:rFonts w:ascii="Times New Roman" w:hAnsi="Times New Roman"/>
                <w:bCs/>
                <w:iCs/>
                <w:sz w:val="24"/>
                <w:szCs w:val="24"/>
                <w:lang w:eastAsia="sk-SK"/>
              </w:rPr>
            </w:pPr>
            <w:r w:rsidRPr="003F7A04">
              <w:rPr>
                <w:rFonts w:ascii="Times New Roman" w:hAnsi="Times New Roman"/>
                <w:bCs/>
                <w:iCs/>
                <w:sz w:val="24"/>
                <w:szCs w:val="24"/>
                <w:lang w:eastAsia="sk-SK"/>
              </w:rPr>
              <w:t>0</w:t>
            </w:r>
          </w:p>
        </w:tc>
        <w:tc>
          <w:tcPr>
            <w:tcW w:w="1418" w:type="dxa"/>
            <w:noWrap/>
            <w:vAlign w:val="center"/>
          </w:tcPr>
          <w:p w:rsidR="0004402F" w:rsidRPr="003F7A04" w:rsidRDefault="0004402F" w:rsidP="0004402F">
            <w:pPr>
              <w:spacing w:after="0" w:line="240" w:lineRule="auto"/>
              <w:jc w:val="right"/>
              <w:rPr>
                <w:rFonts w:ascii="Times New Roman" w:hAnsi="Times New Roman"/>
                <w:bCs/>
                <w:iCs/>
                <w:sz w:val="24"/>
                <w:szCs w:val="24"/>
                <w:lang w:eastAsia="sk-SK"/>
              </w:rPr>
            </w:pPr>
            <w:r w:rsidRPr="003F7A04">
              <w:rPr>
                <w:rFonts w:ascii="Times New Roman" w:hAnsi="Times New Roman"/>
                <w:bCs/>
                <w:iCs/>
                <w:sz w:val="24"/>
                <w:szCs w:val="24"/>
                <w:lang w:eastAsia="sk-SK"/>
              </w:rPr>
              <w:t>0</w:t>
            </w:r>
          </w:p>
        </w:tc>
        <w:tc>
          <w:tcPr>
            <w:tcW w:w="1370" w:type="dxa"/>
            <w:noWrap/>
            <w:vAlign w:val="center"/>
          </w:tcPr>
          <w:p w:rsidR="0004402F" w:rsidRPr="003F7A04" w:rsidRDefault="0004402F" w:rsidP="0004402F">
            <w:pPr>
              <w:spacing w:after="0" w:line="240" w:lineRule="auto"/>
              <w:jc w:val="right"/>
              <w:rPr>
                <w:rFonts w:ascii="Times New Roman" w:hAnsi="Times New Roman"/>
                <w:bCs/>
                <w:iCs/>
                <w:sz w:val="24"/>
                <w:szCs w:val="24"/>
                <w:lang w:eastAsia="sk-SK"/>
              </w:rPr>
            </w:pPr>
            <w:r w:rsidRPr="003F7A04">
              <w:rPr>
                <w:rFonts w:ascii="Times New Roman" w:hAnsi="Times New Roman"/>
                <w:bCs/>
                <w:iCs/>
                <w:sz w:val="24"/>
                <w:szCs w:val="24"/>
                <w:lang w:eastAsia="sk-SK"/>
              </w:rPr>
              <w:t>0</w:t>
            </w:r>
          </w:p>
        </w:tc>
      </w:tr>
      <w:tr w:rsidR="0004402F" w:rsidRPr="007D5748" w:rsidTr="0004402F">
        <w:trPr>
          <w:trHeight w:val="125"/>
          <w:jc w:val="center"/>
        </w:trPr>
        <w:tc>
          <w:tcPr>
            <w:tcW w:w="4531" w:type="dxa"/>
            <w:noWrap/>
            <w:vAlign w:val="center"/>
          </w:tcPr>
          <w:p w:rsidR="0004402F" w:rsidRPr="007D5748" w:rsidRDefault="0004402F" w:rsidP="0004402F">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993"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7"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70"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04402F" w:rsidRPr="007D5748" w:rsidTr="0004402F">
        <w:trPr>
          <w:trHeight w:val="125"/>
          <w:jc w:val="center"/>
        </w:trPr>
        <w:tc>
          <w:tcPr>
            <w:tcW w:w="4531" w:type="dxa"/>
            <w:noWrap/>
            <w:vAlign w:val="center"/>
          </w:tcPr>
          <w:p w:rsidR="0004402F" w:rsidRPr="007D5748" w:rsidRDefault="0004402F" w:rsidP="0004402F">
            <w:pPr>
              <w:spacing w:after="0" w:line="240" w:lineRule="auto"/>
              <w:ind w:left="255"/>
              <w:rPr>
                <w:rFonts w:ascii="Times New Roman" w:hAnsi="Times New Roman"/>
                <w:b/>
                <w:bCs/>
                <w:i/>
                <w:iCs/>
                <w:sz w:val="24"/>
                <w:szCs w:val="24"/>
                <w:lang w:eastAsia="sk-SK"/>
              </w:rPr>
            </w:pPr>
            <w:r>
              <w:rPr>
                <w:rFonts w:ascii="Times New Roman" w:hAnsi="Times New Roman"/>
                <w:bCs/>
                <w:i/>
                <w:iCs/>
                <w:sz w:val="24"/>
                <w:szCs w:val="24"/>
                <w:lang w:eastAsia="sk-SK"/>
              </w:rPr>
              <w:t>z toho vplyv nových úloh v zmysle ods. 2 Čl. 6 ústavného zákona č. 493/2011 Z. z. o rozpočtovej zodpovednosti</w:t>
            </w:r>
          </w:p>
        </w:tc>
        <w:tc>
          <w:tcPr>
            <w:tcW w:w="993"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4E2882">
              <w:rPr>
                <w:rFonts w:ascii="Times New Roman" w:hAnsi="Times New Roman"/>
                <w:bCs/>
                <w:iCs/>
                <w:sz w:val="24"/>
                <w:szCs w:val="24"/>
                <w:lang w:eastAsia="sk-SK"/>
              </w:rPr>
              <w:t>0</w:t>
            </w:r>
          </w:p>
        </w:tc>
        <w:tc>
          <w:tcPr>
            <w:tcW w:w="1417"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4E2882">
              <w:rPr>
                <w:rFonts w:ascii="Times New Roman" w:hAnsi="Times New Roman"/>
                <w:bCs/>
                <w:iCs/>
                <w:sz w:val="24"/>
                <w:szCs w:val="24"/>
                <w:lang w:eastAsia="sk-SK"/>
              </w:rPr>
              <w:t>0</w:t>
            </w:r>
          </w:p>
        </w:tc>
        <w:tc>
          <w:tcPr>
            <w:tcW w:w="1418"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4E2882">
              <w:rPr>
                <w:rFonts w:ascii="Times New Roman" w:hAnsi="Times New Roman"/>
                <w:bCs/>
                <w:iCs/>
                <w:sz w:val="24"/>
                <w:szCs w:val="24"/>
                <w:lang w:eastAsia="sk-SK"/>
              </w:rPr>
              <w:t>0</w:t>
            </w:r>
          </w:p>
        </w:tc>
        <w:tc>
          <w:tcPr>
            <w:tcW w:w="1370"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4E2882">
              <w:rPr>
                <w:rFonts w:ascii="Times New Roman" w:hAnsi="Times New Roman"/>
                <w:bCs/>
                <w:iCs/>
                <w:sz w:val="24"/>
                <w:szCs w:val="24"/>
                <w:lang w:eastAsia="sk-SK"/>
              </w:rPr>
              <w:t>0</w:t>
            </w:r>
          </w:p>
        </w:tc>
      </w:tr>
      <w:tr w:rsidR="0004402F" w:rsidRPr="007D5748" w:rsidTr="0004402F">
        <w:trPr>
          <w:trHeight w:val="70"/>
          <w:jc w:val="center"/>
        </w:trPr>
        <w:tc>
          <w:tcPr>
            <w:tcW w:w="4531" w:type="dxa"/>
            <w:noWrap/>
            <w:vAlign w:val="center"/>
          </w:tcPr>
          <w:p w:rsidR="0004402F" w:rsidRPr="007D5748" w:rsidRDefault="0004402F" w:rsidP="0004402F">
            <w:pPr>
              <w:spacing w:after="0" w:line="240" w:lineRule="auto"/>
              <w:rPr>
                <w:rFonts w:ascii="Times New Roman" w:hAnsi="Times New Roman"/>
                <w:b/>
                <w:bCs/>
                <w:sz w:val="24"/>
                <w:szCs w:val="24"/>
                <w:lang w:eastAsia="sk-SK"/>
              </w:rPr>
            </w:pPr>
            <w:r w:rsidRPr="007D5748">
              <w:rPr>
                <w:rFonts w:ascii="Times New Roman" w:hAnsi="Times New Roman"/>
                <w:b/>
                <w:bCs/>
                <w:i/>
                <w:iCs/>
                <w:sz w:val="24"/>
                <w:szCs w:val="24"/>
                <w:lang w:eastAsia="sk-SK"/>
              </w:rPr>
              <w:t>- vplyv na ostatné subjekty verejnej správy</w:t>
            </w:r>
          </w:p>
        </w:tc>
        <w:tc>
          <w:tcPr>
            <w:tcW w:w="993"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7"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70"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04402F" w:rsidRPr="007D5748" w:rsidTr="0004402F">
        <w:trPr>
          <w:trHeight w:val="70"/>
          <w:jc w:val="center"/>
        </w:trPr>
        <w:tc>
          <w:tcPr>
            <w:tcW w:w="4531" w:type="dxa"/>
            <w:shd w:val="clear" w:color="auto" w:fill="BFBFBF" w:themeFill="background1" w:themeFillShade="BF"/>
            <w:noWrap/>
            <w:vAlign w:val="center"/>
          </w:tcPr>
          <w:p w:rsidR="0004402F" w:rsidRPr="007D5748" w:rsidRDefault="0004402F" w:rsidP="0004402F">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xml:space="preserve">Vplyv na počet zamestnancov </w:t>
            </w:r>
          </w:p>
        </w:tc>
        <w:tc>
          <w:tcPr>
            <w:tcW w:w="993" w:type="dxa"/>
            <w:shd w:val="clear" w:color="auto" w:fill="BFBFBF" w:themeFill="background1" w:themeFillShade="BF"/>
            <w:noWrap/>
            <w:vAlign w:val="center"/>
          </w:tcPr>
          <w:p w:rsidR="0004402F" w:rsidRPr="007D5748" w:rsidRDefault="0004402F" w:rsidP="0004402F">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417" w:type="dxa"/>
            <w:shd w:val="clear" w:color="auto" w:fill="BFBFBF" w:themeFill="background1" w:themeFillShade="BF"/>
            <w:noWrap/>
            <w:vAlign w:val="center"/>
          </w:tcPr>
          <w:p w:rsidR="0004402F" w:rsidRPr="007D5748" w:rsidRDefault="0004402F" w:rsidP="0004402F">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418" w:type="dxa"/>
            <w:shd w:val="clear" w:color="auto" w:fill="BFBFBF" w:themeFill="background1" w:themeFillShade="BF"/>
            <w:noWrap/>
            <w:vAlign w:val="center"/>
          </w:tcPr>
          <w:p w:rsidR="0004402F" w:rsidRPr="007D5748" w:rsidRDefault="0004402F" w:rsidP="0004402F">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370" w:type="dxa"/>
            <w:shd w:val="clear" w:color="auto" w:fill="BFBFBF" w:themeFill="background1" w:themeFillShade="BF"/>
            <w:noWrap/>
            <w:vAlign w:val="center"/>
          </w:tcPr>
          <w:p w:rsidR="0004402F" w:rsidRPr="007D5748" w:rsidRDefault="0004402F" w:rsidP="0004402F">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r>
      <w:tr w:rsidR="0004402F" w:rsidRPr="007D5748" w:rsidTr="0004402F">
        <w:trPr>
          <w:trHeight w:val="70"/>
          <w:jc w:val="center"/>
        </w:trPr>
        <w:tc>
          <w:tcPr>
            <w:tcW w:w="4531" w:type="dxa"/>
            <w:noWrap/>
            <w:vAlign w:val="center"/>
          </w:tcPr>
          <w:p w:rsidR="0004402F" w:rsidRPr="007D5748" w:rsidRDefault="0004402F" w:rsidP="0004402F">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993"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7"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70"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04402F" w:rsidRPr="007D5748" w:rsidTr="0004402F">
        <w:trPr>
          <w:trHeight w:val="70"/>
          <w:jc w:val="center"/>
        </w:trPr>
        <w:tc>
          <w:tcPr>
            <w:tcW w:w="4531" w:type="dxa"/>
            <w:noWrap/>
            <w:vAlign w:val="center"/>
          </w:tcPr>
          <w:p w:rsidR="0004402F" w:rsidRPr="007D5748" w:rsidRDefault="0004402F" w:rsidP="0004402F">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993"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7"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70"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04402F" w:rsidRPr="007D5748" w:rsidTr="0004402F">
        <w:trPr>
          <w:trHeight w:val="70"/>
          <w:jc w:val="center"/>
        </w:trPr>
        <w:tc>
          <w:tcPr>
            <w:tcW w:w="4531" w:type="dxa"/>
            <w:noWrap/>
            <w:vAlign w:val="center"/>
          </w:tcPr>
          <w:p w:rsidR="0004402F" w:rsidRPr="007D5748" w:rsidRDefault="0004402F" w:rsidP="0004402F">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993"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7"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70"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04402F" w:rsidRPr="007D5748" w:rsidTr="0004402F">
        <w:trPr>
          <w:trHeight w:val="70"/>
          <w:jc w:val="center"/>
        </w:trPr>
        <w:tc>
          <w:tcPr>
            <w:tcW w:w="4531" w:type="dxa"/>
            <w:noWrap/>
            <w:vAlign w:val="center"/>
          </w:tcPr>
          <w:p w:rsidR="0004402F" w:rsidRPr="007D5748" w:rsidRDefault="0004402F" w:rsidP="0004402F">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ostatné subjekty verejnej správy</w:t>
            </w:r>
          </w:p>
        </w:tc>
        <w:tc>
          <w:tcPr>
            <w:tcW w:w="993"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7"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70"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04402F" w:rsidRPr="007D5748" w:rsidTr="0004402F">
        <w:trPr>
          <w:trHeight w:val="70"/>
          <w:jc w:val="center"/>
        </w:trPr>
        <w:tc>
          <w:tcPr>
            <w:tcW w:w="4531" w:type="dxa"/>
            <w:shd w:val="clear" w:color="auto" w:fill="BFBFBF" w:themeFill="background1" w:themeFillShade="BF"/>
            <w:noWrap/>
            <w:vAlign w:val="center"/>
          </w:tcPr>
          <w:p w:rsidR="0004402F" w:rsidRPr="007D5748" w:rsidRDefault="0004402F" w:rsidP="0004402F">
            <w:pPr>
              <w:spacing w:after="0" w:line="240" w:lineRule="auto"/>
              <w:rPr>
                <w:rFonts w:ascii="Times New Roman" w:hAnsi="Times New Roman"/>
                <w:b/>
                <w:sz w:val="24"/>
                <w:szCs w:val="24"/>
                <w:lang w:eastAsia="sk-SK"/>
              </w:rPr>
            </w:pPr>
            <w:r w:rsidRPr="007D5748">
              <w:rPr>
                <w:rFonts w:ascii="Times New Roman" w:hAnsi="Times New Roman"/>
                <w:b/>
                <w:sz w:val="24"/>
                <w:szCs w:val="24"/>
                <w:lang w:eastAsia="sk-SK"/>
              </w:rPr>
              <w:t>Vplyv na mzdové výdavky</w:t>
            </w:r>
          </w:p>
        </w:tc>
        <w:tc>
          <w:tcPr>
            <w:tcW w:w="993" w:type="dxa"/>
            <w:shd w:val="clear" w:color="auto" w:fill="BFBFBF" w:themeFill="background1" w:themeFillShade="BF"/>
            <w:noWrap/>
            <w:vAlign w:val="center"/>
          </w:tcPr>
          <w:p w:rsidR="0004402F" w:rsidRPr="007D5748" w:rsidRDefault="0004402F" w:rsidP="0004402F">
            <w:pPr>
              <w:spacing w:after="0" w:line="240" w:lineRule="auto"/>
              <w:jc w:val="right"/>
              <w:rPr>
                <w:rFonts w:ascii="Times New Roman" w:hAnsi="Times New Roman"/>
                <w:b/>
                <w:sz w:val="24"/>
                <w:szCs w:val="24"/>
                <w:lang w:eastAsia="sk-SK"/>
              </w:rPr>
            </w:pPr>
            <w:r w:rsidRPr="007D5748">
              <w:rPr>
                <w:rFonts w:ascii="Times New Roman" w:hAnsi="Times New Roman"/>
                <w:b/>
                <w:sz w:val="24"/>
                <w:szCs w:val="24"/>
                <w:lang w:eastAsia="sk-SK"/>
              </w:rPr>
              <w:t>0</w:t>
            </w:r>
          </w:p>
        </w:tc>
        <w:tc>
          <w:tcPr>
            <w:tcW w:w="1417" w:type="dxa"/>
            <w:shd w:val="clear" w:color="auto" w:fill="BFBFBF" w:themeFill="background1" w:themeFillShade="BF"/>
            <w:noWrap/>
            <w:vAlign w:val="center"/>
          </w:tcPr>
          <w:p w:rsidR="0004402F" w:rsidRPr="007D5748" w:rsidRDefault="0004402F" w:rsidP="0004402F">
            <w:pPr>
              <w:spacing w:after="0" w:line="240" w:lineRule="auto"/>
              <w:jc w:val="right"/>
              <w:rPr>
                <w:rFonts w:ascii="Times New Roman" w:hAnsi="Times New Roman"/>
                <w:b/>
                <w:sz w:val="24"/>
                <w:szCs w:val="24"/>
                <w:lang w:eastAsia="sk-SK"/>
              </w:rPr>
            </w:pPr>
            <w:r w:rsidRPr="007D5748">
              <w:rPr>
                <w:rFonts w:ascii="Times New Roman" w:hAnsi="Times New Roman"/>
                <w:b/>
                <w:sz w:val="24"/>
                <w:szCs w:val="24"/>
                <w:lang w:eastAsia="sk-SK"/>
              </w:rPr>
              <w:t>0</w:t>
            </w:r>
          </w:p>
        </w:tc>
        <w:tc>
          <w:tcPr>
            <w:tcW w:w="1418" w:type="dxa"/>
            <w:shd w:val="clear" w:color="auto" w:fill="BFBFBF" w:themeFill="background1" w:themeFillShade="BF"/>
            <w:noWrap/>
            <w:vAlign w:val="center"/>
          </w:tcPr>
          <w:p w:rsidR="0004402F" w:rsidRPr="007D5748" w:rsidRDefault="0004402F" w:rsidP="0004402F">
            <w:pPr>
              <w:spacing w:after="0" w:line="240" w:lineRule="auto"/>
              <w:jc w:val="right"/>
              <w:rPr>
                <w:rFonts w:ascii="Times New Roman" w:hAnsi="Times New Roman"/>
                <w:b/>
                <w:sz w:val="24"/>
                <w:szCs w:val="24"/>
                <w:lang w:eastAsia="sk-SK"/>
              </w:rPr>
            </w:pPr>
            <w:r w:rsidRPr="007D5748">
              <w:rPr>
                <w:rFonts w:ascii="Times New Roman" w:hAnsi="Times New Roman"/>
                <w:b/>
                <w:sz w:val="24"/>
                <w:szCs w:val="24"/>
                <w:lang w:eastAsia="sk-SK"/>
              </w:rPr>
              <w:t>0</w:t>
            </w:r>
          </w:p>
        </w:tc>
        <w:tc>
          <w:tcPr>
            <w:tcW w:w="1370" w:type="dxa"/>
            <w:shd w:val="clear" w:color="auto" w:fill="BFBFBF" w:themeFill="background1" w:themeFillShade="BF"/>
            <w:noWrap/>
            <w:vAlign w:val="center"/>
          </w:tcPr>
          <w:p w:rsidR="0004402F" w:rsidRPr="007D5748" w:rsidRDefault="0004402F" w:rsidP="0004402F">
            <w:pPr>
              <w:spacing w:after="0" w:line="240" w:lineRule="auto"/>
              <w:jc w:val="right"/>
              <w:rPr>
                <w:rFonts w:ascii="Times New Roman" w:hAnsi="Times New Roman"/>
                <w:b/>
                <w:sz w:val="24"/>
                <w:szCs w:val="24"/>
                <w:lang w:eastAsia="sk-SK"/>
              </w:rPr>
            </w:pPr>
            <w:r w:rsidRPr="007D5748">
              <w:rPr>
                <w:rFonts w:ascii="Times New Roman" w:hAnsi="Times New Roman"/>
                <w:b/>
                <w:sz w:val="24"/>
                <w:szCs w:val="24"/>
                <w:lang w:eastAsia="sk-SK"/>
              </w:rPr>
              <w:t>0</w:t>
            </w:r>
          </w:p>
        </w:tc>
      </w:tr>
      <w:tr w:rsidR="0004402F" w:rsidRPr="007D5748" w:rsidTr="0004402F">
        <w:trPr>
          <w:trHeight w:val="70"/>
          <w:jc w:val="center"/>
        </w:trPr>
        <w:tc>
          <w:tcPr>
            <w:tcW w:w="4531" w:type="dxa"/>
            <w:noWrap/>
            <w:vAlign w:val="center"/>
          </w:tcPr>
          <w:p w:rsidR="0004402F" w:rsidRPr="007D5748" w:rsidRDefault="0004402F" w:rsidP="0004402F">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ŠR</w:t>
            </w:r>
          </w:p>
        </w:tc>
        <w:tc>
          <w:tcPr>
            <w:tcW w:w="993"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7"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70"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04402F" w:rsidRPr="007D5748" w:rsidTr="0004402F">
        <w:trPr>
          <w:trHeight w:val="70"/>
          <w:jc w:val="center"/>
        </w:trPr>
        <w:tc>
          <w:tcPr>
            <w:tcW w:w="4531" w:type="dxa"/>
            <w:noWrap/>
            <w:vAlign w:val="center"/>
          </w:tcPr>
          <w:p w:rsidR="0004402F" w:rsidRPr="007D5748" w:rsidRDefault="0004402F" w:rsidP="0004402F">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obce</w:t>
            </w:r>
          </w:p>
        </w:tc>
        <w:tc>
          <w:tcPr>
            <w:tcW w:w="993"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7"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70"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04402F" w:rsidRPr="007D5748" w:rsidTr="0004402F">
        <w:trPr>
          <w:trHeight w:val="70"/>
          <w:jc w:val="center"/>
        </w:trPr>
        <w:tc>
          <w:tcPr>
            <w:tcW w:w="4531" w:type="dxa"/>
            <w:noWrap/>
            <w:vAlign w:val="center"/>
          </w:tcPr>
          <w:p w:rsidR="0004402F" w:rsidRPr="007D5748" w:rsidRDefault="0004402F" w:rsidP="0004402F">
            <w:pPr>
              <w:spacing w:after="0" w:line="240" w:lineRule="auto"/>
              <w:rPr>
                <w:rFonts w:ascii="Times New Roman" w:hAnsi="Times New Roman"/>
                <w:b/>
                <w:bCs/>
                <w:i/>
                <w:iCs/>
                <w:sz w:val="24"/>
                <w:szCs w:val="24"/>
                <w:lang w:eastAsia="sk-SK"/>
              </w:rPr>
            </w:pPr>
            <w:r w:rsidRPr="007D5748">
              <w:rPr>
                <w:rFonts w:ascii="Times New Roman" w:hAnsi="Times New Roman"/>
                <w:b/>
                <w:bCs/>
                <w:i/>
                <w:iCs/>
                <w:sz w:val="24"/>
                <w:szCs w:val="24"/>
                <w:lang w:eastAsia="sk-SK"/>
              </w:rPr>
              <w:t>- vplyv na vyššie územné celky</w:t>
            </w:r>
          </w:p>
        </w:tc>
        <w:tc>
          <w:tcPr>
            <w:tcW w:w="993"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7"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70"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04402F" w:rsidRPr="007D5748" w:rsidTr="0004402F">
        <w:trPr>
          <w:trHeight w:val="70"/>
          <w:jc w:val="center"/>
        </w:trPr>
        <w:tc>
          <w:tcPr>
            <w:tcW w:w="4531" w:type="dxa"/>
            <w:noWrap/>
            <w:vAlign w:val="center"/>
          </w:tcPr>
          <w:p w:rsidR="0004402F" w:rsidRPr="007D5748" w:rsidRDefault="0004402F" w:rsidP="0004402F">
            <w:pPr>
              <w:spacing w:after="0" w:line="240" w:lineRule="auto"/>
              <w:rPr>
                <w:rFonts w:ascii="Times New Roman" w:hAnsi="Times New Roman"/>
                <w:b/>
                <w:bCs/>
                <w:sz w:val="24"/>
                <w:szCs w:val="24"/>
                <w:lang w:eastAsia="sk-SK"/>
              </w:rPr>
            </w:pPr>
            <w:r w:rsidRPr="007D5748">
              <w:rPr>
                <w:rFonts w:ascii="Times New Roman" w:hAnsi="Times New Roman"/>
                <w:b/>
                <w:bCs/>
                <w:i/>
                <w:iCs/>
                <w:sz w:val="24"/>
                <w:szCs w:val="24"/>
                <w:lang w:eastAsia="sk-SK"/>
              </w:rPr>
              <w:t>- vplyv na ostatné subjekty verejnej správy</w:t>
            </w:r>
          </w:p>
        </w:tc>
        <w:tc>
          <w:tcPr>
            <w:tcW w:w="993"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7"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418"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c>
          <w:tcPr>
            <w:tcW w:w="1370" w:type="dxa"/>
            <w:noWrap/>
            <w:vAlign w:val="center"/>
          </w:tcPr>
          <w:p w:rsidR="0004402F" w:rsidRPr="007D5748" w:rsidRDefault="0004402F" w:rsidP="0004402F">
            <w:pPr>
              <w:spacing w:after="0" w:line="240" w:lineRule="auto"/>
              <w:jc w:val="right"/>
              <w:rPr>
                <w:rFonts w:ascii="Times New Roman" w:hAnsi="Times New Roman"/>
                <w:b/>
                <w:bCs/>
                <w:iCs/>
                <w:sz w:val="24"/>
                <w:szCs w:val="24"/>
                <w:lang w:eastAsia="sk-SK"/>
              </w:rPr>
            </w:pPr>
            <w:r w:rsidRPr="007D5748">
              <w:rPr>
                <w:rFonts w:ascii="Times New Roman" w:hAnsi="Times New Roman"/>
                <w:b/>
                <w:bCs/>
                <w:iCs/>
                <w:sz w:val="24"/>
                <w:szCs w:val="24"/>
                <w:lang w:eastAsia="sk-SK"/>
              </w:rPr>
              <w:t>0</w:t>
            </w:r>
          </w:p>
        </w:tc>
      </w:tr>
      <w:tr w:rsidR="0004402F" w:rsidRPr="007D5748" w:rsidTr="0004402F">
        <w:trPr>
          <w:trHeight w:val="70"/>
          <w:jc w:val="center"/>
        </w:trPr>
        <w:tc>
          <w:tcPr>
            <w:tcW w:w="4531" w:type="dxa"/>
            <w:shd w:val="clear" w:color="auto" w:fill="C0C0C0"/>
            <w:noWrap/>
            <w:vAlign w:val="center"/>
          </w:tcPr>
          <w:p w:rsidR="0004402F" w:rsidRPr="007D5748" w:rsidRDefault="0004402F" w:rsidP="0004402F">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Financovanie zabezpečené v rozpočte</w:t>
            </w:r>
          </w:p>
        </w:tc>
        <w:tc>
          <w:tcPr>
            <w:tcW w:w="993" w:type="dxa"/>
            <w:shd w:val="clear" w:color="auto" w:fill="C0C0C0"/>
            <w:noWrap/>
            <w:vAlign w:val="center"/>
          </w:tcPr>
          <w:p w:rsidR="0004402F" w:rsidRPr="007D5748" w:rsidRDefault="0004402F" w:rsidP="0004402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126 084</w:t>
            </w:r>
          </w:p>
        </w:tc>
        <w:tc>
          <w:tcPr>
            <w:tcW w:w="1417" w:type="dxa"/>
            <w:shd w:val="clear" w:color="auto" w:fill="C0C0C0"/>
            <w:noWrap/>
            <w:vAlign w:val="center"/>
          </w:tcPr>
          <w:p w:rsidR="0004402F" w:rsidRPr="007D5748" w:rsidRDefault="0004402F" w:rsidP="0004402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389 343</w:t>
            </w:r>
          </w:p>
        </w:tc>
        <w:tc>
          <w:tcPr>
            <w:tcW w:w="1418" w:type="dxa"/>
            <w:shd w:val="clear" w:color="auto" w:fill="C0C0C0"/>
            <w:noWrap/>
            <w:vAlign w:val="center"/>
          </w:tcPr>
          <w:p w:rsidR="0004402F" w:rsidRPr="007D5748" w:rsidRDefault="0004402F" w:rsidP="0004402F">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370" w:type="dxa"/>
            <w:shd w:val="clear" w:color="auto" w:fill="C0C0C0"/>
            <w:noWrap/>
            <w:vAlign w:val="center"/>
          </w:tcPr>
          <w:p w:rsidR="0004402F" w:rsidRPr="007D5748" w:rsidRDefault="0004402F" w:rsidP="0004402F">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r>
      <w:tr w:rsidR="0004402F" w:rsidRPr="007D5748" w:rsidTr="0004402F">
        <w:trPr>
          <w:trHeight w:val="70"/>
          <w:jc w:val="center"/>
        </w:trPr>
        <w:tc>
          <w:tcPr>
            <w:tcW w:w="4531" w:type="dxa"/>
            <w:shd w:val="clear" w:color="auto" w:fill="BFBFBF" w:themeFill="background1" w:themeFillShade="BF"/>
            <w:noWrap/>
            <w:vAlign w:val="center"/>
          </w:tcPr>
          <w:p w:rsidR="0004402F" w:rsidRPr="007D5748" w:rsidRDefault="0004402F" w:rsidP="0004402F">
            <w:pPr>
              <w:spacing w:after="0" w:line="240" w:lineRule="auto"/>
              <w:rPr>
                <w:rFonts w:ascii="Times New Roman" w:hAnsi="Times New Roman"/>
                <w:b/>
                <w:sz w:val="24"/>
                <w:szCs w:val="24"/>
                <w:lang w:eastAsia="sk-SK"/>
              </w:rPr>
            </w:pPr>
            <w:r w:rsidRPr="007D5748">
              <w:rPr>
                <w:rFonts w:ascii="Times New Roman" w:hAnsi="Times New Roman"/>
                <w:b/>
                <w:sz w:val="24"/>
                <w:szCs w:val="24"/>
                <w:lang w:eastAsia="sk-SK"/>
              </w:rPr>
              <w:t>Iné ako rozpočtové zdroje</w:t>
            </w:r>
          </w:p>
        </w:tc>
        <w:tc>
          <w:tcPr>
            <w:tcW w:w="993" w:type="dxa"/>
            <w:shd w:val="clear" w:color="auto" w:fill="BFBFBF" w:themeFill="background1" w:themeFillShade="BF"/>
            <w:noWrap/>
            <w:vAlign w:val="center"/>
          </w:tcPr>
          <w:p w:rsidR="0004402F" w:rsidRPr="007D5748" w:rsidRDefault="0004402F" w:rsidP="0004402F">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417" w:type="dxa"/>
            <w:shd w:val="clear" w:color="auto" w:fill="BFBFBF" w:themeFill="background1" w:themeFillShade="BF"/>
            <w:noWrap/>
            <w:vAlign w:val="center"/>
          </w:tcPr>
          <w:p w:rsidR="0004402F" w:rsidRPr="007D5748" w:rsidRDefault="0004402F" w:rsidP="0004402F">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418" w:type="dxa"/>
            <w:shd w:val="clear" w:color="auto" w:fill="BFBFBF" w:themeFill="background1" w:themeFillShade="BF"/>
            <w:noWrap/>
            <w:vAlign w:val="center"/>
          </w:tcPr>
          <w:p w:rsidR="0004402F" w:rsidRPr="007D5748" w:rsidRDefault="0004402F" w:rsidP="0004402F">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370" w:type="dxa"/>
            <w:shd w:val="clear" w:color="auto" w:fill="BFBFBF" w:themeFill="background1" w:themeFillShade="BF"/>
            <w:noWrap/>
            <w:vAlign w:val="center"/>
          </w:tcPr>
          <w:p w:rsidR="0004402F" w:rsidRPr="007D5748" w:rsidRDefault="0004402F" w:rsidP="0004402F">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r>
      <w:tr w:rsidR="0004402F" w:rsidRPr="007D5748" w:rsidTr="0004402F">
        <w:trPr>
          <w:trHeight w:val="70"/>
          <w:jc w:val="center"/>
        </w:trPr>
        <w:tc>
          <w:tcPr>
            <w:tcW w:w="4531" w:type="dxa"/>
            <w:shd w:val="clear" w:color="auto" w:fill="A6A6A6" w:themeFill="background1" w:themeFillShade="A6"/>
            <w:noWrap/>
            <w:vAlign w:val="center"/>
          </w:tcPr>
          <w:p w:rsidR="0004402F" w:rsidRPr="007D5748" w:rsidRDefault="0004402F" w:rsidP="0004402F">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lastRenderedPageBreak/>
              <w:t>Rozpočtovo nekrytý vplyv</w:t>
            </w:r>
            <w:r>
              <w:rPr>
                <w:rFonts w:ascii="Times New Roman" w:hAnsi="Times New Roman"/>
                <w:b/>
                <w:bCs/>
                <w:sz w:val="24"/>
                <w:szCs w:val="24"/>
                <w:lang w:eastAsia="sk-SK"/>
              </w:rPr>
              <w:t xml:space="preserve"> (+)</w:t>
            </w:r>
            <w:r w:rsidRPr="007D5748">
              <w:rPr>
                <w:rFonts w:ascii="Times New Roman" w:hAnsi="Times New Roman"/>
                <w:b/>
                <w:bCs/>
                <w:sz w:val="24"/>
                <w:szCs w:val="24"/>
                <w:lang w:eastAsia="sk-SK"/>
              </w:rPr>
              <w:t xml:space="preserve"> / úspora</w:t>
            </w:r>
            <w:r>
              <w:rPr>
                <w:rFonts w:ascii="Times New Roman" w:hAnsi="Times New Roman"/>
                <w:b/>
                <w:bCs/>
                <w:sz w:val="24"/>
                <w:szCs w:val="24"/>
                <w:lang w:eastAsia="sk-SK"/>
              </w:rPr>
              <w:t xml:space="preserve"> (-)</w:t>
            </w:r>
          </w:p>
        </w:tc>
        <w:tc>
          <w:tcPr>
            <w:tcW w:w="993" w:type="dxa"/>
            <w:shd w:val="clear" w:color="auto" w:fill="A6A6A6" w:themeFill="background1" w:themeFillShade="A6"/>
            <w:noWrap/>
            <w:vAlign w:val="center"/>
          </w:tcPr>
          <w:p w:rsidR="0004402F" w:rsidRPr="007D5748" w:rsidRDefault="0004402F" w:rsidP="0004402F">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417" w:type="dxa"/>
            <w:shd w:val="clear" w:color="auto" w:fill="A6A6A6" w:themeFill="background1" w:themeFillShade="A6"/>
            <w:noWrap/>
            <w:vAlign w:val="center"/>
          </w:tcPr>
          <w:p w:rsidR="0004402F" w:rsidRPr="007D5748" w:rsidRDefault="0004402F" w:rsidP="0004402F">
            <w:pPr>
              <w:spacing w:after="0" w:line="240" w:lineRule="auto"/>
              <w:jc w:val="right"/>
              <w:rPr>
                <w:rFonts w:ascii="Times New Roman" w:hAnsi="Times New Roman"/>
                <w:b/>
                <w:bCs/>
                <w:sz w:val="24"/>
                <w:szCs w:val="24"/>
                <w:lang w:eastAsia="sk-SK"/>
              </w:rPr>
            </w:pPr>
            <w:r>
              <w:rPr>
                <w:rFonts w:ascii="Times New Roman" w:hAnsi="Times New Roman"/>
                <w:b/>
                <w:bCs/>
                <w:iCs/>
                <w:sz w:val="24"/>
                <w:szCs w:val="24"/>
                <w:lang w:eastAsia="sk-SK"/>
              </w:rPr>
              <w:t>-22 763 157</w:t>
            </w:r>
          </w:p>
        </w:tc>
        <w:tc>
          <w:tcPr>
            <w:tcW w:w="1418" w:type="dxa"/>
            <w:shd w:val="clear" w:color="auto" w:fill="A6A6A6" w:themeFill="background1" w:themeFillShade="A6"/>
            <w:noWrap/>
            <w:vAlign w:val="center"/>
          </w:tcPr>
          <w:p w:rsidR="0004402F" w:rsidRPr="007D5748" w:rsidRDefault="0004402F" w:rsidP="0004402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-30 517 000</w:t>
            </w:r>
          </w:p>
        </w:tc>
        <w:tc>
          <w:tcPr>
            <w:tcW w:w="1370" w:type="dxa"/>
            <w:shd w:val="clear" w:color="auto" w:fill="A6A6A6" w:themeFill="background1" w:themeFillShade="A6"/>
            <w:noWrap/>
            <w:vAlign w:val="center"/>
          </w:tcPr>
          <w:p w:rsidR="0004402F" w:rsidRPr="007D5748" w:rsidRDefault="0004402F" w:rsidP="0004402F">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-22 625 500</w:t>
            </w:r>
          </w:p>
        </w:tc>
      </w:tr>
      <w:bookmarkEnd w:id="0"/>
    </w:tbl>
    <w:p w:rsidR="0004402F" w:rsidRPr="007D5748" w:rsidRDefault="0004402F" w:rsidP="0004402F">
      <w:pPr>
        <w:spacing w:after="0" w:line="240" w:lineRule="auto"/>
        <w:rPr>
          <w:rFonts w:ascii="Times New Roman" w:hAnsi="Times New Roman"/>
          <w:b/>
          <w:bCs/>
          <w:sz w:val="24"/>
          <w:szCs w:val="24"/>
          <w:lang w:eastAsia="sk-SK"/>
        </w:rPr>
      </w:pPr>
    </w:p>
    <w:p w:rsidR="0004402F" w:rsidRPr="007D5748" w:rsidRDefault="0004402F" w:rsidP="0004402F">
      <w:pPr>
        <w:rPr>
          <w:rFonts w:ascii="Times New Roman" w:hAnsi="Times New Roman"/>
          <w:b/>
          <w:bCs/>
          <w:sz w:val="24"/>
          <w:szCs w:val="24"/>
          <w:lang w:eastAsia="sk-SK"/>
        </w:rPr>
      </w:pPr>
      <w:r w:rsidRPr="007D5748">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rsidR="0004402F" w:rsidRDefault="0004402F" w:rsidP="0004402F">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Návrh zákona predpokladá v roku 2022 negatívny vplyv na rozpočet súvisiaci s úpravou informačných systémov finančnej správy vo výške </w:t>
      </w:r>
      <w:r w:rsidRPr="00C651DC">
        <w:rPr>
          <w:rFonts w:ascii="Times New Roman" w:hAnsi="Times New Roman"/>
          <w:b/>
          <w:sz w:val="24"/>
          <w:szCs w:val="24"/>
          <w:lang w:eastAsia="sk-SK"/>
        </w:rPr>
        <w:t>126 084 eur s</w:t>
      </w:r>
      <w:r>
        <w:rPr>
          <w:rFonts w:ascii="Times New Roman" w:hAnsi="Times New Roman"/>
          <w:b/>
          <w:sz w:val="24"/>
          <w:szCs w:val="24"/>
          <w:lang w:eastAsia="sk-SK"/>
        </w:rPr>
        <w:t> </w:t>
      </w:r>
      <w:r w:rsidRPr="00C651DC">
        <w:rPr>
          <w:rFonts w:ascii="Times New Roman" w:hAnsi="Times New Roman"/>
          <w:b/>
          <w:sz w:val="24"/>
          <w:szCs w:val="24"/>
          <w:lang w:eastAsia="sk-SK"/>
        </w:rPr>
        <w:t>DPH</w:t>
      </w:r>
      <w:r>
        <w:rPr>
          <w:rFonts w:ascii="Times New Roman" w:hAnsi="Times New Roman"/>
          <w:b/>
          <w:sz w:val="24"/>
          <w:szCs w:val="24"/>
          <w:lang w:eastAsia="sk-SK"/>
        </w:rPr>
        <w:t xml:space="preserve">. </w:t>
      </w:r>
      <w:r>
        <w:rPr>
          <w:rFonts w:ascii="Times New Roman" w:hAnsi="Times New Roman"/>
          <w:sz w:val="24"/>
          <w:szCs w:val="24"/>
          <w:lang w:eastAsia="sk-SK"/>
        </w:rPr>
        <w:t>Na rok 2022 má kapitola MF SR zabezpečené finančné prostriedky v sume 126 084 eur na úpravu informačného systému [Integrovaný systém Finančnej správy – správa daní (ISFS-SD)]. Výdavky na úpravu informačného systému [Integrovaný systém Finančnej správy – správa daní (ISFS-SD)] na rok 2023 v sume 389 343 eur s DPH budú predmetom riešenia v rámci procesu spracovania návrhu rozpočtu verejnej správy pre kapitolu Ministerstva financií Slovenskej republiky na roky 2023 – 2025.</w:t>
      </w:r>
    </w:p>
    <w:p w:rsidR="0004402F" w:rsidRPr="0011154C" w:rsidRDefault="0004402F" w:rsidP="0004402F">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sz w:val="24"/>
          <w:szCs w:val="24"/>
          <w:lang w:eastAsia="sk-SK"/>
        </w:rPr>
      </w:pPr>
      <w:r w:rsidRPr="0011154C">
        <w:rPr>
          <w:rFonts w:ascii="Times New Roman" w:hAnsi="Times New Roman"/>
          <w:sz w:val="24"/>
          <w:szCs w:val="24"/>
          <w:lang w:eastAsia="sk-SK"/>
        </w:rPr>
        <w:t xml:space="preserve">Vzhľadom na metodické zjednodušenie pri výpočte vplyvov na rozpočet verejnej správy sa už pri pôvodnom návrhu uvažovalo s obmedzením výšky daňového bonusu do percenta základu dane na úrovni rodiny. Súčasný návrh tak neprináša dodatočné náklady nad rámec pôvodných rozpočtových vplyvov, t.j. vplyvy na rozpočet verejnej správy boli zapracované už do návrhu zákona o financovaní voľného času dieťaťa a o zmene a doplnení niektorých zákonov a sú súčasťou makroekonomickej a daňovej prognózy Inštitútu finančnej politiky prezentovanej v júni 2022. </w:t>
      </w:r>
    </w:p>
    <w:p w:rsidR="0004402F" w:rsidRDefault="0004402F" w:rsidP="0004402F">
      <w:pPr>
        <w:spacing w:after="0" w:line="240" w:lineRule="auto"/>
        <w:rPr>
          <w:rFonts w:ascii="Times New Roman" w:hAnsi="Times New Roman"/>
          <w:b/>
          <w:bCs/>
          <w:sz w:val="24"/>
          <w:szCs w:val="24"/>
          <w:lang w:eastAsia="sk-SK"/>
        </w:rPr>
      </w:pPr>
    </w:p>
    <w:p w:rsidR="0004402F" w:rsidRPr="007D5748" w:rsidRDefault="0004402F" w:rsidP="0004402F">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 Popis a charakteristika návrhu</w:t>
      </w:r>
    </w:p>
    <w:p w:rsidR="0004402F" w:rsidRPr="007D5748" w:rsidRDefault="0004402F" w:rsidP="0004402F">
      <w:pPr>
        <w:spacing w:after="0" w:line="240" w:lineRule="auto"/>
        <w:rPr>
          <w:rFonts w:ascii="Times New Roman" w:hAnsi="Times New Roman"/>
          <w:sz w:val="24"/>
          <w:szCs w:val="24"/>
          <w:lang w:eastAsia="sk-SK"/>
        </w:rPr>
      </w:pPr>
    </w:p>
    <w:p w:rsidR="0004402F" w:rsidRPr="007D5748" w:rsidRDefault="0004402F" w:rsidP="0004402F">
      <w:pPr>
        <w:spacing w:after="0" w:line="240" w:lineRule="auto"/>
        <w:jc w:val="both"/>
        <w:rPr>
          <w:rFonts w:ascii="Times New Roman" w:hAnsi="Times New Roman"/>
          <w:b/>
          <w:bCs/>
          <w:sz w:val="24"/>
          <w:szCs w:val="24"/>
          <w:lang w:eastAsia="sk-SK"/>
        </w:rPr>
      </w:pPr>
      <w:r w:rsidRPr="007D5748">
        <w:rPr>
          <w:rFonts w:ascii="Times New Roman" w:hAnsi="Times New Roman"/>
          <w:b/>
          <w:bCs/>
          <w:sz w:val="24"/>
          <w:szCs w:val="24"/>
          <w:lang w:eastAsia="sk-SK"/>
        </w:rPr>
        <w:t>2.2.1. Popis návrhu:</w:t>
      </w:r>
    </w:p>
    <w:p w:rsidR="0004402F" w:rsidRPr="007D5748" w:rsidRDefault="0004402F" w:rsidP="0004402F">
      <w:pPr>
        <w:spacing w:after="0" w:line="240" w:lineRule="auto"/>
        <w:jc w:val="both"/>
        <w:rPr>
          <w:rFonts w:ascii="Times New Roman" w:hAnsi="Times New Roman"/>
          <w:b/>
          <w:bCs/>
          <w:sz w:val="24"/>
          <w:szCs w:val="24"/>
          <w:lang w:eastAsia="sk-SK"/>
        </w:rPr>
      </w:pPr>
    </w:p>
    <w:p w:rsidR="0004402F" w:rsidRDefault="0004402F" w:rsidP="0004402F">
      <w:pPr>
        <w:spacing w:after="0" w:line="240" w:lineRule="auto"/>
        <w:jc w:val="both"/>
        <w:rPr>
          <w:rFonts w:ascii="Times New Roman" w:hAnsi="Times New Roman"/>
          <w:b/>
          <w:sz w:val="24"/>
          <w:szCs w:val="24"/>
          <w:lang w:eastAsia="sk-SK"/>
        </w:rPr>
      </w:pPr>
      <w:r w:rsidRPr="00EC24D3">
        <w:rPr>
          <w:rFonts w:ascii="Times New Roman" w:hAnsi="Times New Roman"/>
          <w:b/>
          <w:sz w:val="24"/>
          <w:szCs w:val="24"/>
          <w:lang w:eastAsia="sk-SK"/>
        </w:rPr>
        <w:t>K novele zákona o dani z</w:t>
      </w:r>
      <w:r>
        <w:rPr>
          <w:rFonts w:ascii="Times New Roman" w:hAnsi="Times New Roman"/>
          <w:b/>
          <w:sz w:val="24"/>
          <w:szCs w:val="24"/>
          <w:lang w:eastAsia="sk-SK"/>
        </w:rPr>
        <w:t> </w:t>
      </w:r>
      <w:r w:rsidRPr="00EC24D3">
        <w:rPr>
          <w:rFonts w:ascii="Times New Roman" w:hAnsi="Times New Roman"/>
          <w:b/>
          <w:sz w:val="24"/>
          <w:szCs w:val="24"/>
          <w:lang w:eastAsia="sk-SK"/>
        </w:rPr>
        <w:t>príjmov</w:t>
      </w:r>
    </w:p>
    <w:p w:rsidR="0004402F" w:rsidRDefault="0004402F" w:rsidP="0004402F">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Zámerom návrhu zákona je</w:t>
      </w:r>
    </w:p>
    <w:p w:rsidR="0004402F" w:rsidRPr="005D0EE4" w:rsidRDefault="0004402F" w:rsidP="0004402F">
      <w:pPr>
        <w:pStyle w:val="Odsekzoznamu"/>
        <w:numPr>
          <w:ilvl w:val="0"/>
          <w:numId w:val="5"/>
        </w:numPr>
        <w:spacing w:after="0" w:line="240" w:lineRule="auto"/>
        <w:ind w:left="284" w:hanging="284"/>
        <w:jc w:val="both"/>
        <w:rPr>
          <w:rFonts w:ascii="Times New Roman" w:hAnsi="Times New Roman"/>
          <w:sz w:val="24"/>
          <w:szCs w:val="24"/>
        </w:rPr>
      </w:pPr>
      <w:r w:rsidRPr="005D0EE4">
        <w:rPr>
          <w:rFonts w:ascii="Times New Roman" w:hAnsi="Times New Roman"/>
          <w:sz w:val="24"/>
          <w:szCs w:val="24"/>
        </w:rPr>
        <w:t>zavedenie pravidla o obmedzení úrokových nákladov zacieleného proti praktikám, ktoré na umelé znižovanie základu dane z príjmov využívajú nadmerné dlhové financovanie,</w:t>
      </w:r>
    </w:p>
    <w:p w:rsidR="0004402F" w:rsidRDefault="0004402F" w:rsidP="0004402F">
      <w:pPr>
        <w:pStyle w:val="Odsekzoznamu"/>
        <w:numPr>
          <w:ilvl w:val="0"/>
          <w:numId w:val="5"/>
        </w:numPr>
        <w:spacing w:after="0" w:line="240" w:lineRule="auto"/>
        <w:ind w:left="284" w:hanging="284"/>
        <w:jc w:val="both"/>
        <w:rPr>
          <w:rFonts w:ascii="Times New Roman" w:hAnsi="Times New Roman"/>
          <w:sz w:val="24"/>
          <w:szCs w:val="24"/>
        </w:rPr>
      </w:pPr>
      <w:r>
        <w:rPr>
          <w:rFonts w:ascii="Times New Roman" w:hAnsi="Times New Roman"/>
          <w:sz w:val="24"/>
          <w:szCs w:val="24"/>
        </w:rPr>
        <w:t>zavedenie možnosti vyššieho odpočtu daňového bonusu na vyživované dieťa (deti) z dôvodu započítania príjmov (čiastkových základov dane) obidvoch oprávnených osôb (napr. obidvoch rodičov) do úhrnu príjmov pre účely daňového bonusu,</w:t>
      </w:r>
    </w:p>
    <w:p w:rsidR="0004402F" w:rsidRDefault="0004402F" w:rsidP="0004402F">
      <w:pPr>
        <w:pStyle w:val="Odsekzoznamu"/>
        <w:numPr>
          <w:ilvl w:val="0"/>
          <w:numId w:val="5"/>
        </w:numPr>
        <w:spacing w:after="0" w:line="240" w:lineRule="auto"/>
        <w:ind w:left="284" w:hanging="284"/>
        <w:jc w:val="both"/>
        <w:rPr>
          <w:rFonts w:ascii="Times New Roman" w:hAnsi="Times New Roman"/>
          <w:sz w:val="24"/>
          <w:szCs w:val="24"/>
        </w:rPr>
      </w:pPr>
      <w:r w:rsidRPr="009E7397">
        <w:rPr>
          <w:rFonts w:ascii="Times New Roman" w:hAnsi="Times New Roman"/>
          <w:sz w:val="24"/>
          <w:szCs w:val="24"/>
        </w:rPr>
        <w:t>implementácia nového medzinárodného štandardu finančného výkazníctva IFRS 17 a s ním spojená úprava základu dane v súvislosti s prvotným uplatnením</w:t>
      </w:r>
      <w:r>
        <w:rPr>
          <w:rFonts w:ascii="Times New Roman" w:hAnsi="Times New Roman"/>
          <w:sz w:val="24"/>
          <w:szCs w:val="24"/>
        </w:rPr>
        <w:t xml:space="preserve"> tohto medzinárodného štandardu,</w:t>
      </w:r>
    </w:p>
    <w:p w:rsidR="0004402F" w:rsidRDefault="0004402F" w:rsidP="0004402F">
      <w:pPr>
        <w:pStyle w:val="Odsekzoznamu"/>
        <w:numPr>
          <w:ilvl w:val="0"/>
          <w:numId w:val="5"/>
        </w:numPr>
        <w:spacing w:after="0" w:line="240" w:lineRule="auto"/>
        <w:ind w:left="284" w:hanging="284"/>
        <w:jc w:val="both"/>
        <w:rPr>
          <w:rFonts w:ascii="Times New Roman" w:hAnsi="Times New Roman"/>
          <w:sz w:val="24"/>
          <w:szCs w:val="24"/>
        </w:rPr>
      </w:pPr>
      <w:r>
        <w:rPr>
          <w:rFonts w:ascii="Times New Roman" w:hAnsi="Times New Roman"/>
          <w:sz w:val="24"/>
          <w:szCs w:val="24"/>
        </w:rPr>
        <w:t>zavedenie možnosti daňového odpisu pohľadávok pri tzv. preventívnej reštrukturalizácii a zahrnovania tvorby opravných položiek k pohľadávkam voči dlžníkovi v preventívnom reštrukturalizačnom konaní do daňových výdavkov v nadväznosti na zákon č. 111/2022 Z. z. o riešení hroziaceho úpadku a o zmene a doplnení niektorých zákonov.</w:t>
      </w:r>
    </w:p>
    <w:p w:rsidR="0004402F" w:rsidRPr="009E7397" w:rsidRDefault="0004402F" w:rsidP="0004402F">
      <w:pPr>
        <w:pStyle w:val="Odsekzoznamu"/>
        <w:spacing w:after="0" w:line="240" w:lineRule="auto"/>
        <w:ind w:left="284"/>
        <w:jc w:val="both"/>
        <w:rPr>
          <w:rFonts w:ascii="Times New Roman" w:hAnsi="Times New Roman"/>
          <w:sz w:val="24"/>
          <w:szCs w:val="24"/>
        </w:rPr>
      </w:pPr>
    </w:p>
    <w:p w:rsidR="0004402F" w:rsidRDefault="0004402F" w:rsidP="0004402F">
      <w:pPr>
        <w:spacing w:after="0" w:line="240" w:lineRule="auto"/>
        <w:jc w:val="both"/>
        <w:rPr>
          <w:rFonts w:ascii="Times New Roman" w:hAnsi="Times New Roman"/>
          <w:b/>
          <w:sz w:val="24"/>
          <w:szCs w:val="24"/>
          <w:lang w:eastAsia="sk-SK"/>
        </w:rPr>
      </w:pPr>
      <w:r w:rsidRPr="00742D60">
        <w:rPr>
          <w:rFonts w:ascii="Times New Roman" w:hAnsi="Times New Roman"/>
          <w:b/>
          <w:sz w:val="24"/>
          <w:szCs w:val="24"/>
          <w:lang w:eastAsia="sk-SK"/>
        </w:rPr>
        <w:t>K</w:t>
      </w:r>
      <w:r>
        <w:rPr>
          <w:rFonts w:ascii="Times New Roman" w:hAnsi="Times New Roman"/>
          <w:b/>
          <w:sz w:val="24"/>
          <w:szCs w:val="24"/>
          <w:lang w:eastAsia="sk-SK"/>
        </w:rPr>
        <w:t> novele daňového poriadku</w:t>
      </w:r>
    </w:p>
    <w:p w:rsidR="0004402F" w:rsidRPr="009437FC" w:rsidRDefault="0004402F" w:rsidP="0004402F">
      <w:pPr>
        <w:spacing w:after="0" w:line="240" w:lineRule="auto"/>
        <w:jc w:val="both"/>
        <w:rPr>
          <w:rFonts w:ascii="Times New Roman" w:hAnsi="Times New Roman"/>
          <w:sz w:val="24"/>
          <w:szCs w:val="24"/>
          <w:lang w:eastAsia="sk-SK"/>
        </w:rPr>
      </w:pPr>
      <w:r w:rsidRPr="009437FC">
        <w:rPr>
          <w:rFonts w:ascii="Times New Roman" w:hAnsi="Times New Roman"/>
          <w:sz w:val="24"/>
          <w:szCs w:val="24"/>
          <w:lang w:eastAsia="sk-SK"/>
        </w:rPr>
        <w:t>Zámerom návrhu zákona je</w:t>
      </w:r>
    </w:p>
    <w:p w:rsidR="0004402F" w:rsidRPr="005D0EE4" w:rsidRDefault="0004402F" w:rsidP="0004402F">
      <w:pPr>
        <w:pStyle w:val="Odsekzoznamu"/>
        <w:numPr>
          <w:ilvl w:val="0"/>
          <w:numId w:val="5"/>
        </w:numPr>
        <w:spacing w:after="0" w:line="240" w:lineRule="auto"/>
        <w:ind w:left="284" w:hanging="284"/>
        <w:jc w:val="both"/>
        <w:rPr>
          <w:rFonts w:ascii="Times New Roman" w:hAnsi="Times New Roman"/>
          <w:sz w:val="24"/>
          <w:szCs w:val="24"/>
          <w:lang w:eastAsia="sk-SK"/>
        </w:rPr>
      </w:pPr>
      <w:r w:rsidRPr="005D0EE4">
        <w:rPr>
          <w:rFonts w:ascii="Times New Roman" w:hAnsi="Times New Roman"/>
          <w:sz w:val="24"/>
          <w:szCs w:val="24"/>
          <w:lang w:eastAsia="sk-SK"/>
        </w:rPr>
        <w:t>zavedenie systému tzv. „druhej šance“, podľa ktorého správca dane pokutu, ktorú je možné určiť v rámci intervalového rozpätia</w:t>
      </w:r>
      <w:r>
        <w:rPr>
          <w:rFonts w:ascii="Times New Roman" w:hAnsi="Times New Roman"/>
          <w:sz w:val="24"/>
          <w:szCs w:val="24"/>
          <w:lang w:eastAsia="sk-SK"/>
        </w:rPr>
        <w:t xml:space="preserve"> pri prvom porušení</w:t>
      </w:r>
      <w:r w:rsidRPr="005D0EE4">
        <w:rPr>
          <w:rFonts w:ascii="Times New Roman" w:hAnsi="Times New Roman"/>
          <w:sz w:val="24"/>
          <w:szCs w:val="24"/>
          <w:lang w:eastAsia="sk-SK"/>
        </w:rPr>
        <w:t xml:space="preserve"> neuloží, ale vyzve na splnenie povinnosti s upozornením, že pri ďalšom porušení už bude uložená pokuta,</w:t>
      </w:r>
    </w:p>
    <w:p w:rsidR="0004402F" w:rsidRDefault="0004402F" w:rsidP="0004402F">
      <w:pPr>
        <w:pStyle w:val="Odsekzoznamu"/>
        <w:numPr>
          <w:ilvl w:val="0"/>
          <w:numId w:val="5"/>
        </w:numPr>
        <w:spacing w:after="0" w:line="240" w:lineRule="auto"/>
        <w:ind w:left="284" w:hanging="284"/>
        <w:jc w:val="both"/>
        <w:rPr>
          <w:rFonts w:ascii="Times New Roman" w:hAnsi="Times New Roman"/>
          <w:sz w:val="24"/>
          <w:szCs w:val="24"/>
          <w:lang w:eastAsia="sk-SK"/>
        </w:rPr>
      </w:pPr>
      <w:r>
        <w:rPr>
          <w:rFonts w:ascii="Times New Roman" w:hAnsi="Times New Roman"/>
          <w:sz w:val="24"/>
          <w:szCs w:val="24"/>
          <w:lang w:eastAsia="sk-SK"/>
        </w:rPr>
        <w:t>skrátenie lehoty na vyrubenie úroku z omeškania pri úplnej úhrade nedoplatku.</w:t>
      </w:r>
    </w:p>
    <w:p w:rsidR="0004402F" w:rsidRDefault="0004402F" w:rsidP="0004402F">
      <w:pPr>
        <w:spacing w:after="0" w:line="240" w:lineRule="auto"/>
        <w:jc w:val="both"/>
        <w:rPr>
          <w:rFonts w:ascii="Times New Roman" w:hAnsi="Times New Roman"/>
          <w:sz w:val="24"/>
          <w:szCs w:val="24"/>
          <w:lang w:eastAsia="sk-SK"/>
        </w:rPr>
      </w:pPr>
    </w:p>
    <w:p w:rsidR="0004402F" w:rsidRDefault="0004402F" w:rsidP="0004402F">
      <w:pPr>
        <w:spacing w:after="0" w:line="240" w:lineRule="auto"/>
        <w:rPr>
          <w:rFonts w:ascii="Times New Roman" w:hAnsi="Times New Roman"/>
          <w:b/>
          <w:bCs/>
          <w:sz w:val="24"/>
          <w:szCs w:val="24"/>
          <w:lang w:eastAsia="sk-SK"/>
        </w:rPr>
      </w:pPr>
    </w:p>
    <w:p w:rsidR="0004402F" w:rsidRDefault="0004402F" w:rsidP="0004402F">
      <w:pPr>
        <w:spacing w:after="0" w:line="240" w:lineRule="auto"/>
        <w:rPr>
          <w:rFonts w:ascii="Times New Roman" w:hAnsi="Times New Roman"/>
          <w:b/>
          <w:bCs/>
          <w:sz w:val="24"/>
          <w:szCs w:val="24"/>
          <w:lang w:eastAsia="sk-SK"/>
        </w:rPr>
      </w:pPr>
    </w:p>
    <w:p w:rsidR="0004402F" w:rsidRDefault="0004402F" w:rsidP="0004402F">
      <w:pPr>
        <w:spacing w:after="0" w:line="240" w:lineRule="auto"/>
        <w:rPr>
          <w:rFonts w:ascii="Times New Roman" w:hAnsi="Times New Roman"/>
          <w:b/>
          <w:bCs/>
          <w:sz w:val="24"/>
          <w:szCs w:val="24"/>
          <w:lang w:eastAsia="sk-SK"/>
        </w:rPr>
      </w:pPr>
    </w:p>
    <w:p w:rsidR="0004402F" w:rsidRDefault="0004402F" w:rsidP="0004402F">
      <w:pPr>
        <w:spacing w:after="0" w:line="240" w:lineRule="auto"/>
        <w:rPr>
          <w:rFonts w:ascii="Times New Roman" w:hAnsi="Times New Roman"/>
          <w:b/>
          <w:bCs/>
          <w:sz w:val="24"/>
          <w:szCs w:val="24"/>
          <w:lang w:eastAsia="sk-SK"/>
        </w:rPr>
      </w:pPr>
    </w:p>
    <w:p w:rsidR="0004402F" w:rsidRPr="007D5748" w:rsidRDefault="0004402F" w:rsidP="0004402F">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2.2.2. Charakteristika návrhu:</w:t>
      </w:r>
    </w:p>
    <w:p w:rsidR="0004402F" w:rsidRPr="007D5748" w:rsidRDefault="0004402F" w:rsidP="0004402F">
      <w:pPr>
        <w:spacing w:after="0" w:line="240" w:lineRule="auto"/>
        <w:rPr>
          <w:rFonts w:ascii="Times New Roman" w:hAnsi="Times New Roman"/>
          <w:sz w:val="24"/>
          <w:szCs w:val="24"/>
          <w:lang w:eastAsia="sk-SK"/>
        </w:rPr>
      </w:pPr>
    </w:p>
    <w:p w:rsidR="0004402F" w:rsidRPr="007D5748" w:rsidRDefault="0004402F" w:rsidP="0004402F">
      <w:pPr>
        <w:spacing w:after="0" w:line="240" w:lineRule="auto"/>
        <w:rPr>
          <w:rFonts w:ascii="Times New Roman" w:hAnsi="Times New Roman"/>
          <w:sz w:val="24"/>
          <w:szCs w:val="24"/>
          <w:lang w:eastAsia="sk-SK"/>
        </w:rPr>
      </w:pPr>
      <w:r w:rsidRPr="007D5748">
        <w:rPr>
          <w:rFonts w:ascii="Times New Roman" w:hAnsi="Times New Roman"/>
          <w:b/>
          <w:sz w:val="24"/>
          <w:szCs w:val="24"/>
          <w:bdr w:val="single" w:sz="4" w:space="0" w:color="auto"/>
          <w:lang w:eastAsia="sk-SK"/>
        </w:rPr>
        <w:t xml:space="preserve">     </w:t>
      </w:r>
      <w:r w:rsidRPr="007D5748">
        <w:rPr>
          <w:rFonts w:ascii="Times New Roman" w:hAnsi="Times New Roman"/>
          <w:b/>
          <w:sz w:val="24"/>
          <w:szCs w:val="24"/>
          <w:lang w:eastAsia="sk-SK"/>
        </w:rPr>
        <w:t xml:space="preserve">  </w:t>
      </w:r>
      <w:r w:rsidRPr="007D5748">
        <w:rPr>
          <w:rFonts w:ascii="Times New Roman" w:hAnsi="Times New Roman"/>
          <w:sz w:val="24"/>
          <w:szCs w:val="24"/>
          <w:lang w:eastAsia="sk-SK"/>
        </w:rPr>
        <w:t>zmena sadzby</w:t>
      </w:r>
    </w:p>
    <w:p w:rsidR="0004402F" w:rsidRPr="007D5748" w:rsidRDefault="0004402F" w:rsidP="0004402F">
      <w:pPr>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zmena v nároku</w:t>
      </w:r>
    </w:p>
    <w:p w:rsidR="0004402F" w:rsidRPr="007D5748" w:rsidRDefault="0004402F" w:rsidP="0004402F">
      <w:pPr>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nová služba alebo nariadenie (alebo ich zrušenie)</w:t>
      </w:r>
    </w:p>
    <w:p w:rsidR="0004402F" w:rsidRPr="007D5748" w:rsidRDefault="0004402F" w:rsidP="0004402F">
      <w:pPr>
        <w:spacing w:after="0" w:line="240" w:lineRule="auto"/>
        <w:rPr>
          <w:rFonts w:ascii="Times New Roman" w:hAnsi="Times New Roman"/>
          <w:sz w:val="24"/>
          <w:szCs w:val="24"/>
          <w:lang w:eastAsia="sk-SK"/>
        </w:rPr>
      </w:pP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kombinovaný návrh</w:t>
      </w:r>
    </w:p>
    <w:p w:rsidR="0004402F" w:rsidRPr="007D5748" w:rsidRDefault="0004402F" w:rsidP="0004402F">
      <w:pPr>
        <w:spacing w:after="0" w:line="240" w:lineRule="auto"/>
        <w:rPr>
          <w:rFonts w:ascii="Times New Roman" w:hAnsi="Times New Roman"/>
          <w:sz w:val="24"/>
          <w:szCs w:val="24"/>
          <w:lang w:eastAsia="sk-SK"/>
        </w:rPr>
      </w:pPr>
      <w:r>
        <w:rPr>
          <w:rFonts w:ascii="Times New Roman" w:hAnsi="Times New Roman"/>
          <w:sz w:val="24"/>
          <w:szCs w:val="24"/>
          <w:bdr w:val="single" w:sz="4" w:space="0" w:color="auto"/>
          <w:lang w:eastAsia="sk-SK"/>
        </w:rPr>
        <w:t xml:space="preserve"> X</w:t>
      </w:r>
      <w:r w:rsidRPr="007D5748">
        <w:rPr>
          <w:rFonts w:ascii="Times New Roman" w:hAnsi="Times New Roman"/>
          <w:sz w:val="24"/>
          <w:szCs w:val="24"/>
          <w:bdr w:val="single" w:sz="4" w:space="0" w:color="auto"/>
          <w:lang w:eastAsia="sk-SK"/>
        </w:rPr>
        <w:t xml:space="preserve"> </w:t>
      </w:r>
      <w:r w:rsidRPr="007D5748">
        <w:rPr>
          <w:rFonts w:ascii="Times New Roman" w:hAnsi="Times New Roman"/>
          <w:sz w:val="24"/>
          <w:szCs w:val="24"/>
          <w:lang w:eastAsia="sk-SK"/>
        </w:rPr>
        <w:t xml:space="preserve">  iné </w:t>
      </w:r>
    </w:p>
    <w:p w:rsidR="0004402F" w:rsidRPr="007D5748" w:rsidRDefault="0004402F" w:rsidP="0004402F">
      <w:pPr>
        <w:spacing w:after="0" w:line="240" w:lineRule="auto"/>
        <w:rPr>
          <w:rFonts w:ascii="Times New Roman" w:hAnsi="Times New Roman"/>
          <w:sz w:val="24"/>
          <w:szCs w:val="24"/>
          <w:lang w:eastAsia="sk-SK"/>
        </w:rPr>
      </w:pPr>
    </w:p>
    <w:p w:rsidR="0004402F" w:rsidRPr="007D5748" w:rsidRDefault="0004402F" w:rsidP="0004402F">
      <w:pPr>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2.2.3. Predpoklady vývoja objemu aktivít:</w:t>
      </w:r>
    </w:p>
    <w:p w:rsidR="0004402F" w:rsidRPr="00311F7F" w:rsidRDefault="0004402F" w:rsidP="0004402F">
      <w:pPr>
        <w:spacing w:after="0" w:line="240" w:lineRule="auto"/>
        <w:jc w:val="right"/>
        <w:rPr>
          <w:rFonts w:ascii="Times New Roman" w:hAnsi="Times New Roman"/>
          <w:sz w:val="24"/>
          <w:szCs w:val="24"/>
          <w:lang w:eastAsia="sk-SK"/>
        </w:rPr>
      </w:pPr>
      <w:r w:rsidRPr="00311F7F">
        <w:rPr>
          <w:rFonts w:ascii="Times New Roman" w:hAnsi="Times New Roman"/>
          <w:sz w:val="24"/>
          <w:szCs w:val="24"/>
          <w:lang w:eastAsia="sk-SK"/>
        </w:rPr>
        <w:t xml:space="preserve">Tabuľka č. 2 </w:t>
      </w:r>
    </w:p>
    <w:tbl>
      <w:tblPr>
        <w:tblW w:w="870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3"/>
        <w:gridCol w:w="1276"/>
        <w:gridCol w:w="1275"/>
        <w:gridCol w:w="1276"/>
        <w:gridCol w:w="1276"/>
      </w:tblGrid>
      <w:tr w:rsidR="0004402F" w:rsidRPr="00311F7F" w:rsidTr="0004402F">
        <w:trPr>
          <w:cantSplit/>
          <w:trHeight w:val="70"/>
        </w:trPr>
        <w:tc>
          <w:tcPr>
            <w:tcW w:w="3603" w:type="dxa"/>
            <w:vMerge w:val="restart"/>
            <w:shd w:val="clear" w:color="auto" w:fill="BFBFBF"/>
            <w:vAlign w:val="center"/>
          </w:tcPr>
          <w:p w:rsidR="0004402F" w:rsidRPr="00311F7F" w:rsidRDefault="0004402F" w:rsidP="0004402F">
            <w:pPr>
              <w:autoSpaceDE w:val="0"/>
              <w:autoSpaceDN w:val="0"/>
              <w:adjustRightInd w:val="0"/>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Objem aktivít</w:t>
            </w:r>
          </w:p>
        </w:tc>
        <w:tc>
          <w:tcPr>
            <w:tcW w:w="5103" w:type="dxa"/>
            <w:gridSpan w:val="4"/>
            <w:shd w:val="clear" w:color="auto" w:fill="BFBFBF"/>
            <w:vAlign w:val="center"/>
          </w:tcPr>
          <w:p w:rsidR="0004402F" w:rsidRPr="00311F7F" w:rsidRDefault="0004402F" w:rsidP="0004402F">
            <w:pPr>
              <w:autoSpaceDE w:val="0"/>
              <w:autoSpaceDN w:val="0"/>
              <w:adjustRightInd w:val="0"/>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Odhadované objemy</w:t>
            </w:r>
          </w:p>
        </w:tc>
      </w:tr>
      <w:tr w:rsidR="0004402F" w:rsidRPr="00311F7F" w:rsidTr="0004402F">
        <w:trPr>
          <w:cantSplit/>
          <w:trHeight w:val="70"/>
        </w:trPr>
        <w:tc>
          <w:tcPr>
            <w:tcW w:w="3603" w:type="dxa"/>
            <w:vMerge/>
            <w:shd w:val="clear" w:color="auto" w:fill="BFBFBF"/>
          </w:tcPr>
          <w:p w:rsidR="0004402F" w:rsidRPr="00311F7F" w:rsidRDefault="0004402F" w:rsidP="0004402F">
            <w:pPr>
              <w:autoSpaceDE w:val="0"/>
              <w:autoSpaceDN w:val="0"/>
              <w:adjustRightInd w:val="0"/>
              <w:spacing w:after="0" w:line="240" w:lineRule="auto"/>
              <w:jc w:val="center"/>
              <w:rPr>
                <w:rFonts w:ascii="Times New Roman" w:hAnsi="Times New Roman"/>
                <w:b/>
                <w:bCs/>
                <w:sz w:val="24"/>
                <w:szCs w:val="24"/>
                <w:lang w:eastAsia="sk-SK"/>
              </w:rPr>
            </w:pPr>
          </w:p>
        </w:tc>
        <w:tc>
          <w:tcPr>
            <w:tcW w:w="1276" w:type="dxa"/>
            <w:shd w:val="clear" w:color="auto" w:fill="BFBFBF"/>
            <w:vAlign w:val="center"/>
          </w:tcPr>
          <w:p w:rsidR="0004402F" w:rsidRPr="00311F7F" w:rsidRDefault="0004402F" w:rsidP="0004402F">
            <w:pPr>
              <w:spacing w:after="0" w:line="240" w:lineRule="auto"/>
              <w:jc w:val="center"/>
              <w:rPr>
                <w:rFonts w:ascii="Times New Roman" w:hAnsi="Times New Roman"/>
                <w:b/>
                <w:bCs/>
                <w:sz w:val="24"/>
                <w:szCs w:val="24"/>
                <w:lang w:eastAsia="sk-SK"/>
              </w:rPr>
            </w:pPr>
            <w:r w:rsidRPr="00311F7F">
              <w:rPr>
                <w:rFonts w:ascii="Times New Roman" w:hAnsi="Times New Roman"/>
                <w:b/>
                <w:bCs/>
                <w:sz w:val="24"/>
                <w:szCs w:val="24"/>
                <w:lang w:eastAsia="sk-SK"/>
              </w:rPr>
              <w:t>20</w:t>
            </w:r>
            <w:r>
              <w:rPr>
                <w:rFonts w:ascii="Times New Roman" w:hAnsi="Times New Roman"/>
                <w:b/>
                <w:bCs/>
                <w:sz w:val="24"/>
                <w:szCs w:val="24"/>
                <w:lang w:eastAsia="sk-SK"/>
              </w:rPr>
              <w:t>22</w:t>
            </w:r>
          </w:p>
        </w:tc>
        <w:tc>
          <w:tcPr>
            <w:tcW w:w="1275" w:type="dxa"/>
            <w:shd w:val="clear" w:color="auto" w:fill="BFBFBF"/>
            <w:vAlign w:val="center"/>
          </w:tcPr>
          <w:p w:rsidR="0004402F" w:rsidRPr="00311F7F" w:rsidRDefault="0004402F" w:rsidP="0004402F">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2023</w:t>
            </w:r>
          </w:p>
        </w:tc>
        <w:tc>
          <w:tcPr>
            <w:tcW w:w="1276" w:type="dxa"/>
            <w:shd w:val="clear" w:color="auto" w:fill="BFBFBF"/>
            <w:vAlign w:val="center"/>
          </w:tcPr>
          <w:p w:rsidR="0004402F" w:rsidRPr="00311F7F" w:rsidRDefault="0004402F" w:rsidP="0004402F">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2024</w:t>
            </w:r>
          </w:p>
        </w:tc>
        <w:tc>
          <w:tcPr>
            <w:tcW w:w="1276" w:type="dxa"/>
            <w:shd w:val="clear" w:color="auto" w:fill="BFBFBF"/>
            <w:vAlign w:val="center"/>
          </w:tcPr>
          <w:p w:rsidR="0004402F" w:rsidRPr="00311F7F" w:rsidRDefault="0004402F" w:rsidP="0004402F">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2025</w:t>
            </w:r>
          </w:p>
        </w:tc>
      </w:tr>
      <w:tr w:rsidR="0004402F" w:rsidRPr="00311F7F" w:rsidTr="0004402F">
        <w:trPr>
          <w:trHeight w:val="519"/>
        </w:trPr>
        <w:tc>
          <w:tcPr>
            <w:tcW w:w="3603" w:type="dxa"/>
            <w:vAlign w:val="center"/>
          </w:tcPr>
          <w:p w:rsidR="0004402F" w:rsidRDefault="0004402F" w:rsidP="0004402F">
            <w:pPr>
              <w:autoSpaceDE w:val="0"/>
              <w:autoSpaceDN w:val="0"/>
              <w:adjustRightInd w:val="0"/>
              <w:spacing w:after="0" w:line="240" w:lineRule="auto"/>
              <w:rPr>
                <w:rFonts w:ascii="Times New Roman" w:hAnsi="Times New Roman"/>
                <w:sz w:val="24"/>
                <w:szCs w:val="24"/>
                <w:lang w:eastAsia="sk-SK"/>
              </w:rPr>
            </w:pPr>
            <w:r>
              <w:rPr>
                <w:rFonts w:ascii="Times New Roman" w:hAnsi="Times New Roman"/>
                <w:sz w:val="24"/>
                <w:szCs w:val="24"/>
                <w:lang w:eastAsia="sk-SK"/>
              </w:rPr>
              <w:t>Odhadovaný počet rodín, ktoré požiadajú o doplatok daňového bonusu za daný rok</w:t>
            </w:r>
          </w:p>
        </w:tc>
        <w:tc>
          <w:tcPr>
            <w:tcW w:w="1276" w:type="dxa"/>
            <w:vAlign w:val="center"/>
          </w:tcPr>
          <w:p w:rsidR="0004402F" w:rsidRPr="00F253AC" w:rsidRDefault="0004402F" w:rsidP="0004402F">
            <w:pPr>
              <w:autoSpaceDE w:val="0"/>
              <w:autoSpaceDN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0</w:t>
            </w:r>
          </w:p>
        </w:tc>
        <w:tc>
          <w:tcPr>
            <w:tcW w:w="1275" w:type="dxa"/>
            <w:vAlign w:val="center"/>
          </w:tcPr>
          <w:p w:rsidR="0004402F" w:rsidRPr="000671ED" w:rsidRDefault="0004402F" w:rsidP="0004402F">
            <w:pPr>
              <w:autoSpaceDE w:val="0"/>
              <w:autoSpaceDN w:val="0"/>
              <w:adjustRightInd w:val="0"/>
              <w:spacing w:after="0" w:line="240" w:lineRule="auto"/>
              <w:jc w:val="center"/>
              <w:rPr>
                <w:rFonts w:ascii="Times New Roman" w:hAnsi="Times New Roman"/>
                <w:sz w:val="24"/>
                <w:szCs w:val="24"/>
                <w:lang w:eastAsia="sk-SK"/>
              </w:rPr>
            </w:pPr>
            <w:r w:rsidRPr="000671ED">
              <w:rPr>
                <w:rFonts w:ascii="Times New Roman" w:hAnsi="Times New Roman"/>
                <w:sz w:val="24"/>
                <w:szCs w:val="24"/>
                <w:lang w:eastAsia="sk-SK"/>
              </w:rPr>
              <w:t>26</w:t>
            </w:r>
            <w:r>
              <w:rPr>
                <w:rFonts w:ascii="Times New Roman" w:hAnsi="Times New Roman"/>
                <w:sz w:val="24"/>
                <w:szCs w:val="24"/>
                <w:lang w:eastAsia="sk-SK"/>
              </w:rPr>
              <w:t xml:space="preserve"> </w:t>
            </w:r>
            <w:r w:rsidRPr="000671ED">
              <w:rPr>
                <w:rFonts w:ascii="Times New Roman" w:hAnsi="Times New Roman"/>
                <w:sz w:val="24"/>
                <w:szCs w:val="24"/>
                <w:lang w:eastAsia="sk-SK"/>
              </w:rPr>
              <w:t>803</w:t>
            </w:r>
          </w:p>
        </w:tc>
        <w:tc>
          <w:tcPr>
            <w:tcW w:w="1276" w:type="dxa"/>
            <w:vAlign w:val="center"/>
          </w:tcPr>
          <w:p w:rsidR="0004402F" w:rsidRPr="000671ED" w:rsidRDefault="0004402F" w:rsidP="0004402F">
            <w:pPr>
              <w:autoSpaceDE w:val="0"/>
              <w:autoSpaceDN w:val="0"/>
              <w:adjustRightInd w:val="0"/>
              <w:spacing w:after="0" w:line="240" w:lineRule="auto"/>
              <w:jc w:val="center"/>
              <w:rPr>
                <w:rFonts w:ascii="Times New Roman" w:hAnsi="Times New Roman"/>
                <w:sz w:val="24"/>
                <w:szCs w:val="24"/>
                <w:lang w:eastAsia="sk-SK"/>
              </w:rPr>
            </w:pPr>
            <w:r w:rsidRPr="000671ED">
              <w:rPr>
                <w:rFonts w:ascii="Times New Roman" w:hAnsi="Times New Roman"/>
                <w:sz w:val="24"/>
                <w:szCs w:val="24"/>
                <w:lang w:eastAsia="sk-SK"/>
              </w:rPr>
              <w:t>24</w:t>
            </w:r>
            <w:r>
              <w:rPr>
                <w:rFonts w:ascii="Times New Roman" w:hAnsi="Times New Roman"/>
                <w:sz w:val="24"/>
                <w:szCs w:val="24"/>
                <w:lang w:eastAsia="sk-SK"/>
              </w:rPr>
              <w:t xml:space="preserve"> </w:t>
            </w:r>
            <w:r w:rsidRPr="000671ED">
              <w:rPr>
                <w:rFonts w:ascii="Times New Roman" w:hAnsi="Times New Roman"/>
                <w:sz w:val="24"/>
                <w:szCs w:val="24"/>
                <w:lang w:eastAsia="sk-SK"/>
              </w:rPr>
              <w:t>404</w:t>
            </w:r>
          </w:p>
        </w:tc>
        <w:tc>
          <w:tcPr>
            <w:tcW w:w="1276" w:type="dxa"/>
            <w:vAlign w:val="center"/>
          </w:tcPr>
          <w:p w:rsidR="0004402F" w:rsidRPr="000671ED" w:rsidRDefault="0004402F" w:rsidP="0004402F">
            <w:pPr>
              <w:autoSpaceDE w:val="0"/>
              <w:autoSpaceDN w:val="0"/>
              <w:adjustRightInd w:val="0"/>
              <w:spacing w:after="0" w:line="240" w:lineRule="auto"/>
              <w:jc w:val="center"/>
              <w:rPr>
                <w:rFonts w:ascii="Times New Roman" w:hAnsi="Times New Roman"/>
                <w:sz w:val="24"/>
                <w:szCs w:val="24"/>
                <w:lang w:eastAsia="sk-SK"/>
              </w:rPr>
            </w:pPr>
            <w:r w:rsidRPr="000671ED">
              <w:rPr>
                <w:rFonts w:ascii="Times New Roman" w:hAnsi="Times New Roman"/>
                <w:sz w:val="24"/>
                <w:szCs w:val="24"/>
                <w:lang w:eastAsia="sk-SK"/>
              </w:rPr>
              <w:t>22</w:t>
            </w:r>
            <w:r>
              <w:rPr>
                <w:rFonts w:ascii="Times New Roman" w:hAnsi="Times New Roman"/>
                <w:sz w:val="24"/>
                <w:szCs w:val="24"/>
                <w:lang w:eastAsia="sk-SK"/>
              </w:rPr>
              <w:t xml:space="preserve"> </w:t>
            </w:r>
            <w:r w:rsidRPr="000671ED">
              <w:rPr>
                <w:rFonts w:ascii="Times New Roman" w:hAnsi="Times New Roman"/>
                <w:sz w:val="24"/>
                <w:szCs w:val="24"/>
                <w:lang w:eastAsia="sk-SK"/>
              </w:rPr>
              <w:t>25</w:t>
            </w:r>
            <w:r>
              <w:rPr>
                <w:rFonts w:ascii="Times New Roman" w:hAnsi="Times New Roman"/>
                <w:sz w:val="24"/>
                <w:szCs w:val="24"/>
                <w:lang w:eastAsia="sk-SK"/>
              </w:rPr>
              <w:t>6</w:t>
            </w:r>
          </w:p>
        </w:tc>
      </w:tr>
    </w:tbl>
    <w:p w:rsidR="0004402F" w:rsidRPr="007D5748" w:rsidRDefault="0004402F" w:rsidP="0004402F">
      <w:pPr>
        <w:spacing w:after="0" w:line="240" w:lineRule="auto"/>
        <w:rPr>
          <w:rFonts w:ascii="Times New Roman" w:hAnsi="Times New Roman"/>
          <w:sz w:val="24"/>
          <w:szCs w:val="24"/>
          <w:lang w:eastAsia="sk-SK"/>
        </w:rPr>
      </w:pPr>
    </w:p>
    <w:p w:rsidR="0004402F" w:rsidRPr="007D5748" w:rsidRDefault="0004402F" w:rsidP="0004402F">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2.2.4. Výpočty vplyvov na verejné financie</w:t>
      </w:r>
    </w:p>
    <w:p w:rsidR="0004402F" w:rsidRPr="00424C91" w:rsidRDefault="0004402F" w:rsidP="0004402F">
      <w:pPr>
        <w:spacing w:after="0" w:line="240" w:lineRule="auto"/>
        <w:jc w:val="both"/>
        <w:rPr>
          <w:rFonts w:ascii="Times New Roman" w:hAnsi="Times New Roman"/>
          <w:bCs/>
          <w:sz w:val="24"/>
          <w:szCs w:val="24"/>
          <w:lang w:eastAsia="sk-SK"/>
        </w:rPr>
      </w:pPr>
      <w:r w:rsidRPr="00424C91">
        <w:rPr>
          <w:rFonts w:ascii="Times New Roman" w:hAnsi="Times New Roman"/>
          <w:bCs/>
          <w:sz w:val="24"/>
          <w:szCs w:val="24"/>
          <w:lang w:eastAsia="sk-SK"/>
        </w:rPr>
        <w:t xml:space="preserve">Kvantifikácia predpokladá </w:t>
      </w:r>
      <w:r>
        <w:rPr>
          <w:rFonts w:ascii="Times New Roman" w:hAnsi="Times New Roman"/>
          <w:bCs/>
          <w:sz w:val="24"/>
          <w:szCs w:val="24"/>
          <w:lang w:eastAsia="sk-SK"/>
        </w:rPr>
        <w:t xml:space="preserve">negatívny akruálny vplyv na rozpočet verejnej správy v roku 2022 na úrovni 126 084 eur a pozitívny akruálny vplyv na rozpočet verejnej správy na úrovni </w:t>
      </w:r>
      <w:r w:rsidRPr="00E80488">
        <w:rPr>
          <w:rFonts w:ascii="Times New Roman" w:hAnsi="Times New Roman"/>
          <w:bCs/>
          <w:iCs/>
          <w:sz w:val="24"/>
          <w:szCs w:val="24"/>
          <w:lang w:eastAsia="sk-SK"/>
        </w:rPr>
        <w:t>22 763</w:t>
      </w:r>
      <w:r>
        <w:rPr>
          <w:rFonts w:ascii="Times New Roman" w:hAnsi="Times New Roman"/>
          <w:bCs/>
          <w:iCs/>
          <w:sz w:val="24"/>
          <w:szCs w:val="24"/>
          <w:lang w:eastAsia="sk-SK"/>
        </w:rPr>
        <w:t> </w:t>
      </w:r>
      <w:r w:rsidRPr="00E80488">
        <w:rPr>
          <w:rFonts w:ascii="Times New Roman" w:hAnsi="Times New Roman"/>
          <w:bCs/>
          <w:iCs/>
          <w:sz w:val="24"/>
          <w:szCs w:val="24"/>
          <w:lang w:eastAsia="sk-SK"/>
        </w:rPr>
        <w:t>157</w:t>
      </w:r>
      <w:r>
        <w:rPr>
          <w:rFonts w:ascii="Times New Roman" w:hAnsi="Times New Roman"/>
          <w:bCs/>
          <w:sz w:val="24"/>
          <w:szCs w:val="24"/>
          <w:lang w:eastAsia="sk-SK"/>
        </w:rPr>
        <w:t xml:space="preserve"> v roku 2022,  30 517 000 eur v roku 2024 a 22 625 500 eur v roku 2025. </w:t>
      </w:r>
    </w:p>
    <w:p w:rsidR="0004402F" w:rsidRPr="00591FC4" w:rsidRDefault="0004402F" w:rsidP="0004402F">
      <w:pPr>
        <w:spacing w:after="0" w:line="240" w:lineRule="auto"/>
        <w:rPr>
          <w:rFonts w:ascii="Times New Roman" w:hAnsi="Times New Roman"/>
          <w:sz w:val="24"/>
          <w:szCs w:val="24"/>
          <w:lang w:eastAsia="sk-SK"/>
        </w:rPr>
      </w:pPr>
    </w:p>
    <w:p w:rsidR="0004402F" w:rsidRPr="00AC6744" w:rsidRDefault="0004402F" w:rsidP="0004402F">
      <w:pPr>
        <w:spacing w:after="0" w:line="240" w:lineRule="auto"/>
        <w:rPr>
          <w:rFonts w:ascii="Times New Roman" w:hAnsi="Times New Roman"/>
          <w:b/>
          <w:sz w:val="24"/>
          <w:szCs w:val="24"/>
          <w:lang w:eastAsia="sk-SK"/>
        </w:rPr>
      </w:pPr>
      <w:r w:rsidRPr="00AC6744">
        <w:rPr>
          <w:rFonts w:ascii="Times New Roman" w:hAnsi="Times New Roman"/>
          <w:b/>
          <w:sz w:val="24"/>
          <w:szCs w:val="24"/>
          <w:lang w:eastAsia="sk-SK"/>
        </w:rPr>
        <w:t>Kvantifikácia príjmov</w:t>
      </w:r>
    </w:p>
    <w:p w:rsidR="0004402F" w:rsidRDefault="0004402F" w:rsidP="0004402F">
      <w:pPr>
        <w:spacing w:after="0" w:line="240" w:lineRule="auto"/>
        <w:rPr>
          <w:rFonts w:ascii="Times New Roman" w:hAnsi="Times New Roman"/>
          <w:sz w:val="24"/>
          <w:szCs w:val="24"/>
          <w:lang w:eastAsia="sk-SK"/>
        </w:rPr>
      </w:pPr>
      <w:r>
        <w:rPr>
          <w:rFonts w:ascii="Times New Roman" w:hAnsi="Times New Roman"/>
          <w:sz w:val="24"/>
          <w:szCs w:val="24"/>
          <w:lang w:eastAsia="sk-SK"/>
        </w:rPr>
        <w:t>K zákonu o dani z príjmov</w:t>
      </w:r>
    </w:p>
    <w:p w:rsidR="0004402F" w:rsidRPr="007B3F4D" w:rsidRDefault="0004402F" w:rsidP="0004402F">
      <w:pPr>
        <w:pStyle w:val="Odsekzoznamu"/>
        <w:numPr>
          <w:ilvl w:val="0"/>
          <w:numId w:val="6"/>
        </w:numPr>
        <w:spacing w:after="0" w:line="240" w:lineRule="auto"/>
        <w:ind w:left="284" w:hanging="284"/>
        <w:rPr>
          <w:rFonts w:ascii="Times New Roman" w:hAnsi="Times New Roman"/>
          <w:b/>
          <w:sz w:val="24"/>
          <w:szCs w:val="24"/>
          <w:lang w:eastAsia="sk-SK"/>
        </w:rPr>
      </w:pPr>
      <w:r w:rsidRPr="007B3F4D">
        <w:rPr>
          <w:rFonts w:ascii="Times New Roman" w:hAnsi="Times New Roman"/>
          <w:b/>
          <w:sz w:val="24"/>
          <w:szCs w:val="24"/>
          <w:lang w:eastAsia="sk-SK"/>
        </w:rPr>
        <w:t>zavedenie pravidla o obmedzení úrokových nákladov</w:t>
      </w:r>
    </w:p>
    <w:p w:rsidR="0004402F" w:rsidRDefault="0004402F" w:rsidP="0004402F">
      <w:pPr>
        <w:spacing w:after="0" w:line="240" w:lineRule="auto"/>
        <w:jc w:val="both"/>
        <w:rPr>
          <w:rFonts w:ascii="Times New Roman" w:hAnsi="Times New Roman"/>
          <w:sz w:val="24"/>
          <w:szCs w:val="24"/>
        </w:rPr>
      </w:pPr>
      <w:r w:rsidRPr="005D0EE4">
        <w:rPr>
          <w:rFonts w:ascii="Times New Roman" w:hAnsi="Times New Roman"/>
          <w:sz w:val="24"/>
          <w:szCs w:val="24"/>
        </w:rPr>
        <w:t>Opatrenie sa dotkne približne 20 subjektov ročne (</w:t>
      </w:r>
      <w:r w:rsidRPr="005D0EE4">
        <w:rPr>
          <w:rFonts w:ascii="Times New Roman" w:hAnsi="Times New Roman"/>
          <w:sz w:val="24"/>
          <w:szCs w:val="24"/>
          <w:lang w:eastAsia="sk-SK"/>
        </w:rPr>
        <w:t>0,008% z počtu firiem, ktoré spadajú pod DPPO) s priemerným vplyvom na subjekt 237 tis. eur.</w:t>
      </w:r>
      <w:r>
        <w:rPr>
          <w:rFonts w:ascii="Times New Roman" w:hAnsi="Times New Roman"/>
          <w:sz w:val="24"/>
          <w:szCs w:val="24"/>
          <w:lang w:eastAsia="sk-SK"/>
        </w:rPr>
        <w:t xml:space="preserve"> Akruálny profil fiškálneho vplyvu návrhu  vychádza z historických prepočtov. </w:t>
      </w:r>
      <w:r>
        <w:rPr>
          <w:rFonts w:ascii="Times New Roman" w:hAnsi="Times New Roman"/>
          <w:sz w:val="24"/>
          <w:szCs w:val="24"/>
        </w:rPr>
        <w:t xml:space="preserve">Predpokladá sa mierny nárast daňových príjmov, ktorý je spojený s novými úvermi – keďže ide o statický prepočet, nepočíta sa s dynamickými efektmi v podobe zmeny správania sa subjektov. </w:t>
      </w:r>
      <w:r w:rsidRPr="005D0EE4">
        <w:rPr>
          <w:rFonts w:ascii="Times New Roman" w:hAnsi="Times New Roman"/>
          <w:sz w:val="24"/>
          <w:szCs w:val="24"/>
        </w:rPr>
        <w:t>Na výpočet fiškálneho vplyvu boli použité údaje z účtovných závierok, ktoré obsahujú údaje potrebné na výpočet čistých úrokových nákladov a údaje z daňových priznaní.</w:t>
      </w:r>
      <w:r>
        <w:rPr>
          <w:rFonts w:ascii="Times New Roman" w:hAnsi="Times New Roman"/>
          <w:sz w:val="24"/>
          <w:szCs w:val="24"/>
        </w:rPr>
        <w:t xml:space="preserve"> </w:t>
      </w:r>
    </w:p>
    <w:p w:rsidR="0004402F" w:rsidRDefault="0004402F" w:rsidP="0004402F">
      <w:pPr>
        <w:spacing w:after="0" w:line="240" w:lineRule="auto"/>
        <w:jc w:val="both"/>
        <w:rPr>
          <w:rFonts w:ascii="Times New Roman" w:hAnsi="Times New Roman"/>
          <w:sz w:val="24"/>
          <w:szCs w:val="24"/>
        </w:rPr>
      </w:pPr>
    </w:p>
    <w:p w:rsidR="0004402F" w:rsidRDefault="0004402F" w:rsidP="0004402F">
      <w:pPr>
        <w:pStyle w:val="Odsekzoznamu"/>
        <w:numPr>
          <w:ilvl w:val="0"/>
          <w:numId w:val="6"/>
        </w:numPr>
        <w:spacing w:after="0" w:line="240" w:lineRule="auto"/>
        <w:ind w:left="284" w:hanging="284"/>
        <w:rPr>
          <w:rFonts w:ascii="Times New Roman" w:hAnsi="Times New Roman"/>
          <w:b/>
          <w:sz w:val="24"/>
          <w:szCs w:val="24"/>
          <w:lang w:eastAsia="sk-SK"/>
        </w:rPr>
      </w:pPr>
      <w:r w:rsidRPr="006E0FCC">
        <w:rPr>
          <w:rFonts w:ascii="Times New Roman" w:hAnsi="Times New Roman"/>
          <w:b/>
          <w:sz w:val="24"/>
          <w:szCs w:val="24"/>
          <w:lang w:eastAsia="sk-SK"/>
        </w:rPr>
        <w:t>zavedenie možnosti vyššieho odpočtu daňového bonusu na vyživované dieťa (deti)</w:t>
      </w:r>
    </w:p>
    <w:p w:rsidR="0004402F" w:rsidRDefault="0004402F" w:rsidP="0004402F">
      <w:pPr>
        <w:pStyle w:val="Zkladntext"/>
        <w:tabs>
          <w:tab w:val="num" w:pos="1080"/>
        </w:tabs>
        <w:jc w:val="both"/>
        <w:rPr>
          <w:b w:val="0"/>
          <w:bCs/>
          <w:sz w:val="24"/>
          <w:szCs w:val="24"/>
        </w:rPr>
      </w:pPr>
      <w:r w:rsidRPr="00311F7F">
        <w:rPr>
          <w:b w:val="0"/>
          <w:bCs/>
          <w:sz w:val="24"/>
          <w:szCs w:val="24"/>
        </w:rPr>
        <w:t xml:space="preserve">Pri odhadoch objemu finančných prostriedkov, ktoré budú mať vplyv na rozpočet verejnej </w:t>
      </w:r>
      <w:r>
        <w:rPr>
          <w:b w:val="0"/>
          <w:bCs/>
          <w:sz w:val="24"/>
          <w:szCs w:val="24"/>
        </w:rPr>
        <w:t>správy sa vychádzalo zo </w:t>
      </w:r>
    </w:p>
    <w:p w:rsidR="0004402F" w:rsidRPr="000671ED" w:rsidRDefault="0004402F" w:rsidP="0004402F">
      <w:pPr>
        <w:pStyle w:val="Zkladntext"/>
        <w:numPr>
          <w:ilvl w:val="0"/>
          <w:numId w:val="7"/>
        </w:numPr>
        <w:ind w:left="284" w:hanging="284"/>
        <w:jc w:val="both"/>
        <w:rPr>
          <w:bCs/>
          <w:sz w:val="24"/>
          <w:szCs w:val="24"/>
        </w:rPr>
      </w:pPr>
      <w:r>
        <w:rPr>
          <w:b w:val="0"/>
          <w:bCs/>
          <w:sz w:val="24"/>
          <w:szCs w:val="24"/>
        </w:rPr>
        <w:t>z</w:t>
      </w:r>
      <w:r w:rsidRPr="000671ED">
        <w:rPr>
          <w:b w:val="0"/>
          <w:bCs/>
          <w:sz w:val="24"/>
          <w:szCs w:val="24"/>
        </w:rPr>
        <w:t>isťovania o príjmoch a životných podmienkach domácností v</w:t>
      </w:r>
      <w:r>
        <w:rPr>
          <w:b w:val="0"/>
          <w:bCs/>
          <w:sz w:val="24"/>
          <w:szCs w:val="24"/>
        </w:rPr>
        <w:t> </w:t>
      </w:r>
      <w:r w:rsidRPr="000671ED">
        <w:rPr>
          <w:b w:val="0"/>
          <w:bCs/>
          <w:sz w:val="24"/>
          <w:szCs w:val="24"/>
        </w:rPr>
        <w:t>SR</w:t>
      </w:r>
      <w:r>
        <w:rPr>
          <w:b w:val="0"/>
          <w:bCs/>
          <w:sz w:val="24"/>
          <w:szCs w:val="24"/>
        </w:rPr>
        <w:t xml:space="preserve"> (SILC) 2020</w:t>
      </w:r>
    </w:p>
    <w:p w:rsidR="0004402F" w:rsidRDefault="0004402F" w:rsidP="0004402F">
      <w:pPr>
        <w:pStyle w:val="Zkladntext"/>
        <w:numPr>
          <w:ilvl w:val="0"/>
          <w:numId w:val="7"/>
        </w:numPr>
        <w:ind w:left="284" w:hanging="284"/>
        <w:jc w:val="both"/>
        <w:rPr>
          <w:b w:val="0"/>
          <w:bCs/>
          <w:sz w:val="24"/>
          <w:szCs w:val="24"/>
        </w:rPr>
      </w:pPr>
      <w:r>
        <w:rPr>
          <w:b w:val="0"/>
          <w:bCs/>
          <w:sz w:val="24"/>
          <w:szCs w:val="24"/>
        </w:rPr>
        <w:t>Makroekonomickej</w:t>
      </w:r>
      <w:r w:rsidRPr="00AC56EF">
        <w:rPr>
          <w:b w:val="0"/>
          <w:bCs/>
          <w:sz w:val="24"/>
          <w:szCs w:val="24"/>
        </w:rPr>
        <w:t xml:space="preserve"> prognóz</w:t>
      </w:r>
      <w:r>
        <w:rPr>
          <w:b w:val="0"/>
          <w:bCs/>
          <w:sz w:val="24"/>
          <w:szCs w:val="24"/>
        </w:rPr>
        <w:t>y</w:t>
      </w:r>
      <w:r w:rsidRPr="00AC56EF">
        <w:rPr>
          <w:b w:val="0"/>
          <w:bCs/>
          <w:sz w:val="24"/>
          <w:szCs w:val="24"/>
        </w:rPr>
        <w:t xml:space="preserve"> IFP z</w:t>
      </w:r>
      <w:r>
        <w:rPr>
          <w:b w:val="0"/>
          <w:bCs/>
          <w:sz w:val="24"/>
          <w:szCs w:val="24"/>
        </w:rPr>
        <w:t> júna 2022</w:t>
      </w:r>
    </w:p>
    <w:p w:rsidR="0004402F" w:rsidRPr="00AC56EF" w:rsidRDefault="0004402F" w:rsidP="0004402F">
      <w:pPr>
        <w:pStyle w:val="Zkladntext"/>
        <w:ind w:left="284"/>
        <w:jc w:val="both"/>
        <w:rPr>
          <w:b w:val="0"/>
          <w:bCs/>
          <w:sz w:val="24"/>
          <w:szCs w:val="24"/>
        </w:rPr>
      </w:pPr>
    </w:p>
    <w:p w:rsidR="0004402F" w:rsidRDefault="0004402F" w:rsidP="0004402F">
      <w:pPr>
        <w:pStyle w:val="Odsekzoznamu"/>
        <w:numPr>
          <w:ilvl w:val="0"/>
          <w:numId w:val="6"/>
        </w:numPr>
        <w:spacing w:after="0" w:line="240" w:lineRule="auto"/>
        <w:ind w:left="284" w:hanging="284"/>
        <w:rPr>
          <w:rFonts w:ascii="Times New Roman" w:hAnsi="Times New Roman"/>
          <w:b/>
          <w:sz w:val="24"/>
          <w:szCs w:val="24"/>
          <w:lang w:eastAsia="sk-SK"/>
        </w:rPr>
      </w:pPr>
      <w:r>
        <w:rPr>
          <w:rFonts w:ascii="Times New Roman" w:hAnsi="Times New Roman"/>
          <w:b/>
          <w:sz w:val="24"/>
          <w:szCs w:val="24"/>
          <w:lang w:eastAsia="sk-SK"/>
        </w:rPr>
        <w:t>Prvotné uplatnenie medzinárodného štandardu pre finančné výkazníctvo – IFRS 17</w:t>
      </w:r>
    </w:p>
    <w:p w:rsidR="0004402F" w:rsidRPr="006E0FCC" w:rsidRDefault="0004402F" w:rsidP="0004402F">
      <w:pPr>
        <w:pStyle w:val="Zkladntext"/>
        <w:tabs>
          <w:tab w:val="num" w:pos="1080"/>
        </w:tabs>
        <w:jc w:val="both"/>
        <w:rPr>
          <w:b w:val="0"/>
          <w:bCs/>
          <w:sz w:val="24"/>
          <w:szCs w:val="24"/>
        </w:rPr>
      </w:pPr>
      <w:r w:rsidRPr="006E0FCC">
        <w:rPr>
          <w:b w:val="0"/>
          <w:bCs/>
          <w:sz w:val="24"/>
          <w:szCs w:val="24"/>
        </w:rPr>
        <w:t xml:space="preserve">Kvantifikácia vychádza z informácii, ktoré boli poskytnuté Slovenskou asociáciou poisťovní. Pri výpočte </w:t>
      </w:r>
      <w:r>
        <w:rPr>
          <w:b w:val="0"/>
          <w:bCs/>
          <w:sz w:val="24"/>
          <w:szCs w:val="24"/>
        </w:rPr>
        <w:t xml:space="preserve">sa </w:t>
      </w:r>
      <w:r w:rsidRPr="006E0FCC">
        <w:rPr>
          <w:b w:val="0"/>
          <w:bCs/>
          <w:sz w:val="24"/>
          <w:szCs w:val="24"/>
        </w:rPr>
        <w:t>uvažoval</w:t>
      </w:r>
      <w:r>
        <w:rPr>
          <w:b w:val="0"/>
          <w:bCs/>
          <w:sz w:val="24"/>
          <w:szCs w:val="24"/>
        </w:rPr>
        <w:t>o</w:t>
      </w:r>
      <w:r w:rsidRPr="006E0FCC">
        <w:rPr>
          <w:b w:val="0"/>
          <w:bCs/>
          <w:sz w:val="24"/>
          <w:szCs w:val="24"/>
        </w:rPr>
        <w:t xml:space="preserve"> o rozložení vplyvu do 3 rokov, ako to umožňuje aj zmena zákona.</w:t>
      </w:r>
    </w:p>
    <w:p w:rsidR="0004402F" w:rsidRPr="006E0FCC" w:rsidRDefault="0004402F" w:rsidP="0004402F">
      <w:pPr>
        <w:pStyle w:val="Zkladntext"/>
        <w:tabs>
          <w:tab w:val="num" w:pos="1080"/>
        </w:tabs>
        <w:jc w:val="both"/>
        <w:rPr>
          <w:b w:val="0"/>
          <w:bCs/>
          <w:sz w:val="24"/>
          <w:szCs w:val="24"/>
        </w:rPr>
      </w:pPr>
    </w:p>
    <w:p w:rsidR="0004402F" w:rsidRDefault="0004402F" w:rsidP="0004402F">
      <w:pPr>
        <w:spacing w:after="0" w:line="240" w:lineRule="auto"/>
        <w:rPr>
          <w:rFonts w:ascii="Times New Roman" w:hAnsi="Times New Roman"/>
          <w:sz w:val="24"/>
          <w:szCs w:val="24"/>
          <w:lang w:eastAsia="sk-SK"/>
        </w:rPr>
      </w:pPr>
      <w:r w:rsidRPr="00452478">
        <w:rPr>
          <w:rFonts w:ascii="Times New Roman" w:hAnsi="Times New Roman"/>
          <w:b/>
          <w:sz w:val="24"/>
          <w:szCs w:val="24"/>
          <w:lang w:eastAsia="sk-SK"/>
        </w:rPr>
        <w:t xml:space="preserve">Opatrenia </w:t>
      </w:r>
      <w:r>
        <w:rPr>
          <w:rFonts w:ascii="Times New Roman" w:hAnsi="Times New Roman"/>
          <w:b/>
          <w:sz w:val="24"/>
          <w:szCs w:val="24"/>
          <w:lang w:eastAsia="sk-SK"/>
        </w:rPr>
        <w:t>D</w:t>
      </w:r>
      <w:r w:rsidRPr="00452478">
        <w:rPr>
          <w:rFonts w:ascii="Times New Roman" w:hAnsi="Times New Roman"/>
          <w:b/>
          <w:sz w:val="24"/>
          <w:szCs w:val="24"/>
          <w:lang w:eastAsia="sk-SK"/>
        </w:rPr>
        <w:t xml:space="preserve"> až </w:t>
      </w:r>
      <w:r>
        <w:rPr>
          <w:rFonts w:ascii="Times New Roman" w:hAnsi="Times New Roman"/>
          <w:b/>
          <w:sz w:val="24"/>
          <w:szCs w:val="24"/>
          <w:lang w:eastAsia="sk-SK"/>
        </w:rPr>
        <w:t>F</w:t>
      </w:r>
      <w:r>
        <w:rPr>
          <w:rFonts w:ascii="Times New Roman" w:hAnsi="Times New Roman"/>
          <w:sz w:val="24"/>
          <w:szCs w:val="24"/>
          <w:lang w:eastAsia="sk-SK"/>
        </w:rPr>
        <w:t xml:space="preserve"> z dôvodu neexistencie vhodných dát nie je možné kvantifikovať.</w:t>
      </w:r>
      <w:r>
        <w:rPr>
          <w:rFonts w:ascii="Times New Roman" w:hAnsi="Times New Roman"/>
          <w:sz w:val="24"/>
          <w:szCs w:val="24"/>
          <w:lang w:eastAsia="sk-SK"/>
        </w:rPr>
        <w:br w:type="page"/>
      </w:r>
    </w:p>
    <w:p w:rsidR="0004402F" w:rsidRPr="007D5748" w:rsidRDefault="0004402F" w:rsidP="0004402F">
      <w:pPr>
        <w:tabs>
          <w:tab w:val="num" w:pos="1080"/>
        </w:tabs>
        <w:spacing w:after="0" w:line="240" w:lineRule="auto"/>
        <w:jc w:val="both"/>
        <w:rPr>
          <w:rFonts w:ascii="Times New Roman" w:hAnsi="Times New Roman"/>
          <w:bCs/>
          <w:sz w:val="24"/>
          <w:szCs w:val="20"/>
          <w:lang w:eastAsia="sk-SK"/>
        </w:rPr>
        <w:sectPr w:rsidR="0004402F" w:rsidRPr="007D5748" w:rsidSect="0004402F">
          <w:headerReference w:type="even" r:id="rId8"/>
          <w:footerReference w:type="even" r:id="rId9"/>
          <w:footerReference w:type="default" r:id="rId10"/>
          <w:headerReference w:type="first" r:id="rId11"/>
          <w:footerReference w:type="first" r:id="rId12"/>
          <w:pgSz w:w="11906" w:h="16838"/>
          <w:pgMar w:top="1417" w:right="1417" w:bottom="1276" w:left="1417" w:header="708" w:footer="708" w:gutter="0"/>
          <w:pgNumType w:start="1"/>
          <w:cols w:space="708"/>
          <w:docGrid w:linePitch="360"/>
        </w:sectPr>
      </w:pPr>
    </w:p>
    <w:p w:rsidR="0004402F" w:rsidRPr="007D5748" w:rsidRDefault="0004402F" w:rsidP="0004402F">
      <w:pPr>
        <w:tabs>
          <w:tab w:val="num" w:pos="1080"/>
        </w:tabs>
        <w:spacing w:after="0" w:line="240" w:lineRule="auto"/>
        <w:jc w:val="right"/>
        <w:rPr>
          <w:rFonts w:ascii="Times New Roman" w:hAnsi="Times New Roman"/>
          <w:bCs/>
          <w:sz w:val="24"/>
          <w:szCs w:val="24"/>
          <w:lang w:eastAsia="sk-SK"/>
        </w:rPr>
      </w:pPr>
      <w:r w:rsidRPr="007D5748">
        <w:rPr>
          <w:rFonts w:ascii="Times New Roman" w:hAnsi="Times New Roman"/>
          <w:bCs/>
          <w:sz w:val="24"/>
          <w:szCs w:val="24"/>
          <w:lang w:eastAsia="sk-SK"/>
        </w:rPr>
        <w:lastRenderedPageBreak/>
        <w:t xml:space="preserve">Tabuľka č. 3 </w:t>
      </w:r>
    </w:p>
    <w:p w:rsidR="0004402F" w:rsidRPr="007D5748" w:rsidRDefault="0004402F" w:rsidP="0004402F">
      <w:pPr>
        <w:tabs>
          <w:tab w:val="num" w:pos="1080"/>
        </w:tabs>
        <w:spacing w:after="0" w:line="240" w:lineRule="auto"/>
        <w:jc w:val="both"/>
        <w:rPr>
          <w:rFonts w:ascii="Times New Roman" w:hAnsi="Times New Roman"/>
          <w:bCs/>
          <w:sz w:val="24"/>
          <w:szCs w:val="20"/>
          <w:lang w:eastAsia="sk-SK"/>
        </w:rPr>
      </w:pPr>
    </w:p>
    <w:tbl>
      <w:tblPr>
        <w:tblStyle w:val="Mriekatabuky"/>
        <w:tblW w:w="14029" w:type="dxa"/>
        <w:tblLook w:val="04A0" w:firstRow="1" w:lastRow="0" w:firstColumn="1" w:lastColumn="0" w:noHBand="0" w:noVBand="1"/>
      </w:tblPr>
      <w:tblGrid>
        <w:gridCol w:w="4957"/>
        <w:gridCol w:w="1417"/>
        <w:gridCol w:w="1559"/>
        <w:gridCol w:w="1560"/>
        <w:gridCol w:w="1559"/>
        <w:gridCol w:w="2977"/>
      </w:tblGrid>
      <w:tr w:rsidR="0004402F" w:rsidTr="0004402F">
        <w:tc>
          <w:tcPr>
            <w:tcW w:w="4957" w:type="dxa"/>
            <w:vMerge w:val="restart"/>
            <w:shd w:val="clear" w:color="auto" w:fill="BFBFBF" w:themeFill="background1" w:themeFillShade="BF"/>
            <w:vAlign w:val="center"/>
          </w:tcPr>
          <w:p w:rsidR="0004402F" w:rsidRDefault="0004402F" w:rsidP="0004402F">
            <w:pPr>
              <w:tabs>
                <w:tab w:val="num" w:pos="1080"/>
              </w:tabs>
              <w:jc w:val="center"/>
              <w:rPr>
                <w:rFonts w:ascii="Times New Roman" w:hAnsi="Times New Roman"/>
                <w:bCs/>
                <w:sz w:val="24"/>
                <w:szCs w:val="20"/>
                <w:lang w:eastAsia="sk-SK"/>
              </w:rPr>
            </w:pPr>
            <w:r w:rsidRPr="007D5748">
              <w:rPr>
                <w:rFonts w:ascii="Times New Roman" w:hAnsi="Times New Roman"/>
                <w:b/>
                <w:bCs/>
                <w:sz w:val="24"/>
                <w:szCs w:val="24"/>
                <w:lang w:eastAsia="sk-SK"/>
              </w:rPr>
              <w:t>Príjmy (v</w:t>
            </w:r>
            <w:r>
              <w:rPr>
                <w:rFonts w:ascii="Times New Roman" w:hAnsi="Times New Roman"/>
                <w:b/>
                <w:bCs/>
                <w:sz w:val="24"/>
                <w:szCs w:val="24"/>
                <w:lang w:eastAsia="sk-SK"/>
              </w:rPr>
              <w:t xml:space="preserve"> </w:t>
            </w:r>
            <w:r w:rsidRPr="007D5748">
              <w:rPr>
                <w:rFonts w:ascii="Times New Roman" w:hAnsi="Times New Roman"/>
                <w:b/>
                <w:bCs/>
                <w:sz w:val="24"/>
                <w:szCs w:val="24"/>
                <w:lang w:eastAsia="sk-SK"/>
              </w:rPr>
              <w:t>eur</w:t>
            </w:r>
            <w:r>
              <w:rPr>
                <w:rFonts w:ascii="Times New Roman" w:hAnsi="Times New Roman"/>
                <w:b/>
                <w:bCs/>
                <w:sz w:val="24"/>
                <w:szCs w:val="24"/>
                <w:lang w:eastAsia="sk-SK"/>
              </w:rPr>
              <w:t>ách</w:t>
            </w:r>
            <w:r w:rsidRPr="007D5748">
              <w:rPr>
                <w:rFonts w:ascii="Times New Roman" w:hAnsi="Times New Roman"/>
                <w:b/>
                <w:bCs/>
                <w:sz w:val="24"/>
                <w:szCs w:val="24"/>
                <w:lang w:eastAsia="sk-SK"/>
              </w:rPr>
              <w:t>)</w:t>
            </w:r>
            <w:r>
              <w:rPr>
                <w:rFonts w:ascii="Times New Roman" w:hAnsi="Times New Roman"/>
                <w:b/>
                <w:bCs/>
                <w:sz w:val="24"/>
                <w:szCs w:val="24"/>
                <w:lang w:eastAsia="sk-SK"/>
              </w:rPr>
              <w:t xml:space="preserve"> - akruál</w:t>
            </w:r>
          </w:p>
        </w:tc>
        <w:tc>
          <w:tcPr>
            <w:tcW w:w="6095" w:type="dxa"/>
            <w:gridSpan w:val="4"/>
            <w:shd w:val="clear" w:color="auto" w:fill="BFBFBF" w:themeFill="background1" w:themeFillShade="BF"/>
          </w:tcPr>
          <w:p w:rsidR="0004402F" w:rsidRDefault="0004402F" w:rsidP="0004402F">
            <w:pPr>
              <w:tabs>
                <w:tab w:val="num" w:pos="1080"/>
              </w:tabs>
              <w:jc w:val="center"/>
              <w:rPr>
                <w:rFonts w:ascii="Times New Roman" w:hAnsi="Times New Roman"/>
                <w:bCs/>
                <w:sz w:val="24"/>
                <w:szCs w:val="20"/>
                <w:lang w:eastAsia="sk-SK"/>
              </w:rPr>
            </w:pPr>
            <w:r w:rsidRPr="007D5748">
              <w:rPr>
                <w:rFonts w:ascii="Times New Roman" w:hAnsi="Times New Roman"/>
                <w:b/>
                <w:bCs/>
                <w:sz w:val="24"/>
                <w:szCs w:val="24"/>
                <w:lang w:eastAsia="sk-SK"/>
              </w:rPr>
              <w:t>Vplyv na rozpočet verejnej správy</w:t>
            </w:r>
          </w:p>
        </w:tc>
        <w:tc>
          <w:tcPr>
            <w:tcW w:w="2977" w:type="dxa"/>
            <w:vMerge w:val="restart"/>
            <w:shd w:val="clear" w:color="auto" w:fill="BFBFBF" w:themeFill="background1" w:themeFillShade="BF"/>
            <w:vAlign w:val="center"/>
          </w:tcPr>
          <w:p w:rsidR="0004402F" w:rsidRDefault="0004402F" w:rsidP="0004402F">
            <w:pPr>
              <w:tabs>
                <w:tab w:val="num" w:pos="1080"/>
              </w:tabs>
              <w:jc w:val="center"/>
              <w:rPr>
                <w:rFonts w:ascii="Times New Roman" w:hAnsi="Times New Roman"/>
                <w:bCs/>
                <w:sz w:val="24"/>
                <w:szCs w:val="20"/>
                <w:lang w:eastAsia="sk-SK"/>
              </w:rPr>
            </w:pPr>
            <w:r w:rsidRPr="007D5748">
              <w:rPr>
                <w:rFonts w:ascii="Times New Roman" w:hAnsi="Times New Roman"/>
                <w:b/>
                <w:bCs/>
                <w:sz w:val="24"/>
                <w:szCs w:val="24"/>
                <w:lang w:eastAsia="sk-SK"/>
              </w:rPr>
              <w:t>poznámka</w:t>
            </w:r>
          </w:p>
        </w:tc>
      </w:tr>
      <w:tr w:rsidR="0004402F" w:rsidTr="0004402F">
        <w:tc>
          <w:tcPr>
            <w:tcW w:w="4957" w:type="dxa"/>
            <w:vMerge/>
            <w:shd w:val="clear" w:color="auto" w:fill="BFBFBF" w:themeFill="background1" w:themeFillShade="BF"/>
          </w:tcPr>
          <w:p w:rsidR="0004402F" w:rsidRDefault="0004402F" w:rsidP="0004402F">
            <w:pPr>
              <w:tabs>
                <w:tab w:val="num" w:pos="1080"/>
              </w:tabs>
              <w:jc w:val="both"/>
              <w:rPr>
                <w:rFonts w:ascii="Times New Roman" w:hAnsi="Times New Roman"/>
                <w:bCs/>
                <w:sz w:val="24"/>
                <w:szCs w:val="20"/>
                <w:lang w:eastAsia="sk-SK"/>
              </w:rPr>
            </w:pPr>
          </w:p>
        </w:tc>
        <w:tc>
          <w:tcPr>
            <w:tcW w:w="1417" w:type="dxa"/>
            <w:shd w:val="clear" w:color="auto" w:fill="BFBFBF" w:themeFill="background1" w:themeFillShade="BF"/>
          </w:tcPr>
          <w:p w:rsidR="0004402F" w:rsidRPr="00526826" w:rsidRDefault="0004402F" w:rsidP="0004402F">
            <w:pPr>
              <w:tabs>
                <w:tab w:val="num" w:pos="1080"/>
              </w:tabs>
              <w:jc w:val="center"/>
              <w:rPr>
                <w:rFonts w:ascii="Times New Roman" w:hAnsi="Times New Roman"/>
                <w:b/>
                <w:bCs/>
                <w:sz w:val="24"/>
                <w:szCs w:val="20"/>
                <w:lang w:eastAsia="sk-SK"/>
              </w:rPr>
            </w:pPr>
            <w:r>
              <w:rPr>
                <w:rFonts w:ascii="Times New Roman" w:hAnsi="Times New Roman"/>
                <w:b/>
                <w:bCs/>
                <w:sz w:val="24"/>
                <w:szCs w:val="24"/>
                <w:lang w:eastAsia="sk-SK"/>
              </w:rPr>
              <w:t>2022</w:t>
            </w:r>
          </w:p>
        </w:tc>
        <w:tc>
          <w:tcPr>
            <w:tcW w:w="1559" w:type="dxa"/>
            <w:shd w:val="clear" w:color="auto" w:fill="BFBFBF" w:themeFill="background1" w:themeFillShade="BF"/>
          </w:tcPr>
          <w:p w:rsidR="0004402F" w:rsidRPr="00526826" w:rsidRDefault="0004402F" w:rsidP="0004402F">
            <w:pPr>
              <w:tabs>
                <w:tab w:val="num" w:pos="1080"/>
              </w:tabs>
              <w:jc w:val="center"/>
              <w:rPr>
                <w:rFonts w:ascii="Times New Roman" w:hAnsi="Times New Roman"/>
                <w:b/>
                <w:bCs/>
                <w:sz w:val="24"/>
                <w:szCs w:val="20"/>
                <w:lang w:eastAsia="sk-SK"/>
              </w:rPr>
            </w:pPr>
            <w:r>
              <w:rPr>
                <w:rFonts w:ascii="Times New Roman" w:hAnsi="Times New Roman"/>
                <w:b/>
                <w:bCs/>
                <w:sz w:val="24"/>
                <w:szCs w:val="24"/>
                <w:lang w:eastAsia="sk-SK"/>
              </w:rPr>
              <w:t>2023</w:t>
            </w:r>
          </w:p>
        </w:tc>
        <w:tc>
          <w:tcPr>
            <w:tcW w:w="1560" w:type="dxa"/>
            <w:shd w:val="clear" w:color="auto" w:fill="BFBFBF" w:themeFill="background1" w:themeFillShade="BF"/>
          </w:tcPr>
          <w:p w:rsidR="0004402F" w:rsidRPr="00526826" w:rsidRDefault="0004402F" w:rsidP="0004402F">
            <w:pPr>
              <w:tabs>
                <w:tab w:val="num" w:pos="1080"/>
              </w:tabs>
              <w:jc w:val="center"/>
              <w:rPr>
                <w:rFonts w:ascii="Times New Roman" w:hAnsi="Times New Roman"/>
                <w:b/>
                <w:bCs/>
                <w:sz w:val="24"/>
                <w:szCs w:val="20"/>
                <w:lang w:eastAsia="sk-SK"/>
              </w:rPr>
            </w:pPr>
            <w:r>
              <w:rPr>
                <w:rFonts w:ascii="Times New Roman" w:hAnsi="Times New Roman"/>
                <w:b/>
                <w:bCs/>
                <w:sz w:val="24"/>
                <w:szCs w:val="24"/>
                <w:lang w:eastAsia="sk-SK"/>
              </w:rPr>
              <w:t>2024</w:t>
            </w:r>
          </w:p>
        </w:tc>
        <w:tc>
          <w:tcPr>
            <w:tcW w:w="1559" w:type="dxa"/>
            <w:shd w:val="clear" w:color="auto" w:fill="BFBFBF" w:themeFill="background1" w:themeFillShade="BF"/>
          </w:tcPr>
          <w:p w:rsidR="0004402F" w:rsidRPr="00526826" w:rsidRDefault="0004402F" w:rsidP="0004402F">
            <w:pPr>
              <w:tabs>
                <w:tab w:val="num" w:pos="1080"/>
              </w:tabs>
              <w:jc w:val="center"/>
              <w:rPr>
                <w:rFonts w:ascii="Times New Roman" w:hAnsi="Times New Roman"/>
                <w:b/>
                <w:bCs/>
                <w:sz w:val="24"/>
                <w:szCs w:val="20"/>
                <w:lang w:eastAsia="sk-SK"/>
              </w:rPr>
            </w:pPr>
            <w:r>
              <w:rPr>
                <w:rFonts w:ascii="Times New Roman" w:hAnsi="Times New Roman"/>
                <w:b/>
                <w:bCs/>
                <w:sz w:val="24"/>
                <w:szCs w:val="24"/>
                <w:lang w:eastAsia="sk-SK"/>
              </w:rPr>
              <w:t>2025</w:t>
            </w:r>
          </w:p>
        </w:tc>
        <w:tc>
          <w:tcPr>
            <w:tcW w:w="2977" w:type="dxa"/>
            <w:vMerge/>
            <w:shd w:val="clear" w:color="auto" w:fill="BFBFBF" w:themeFill="background1" w:themeFillShade="BF"/>
          </w:tcPr>
          <w:p w:rsidR="0004402F" w:rsidRDefault="0004402F" w:rsidP="0004402F">
            <w:pPr>
              <w:tabs>
                <w:tab w:val="num" w:pos="1080"/>
              </w:tabs>
              <w:jc w:val="both"/>
              <w:rPr>
                <w:rFonts w:ascii="Times New Roman" w:hAnsi="Times New Roman"/>
                <w:bCs/>
                <w:sz w:val="24"/>
                <w:szCs w:val="20"/>
                <w:lang w:eastAsia="sk-SK"/>
              </w:rPr>
            </w:pPr>
          </w:p>
        </w:tc>
      </w:tr>
      <w:tr w:rsidR="0004402F" w:rsidTr="0004402F">
        <w:tc>
          <w:tcPr>
            <w:tcW w:w="4957" w:type="dxa"/>
            <w:shd w:val="clear" w:color="auto" w:fill="FFFFFF" w:themeFill="background1"/>
          </w:tcPr>
          <w:p w:rsidR="0004402F" w:rsidRDefault="0004402F" w:rsidP="0004402F">
            <w:pPr>
              <w:tabs>
                <w:tab w:val="num" w:pos="1080"/>
              </w:tabs>
              <w:jc w:val="both"/>
              <w:rPr>
                <w:rFonts w:ascii="Times New Roman" w:hAnsi="Times New Roman"/>
                <w:bCs/>
                <w:sz w:val="24"/>
                <w:szCs w:val="20"/>
                <w:lang w:eastAsia="sk-SK"/>
              </w:rPr>
            </w:pPr>
            <w:r w:rsidRPr="007D5748">
              <w:rPr>
                <w:rFonts w:ascii="Times New Roman" w:hAnsi="Times New Roman"/>
                <w:b/>
                <w:bCs/>
                <w:sz w:val="24"/>
                <w:szCs w:val="24"/>
                <w:lang w:eastAsia="sk-SK"/>
              </w:rPr>
              <w:t>Daňové príjmy (100)</w:t>
            </w:r>
            <w:r w:rsidRPr="007D5748">
              <w:rPr>
                <w:rFonts w:ascii="Times New Roman" w:hAnsi="Times New Roman"/>
                <w:b/>
                <w:bCs/>
                <w:sz w:val="24"/>
                <w:szCs w:val="24"/>
                <w:vertAlign w:val="superscript"/>
                <w:lang w:eastAsia="sk-SK"/>
              </w:rPr>
              <w:t>1</w:t>
            </w:r>
          </w:p>
        </w:tc>
        <w:tc>
          <w:tcPr>
            <w:tcW w:w="1417" w:type="dxa"/>
            <w:shd w:val="clear" w:color="auto" w:fill="FFFFFF" w:themeFill="background1"/>
          </w:tcPr>
          <w:p w:rsidR="0004402F" w:rsidRPr="00396C96" w:rsidRDefault="0004402F" w:rsidP="0004402F">
            <w:pPr>
              <w:tabs>
                <w:tab w:val="num" w:pos="1080"/>
              </w:tabs>
              <w:jc w:val="center"/>
              <w:rPr>
                <w:rFonts w:ascii="Times New Roman" w:hAnsi="Times New Roman"/>
                <w:b/>
                <w:bCs/>
                <w:sz w:val="24"/>
                <w:szCs w:val="24"/>
                <w:lang w:eastAsia="sk-SK"/>
              </w:rPr>
            </w:pPr>
            <w:r w:rsidRPr="00396C96">
              <w:rPr>
                <w:rFonts w:ascii="Times New Roman" w:hAnsi="Times New Roman"/>
                <w:b/>
                <w:bCs/>
                <w:sz w:val="24"/>
                <w:szCs w:val="24"/>
                <w:lang w:eastAsia="sk-SK"/>
              </w:rPr>
              <w:t>0</w:t>
            </w:r>
          </w:p>
        </w:tc>
        <w:tc>
          <w:tcPr>
            <w:tcW w:w="1559" w:type="dxa"/>
            <w:shd w:val="clear" w:color="auto" w:fill="FFFFFF" w:themeFill="background1"/>
            <w:vAlign w:val="bottom"/>
          </w:tcPr>
          <w:p w:rsidR="0004402F" w:rsidRPr="00396C96" w:rsidRDefault="0004402F" w:rsidP="0004402F">
            <w:pPr>
              <w:tabs>
                <w:tab w:val="num" w:pos="1080"/>
              </w:tabs>
              <w:jc w:val="center"/>
              <w:rPr>
                <w:rFonts w:ascii="Times New Roman" w:hAnsi="Times New Roman"/>
                <w:b/>
                <w:bCs/>
                <w:sz w:val="24"/>
                <w:szCs w:val="24"/>
                <w:lang w:eastAsia="sk-SK"/>
              </w:rPr>
            </w:pPr>
            <w:r>
              <w:rPr>
                <w:rFonts w:ascii="Times New Roman" w:hAnsi="Times New Roman"/>
                <w:b/>
                <w:bCs/>
                <w:color w:val="000000"/>
                <w:sz w:val="24"/>
                <w:szCs w:val="24"/>
              </w:rPr>
              <w:t>23 152 500</w:t>
            </w:r>
          </w:p>
        </w:tc>
        <w:tc>
          <w:tcPr>
            <w:tcW w:w="1560" w:type="dxa"/>
            <w:shd w:val="clear" w:color="auto" w:fill="FFFFFF" w:themeFill="background1"/>
            <w:vAlign w:val="bottom"/>
          </w:tcPr>
          <w:p w:rsidR="0004402F" w:rsidRPr="00396C96" w:rsidRDefault="0004402F" w:rsidP="0004402F">
            <w:pPr>
              <w:tabs>
                <w:tab w:val="num" w:pos="1080"/>
              </w:tabs>
              <w:jc w:val="center"/>
              <w:rPr>
                <w:rFonts w:ascii="Times New Roman" w:hAnsi="Times New Roman"/>
                <w:b/>
                <w:bCs/>
                <w:sz w:val="24"/>
                <w:szCs w:val="24"/>
                <w:lang w:eastAsia="sk-SK"/>
              </w:rPr>
            </w:pPr>
            <w:r>
              <w:rPr>
                <w:rFonts w:ascii="Times New Roman" w:hAnsi="Times New Roman"/>
                <w:b/>
                <w:bCs/>
                <w:sz w:val="24"/>
                <w:szCs w:val="24"/>
                <w:lang w:eastAsia="sk-SK"/>
              </w:rPr>
              <w:t>30 517 000</w:t>
            </w:r>
          </w:p>
        </w:tc>
        <w:tc>
          <w:tcPr>
            <w:tcW w:w="1559" w:type="dxa"/>
            <w:shd w:val="clear" w:color="auto" w:fill="FFFFFF" w:themeFill="background1"/>
            <w:vAlign w:val="center"/>
          </w:tcPr>
          <w:p w:rsidR="0004402F" w:rsidRPr="00396C96" w:rsidRDefault="0004402F" w:rsidP="0004402F">
            <w:pPr>
              <w:tabs>
                <w:tab w:val="num" w:pos="1080"/>
              </w:tabs>
              <w:jc w:val="center"/>
              <w:rPr>
                <w:rFonts w:ascii="Times New Roman" w:hAnsi="Times New Roman"/>
                <w:b/>
                <w:bCs/>
                <w:sz w:val="24"/>
                <w:szCs w:val="24"/>
                <w:lang w:eastAsia="sk-SK"/>
              </w:rPr>
            </w:pPr>
            <w:r>
              <w:rPr>
                <w:rFonts w:ascii="Times New Roman" w:hAnsi="Times New Roman"/>
                <w:b/>
                <w:bCs/>
                <w:sz w:val="24"/>
                <w:szCs w:val="24"/>
                <w:lang w:eastAsia="sk-SK"/>
              </w:rPr>
              <w:t>22 625 500</w:t>
            </w:r>
          </w:p>
        </w:tc>
        <w:tc>
          <w:tcPr>
            <w:tcW w:w="2977" w:type="dxa"/>
            <w:vMerge w:val="restart"/>
            <w:shd w:val="clear" w:color="auto" w:fill="FFFFFF" w:themeFill="background1"/>
          </w:tcPr>
          <w:p w:rsidR="0004402F" w:rsidRPr="00A97B22" w:rsidRDefault="0004402F" w:rsidP="0004402F">
            <w:pPr>
              <w:tabs>
                <w:tab w:val="num" w:pos="1080"/>
              </w:tabs>
              <w:jc w:val="both"/>
              <w:rPr>
                <w:rFonts w:ascii="Times New Roman" w:hAnsi="Times New Roman"/>
                <w:bCs/>
                <w:sz w:val="24"/>
                <w:szCs w:val="20"/>
                <w:lang w:eastAsia="sk-SK"/>
              </w:rPr>
            </w:pPr>
          </w:p>
        </w:tc>
      </w:tr>
      <w:tr w:rsidR="0004402F" w:rsidTr="0004402F">
        <w:tc>
          <w:tcPr>
            <w:tcW w:w="4957" w:type="dxa"/>
            <w:shd w:val="clear" w:color="auto" w:fill="FFFFFF" w:themeFill="background1"/>
          </w:tcPr>
          <w:p w:rsidR="0004402F" w:rsidRDefault="0004402F" w:rsidP="0004402F">
            <w:pPr>
              <w:tabs>
                <w:tab w:val="num" w:pos="1080"/>
              </w:tabs>
              <w:jc w:val="both"/>
              <w:rPr>
                <w:rFonts w:ascii="Times New Roman" w:hAnsi="Times New Roman"/>
                <w:bCs/>
                <w:sz w:val="24"/>
                <w:szCs w:val="20"/>
                <w:lang w:eastAsia="sk-SK"/>
              </w:rPr>
            </w:pPr>
            <w:r>
              <w:rPr>
                <w:rFonts w:ascii="Times New Roman" w:hAnsi="Times New Roman"/>
                <w:b/>
                <w:bCs/>
                <w:sz w:val="24"/>
                <w:szCs w:val="24"/>
                <w:lang w:eastAsia="sk-SK"/>
              </w:rPr>
              <w:t>DPPO (112)</w:t>
            </w:r>
          </w:p>
        </w:tc>
        <w:tc>
          <w:tcPr>
            <w:tcW w:w="1417" w:type="dxa"/>
            <w:shd w:val="clear" w:color="auto" w:fill="FFFFFF" w:themeFill="background1"/>
          </w:tcPr>
          <w:p w:rsidR="0004402F" w:rsidRPr="00396C96" w:rsidRDefault="0004402F" w:rsidP="0004402F">
            <w:pPr>
              <w:tabs>
                <w:tab w:val="num" w:pos="1080"/>
              </w:tabs>
              <w:jc w:val="center"/>
              <w:rPr>
                <w:rFonts w:ascii="Times New Roman" w:hAnsi="Times New Roman"/>
                <w:b/>
                <w:bCs/>
                <w:sz w:val="24"/>
                <w:szCs w:val="24"/>
                <w:lang w:eastAsia="sk-SK"/>
              </w:rPr>
            </w:pPr>
            <w:r w:rsidRPr="00396C96">
              <w:rPr>
                <w:rFonts w:ascii="Times New Roman" w:hAnsi="Times New Roman"/>
                <w:b/>
                <w:bCs/>
                <w:sz w:val="24"/>
                <w:szCs w:val="24"/>
                <w:lang w:eastAsia="sk-SK"/>
              </w:rPr>
              <w:t>0</w:t>
            </w:r>
          </w:p>
        </w:tc>
        <w:tc>
          <w:tcPr>
            <w:tcW w:w="1559" w:type="dxa"/>
            <w:shd w:val="clear" w:color="auto" w:fill="FFFFFF" w:themeFill="background1"/>
            <w:vAlign w:val="bottom"/>
          </w:tcPr>
          <w:p w:rsidR="0004402F" w:rsidRPr="00396C96" w:rsidRDefault="0004402F" w:rsidP="0004402F">
            <w:pPr>
              <w:tabs>
                <w:tab w:val="num" w:pos="1080"/>
              </w:tabs>
              <w:jc w:val="center"/>
              <w:rPr>
                <w:rFonts w:ascii="Times New Roman" w:hAnsi="Times New Roman"/>
                <w:b/>
                <w:bCs/>
                <w:sz w:val="24"/>
                <w:szCs w:val="24"/>
                <w:lang w:eastAsia="sk-SK"/>
              </w:rPr>
            </w:pPr>
            <w:r>
              <w:rPr>
                <w:rFonts w:ascii="Times New Roman" w:hAnsi="Times New Roman"/>
                <w:b/>
                <w:bCs/>
                <w:color w:val="000000"/>
                <w:sz w:val="24"/>
                <w:szCs w:val="24"/>
              </w:rPr>
              <w:t>23 152 500</w:t>
            </w:r>
          </w:p>
        </w:tc>
        <w:tc>
          <w:tcPr>
            <w:tcW w:w="1560" w:type="dxa"/>
            <w:shd w:val="clear" w:color="auto" w:fill="FFFFFF" w:themeFill="background1"/>
            <w:vAlign w:val="bottom"/>
          </w:tcPr>
          <w:p w:rsidR="0004402F" w:rsidRPr="00396C96" w:rsidRDefault="0004402F" w:rsidP="0004402F">
            <w:pPr>
              <w:tabs>
                <w:tab w:val="num" w:pos="1080"/>
              </w:tabs>
              <w:jc w:val="center"/>
              <w:rPr>
                <w:rFonts w:ascii="Times New Roman" w:hAnsi="Times New Roman"/>
                <w:b/>
                <w:bCs/>
                <w:sz w:val="24"/>
                <w:szCs w:val="24"/>
                <w:lang w:eastAsia="sk-SK"/>
              </w:rPr>
            </w:pPr>
            <w:r>
              <w:rPr>
                <w:rFonts w:ascii="Times New Roman" w:hAnsi="Times New Roman"/>
                <w:b/>
                <w:bCs/>
                <w:sz w:val="24"/>
                <w:szCs w:val="24"/>
                <w:lang w:eastAsia="sk-SK"/>
              </w:rPr>
              <w:t>30 517 000</w:t>
            </w:r>
          </w:p>
        </w:tc>
        <w:tc>
          <w:tcPr>
            <w:tcW w:w="1559" w:type="dxa"/>
            <w:shd w:val="clear" w:color="auto" w:fill="FFFFFF" w:themeFill="background1"/>
            <w:vAlign w:val="center"/>
          </w:tcPr>
          <w:p w:rsidR="0004402F" w:rsidRPr="00396C96" w:rsidRDefault="0004402F" w:rsidP="0004402F">
            <w:pPr>
              <w:tabs>
                <w:tab w:val="num" w:pos="1080"/>
              </w:tabs>
              <w:jc w:val="center"/>
              <w:rPr>
                <w:rFonts w:ascii="Times New Roman" w:hAnsi="Times New Roman"/>
                <w:b/>
                <w:bCs/>
                <w:sz w:val="24"/>
                <w:szCs w:val="24"/>
                <w:lang w:eastAsia="sk-SK"/>
              </w:rPr>
            </w:pPr>
            <w:r>
              <w:rPr>
                <w:rFonts w:ascii="Times New Roman" w:hAnsi="Times New Roman"/>
                <w:b/>
                <w:bCs/>
                <w:sz w:val="24"/>
                <w:szCs w:val="24"/>
                <w:lang w:eastAsia="sk-SK"/>
              </w:rPr>
              <w:t>22 625 500</w:t>
            </w:r>
          </w:p>
        </w:tc>
        <w:tc>
          <w:tcPr>
            <w:tcW w:w="2977" w:type="dxa"/>
            <w:vMerge/>
            <w:shd w:val="clear" w:color="auto" w:fill="FFFFFF" w:themeFill="background1"/>
          </w:tcPr>
          <w:p w:rsidR="0004402F" w:rsidRDefault="0004402F" w:rsidP="0004402F">
            <w:pPr>
              <w:tabs>
                <w:tab w:val="num" w:pos="1080"/>
              </w:tabs>
              <w:jc w:val="both"/>
              <w:rPr>
                <w:rFonts w:ascii="Times New Roman" w:hAnsi="Times New Roman"/>
                <w:bCs/>
                <w:sz w:val="24"/>
                <w:szCs w:val="20"/>
                <w:lang w:eastAsia="sk-SK"/>
              </w:rPr>
            </w:pPr>
          </w:p>
        </w:tc>
      </w:tr>
      <w:tr w:rsidR="0004402F" w:rsidTr="0004402F">
        <w:tc>
          <w:tcPr>
            <w:tcW w:w="4957" w:type="dxa"/>
            <w:shd w:val="clear" w:color="auto" w:fill="FFFFFF" w:themeFill="background1"/>
            <w:vAlign w:val="center"/>
          </w:tcPr>
          <w:p w:rsidR="0004402F" w:rsidRDefault="0004402F" w:rsidP="0004402F">
            <w:pPr>
              <w:tabs>
                <w:tab w:val="num" w:pos="1080"/>
              </w:tabs>
              <w:ind w:left="1156" w:hanging="1156"/>
              <w:jc w:val="both"/>
              <w:rPr>
                <w:rFonts w:ascii="Times New Roman" w:hAnsi="Times New Roman"/>
                <w:bCs/>
                <w:i/>
                <w:iCs/>
                <w:sz w:val="24"/>
                <w:szCs w:val="24"/>
                <w:lang w:eastAsia="sk-SK"/>
              </w:rPr>
            </w:pPr>
            <w:r>
              <w:rPr>
                <w:rFonts w:ascii="Times New Roman" w:hAnsi="Times New Roman"/>
                <w:bCs/>
                <w:i/>
                <w:iCs/>
                <w:sz w:val="24"/>
                <w:szCs w:val="24"/>
                <w:lang w:eastAsia="sk-SK"/>
              </w:rPr>
              <w:t>z toho: zavedenie pravidla o obmedzení úrokových nákladov</w:t>
            </w:r>
          </w:p>
        </w:tc>
        <w:tc>
          <w:tcPr>
            <w:tcW w:w="1417" w:type="dxa"/>
            <w:shd w:val="clear" w:color="auto" w:fill="FFFFFF" w:themeFill="background1"/>
            <w:vAlign w:val="center"/>
          </w:tcPr>
          <w:p w:rsidR="0004402F" w:rsidRPr="00396C96" w:rsidRDefault="0004402F" w:rsidP="0004402F">
            <w:pPr>
              <w:tabs>
                <w:tab w:val="num" w:pos="1080"/>
              </w:tabs>
              <w:jc w:val="center"/>
              <w:rPr>
                <w:rFonts w:ascii="Times New Roman" w:hAnsi="Times New Roman"/>
                <w:b/>
                <w:bCs/>
                <w:sz w:val="24"/>
                <w:szCs w:val="24"/>
                <w:lang w:eastAsia="sk-SK"/>
              </w:rPr>
            </w:pPr>
            <w:r w:rsidRPr="00396C96">
              <w:rPr>
                <w:rFonts w:ascii="Times New Roman" w:hAnsi="Times New Roman"/>
                <w:b/>
                <w:bCs/>
                <w:sz w:val="24"/>
                <w:szCs w:val="24"/>
                <w:lang w:eastAsia="sk-SK"/>
              </w:rPr>
              <w:t>0</w:t>
            </w:r>
          </w:p>
        </w:tc>
        <w:tc>
          <w:tcPr>
            <w:tcW w:w="1559" w:type="dxa"/>
            <w:shd w:val="clear" w:color="auto" w:fill="FFFFFF" w:themeFill="background1"/>
            <w:vAlign w:val="center"/>
          </w:tcPr>
          <w:p w:rsidR="0004402F" w:rsidRPr="00396C96" w:rsidRDefault="0004402F" w:rsidP="0004402F">
            <w:pPr>
              <w:tabs>
                <w:tab w:val="num" w:pos="1080"/>
              </w:tabs>
              <w:jc w:val="center"/>
              <w:rPr>
                <w:rFonts w:ascii="Times New Roman" w:hAnsi="Times New Roman"/>
                <w:b/>
                <w:bCs/>
                <w:color w:val="000000"/>
                <w:sz w:val="24"/>
                <w:szCs w:val="24"/>
              </w:rPr>
            </w:pPr>
            <w:r w:rsidRPr="00396C96">
              <w:rPr>
                <w:rFonts w:ascii="Times New Roman" w:hAnsi="Times New Roman"/>
                <w:b/>
                <w:bCs/>
                <w:color w:val="000000"/>
                <w:sz w:val="24"/>
                <w:szCs w:val="24"/>
              </w:rPr>
              <w:t>0</w:t>
            </w:r>
          </w:p>
        </w:tc>
        <w:tc>
          <w:tcPr>
            <w:tcW w:w="1560" w:type="dxa"/>
            <w:shd w:val="clear" w:color="auto" w:fill="FFFFFF" w:themeFill="background1"/>
            <w:vAlign w:val="center"/>
          </w:tcPr>
          <w:p w:rsidR="0004402F" w:rsidRPr="00396C96" w:rsidRDefault="0004402F" w:rsidP="0004402F">
            <w:pPr>
              <w:tabs>
                <w:tab w:val="num" w:pos="1080"/>
              </w:tabs>
              <w:jc w:val="center"/>
              <w:rPr>
                <w:rFonts w:ascii="Times New Roman" w:hAnsi="Times New Roman"/>
                <w:b/>
                <w:bCs/>
                <w:sz w:val="24"/>
                <w:szCs w:val="24"/>
                <w:lang w:eastAsia="sk-SK"/>
              </w:rPr>
            </w:pPr>
            <w:r>
              <w:rPr>
                <w:rFonts w:ascii="Times New Roman" w:hAnsi="Times New Roman"/>
                <w:b/>
                <w:bCs/>
                <w:sz w:val="24"/>
                <w:szCs w:val="24"/>
                <w:lang w:eastAsia="sk-SK"/>
              </w:rPr>
              <w:t>4 057 000</w:t>
            </w:r>
          </w:p>
        </w:tc>
        <w:tc>
          <w:tcPr>
            <w:tcW w:w="1559" w:type="dxa"/>
            <w:shd w:val="clear" w:color="auto" w:fill="FFFFFF" w:themeFill="background1"/>
            <w:vAlign w:val="center"/>
          </w:tcPr>
          <w:p w:rsidR="0004402F" w:rsidRPr="00396C96" w:rsidRDefault="0004402F" w:rsidP="0004402F">
            <w:pPr>
              <w:tabs>
                <w:tab w:val="num" w:pos="1080"/>
              </w:tabs>
              <w:jc w:val="center"/>
              <w:rPr>
                <w:rFonts w:ascii="Times New Roman" w:hAnsi="Times New Roman"/>
                <w:b/>
                <w:bCs/>
                <w:sz w:val="24"/>
                <w:szCs w:val="24"/>
                <w:lang w:eastAsia="sk-SK"/>
              </w:rPr>
            </w:pPr>
            <w:r w:rsidRPr="00396C96">
              <w:rPr>
                <w:rFonts w:ascii="Times New Roman" w:hAnsi="Times New Roman"/>
                <w:b/>
                <w:bCs/>
                <w:color w:val="000000"/>
                <w:sz w:val="24"/>
                <w:szCs w:val="24"/>
              </w:rPr>
              <w:t>6</w:t>
            </w:r>
            <w:r>
              <w:rPr>
                <w:rFonts w:ascii="Times New Roman" w:hAnsi="Times New Roman"/>
                <w:b/>
                <w:bCs/>
                <w:color w:val="000000"/>
                <w:sz w:val="24"/>
                <w:szCs w:val="24"/>
              </w:rPr>
              <w:t> 088 000</w:t>
            </w:r>
          </w:p>
        </w:tc>
        <w:tc>
          <w:tcPr>
            <w:tcW w:w="2977" w:type="dxa"/>
            <w:vMerge/>
            <w:shd w:val="clear" w:color="auto" w:fill="FFFFFF" w:themeFill="background1"/>
          </w:tcPr>
          <w:p w:rsidR="0004402F" w:rsidRDefault="0004402F" w:rsidP="0004402F">
            <w:pPr>
              <w:tabs>
                <w:tab w:val="num" w:pos="1080"/>
              </w:tabs>
              <w:jc w:val="both"/>
              <w:rPr>
                <w:rFonts w:ascii="Times New Roman" w:hAnsi="Times New Roman"/>
                <w:bCs/>
                <w:sz w:val="24"/>
                <w:szCs w:val="20"/>
                <w:lang w:eastAsia="sk-SK"/>
              </w:rPr>
            </w:pPr>
          </w:p>
        </w:tc>
      </w:tr>
      <w:tr w:rsidR="0004402F" w:rsidTr="0004402F">
        <w:tc>
          <w:tcPr>
            <w:tcW w:w="4957" w:type="dxa"/>
            <w:shd w:val="clear" w:color="auto" w:fill="FFFFFF" w:themeFill="background1"/>
            <w:vAlign w:val="center"/>
          </w:tcPr>
          <w:p w:rsidR="0004402F" w:rsidRDefault="0004402F" w:rsidP="0004402F">
            <w:pPr>
              <w:tabs>
                <w:tab w:val="num" w:pos="1080"/>
              </w:tabs>
              <w:jc w:val="both"/>
              <w:rPr>
                <w:rFonts w:ascii="Times New Roman" w:hAnsi="Times New Roman"/>
                <w:bCs/>
                <w:i/>
                <w:iCs/>
                <w:sz w:val="24"/>
                <w:szCs w:val="24"/>
                <w:lang w:eastAsia="sk-SK"/>
              </w:rPr>
            </w:pPr>
            <w:r>
              <w:rPr>
                <w:rFonts w:ascii="Times New Roman" w:hAnsi="Times New Roman"/>
                <w:bCs/>
                <w:i/>
                <w:iCs/>
                <w:sz w:val="24"/>
                <w:szCs w:val="24"/>
                <w:lang w:eastAsia="sk-SK"/>
              </w:rPr>
              <w:t>z toho: prvotná implementácia IFRS 17</w:t>
            </w:r>
          </w:p>
        </w:tc>
        <w:tc>
          <w:tcPr>
            <w:tcW w:w="1417" w:type="dxa"/>
            <w:shd w:val="clear" w:color="auto" w:fill="FFFFFF" w:themeFill="background1"/>
          </w:tcPr>
          <w:p w:rsidR="0004402F" w:rsidRPr="00396C96" w:rsidRDefault="0004402F" w:rsidP="0004402F">
            <w:pPr>
              <w:tabs>
                <w:tab w:val="num" w:pos="1080"/>
              </w:tabs>
              <w:jc w:val="center"/>
              <w:rPr>
                <w:rFonts w:ascii="Times New Roman" w:hAnsi="Times New Roman"/>
                <w:b/>
                <w:bCs/>
                <w:sz w:val="24"/>
                <w:szCs w:val="24"/>
                <w:lang w:eastAsia="sk-SK"/>
              </w:rPr>
            </w:pPr>
            <w:r w:rsidRPr="00396C96">
              <w:rPr>
                <w:rFonts w:ascii="Times New Roman" w:hAnsi="Times New Roman"/>
                <w:b/>
                <w:bCs/>
                <w:sz w:val="24"/>
                <w:szCs w:val="24"/>
                <w:lang w:eastAsia="sk-SK"/>
              </w:rPr>
              <w:t>0</w:t>
            </w:r>
          </w:p>
        </w:tc>
        <w:tc>
          <w:tcPr>
            <w:tcW w:w="1559" w:type="dxa"/>
            <w:shd w:val="clear" w:color="auto" w:fill="FFFFFF" w:themeFill="background1"/>
            <w:vAlign w:val="bottom"/>
          </w:tcPr>
          <w:p w:rsidR="0004402F" w:rsidRPr="00396C96" w:rsidRDefault="0004402F" w:rsidP="0004402F">
            <w:pPr>
              <w:tabs>
                <w:tab w:val="num" w:pos="1080"/>
              </w:tabs>
              <w:jc w:val="center"/>
              <w:rPr>
                <w:rFonts w:ascii="Times New Roman" w:hAnsi="Times New Roman"/>
                <w:b/>
                <w:bCs/>
                <w:color w:val="000000"/>
                <w:sz w:val="24"/>
                <w:szCs w:val="24"/>
              </w:rPr>
            </w:pPr>
            <w:r>
              <w:rPr>
                <w:rFonts w:ascii="Times New Roman" w:hAnsi="Times New Roman"/>
                <w:b/>
                <w:bCs/>
                <w:color w:val="000000"/>
                <w:sz w:val="24"/>
                <w:szCs w:val="24"/>
              </w:rPr>
              <w:t>23 152 500</w:t>
            </w:r>
          </w:p>
        </w:tc>
        <w:tc>
          <w:tcPr>
            <w:tcW w:w="1560" w:type="dxa"/>
            <w:shd w:val="clear" w:color="auto" w:fill="FFFFFF" w:themeFill="background1"/>
            <w:vAlign w:val="bottom"/>
          </w:tcPr>
          <w:p w:rsidR="0004402F" w:rsidRPr="00396C96" w:rsidRDefault="0004402F" w:rsidP="0004402F">
            <w:pPr>
              <w:tabs>
                <w:tab w:val="num" w:pos="1080"/>
              </w:tabs>
              <w:jc w:val="center"/>
              <w:rPr>
                <w:rFonts w:ascii="Times New Roman" w:hAnsi="Times New Roman"/>
                <w:b/>
                <w:bCs/>
                <w:sz w:val="24"/>
                <w:szCs w:val="24"/>
                <w:lang w:eastAsia="sk-SK"/>
              </w:rPr>
            </w:pPr>
            <w:r>
              <w:rPr>
                <w:rFonts w:ascii="Times New Roman" w:hAnsi="Times New Roman"/>
                <w:b/>
                <w:bCs/>
                <w:sz w:val="24"/>
                <w:szCs w:val="24"/>
                <w:lang w:eastAsia="sk-SK"/>
              </w:rPr>
              <w:t>26 460 000</w:t>
            </w:r>
          </w:p>
        </w:tc>
        <w:tc>
          <w:tcPr>
            <w:tcW w:w="1559" w:type="dxa"/>
            <w:shd w:val="clear" w:color="auto" w:fill="FFFFFF" w:themeFill="background1"/>
            <w:vAlign w:val="bottom"/>
          </w:tcPr>
          <w:p w:rsidR="0004402F" w:rsidRPr="00396C96" w:rsidRDefault="0004402F" w:rsidP="0004402F">
            <w:pPr>
              <w:tabs>
                <w:tab w:val="num" w:pos="1080"/>
              </w:tabs>
              <w:jc w:val="center"/>
              <w:rPr>
                <w:rFonts w:ascii="Times New Roman" w:hAnsi="Times New Roman"/>
                <w:b/>
                <w:bCs/>
                <w:sz w:val="24"/>
                <w:szCs w:val="24"/>
                <w:lang w:eastAsia="sk-SK"/>
              </w:rPr>
            </w:pPr>
            <w:r>
              <w:rPr>
                <w:rFonts w:ascii="Times New Roman" w:hAnsi="Times New Roman"/>
                <w:b/>
                <w:bCs/>
                <w:sz w:val="24"/>
                <w:szCs w:val="24"/>
                <w:lang w:eastAsia="sk-SK"/>
              </w:rPr>
              <w:t>16 537 500</w:t>
            </w:r>
          </w:p>
        </w:tc>
        <w:tc>
          <w:tcPr>
            <w:tcW w:w="2977" w:type="dxa"/>
            <w:vMerge/>
            <w:shd w:val="clear" w:color="auto" w:fill="FFFFFF" w:themeFill="background1"/>
          </w:tcPr>
          <w:p w:rsidR="0004402F" w:rsidRDefault="0004402F" w:rsidP="0004402F">
            <w:pPr>
              <w:tabs>
                <w:tab w:val="num" w:pos="1080"/>
              </w:tabs>
              <w:jc w:val="both"/>
              <w:rPr>
                <w:rFonts w:ascii="Times New Roman" w:hAnsi="Times New Roman"/>
                <w:bCs/>
                <w:sz w:val="24"/>
                <w:szCs w:val="20"/>
                <w:lang w:eastAsia="sk-SK"/>
              </w:rPr>
            </w:pPr>
          </w:p>
        </w:tc>
      </w:tr>
      <w:tr w:rsidR="0004402F" w:rsidTr="0004402F">
        <w:tc>
          <w:tcPr>
            <w:tcW w:w="4957" w:type="dxa"/>
            <w:shd w:val="clear" w:color="auto" w:fill="FFFFFF" w:themeFill="background1"/>
          </w:tcPr>
          <w:p w:rsidR="0004402F" w:rsidRDefault="0004402F" w:rsidP="0004402F">
            <w:pPr>
              <w:tabs>
                <w:tab w:val="num" w:pos="1080"/>
              </w:tabs>
              <w:jc w:val="both"/>
              <w:rPr>
                <w:rFonts w:ascii="Times New Roman" w:hAnsi="Times New Roman"/>
                <w:bCs/>
                <w:sz w:val="24"/>
                <w:szCs w:val="20"/>
                <w:lang w:eastAsia="sk-SK"/>
              </w:rPr>
            </w:pPr>
            <w:r w:rsidRPr="007D5748">
              <w:rPr>
                <w:rFonts w:ascii="Times New Roman" w:hAnsi="Times New Roman"/>
                <w:b/>
                <w:bCs/>
                <w:sz w:val="24"/>
                <w:szCs w:val="24"/>
                <w:lang w:eastAsia="sk-SK"/>
              </w:rPr>
              <w:t>Nedaňové príjmy (200)</w:t>
            </w:r>
            <w:r w:rsidRPr="007D5748">
              <w:rPr>
                <w:rFonts w:ascii="Times New Roman" w:hAnsi="Times New Roman"/>
                <w:b/>
                <w:bCs/>
                <w:sz w:val="24"/>
                <w:szCs w:val="24"/>
                <w:vertAlign w:val="superscript"/>
                <w:lang w:eastAsia="sk-SK"/>
              </w:rPr>
              <w:t>1</w:t>
            </w:r>
          </w:p>
        </w:tc>
        <w:tc>
          <w:tcPr>
            <w:tcW w:w="1417" w:type="dxa"/>
            <w:shd w:val="clear" w:color="auto" w:fill="FFFFFF" w:themeFill="background1"/>
          </w:tcPr>
          <w:p w:rsidR="0004402F" w:rsidRPr="00396C96" w:rsidRDefault="0004402F" w:rsidP="0004402F">
            <w:pPr>
              <w:tabs>
                <w:tab w:val="num" w:pos="1080"/>
              </w:tabs>
              <w:jc w:val="both"/>
              <w:rPr>
                <w:rFonts w:ascii="Times New Roman" w:hAnsi="Times New Roman"/>
                <w:bCs/>
                <w:sz w:val="24"/>
                <w:szCs w:val="24"/>
                <w:lang w:eastAsia="sk-SK"/>
              </w:rPr>
            </w:pPr>
          </w:p>
        </w:tc>
        <w:tc>
          <w:tcPr>
            <w:tcW w:w="1559" w:type="dxa"/>
            <w:shd w:val="clear" w:color="auto" w:fill="FFFFFF" w:themeFill="background1"/>
          </w:tcPr>
          <w:p w:rsidR="0004402F" w:rsidRPr="00396C96" w:rsidRDefault="0004402F" w:rsidP="0004402F">
            <w:pPr>
              <w:tabs>
                <w:tab w:val="num" w:pos="1080"/>
              </w:tabs>
              <w:jc w:val="both"/>
              <w:rPr>
                <w:rFonts w:ascii="Times New Roman" w:hAnsi="Times New Roman"/>
                <w:bCs/>
                <w:sz w:val="24"/>
                <w:szCs w:val="24"/>
                <w:lang w:eastAsia="sk-SK"/>
              </w:rPr>
            </w:pPr>
          </w:p>
        </w:tc>
        <w:tc>
          <w:tcPr>
            <w:tcW w:w="1560" w:type="dxa"/>
            <w:shd w:val="clear" w:color="auto" w:fill="FFFFFF" w:themeFill="background1"/>
          </w:tcPr>
          <w:p w:rsidR="0004402F" w:rsidRPr="00396C96" w:rsidRDefault="0004402F" w:rsidP="0004402F">
            <w:pPr>
              <w:tabs>
                <w:tab w:val="num" w:pos="1080"/>
              </w:tabs>
              <w:jc w:val="both"/>
              <w:rPr>
                <w:rFonts w:ascii="Times New Roman" w:hAnsi="Times New Roman"/>
                <w:bCs/>
                <w:sz w:val="24"/>
                <w:szCs w:val="24"/>
                <w:lang w:eastAsia="sk-SK"/>
              </w:rPr>
            </w:pPr>
          </w:p>
        </w:tc>
        <w:tc>
          <w:tcPr>
            <w:tcW w:w="1559" w:type="dxa"/>
            <w:shd w:val="clear" w:color="auto" w:fill="FFFFFF" w:themeFill="background1"/>
          </w:tcPr>
          <w:p w:rsidR="0004402F" w:rsidRPr="00396C96" w:rsidRDefault="0004402F" w:rsidP="0004402F">
            <w:pPr>
              <w:tabs>
                <w:tab w:val="num" w:pos="1080"/>
              </w:tabs>
              <w:jc w:val="center"/>
              <w:rPr>
                <w:rFonts w:ascii="Times New Roman" w:hAnsi="Times New Roman"/>
                <w:b/>
                <w:bCs/>
                <w:sz w:val="24"/>
                <w:szCs w:val="24"/>
                <w:lang w:eastAsia="sk-SK"/>
              </w:rPr>
            </w:pPr>
          </w:p>
        </w:tc>
        <w:tc>
          <w:tcPr>
            <w:tcW w:w="2977" w:type="dxa"/>
            <w:vMerge/>
            <w:shd w:val="clear" w:color="auto" w:fill="FFFFFF" w:themeFill="background1"/>
          </w:tcPr>
          <w:p w:rsidR="0004402F" w:rsidRDefault="0004402F" w:rsidP="0004402F">
            <w:pPr>
              <w:tabs>
                <w:tab w:val="num" w:pos="1080"/>
              </w:tabs>
              <w:jc w:val="both"/>
              <w:rPr>
                <w:rFonts w:ascii="Times New Roman" w:hAnsi="Times New Roman"/>
                <w:bCs/>
                <w:sz w:val="24"/>
                <w:szCs w:val="20"/>
                <w:lang w:eastAsia="sk-SK"/>
              </w:rPr>
            </w:pPr>
          </w:p>
        </w:tc>
      </w:tr>
      <w:tr w:rsidR="0004402F" w:rsidTr="0004402F">
        <w:tc>
          <w:tcPr>
            <w:tcW w:w="4957" w:type="dxa"/>
            <w:shd w:val="clear" w:color="auto" w:fill="FFFFFF" w:themeFill="background1"/>
          </w:tcPr>
          <w:p w:rsidR="0004402F" w:rsidRDefault="0004402F" w:rsidP="0004402F">
            <w:pPr>
              <w:tabs>
                <w:tab w:val="num" w:pos="1080"/>
              </w:tabs>
              <w:jc w:val="both"/>
              <w:rPr>
                <w:rFonts w:ascii="Times New Roman" w:hAnsi="Times New Roman"/>
                <w:bCs/>
                <w:sz w:val="24"/>
                <w:szCs w:val="20"/>
                <w:lang w:eastAsia="sk-SK"/>
              </w:rPr>
            </w:pPr>
            <w:r w:rsidRPr="007D5748">
              <w:rPr>
                <w:rFonts w:ascii="Times New Roman" w:hAnsi="Times New Roman"/>
                <w:b/>
                <w:bCs/>
                <w:sz w:val="24"/>
                <w:szCs w:val="24"/>
                <w:lang w:eastAsia="sk-SK"/>
              </w:rPr>
              <w:t>Granty a transfery (300)</w:t>
            </w:r>
            <w:r w:rsidRPr="007D5748">
              <w:rPr>
                <w:rFonts w:ascii="Times New Roman" w:hAnsi="Times New Roman"/>
                <w:b/>
                <w:bCs/>
                <w:sz w:val="24"/>
                <w:szCs w:val="24"/>
                <w:vertAlign w:val="superscript"/>
                <w:lang w:eastAsia="sk-SK"/>
              </w:rPr>
              <w:t>1</w:t>
            </w:r>
          </w:p>
        </w:tc>
        <w:tc>
          <w:tcPr>
            <w:tcW w:w="1417" w:type="dxa"/>
            <w:shd w:val="clear" w:color="auto" w:fill="FFFFFF" w:themeFill="background1"/>
          </w:tcPr>
          <w:p w:rsidR="0004402F" w:rsidRPr="00396C96" w:rsidRDefault="0004402F" w:rsidP="0004402F">
            <w:pPr>
              <w:tabs>
                <w:tab w:val="num" w:pos="1080"/>
              </w:tabs>
              <w:jc w:val="both"/>
              <w:rPr>
                <w:rFonts w:ascii="Times New Roman" w:hAnsi="Times New Roman"/>
                <w:bCs/>
                <w:sz w:val="24"/>
                <w:szCs w:val="24"/>
                <w:lang w:eastAsia="sk-SK"/>
              </w:rPr>
            </w:pPr>
          </w:p>
        </w:tc>
        <w:tc>
          <w:tcPr>
            <w:tcW w:w="1559" w:type="dxa"/>
            <w:shd w:val="clear" w:color="auto" w:fill="FFFFFF" w:themeFill="background1"/>
          </w:tcPr>
          <w:p w:rsidR="0004402F" w:rsidRPr="00396C96" w:rsidRDefault="0004402F" w:rsidP="0004402F">
            <w:pPr>
              <w:tabs>
                <w:tab w:val="num" w:pos="1080"/>
              </w:tabs>
              <w:jc w:val="both"/>
              <w:rPr>
                <w:rFonts w:ascii="Times New Roman" w:hAnsi="Times New Roman"/>
                <w:bCs/>
                <w:sz w:val="24"/>
                <w:szCs w:val="24"/>
                <w:lang w:eastAsia="sk-SK"/>
              </w:rPr>
            </w:pPr>
          </w:p>
        </w:tc>
        <w:tc>
          <w:tcPr>
            <w:tcW w:w="1560" w:type="dxa"/>
            <w:shd w:val="clear" w:color="auto" w:fill="FFFFFF" w:themeFill="background1"/>
          </w:tcPr>
          <w:p w:rsidR="0004402F" w:rsidRPr="00396C96" w:rsidRDefault="0004402F" w:rsidP="0004402F">
            <w:pPr>
              <w:tabs>
                <w:tab w:val="num" w:pos="1080"/>
              </w:tabs>
              <w:jc w:val="both"/>
              <w:rPr>
                <w:rFonts w:ascii="Times New Roman" w:hAnsi="Times New Roman"/>
                <w:bCs/>
                <w:sz w:val="24"/>
                <w:szCs w:val="24"/>
                <w:lang w:eastAsia="sk-SK"/>
              </w:rPr>
            </w:pPr>
          </w:p>
        </w:tc>
        <w:tc>
          <w:tcPr>
            <w:tcW w:w="1559" w:type="dxa"/>
            <w:shd w:val="clear" w:color="auto" w:fill="FFFFFF" w:themeFill="background1"/>
          </w:tcPr>
          <w:p w:rsidR="0004402F" w:rsidRPr="00396C96" w:rsidRDefault="0004402F" w:rsidP="0004402F">
            <w:pPr>
              <w:tabs>
                <w:tab w:val="num" w:pos="1080"/>
              </w:tabs>
              <w:jc w:val="center"/>
              <w:rPr>
                <w:rFonts w:ascii="Times New Roman" w:hAnsi="Times New Roman"/>
                <w:b/>
                <w:bCs/>
                <w:sz w:val="24"/>
                <w:szCs w:val="24"/>
                <w:lang w:eastAsia="sk-SK"/>
              </w:rPr>
            </w:pPr>
          </w:p>
        </w:tc>
        <w:tc>
          <w:tcPr>
            <w:tcW w:w="2977" w:type="dxa"/>
            <w:vMerge/>
            <w:shd w:val="clear" w:color="auto" w:fill="FFFFFF" w:themeFill="background1"/>
          </w:tcPr>
          <w:p w:rsidR="0004402F" w:rsidRDefault="0004402F" w:rsidP="0004402F">
            <w:pPr>
              <w:tabs>
                <w:tab w:val="num" w:pos="1080"/>
              </w:tabs>
              <w:jc w:val="both"/>
              <w:rPr>
                <w:rFonts w:ascii="Times New Roman" w:hAnsi="Times New Roman"/>
                <w:bCs/>
                <w:sz w:val="24"/>
                <w:szCs w:val="20"/>
                <w:lang w:eastAsia="sk-SK"/>
              </w:rPr>
            </w:pPr>
          </w:p>
        </w:tc>
      </w:tr>
      <w:tr w:rsidR="0004402F" w:rsidTr="0004402F">
        <w:tc>
          <w:tcPr>
            <w:tcW w:w="4957" w:type="dxa"/>
            <w:shd w:val="clear" w:color="auto" w:fill="FFFFFF" w:themeFill="background1"/>
          </w:tcPr>
          <w:p w:rsidR="0004402F" w:rsidRDefault="0004402F" w:rsidP="0004402F">
            <w:pPr>
              <w:tabs>
                <w:tab w:val="num" w:pos="1080"/>
              </w:tabs>
              <w:jc w:val="both"/>
              <w:rPr>
                <w:rFonts w:ascii="Times New Roman" w:hAnsi="Times New Roman"/>
                <w:bCs/>
                <w:sz w:val="24"/>
                <w:szCs w:val="20"/>
                <w:lang w:eastAsia="sk-SK"/>
              </w:rPr>
            </w:pPr>
            <w:r w:rsidRPr="007D5748">
              <w:rPr>
                <w:rFonts w:ascii="Times New Roman" w:hAnsi="Times New Roman"/>
                <w:b/>
                <w:bCs/>
                <w:sz w:val="24"/>
                <w:szCs w:val="24"/>
                <w:lang w:eastAsia="sk-SK"/>
              </w:rPr>
              <w:t>Príjmy z transakcií s finančnými aktívami a finančnými pasívami (400)</w:t>
            </w:r>
          </w:p>
        </w:tc>
        <w:tc>
          <w:tcPr>
            <w:tcW w:w="1417" w:type="dxa"/>
            <w:shd w:val="clear" w:color="auto" w:fill="FFFF99"/>
          </w:tcPr>
          <w:p w:rsidR="0004402F" w:rsidRPr="00396C96" w:rsidRDefault="0004402F" w:rsidP="0004402F">
            <w:pPr>
              <w:tabs>
                <w:tab w:val="num" w:pos="1080"/>
              </w:tabs>
              <w:jc w:val="both"/>
              <w:rPr>
                <w:rFonts w:ascii="Times New Roman" w:hAnsi="Times New Roman"/>
                <w:bCs/>
                <w:sz w:val="24"/>
                <w:szCs w:val="24"/>
                <w:lang w:eastAsia="sk-SK"/>
              </w:rPr>
            </w:pPr>
          </w:p>
        </w:tc>
        <w:tc>
          <w:tcPr>
            <w:tcW w:w="1559" w:type="dxa"/>
            <w:shd w:val="clear" w:color="auto" w:fill="FFFF99"/>
          </w:tcPr>
          <w:p w:rsidR="0004402F" w:rsidRPr="00396C96" w:rsidRDefault="0004402F" w:rsidP="0004402F">
            <w:pPr>
              <w:tabs>
                <w:tab w:val="num" w:pos="1080"/>
              </w:tabs>
              <w:jc w:val="both"/>
              <w:rPr>
                <w:rFonts w:ascii="Times New Roman" w:hAnsi="Times New Roman"/>
                <w:bCs/>
                <w:sz w:val="24"/>
                <w:szCs w:val="24"/>
                <w:lang w:eastAsia="sk-SK"/>
              </w:rPr>
            </w:pPr>
          </w:p>
        </w:tc>
        <w:tc>
          <w:tcPr>
            <w:tcW w:w="1560" w:type="dxa"/>
            <w:shd w:val="clear" w:color="auto" w:fill="FFFF99"/>
          </w:tcPr>
          <w:p w:rsidR="0004402F" w:rsidRPr="00396C96" w:rsidRDefault="0004402F" w:rsidP="0004402F">
            <w:pPr>
              <w:tabs>
                <w:tab w:val="num" w:pos="1080"/>
              </w:tabs>
              <w:jc w:val="both"/>
              <w:rPr>
                <w:rFonts w:ascii="Times New Roman" w:hAnsi="Times New Roman"/>
                <w:bCs/>
                <w:sz w:val="24"/>
                <w:szCs w:val="24"/>
                <w:lang w:eastAsia="sk-SK"/>
              </w:rPr>
            </w:pPr>
          </w:p>
        </w:tc>
        <w:tc>
          <w:tcPr>
            <w:tcW w:w="1559" w:type="dxa"/>
            <w:shd w:val="clear" w:color="auto" w:fill="FFFF99"/>
          </w:tcPr>
          <w:p w:rsidR="0004402F" w:rsidRPr="00396C96" w:rsidRDefault="0004402F" w:rsidP="0004402F">
            <w:pPr>
              <w:tabs>
                <w:tab w:val="num" w:pos="1080"/>
              </w:tabs>
              <w:jc w:val="center"/>
              <w:rPr>
                <w:rFonts w:ascii="Times New Roman" w:hAnsi="Times New Roman"/>
                <w:b/>
                <w:bCs/>
                <w:sz w:val="24"/>
                <w:szCs w:val="24"/>
                <w:lang w:eastAsia="sk-SK"/>
              </w:rPr>
            </w:pPr>
          </w:p>
        </w:tc>
        <w:tc>
          <w:tcPr>
            <w:tcW w:w="2977" w:type="dxa"/>
            <w:vMerge/>
            <w:shd w:val="clear" w:color="auto" w:fill="FFFFFF" w:themeFill="background1"/>
          </w:tcPr>
          <w:p w:rsidR="0004402F" w:rsidRDefault="0004402F" w:rsidP="0004402F">
            <w:pPr>
              <w:tabs>
                <w:tab w:val="num" w:pos="1080"/>
              </w:tabs>
              <w:jc w:val="both"/>
              <w:rPr>
                <w:rFonts w:ascii="Times New Roman" w:hAnsi="Times New Roman"/>
                <w:bCs/>
                <w:sz w:val="24"/>
                <w:szCs w:val="20"/>
                <w:lang w:eastAsia="sk-SK"/>
              </w:rPr>
            </w:pPr>
          </w:p>
        </w:tc>
      </w:tr>
      <w:tr w:rsidR="0004402F" w:rsidTr="0004402F">
        <w:tc>
          <w:tcPr>
            <w:tcW w:w="4957" w:type="dxa"/>
            <w:shd w:val="clear" w:color="auto" w:fill="FFFFFF" w:themeFill="background1"/>
          </w:tcPr>
          <w:p w:rsidR="0004402F" w:rsidRDefault="0004402F" w:rsidP="0004402F">
            <w:pPr>
              <w:tabs>
                <w:tab w:val="num" w:pos="1080"/>
              </w:tabs>
              <w:jc w:val="both"/>
              <w:rPr>
                <w:rFonts w:ascii="Times New Roman" w:hAnsi="Times New Roman"/>
                <w:bCs/>
                <w:sz w:val="24"/>
                <w:szCs w:val="20"/>
                <w:lang w:eastAsia="sk-SK"/>
              </w:rPr>
            </w:pPr>
            <w:r w:rsidRPr="007D5748">
              <w:rPr>
                <w:rFonts w:ascii="Times New Roman" w:hAnsi="Times New Roman"/>
                <w:b/>
                <w:bCs/>
                <w:sz w:val="24"/>
                <w:szCs w:val="24"/>
                <w:lang w:eastAsia="sk-SK"/>
              </w:rPr>
              <w:t>Prijaté úvery, pôžičky a návratné finančné výpomoci (500)</w:t>
            </w:r>
          </w:p>
        </w:tc>
        <w:tc>
          <w:tcPr>
            <w:tcW w:w="1417" w:type="dxa"/>
            <w:shd w:val="clear" w:color="auto" w:fill="FFFF99"/>
          </w:tcPr>
          <w:p w:rsidR="0004402F" w:rsidRPr="00396C96" w:rsidRDefault="0004402F" w:rsidP="0004402F">
            <w:pPr>
              <w:tabs>
                <w:tab w:val="num" w:pos="1080"/>
              </w:tabs>
              <w:jc w:val="both"/>
              <w:rPr>
                <w:rFonts w:ascii="Times New Roman" w:hAnsi="Times New Roman"/>
                <w:bCs/>
                <w:sz w:val="24"/>
                <w:szCs w:val="24"/>
                <w:lang w:eastAsia="sk-SK"/>
              </w:rPr>
            </w:pPr>
          </w:p>
        </w:tc>
        <w:tc>
          <w:tcPr>
            <w:tcW w:w="1559" w:type="dxa"/>
            <w:shd w:val="clear" w:color="auto" w:fill="FFFF99"/>
          </w:tcPr>
          <w:p w:rsidR="0004402F" w:rsidRPr="00396C96" w:rsidRDefault="0004402F" w:rsidP="0004402F">
            <w:pPr>
              <w:tabs>
                <w:tab w:val="num" w:pos="1080"/>
              </w:tabs>
              <w:jc w:val="both"/>
              <w:rPr>
                <w:rFonts w:ascii="Times New Roman" w:hAnsi="Times New Roman"/>
                <w:bCs/>
                <w:sz w:val="24"/>
                <w:szCs w:val="24"/>
                <w:lang w:eastAsia="sk-SK"/>
              </w:rPr>
            </w:pPr>
          </w:p>
        </w:tc>
        <w:tc>
          <w:tcPr>
            <w:tcW w:w="1560" w:type="dxa"/>
            <w:shd w:val="clear" w:color="auto" w:fill="FFFF99"/>
          </w:tcPr>
          <w:p w:rsidR="0004402F" w:rsidRPr="00396C96" w:rsidRDefault="0004402F" w:rsidP="0004402F">
            <w:pPr>
              <w:tabs>
                <w:tab w:val="num" w:pos="1080"/>
              </w:tabs>
              <w:jc w:val="both"/>
              <w:rPr>
                <w:rFonts w:ascii="Times New Roman" w:hAnsi="Times New Roman"/>
                <w:bCs/>
                <w:sz w:val="24"/>
                <w:szCs w:val="24"/>
                <w:lang w:eastAsia="sk-SK"/>
              </w:rPr>
            </w:pPr>
          </w:p>
        </w:tc>
        <w:tc>
          <w:tcPr>
            <w:tcW w:w="1559" w:type="dxa"/>
            <w:shd w:val="clear" w:color="auto" w:fill="FFFF99"/>
          </w:tcPr>
          <w:p w:rsidR="0004402F" w:rsidRPr="00396C96" w:rsidRDefault="0004402F" w:rsidP="0004402F">
            <w:pPr>
              <w:tabs>
                <w:tab w:val="num" w:pos="1080"/>
              </w:tabs>
              <w:jc w:val="center"/>
              <w:rPr>
                <w:rFonts w:ascii="Times New Roman" w:hAnsi="Times New Roman"/>
                <w:b/>
                <w:bCs/>
                <w:sz w:val="24"/>
                <w:szCs w:val="24"/>
                <w:lang w:eastAsia="sk-SK"/>
              </w:rPr>
            </w:pPr>
          </w:p>
        </w:tc>
        <w:tc>
          <w:tcPr>
            <w:tcW w:w="2977" w:type="dxa"/>
            <w:vMerge/>
            <w:shd w:val="clear" w:color="auto" w:fill="FFFFFF" w:themeFill="background1"/>
          </w:tcPr>
          <w:p w:rsidR="0004402F" w:rsidRDefault="0004402F" w:rsidP="0004402F">
            <w:pPr>
              <w:tabs>
                <w:tab w:val="num" w:pos="1080"/>
              </w:tabs>
              <w:jc w:val="both"/>
              <w:rPr>
                <w:rFonts w:ascii="Times New Roman" w:hAnsi="Times New Roman"/>
                <w:bCs/>
                <w:sz w:val="24"/>
                <w:szCs w:val="20"/>
                <w:lang w:eastAsia="sk-SK"/>
              </w:rPr>
            </w:pPr>
          </w:p>
        </w:tc>
      </w:tr>
      <w:tr w:rsidR="0004402F" w:rsidTr="0004402F">
        <w:tc>
          <w:tcPr>
            <w:tcW w:w="4957" w:type="dxa"/>
            <w:shd w:val="clear" w:color="auto" w:fill="BFBFBF" w:themeFill="background1" w:themeFillShade="BF"/>
          </w:tcPr>
          <w:p w:rsidR="0004402F" w:rsidRDefault="0004402F" w:rsidP="0004402F">
            <w:pPr>
              <w:tabs>
                <w:tab w:val="num" w:pos="1080"/>
              </w:tabs>
              <w:jc w:val="both"/>
              <w:rPr>
                <w:rFonts w:ascii="Times New Roman" w:hAnsi="Times New Roman"/>
                <w:bCs/>
                <w:sz w:val="24"/>
                <w:szCs w:val="20"/>
                <w:lang w:eastAsia="sk-SK"/>
              </w:rPr>
            </w:pPr>
            <w:r w:rsidRPr="007D5748">
              <w:rPr>
                <w:rFonts w:ascii="Times New Roman" w:hAnsi="Times New Roman"/>
                <w:b/>
                <w:bCs/>
                <w:sz w:val="24"/>
                <w:szCs w:val="24"/>
                <w:lang w:eastAsia="sk-SK"/>
              </w:rPr>
              <w:t>Dopad na príjmy verejnej správy celkom</w:t>
            </w:r>
          </w:p>
        </w:tc>
        <w:tc>
          <w:tcPr>
            <w:tcW w:w="1417" w:type="dxa"/>
            <w:shd w:val="clear" w:color="auto" w:fill="BFBFBF" w:themeFill="background1" w:themeFillShade="BF"/>
          </w:tcPr>
          <w:p w:rsidR="0004402F" w:rsidRPr="00396C96" w:rsidRDefault="0004402F" w:rsidP="0004402F">
            <w:pPr>
              <w:tabs>
                <w:tab w:val="num" w:pos="1080"/>
              </w:tabs>
              <w:jc w:val="center"/>
              <w:rPr>
                <w:rFonts w:ascii="Times New Roman" w:hAnsi="Times New Roman"/>
                <w:b/>
                <w:bCs/>
                <w:sz w:val="24"/>
                <w:szCs w:val="24"/>
                <w:lang w:eastAsia="sk-SK"/>
              </w:rPr>
            </w:pPr>
            <w:r w:rsidRPr="00396C96">
              <w:rPr>
                <w:rFonts w:ascii="Times New Roman" w:hAnsi="Times New Roman"/>
                <w:b/>
                <w:bCs/>
                <w:sz w:val="24"/>
                <w:szCs w:val="24"/>
                <w:lang w:eastAsia="sk-SK"/>
              </w:rPr>
              <w:t>0</w:t>
            </w:r>
          </w:p>
        </w:tc>
        <w:tc>
          <w:tcPr>
            <w:tcW w:w="1559" w:type="dxa"/>
            <w:shd w:val="clear" w:color="auto" w:fill="BFBFBF" w:themeFill="background1" w:themeFillShade="BF"/>
            <w:vAlign w:val="bottom"/>
          </w:tcPr>
          <w:p w:rsidR="0004402F" w:rsidRPr="00396C96" w:rsidRDefault="0004402F" w:rsidP="0004402F">
            <w:pPr>
              <w:tabs>
                <w:tab w:val="num" w:pos="1080"/>
              </w:tabs>
              <w:jc w:val="center"/>
              <w:rPr>
                <w:rFonts w:ascii="Times New Roman" w:hAnsi="Times New Roman"/>
                <w:b/>
                <w:bCs/>
                <w:sz w:val="24"/>
                <w:szCs w:val="24"/>
                <w:lang w:eastAsia="sk-SK"/>
              </w:rPr>
            </w:pPr>
            <w:r>
              <w:rPr>
                <w:rFonts w:ascii="Times New Roman" w:hAnsi="Times New Roman"/>
                <w:b/>
                <w:bCs/>
                <w:color w:val="000000"/>
                <w:sz w:val="24"/>
                <w:szCs w:val="24"/>
              </w:rPr>
              <w:t>23 152 500</w:t>
            </w:r>
          </w:p>
        </w:tc>
        <w:tc>
          <w:tcPr>
            <w:tcW w:w="1560" w:type="dxa"/>
            <w:shd w:val="clear" w:color="auto" w:fill="BFBFBF" w:themeFill="background1" w:themeFillShade="BF"/>
            <w:vAlign w:val="bottom"/>
          </w:tcPr>
          <w:p w:rsidR="0004402F" w:rsidRPr="00396C96" w:rsidRDefault="0004402F" w:rsidP="0004402F">
            <w:pPr>
              <w:tabs>
                <w:tab w:val="num" w:pos="1080"/>
              </w:tabs>
              <w:jc w:val="center"/>
              <w:rPr>
                <w:rFonts w:ascii="Times New Roman" w:hAnsi="Times New Roman"/>
                <w:b/>
                <w:bCs/>
                <w:sz w:val="24"/>
                <w:szCs w:val="24"/>
                <w:lang w:eastAsia="sk-SK"/>
              </w:rPr>
            </w:pPr>
            <w:r>
              <w:rPr>
                <w:rFonts w:ascii="Times New Roman" w:hAnsi="Times New Roman"/>
                <w:b/>
                <w:bCs/>
                <w:sz w:val="24"/>
                <w:szCs w:val="24"/>
                <w:lang w:eastAsia="sk-SK"/>
              </w:rPr>
              <w:t>30 517 000</w:t>
            </w:r>
          </w:p>
        </w:tc>
        <w:tc>
          <w:tcPr>
            <w:tcW w:w="1559" w:type="dxa"/>
            <w:shd w:val="clear" w:color="auto" w:fill="BFBFBF" w:themeFill="background1" w:themeFillShade="BF"/>
            <w:vAlign w:val="center"/>
          </w:tcPr>
          <w:p w:rsidR="0004402F" w:rsidRPr="00396C96" w:rsidRDefault="0004402F" w:rsidP="0004402F">
            <w:pPr>
              <w:tabs>
                <w:tab w:val="num" w:pos="1080"/>
              </w:tabs>
              <w:jc w:val="center"/>
              <w:rPr>
                <w:rFonts w:ascii="Times New Roman" w:hAnsi="Times New Roman"/>
                <w:b/>
                <w:bCs/>
                <w:sz w:val="24"/>
                <w:szCs w:val="24"/>
                <w:lang w:eastAsia="sk-SK"/>
              </w:rPr>
            </w:pPr>
            <w:r>
              <w:rPr>
                <w:rFonts w:ascii="Times New Roman" w:hAnsi="Times New Roman"/>
                <w:b/>
                <w:bCs/>
                <w:sz w:val="24"/>
                <w:szCs w:val="24"/>
                <w:lang w:eastAsia="sk-SK"/>
              </w:rPr>
              <w:t>22 625 500</w:t>
            </w:r>
          </w:p>
        </w:tc>
        <w:tc>
          <w:tcPr>
            <w:tcW w:w="2977" w:type="dxa"/>
            <w:shd w:val="clear" w:color="auto" w:fill="BFBFBF" w:themeFill="background1" w:themeFillShade="BF"/>
          </w:tcPr>
          <w:p w:rsidR="0004402F" w:rsidRDefault="0004402F" w:rsidP="0004402F">
            <w:pPr>
              <w:tabs>
                <w:tab w:val="num" w:pos="1080"/>
              </w:tabs>
              <w:jc w:val="both"/>
              <w:rPr>
                <w:rFonts w:ascii="Times New Roman" w:hAnsi="Times New Roman"/>
                <w:bCs/>
                <w:sz w:val="24"/>
                <w:szCs w:val="20"/>
                <w:lang w:eastAsia="sk-SK"/>
              </w:rPr>
            </w:pPr>
          </w:p>
        </w:tc>
      </w:tr>
    </w:tbl>
    <w:p w:rsidR="0004402F" w:rsidRDefault="0004402F" w:rsidP="0004402F">
      <w:pPr>
        <w:tabs>
          <w:tab w:val="num" w:pos="1080"/>
        </w:tabs>
        <w:spacing w:after="0" w:line="240" w:lineRule="auto"/>
        <w:ind w:right="-32"/>
        <w:jc w:val="right"/>
        <w:rPr>
          <w:rFonts w:ascii="Times New Roman" w:hAnsi="Times New Roman"/>
          <w:bCs/>
          <w:sz w:val="24"/>
          <w:szCs w:val="24"/>
          <w:lang w:eastAsia="sk-SK"/>
        </w:rPr>
      </w:pPr>
      <w:r>
        <w:rPr>
          <w:rFonts w:ascii="Times New Roman" w:hAnsi="Times New Roman"/>
          <w:bCs/>
          <w:sz w:val="24"/>
          <w:szCs w:val="24"/>
          <w:lang w:eastAsia="sk-SK"/>
        </w:rPr>
        <w:t xml:space="preserve"> </w:t>
      </w:r>
    </w:p>
    <w:tbl>
      <w:tblPr>
        <w:tblStyle w:val="Mriekatabuky"/>
        <w:tblW w:w="14029" w:type="dxa"/>
        <w:tblLook w:val="04A0" w:firstRow="1" w:lastRow="0" w:firstColumn="1" w:lastColumn="0" w:noHBand="0" w:noVBand="1"/>
      </w:tblPr>
      <w:tblGrid>
        <w:gridCol w:w="4957"/>
        <w:gridCol w:w="1417"/>
        <w:gridCol w:w="1559"/>
        <w:gridCol w:w="1560"/>
        <w:gridCol w:w="1559"/>
        <w:gridCol w:w="2977"/>
      </w:tblGrid>
      <w:tr w:rsidR="0004402F" w:rsidTr="0004402F">
        <w:tc>
          <w:tcPr>
            <w:tcW w:w="4957" w:type="dxa"/>
            <w:vMerge w:val="restart"/>
            <w:shd w:val="clear" w:color="auto" w:fill="BFBFBF" w:themeFill="background1" w:themeFillShade="BF"/>
            <w:vAlign w:val="center"/>
          </w:tcPr>
          <w:p w:rsidR="0004402F" w:rsidRDefault="0004402F" w:rsidP="0004402F">
            <w:pPr>
              <w:tabs>
                <w:tab w:val="num" w:pos="1080"/>
              </w:tabs>
              <w:jc w:val="center"/>
              <w:rPr>
                <w:rFonts w:ascii="Times New Roman" w:hAnsi="Times New Roman"/>
                <w:bCs/>
                <w:sz w:val="24"/>
                <w:szCs w:val="20"/>
                <w:lang w:eastAsia="sk-SK"/>
              </w:rPr>
            </w:pPr>
            <w:r w:rsidRPr="007D5748">
              <w:rPr>
                <w:rFonts w:ascii="Times New Roman" w:hAnsi="Times New Roman"/>
                <w:b/>
                <w:bCs/>
                <w:sz w:val="24"/>
                <w:szCs w:val="24"/>
                <w:lang w:eastAsia="sk-SK"/>
              </w:rPr>
              <w:t>Príjmy (v</w:t>
            </w:r>
            <w:r>
              <w:rPr>
                <w:rFonts w:ascii="Times New Roman" w:hAnsi="Times New Roman"/>
                <w:b/>
                <w:bCs/>
                <w:sz w:val="24"/>
                <w:szCs w:val="24"/>
                <w:lang w:eastAsia="sk-SK"/>
              </w:rPr>
              <w:t xml:space="preserve"> </w:t>
            </w:r>
            <w:r w:rsidRPr="007D5748">
              <w:rPr>
                <w:rFonts w:ascii="Times New Roman" w:hAnsi="Times New Roman"/>
                <w:b/>
                <w:bCs/>
                <w:sz w:val="24"/>
                <w:szCs w:val="24"/>
                <w:lang w:eastAsia="sk-SK"/>
              </w:rPr>
              <w:t>eur</w:t>
            </w:r>
            <w:r>
              <w:rPr>
                <w:rFonts w:ascii="Times New Roman" w:hAnsi="Times New Roman"/>
                <w:b/>
                <w:bCs/>
                <w:sz w:val="24"/>
                <w:szCs w:val="24"/>
                <w:lang w:eastAsia="sk-SK"/>
              </w:rPr>
              <w:t>ách</w:t>
            </w:r>
            <w:r w:rsidRPr="007D5748">
              <w:rPr>
                <w:rFonts w:ascii="Times New Roman" w:hAnsi="Times New Roman"/>
                <w:b/>
                <w:bCs/>
                <w:sz w:val="24"/>
                <w:szCs w:val="24"/>
                <w:lang w:eastAsia="sk-SK"/>
              </w:rPr>
              <w:t>)</w:t>
            </w:r>
            <w:r>
              <w:rPr>
                <w:rFonts w:ascii="Times New Roman" w:hAnsi="Times New Roman"/>
                <w:b/>
                <w:bCs/>
                <w:sz w:val="24"/>
                <w:szCs w:val="24"/>
                <w:lang w:eastAsia="sk-SK"/>
              </w:rPr>
              <w:t xml:space="preserve"> - cash</w:t>
            </w:r>
          </w:p>
        </w:tc>
        <w:tc>
          <w:tcPr>
            <w:tcW w:w="6095" w:type="dxa"/>
            <w:gridSpan w:val="4"/>
            <w:shd w:val="clear" w:color="auto" w:fill="BFBFBF" w:themeFill="background1" w:themeFillShade="BF"/>
          </w:tcPr>
          <w:p w:rsidR="0004402F" w:rsidRDefault="0004402F" w:rsidP="0004402F">
            <w:pPr>
              <w:tabs>
                <w:tab w:val="num" w:pos="1080"/>
              </w:tabs>
              <w:jc w:val="center"/>
              <w:rPr>
                <w:rFonts w:ascii="Times New Roman" w:hAnsi="Times New Roman"/>
                <w:bCs/>
                <w:sz w:val="24"/>
                <w:szCs w:val="20"/>
                <w:lang w:eastAsia="sk-SK"/>
              </w:rPr>
            </w:pPr>
            <w:r w:rsidRPr="007D5748">
              <w:rPr>
                <w:rFonts w:ascii="Times New Roman" w:hAnsi="Times New Roman"/>
                <w:b/>
                <w:bCs/>
                <w:sz w:val="24"/>
                <w:szCs w:val="24"/>
                <w:lang w:eastAsia="sk-SK"/>
              </w:rPr>
              <w:t>Vplyv na rozpočet verejnej správy</w:t>
            </w:r>
          </w:p>
        </w:tc>
        <w:tc>
          <w:tcPr>
            <w:tcW w:w="2977" w:type="dxa"/>
            <w:vMerge w:val="restart"/>
            <w:shd w:val="clear" w:color="auto" w:fill="BFBFBF" w:themeFill="background1" w:themeFillShade="BF"/>
            <w:vAlign w:val="center"/>
          </w:tcPr>
          <w:p w:rsidR="0004402F" w:rsidRDefault="0004402F" w:rsidP="0004402F">
            <w:pPr>
              <w:tabs>
                <w:tab w:val="num" w:pos="1080"/>
              </w:tabs>
              <w:jc w:val="center"/>
              <w:rPr>
                <w:rFonts w:ascii="Times New Roman" w:hAnsi="Times New Roman"/>
                <w:bCs/>
                <w:sz w:val="24"/>
                <w:szCs w:val="20"/>
                <w:lang w:eastAsia="sk-SK"/>
              </w:rPr>
            </w:pPr>
            <w:r w:rsidRPr="007D5748">
              <w:rPr>
                <w:rFonts w:ascii="Times New Roman" w:hAnsi="Times New Roman"/>
                <w:b/>
                <w:bCs/>
                <w:sz w:val="24"/>
                <w:szCs w:val="24"/>
                <w:lang w:eastAsia="sk-SK"/>
              </w:rPr>
              <w:t>poznámka</w:t>
            </w:r>
          </w:p>
        </w:tc>
      </w:tr>
      <w:tr w:rsidR="0004402F" w:rsidTr="0004402F">
        <w:tc>
          <w:tcPr>
            <w:tcW w:w="4957" w:type="dxa"/>
            <w:vMerge/>
            <w:shd w:val="clear" w:color="auto" w:fill="BFBFBF" w:themeFill="background1" w:themeFillShade="BF"/>
          </w:tcPr>
          <w:p w:rsidR="0004402F" w:rsidRDefault="0004402F" w:rsidP="0004402F">
            <w:pPr>
              <w:tabs>
                <w:tab w:val="num" w:pos="1080"/>
              </w:tabs>
              <w:jc w:val="both"/>
              <w:rPr>
                <w:rFonts w:ascii="Times New Roman" w:hAnsi="Times New Roman"/>
                <w:bCs/>
                <w:sz w:val="24"/>
                <w:szCs w:val="20"/>
                <w:lang w:eastAsia="sk-SK"/>
              </w:rPr>
            </w:pPr>
          </w:p>
        </w:tc>
        <w:tc>
          <w:tcPr>
            <w:tcW w:w="1417" w:type="dxa"/>
            <w:shd w:val="clear" w:color="auto" w:fill="BFBFBF" w:themeFill="background1" w:themeFillShade="BF"/>
          </w:tcPr>
          <w:p w:rsidR="0004402F" w:rsidRPr="00526826" w:rsidRDefault="0004402F" w:rsidP="0004402F">
            <w:pPr>
              <w:tabs>
                <w:tab w:val="num" w:pos="1080"/>
              </w:tabs>
              <w:jc w:val="center"/>
              <w:rPr>
                <w:rFonts w:ascii="Times New Roman" w:hAnsi="Times New Roman"/>
                <w:b/>
                <w:bCs/>
                <w:sz w:val="24"/>
                <w:szCs w:val="20"/>
                <w:lang w:eastAsia="sk-SK"/>
              </w:rPr>
            </w:pPr>
            <w:r>
              <w:rPr>
                <w:rFonts w:ascii="Times New Roman" w:hAnsi="Times New Roman"/>
                <w:b/>
                <w:bCs/>
                <w:sz w:val="24"/>
                <w:szCs w:val="24"/>
                <w:lang w:eastAsia="sk-SK"/>
              </w:rPr>
              <w:t>2022</w:t>
            </w:r>
          </w:p>
        </w:tc>
        <w:tc>
          <w:tcPr>
            <w:tcW w:w="1559" w:type="dxa"/>
            <w:shd w:val="clear" w:color="auto" w:fill="BFBFBF" w:themeFill="background1" w:themeFillShade="BF"/>
          </w:tcPr>
          <w:p w:rsidR="0004402F" w:rsidRPr="00526826" w:rsidRDefault="0004402F" w:rsidP="0004402F">
            <w:pPr>
              <w:tabs>
                <w:tab w:val="num" w:pos="1080"/>
              </w:tabs>
              <w:jc w:val="center"/>
              <w:rPr>
                <w:rFonts w:ascii="Times New Roman" w:hAnsi="Times New Roman"/>
                <w:b/>
                <w:bCs/>
                <w:sz w:val="24"/>
                <w:szCs w:val="20"/>
                <w:lang w:eastAsia="sk-SK"/>
              </w:rPr>
            </w:pPr>
            <w:r>
              <w:rPr>
                <w:rFonts w:ascii="Times New Roman" w:hAnsi="Times New Roman"/>
                <w:b/>
                <w:bCs/>
                <w:sz w:val="24"/>
                <w:szCs w:val="24"/>
                <w:lang w:eastAsia="sk-SK"/>
              </w:rPr>
              <w:t>2023</w:t>
            </w:r>
          </w:p>
        </w:tc>
        <w:tc>
          <w:tcPr>
            <w:tcW w:w="1560" w:type="dxa"/>
            <w:shd w:val="clear" w:color="auto" w:fill="BFBFBF" w:themeFill="background1" w:themeFillShade="BF"/>
          </w:tcPr>
          <w:p w:rsidR="0004402F" w:rsidRPr="00526826" w:rsidRDefault="0004402F" w:rsidP="0004402F">
            <w:pPr>
              <w:tabs>
                <w:tab w:val="num" w:pos="1080"/>
              </w:tabs>
              <w:jc w:val="center"/>
              <w:rPr>
                <w:rFonts w:ascii="Times New Roman" w:hAnsi="Times New Roman"/>
                <w:b/>
                <w:bCs/>
                <w:sz w:val="24"/>
                <w:szCs w:val="20"/>
                <w:lang w:eastAsia="sk-SK"/>
              </w:rPr>
            </w:pPr>
            <w:r>
              <w:rPr>
                <w:rFonts w:ascii="Times New Roman" w:hAnsi="Times New Roman"/>
                <w:b/>
                <w:bCs/>
                <w:sz w:val="24"/>
                <w:szCs w:val="24"/>
                <w:lang w:eastAsia="sk-SK"/>
              </w:rPr>
              <w:t>2024</w:t>
            </w:r>
          </w:p>
        </w:tc>
        <w:tc>
          <w:tcPr>
            <w:tcW w:w="1559" w:type="dxa"/>
            <w:shd w:val="clear" w:color="auto" w:fill="BFBFBF" w:themeFill="background1" w:themeFillShade="BF"/>
          </w:tcPr>
          <w:p w:rsidR="0004402F" w:rsidRPr="00526826" w:rsidRDefault="0004402F" w:rsidP="0004402F">
            <w:pPr>
              <w:tabs>
                <w:tab w:val="num" w:pos="1080"/>
              </w:tabs>
              <w:jc w:val="center"/>
              <w:rPr>
                <w:rFonts w:ascii="Times New Roman" w:hAnsi="Times New Roman"/>
                <w:b/>
                <w:bCs/>
                <w:sz w:val="24"/>
                <w:szCs w:val="20"/>
                <w:lang w:eastAsia="sk-SK"/>
              </w:rPr>
            </w:pPr>
            <w:r>
              <w:rPr>
                <w:rFonts w:ascii="Times New Roman" w:hAnsi="Times New Roman"/>
                <w:b/>
                <w:bCs/>
                <w:sz w:val="24"/>
                <w:szCs w:val="24"/>
                <w:lang w:eastAsia="sk-SK"/>
              </w:rPr>
              <w:t>2025</w:t>
            </w:r>
          </w:p>
        </w:tc>
        <w:tc>
          <w:tcPr>
            <w:tcW w:w="2977" w:type="dxa"/>
            <w:vMerge/>
            <w:shd w:val="clear" w:color="auto" w:fill="BFBFBF" w:themeFill="background1" w:themeFillShade="BF"/>
          </w:tcPr>
          <w:p w:rsidR="0004402F" w:rsidRDefault="0004402F" w:rsidP="0004402F">
            <w:pPr>
              <w:tabs>
                <w:tab w:val="num" w:pos="1080"/>
              </w:tabs>
              <w:jc w:val="both"/>
              <w:rPr>
                <w:rFonts w:ascii="Times New Roman" w:hAnsi="Times New Roman"/>
                <w:bCs/>
                <w:sz w:val="24"/>
                <w:szCs w:val="20"/>
                <w:lang w:eastAsia="sk-SK"/>
              </w:rPr>
            </w:pPr>
          </w:p>
        </w:tc>
      </w:tr>
      <w:tr w:rsidR="0004402F" w:rsidTr="0004402F">
        <w:tc>
          <w:tcPr>
            <w:tcW w:w="4957" w:type="dxa"/>
            <w:shd w:val="clear" w:color="auto" w:fill="FFFFFF" w:themeFill="background1"/>
          </w:tcPr>
          <w:p w:rsidR="0004402F" w:rsidRDefault="0004402F" w:rsidP="0004402F">
            <w:pPr>
              <w:tabs>
                <w:tab w:val="num" w:pos="1080"/>
              </w:tabs>
              <w:jc w:val="both"/>
              <w:rPr>
                <w:rFonts w:ascii="Times New Roman" w:hAnsi="Times New Roman"/>
                <w:bCs/>
                <w:sz w:val="24"/>
                <w:szCs w:val="20"/>
                <w:lang w:eastAsia="sk-SK"/>
              </w:rPr>
            </w:pPr>
            <w:r w:rsidRPr="007D5748">
              <w:rPr>
                <w:rFonts w:ascii="Times New Roman" w:hAnsi="Times New Roman"/>
                <w:b/>
                <w:bCs/>
                <w:sz w:val="24"/>
                <w:szCs w:val="24"/>
                <w:lang w:eastAsia="sk-SK"/>
              </w:rPr>
              <w:t>Daňové príjmy (100)</w:t>
            </w:r>
            <w:r w:rsidRPr="007D5748">
              <w:rPr>
                <w:rFonts w:ascii="Times New Roman" w:hAnsi="Times New Roman"/>
                <w:b/>
                <w:bCs/>
                <w:sz w:val="24"/>
                <w:szCs w:val="24"/>
                <w:vertAlign w:val="superscript"/>
                <w:lang w:eastAsia="sk-SK"/>
              </w:rPr>
              <w:t>1</w:t>
            </w:r>
          </w:p>
        </w:tc>
        <w:tc>
          <w:tcPr>
            <w:tcW w:w="1417" w:type="dxa"/>
            <w:shd w:val="clear" w:color="auto" w:fill="FFFFFF" w:themeFill="background1"/>
          </w:tcPr>
          <w:p w:rsidR="0004402F" w:rsidRPr="00396C96" w:rsidRDefault="0004402F" w:rsidP="0004402F">
            <w:pPr>
              <w:tabs>
                <w:tab w:val="num" w:pos="1080"/>
              </w:tabs>
              <w:jc w:val="center"/>
              <w:rPr>
                <w:rFonts w:ascii="Times New Roman" w:hAnsi="Times New Roman"/>
                <w:b/>
                <w:bCs/>
                <w:sz w:val="24"/>
                <w:szCs w:val="24"/>
                <w:lang w:eastAsia="sk-SK"/>
              </w:rPr>
            </w:pPr>
            <w:r w:rsidRPr="00396C96">
              <w:rPr>
                <w:rFonts w:ascii="Times New Roman" w:hAnsi="Times New Roman"/>
                <w:b/>
                <w:bCs/>
                <w:sz w:val="24"/>
                <w:szCs w:val="24"/>
                <w:lang w:eastAsia="sk-SK"/>
              </w:rPr>
              <w:t>0</w:t>
            </w:r>
          </w:p>
        </w:tc>
        <w:tc>
          <w:tcPr>
            <w:tcW w:w="1559" w:type="dxa"/>
            <w:shd w:val="clear" w:color="auto" w:fill="FFFFFF" w:themeFill="background1"/>
            <w:vAlign w:val="bottom"/>
          </w:tcPr>
          <w:p w:rsidR="0004402F" w:rsidRPr="00396C96" w:rsidRDefault="0004402F" w:rsidP="0004402F">
            <w:pPr>
              <w:tabs>
                <w:tab w:val="num" w:pos="1080"/>
              </w:tabs>
              <w:jc w:val="center"/>
              <w:rPr>
                <w:rFonts w:ascii="Times New Roman" w:hAnsi="Times New Roman"/>
                <w:b/>
                <w:bCs/>
                <w:sz w:val="24"/>
                <w:szCs w:val="24"/>
                <w:lang w:eastAsia="sk-SK"/>
              </w:rPr>
            </w:pPr>
            <w:r>
              <w:rPr>
                <w:rFonts w:ascii="Times New Roman" w:hAnsi="Times New Roman"/>
                <w:b/>
                <w:bCs/>
                <w:color w:val="000000"/>
                <w:sz w:val="24"/>
                <w:szCs w:val="24"/>
              </w:rPr>
              <w:t>0</w:t>
            </w:r>
          </w:p>
        </w:tc>
        <w:tc>
          <w:tcPr>
            <w:tcW w:w="1560" w:type="dxa"/>
            <w:shd w:val="clear" w:color="auto" w:fill="FFFFFF" w:themeFill="background1"/>
            <w:vAlign w:val="bottom"/>
          </w:tcPr>
          <w:p w:rsidR="0004402F" w:rsidRPr="00396C96" w:rsidRDefault="0004402F" w:rsidP="0004402F">
            <w:pPr>
              <w:tabs>
                <w:tab w:val="num" w:pos="1080"/>
              </w:tabs>
              <w:jc w:val="center"/>
              <w:rPr>
                <w:rFonts w:ascii="Times New Roman" w:hAnsi="Times New Roman"/>
                <w:b/>
                <w:bCs/>
                <w:sz w:val="24"/>
                <w:szCs w:val="24"/>
                <w:lang w:eastAsia="sk-SK"/>
              </w:rPr>
            </w:pPr>
            <w:r w:rsidRPr="00396C96">
              <w:rPr>
                <w:rFonts w:ascii="Times New Roman" w:hAnsi="Times New Roman"/>
                <w:b/>
                <w:bCs/>
                <w:sz w:val="24"/>
                <w:szCs w:val="24"/>
                <w:lang w:eastAsia="sk-SK"/>
              </w:rPr>
              <w:t>34 728 750</w:t>
            </w:r>
          </w:p>
        </w:tc>
        <w:tc>
          <w:tcPr>
            <w:tcW w:w="1559" w:type="dxa"/>
            <w:shd w:val="clear" w:color="auto" w:fill="FFFFFF" w:themeFill="background1"/>
            <w:vAlign w:val="center"/>
          </w:tcPr>
          <w:p w:rsidR="0004402F" w:rsidRPr="00396C96" w:rsidRDefault="0004402F" w:rsidP="0004402F">
            <w:pPr>
              <w:tabs>
                <w:tab w:val="num" w:pos="1080"/>
              </w:tabs>
              <w:jc w:val="center"/>
              <w:rPr>
                <w:rFonts w:ascii="Times New Roman" w:hAnsi="Times New Roman"/>
                <w:b/>
                <w:bCs/>
                <w:sz w:val="24"/>
                <w:szCs w:val="24"/>
                <w:lang w:eastAsia="sk-SK"/>
              </w:rPr>
            </w:pPr>
            <w:r>
              <w:rPr>
                <w:rFonts w:ascii="Times New Roman" w:hAnsi="Times New Roman"/>
                <w:b/>
                <w:bCs/>
                <w:sz w:val="24"/>
                <w:szCs w:val="24"/>
                <w:lang w:eastAsia="sk-SK"/>
              </w:rPr>
              <w:t>34 199 250</w:t>
            </w:r>
          </w:p>
        </w:tc>
        <w:tc>
          <w:tcPr>
            <w:tcW w:w="2977" w:type="dxa"/>
            <w:vMerge w:val="restart"/>
            <w:shd w:val="clear" w:color="auto" w:fill="FFFFFF" w:themeFill="background1"/>
          </w:tcPr>
          <w:p w:rsidR="0004402F" w:rsidRPr="00A97B22" w:rsidRDefault="0004402F" w:rsidP="0004402F">
            <w:pPr>
              <w:tabs>
                <w:tab w:val="num" w:pos="1080"/>
              </w:tabs>
              <w:jc w:val="both"/>
              <w:rPr>
                <w:rFonts w:ascii="Times New Roman" w:hAnsi="Times New Roman"/>
                <w:bCs/>
                <w:sz w:val="24"/>
                <w:szCs w:val="20"/>
                <w:lang w:eastAsia="sk-SK"/>
              </w:rPr>
            </w:pPr>
            <w:r w:rsidRPr="00664314">
              <w:rPr>
                <w:rFonts w:ascii="Times New Roman" w:hAnsi="Times New Roman"/>
                <w:lang w:eastAsia="sk-SK"/>
              </w:rPr>
              <w:t>Neočakáva sa nárast cash príjmov v roku 202</w:t>
            </w:r>
            <w:r>
              <w:rPr>
                <w:rFonts w:ascii="Times New Roman" w:hAnsi="Times New Roman"/>
                <w:lang w:eastAsia="sk-SK"/>
              </w:rPr>
              <w:t>3</w:t>
            </w:r>
            <w:r w:rsidRPr="00664314">
              <w:rPr>
                <w:rFonts w:ascii="Times New Roman" w:hAnsi="Times New Roman"/>
                <w:lang w:eastAsia="sk-SK"/>
              </w:rPr>
              <w:t xml:space="preserve"> a to z dôvodu, že ide o daň z</w:t>
            </w:r>
            <w:r>
              <w:rPr>
                <w:rFonts w:ascii="Times New Roman" w:hAnsi="Times New Roman"/>
                <w:lang w:eastAsia="sk-SK"/>
              </w:rPr>
              <w:t> </w:t>
            </w:r>
            <w:r w:rsidRPr="00664314">
              <w:rPr>
                <w:rFonts w:ascii="Times New Roman" w:hAnsi="Times New Roman"/>
                <w:lang w:eastAsia="sk-SK"/>
              </w:rPr>
              <w:t>príjmov</w:t>
            </w:r>
            <w:r>
              <w:rPr>
                <w:rFonts w:ascii="Times New Roman" w:hAnsi="Times New Roman"/>
                <w:lang w:eastAsia="sk-SK"/>
              </w:rPr>
              <w:t xml:space="preserve"> právnických osôb</w:t>
            </w:r>
            <w:r w:rsidRPr="00664314">
              <w:rPr>
                <w:rFonts w:ascii="Times New Roman" w:hAnsi="Times New Roman"/>
                <w:lang w:eastAsia="sk-SK"/>
              </w:rPr>
              <w:t>, kde sa hotovostne vplyv prvýkrát prejaví až v roku 202</w:t>
            </w:r>
            <w:r>
              <w:rPr>
                <w:rFonts w:ascii="Times New Roman" w:hAnsi="Times New Roman"/>
                <w:lang w:eastAsia="sk-SK"/>
              </w:rPr>
              <w:t>4</w:t>
            </w:r>
            <w:r w:rsidRPr="00664314">
              <w:rPr>
                <w:rFonts w:ascii="Times New Roman" w:hAnsi="Times New Roman"/>
                <w:lang w:eastAsia="sk-SK"/>
              </w:rPr>
              <w:t>, kde bude podané daňové priznanie za rok 202</w:t>
            </w:r>
            <w:r>
              <w:rPr>
                <w:rFonts w:ascii="Times New Roman" w:hAnsi="Times New Roman"/>
                <w:lang w:eastAsia="sk-SK"/>
              </w:rPr>
              <w:t>3</w:t>
            </w:r>
            <w:r w:rsidRPr="00664314">
              <w:rPr>
                <w:rFonts w:ascii="Times New Roman" w:hAnsi="Times New Roman"/>
                <w:lang w:eastAsia="sk-SK"/>
              </w:rPr>
              <w:t xml:space="preserve"> a subjekt zaplatí vyrovnanie dane. Následne sa mu upraví preddavková povinnosť, ktorá už bude obsahovať aj uvedenú legislatívnu zmenu.</w:t>
            </w:r>
          </w:p>
        </w:tc>
      </w:tr>
      <w:tr w:rsidR="0004402F" w:rsidTr="0004402F">
        <w:tc>
          <w:tcPr>
            <w:tcW w:w="4957" w:type="dxa"/>
            <w:shd w:val="clear" w:color="auto" w:fill="FFFFFF" w:themeFill="background1"/>
          </w:tcPr>
          <w:p w:rsidR="0004402F" w:rsidRDefault="0004402F" w:rsidP="0004402F">
            <w:pPr>
              <w:tabs>
                <w:tab w:val="num" w:pos="1080"/>
              </w:tabs>
              <w:jc w:val="both"/>
              <w:rPr>
                <w:rFonts w:ascii="Times New Roman" w:hAnsi="Times New Roman"/>
                <w:bCs/>
                <w:sz w:val="24"/>
                <w:szCs w:val="20"/>
                <w:lang w:eastAsia="sk-SK"/>
              </w:rPr>
            </w:pPr>
            <w:r>
              <w:rPr>
                <w:rFonts w:ascii="Times New Roman" w:hAnsi="Times New Roman"/>
                <w:b/>
                <w:bCs/>
                <w:sz w:val="24"/>
                <w:szCs w:val="24"/>
                <w:lang w:eastAsia="sk-SK"/>
              </w:rPr>
              <w:t>DPPO (112)</w:t>
            </w:r>
          </w:p>
        </w:tc>
        <w:tc>
          <w:tcPr>
            <w:tcW w:w="1417" w:type="dxa"/>
            <w:shd w:val="clear" w:color="auto" w:fill="FFFFFF" w:themeFill="background1"/>
          </w:tcPr>
          <w:p w:rsidR="0004402F" w:rsidRPr="00396C96" w:rsidRDefault="0004402F" w:rsidP="0004402F">
            <w:pPr>
              <w:tabs>
                <w:tab w:val="num" w:pos="1080"/>
              </w:tabs>
              <w:jc w:val="center"/>
              <w:rPr>
                <w:rFonts w:ascii="Times New Roman" w:hAnsi="Times New Roman"/>
                <w:b/>
                <w:bCs/>
                <w:sz w:val="24"/>
                <w:szCs w:val="24"/>
                <w:lang w:eastAsia="sk-SK"/>
              </w:rPr>
            </w:pPr>
            <w:r w:rsidRPr="00396C96">
              <w:rPr>
                <w:rFonts w:ascii="Times New Roman" w:hAnsi="Times New Roman"/>
                <w:b/>
                <w:bCs/>
                <w:sz w:val="24"/>
                <w:szCs w:val="24"/>
                <w:lang w:eastAsia="sk-SK"/>
              </w:rPr>
              <w:t>0</w:t>
            </w:r>
          </w:p>
        </w:tc>
        <w:tc>
          <w:tcPr>
            <w:tcW w:w="1559" w:type="dxa"/>
            <w:shd w:val="clear" w:color="auto" w:fill="FFFFFF" w:themeFill="background1"/>
            <w:vAlign w:val="bottom"/>
          </w:tcPr>
          <w:p w:rsidR="0004402F" w:rsidRPr="00396C96" w:rsidRDefault="0004402F" w:rsidP="0004402F">
            <w:pPr>
              <w:tabs>
                <w:tab w:val="num" w:pos="1080"/>
              </w:tabs>
              <w:jc w:val="center"/>
              <w:rPr>
                <w:rFonts w:ascii="Times New Roman" w:hAnsi="Times New Roman"/>
                <w:b/>
                <w:bCs/>
                <w:sz w:val="24"/>
                <w:szCs w:val="24"/>
                <w:lang w:eastAsia="sk-SK"/>
              </w:rPr>
            </w:pPr>
            <w:r>
              <w:rPr>
                <w:rFonts w:ascii="Times New Roman" w:hAnsi="Times New Roman"/>
                <w:b/>
                <w:bCs/>
                <w:color w:val="000000"/>
                <w:sz w:val="24"/>
                <w:szCs w:val="24"/>
              </w:rPr>
              <w:t>0</w:t>
            </w:r>
          </w:p>
        </w:tc>
        <w:tc>
          <w:tcPr>
            <w:tcW w:w="1560" w:type="dxa"/>
            <w:shd w:val="clear" w:color="auto" w:fill="FFFFFF" w:themeFill="background1"/>
            <w:vAlign w:val="bottom"/>
          </w:tcPr>
          <w:p w:rsidR="0004402F" w:rsidRPr="00396C96" w:rsidRDefault="0004402F" w:rsidP="0004402F">
            <w:pPr>
              <w:tabs>
                <w:tab w:val="num" w:pos="1080"/>
              </w:tabs>
              <w:jc w:val="center"/>
              <w:rPr>
                <w:rFonts w:ascii="Times New Roman" w:hAnsi="Times New Roman"/>
                <w:b/>
                <w:bCs/>
                <w:sz w:val="24"/>
                <w:szCs w:val="24"/>
                <w:lang w:eastAsia="sk-SK"/>
              </w:rPr>
            </w:pPr>
            <w:r w:rsidRPr="00396C96">
              <w:rPr>
                <w:rFonts w:ascii="Times New Roman" w:hAnsi="Times New Roman"/>
                <w:b/>
                <w:bCs/>
                <w:sz w:val="24"/>
                <w:szCs w:val="24"/>
                <w:lang w:eastAsia="sk-SK"/>
              </w:rPr>
              <w:t>34 728 750</w:t>
            </w:r>
          </w:p>
        </w:tc>
        <w:tc>
          <w:tcPr>
            <w:tcW w:w="1559" w:type="dxa"/>
            <w:shd w:val="clear" w:color="auto" w:fill="FFFFFF" w:themeFill="background1"/>
            <w:vAlign w:val="bottom"/>
          </w:tcPr>
          <w:p w:rsidR="0004402F" w:rsidRPr="00396C96" w:rsidRDefault="0004402F" w:rsidP="0004402F">
            <w:pPr>
              <w:tabs>
                <w:tab w:val="num" w:pos="1080"/>
              </w:tabs>
              <w:jc w:val="center"/>
              <w:rPr>
                <w:rFonts w:ascii="Times New Roman" w:hAnsi="Times New Roman"/>
                <w:b/>
                <w:bCs/>
                <w:sz w:val="24"/>
                <w:szCs w:val="24"/>
                <w:lang w:eastAsia="sk-SK"/>
              </w:rPr>
            </w:pPr>
            <w:r>
              <w:rPr>
                <w:rFonts w:ascii="Times New Roman" w:hAnsi="Times New Roman"/>
                <w:b/>
                <w:bCs/>
                <w:sz w:val="24"/>
                <w:szCs w:val="24"/>
                <w:lang w:eastAsia="sk-SK"/>
              </w:rPr>
              <w:t>34 199 250</w:t>
            </w:r>
          </w:p>
        </w:tc>
        <w:tc>
          <w:tcPr>
            <w:tcW w:w="2977" w:type="dxa"/>
            <w:vMerge/>
            <w:shd w:val="clear" w:color="auto" w:fill="FFFFFF" w:themeFill="background1"/>
          </w:tcPr>
          <w:p w:rsidR="0004402F" w:rsidRDefault="0004402F" w:rsidP="0004402F">
            <w:pPr>
              <w:tabs>
                <w:tab w:val="num" w:pos="1080"/>
              </w:tabs>
              <w:jc w:val="both"/>
              <w:rPr>
                <w:rFonts w:ascii="Times New Roman" w:hAnsi="Times New Roman"/>
                <w:bCs/>
                <w:sz w:val="24"/>
                <w:szCs w:val="20"/>
                <w:lang w:eastAsia="sk-SK"/>
              </w:rPr>
            </w:pPr>
          </w:p>
        </w:tc>
      </w:tr>
      <w:tr w:rsidR="0004402F" w:rsidTr="0004402F">
        <w:tc>
          <w:tcPr>
            <w:tcW w:w="4957" w:type="dxa"/>
            <w:shd w:val="clear" w:color="auto" w:fill="FFFFFF" w:themeFill="background1"/>
            <w:vAlign w:val="center"/>
          </w:tcPr>
          <w:p w:rsidR="0004402F" w:rsidRDefault="0004402F" w:rsidP="0004402F">
            <w:pPr>
              <w:tabs>
                <w:tab w:val="num" w:pos="1080"/>
              </w:tabs>
              <w:ind w:left="1156" w:hanging="1156"/>
              <w:jc w:val="both"/>
              <w:rPr>
                <w:rFonts w:ascii="Times New Roman" w:hAnsi="Times New Roman"/>
                <w:bCs/>
                <w:i/>
                <w:iCs/>
                <w:sz w:val="24"/>
                <w:szCs w:val="24"/>
                <w:lang w:eastAsia="sk-SK"/>
              </w:rPr>
            </w:pPr>
            <w:r>
              <w:rPr>
                <w:rFonts w:ascii="Times New Roman" w:hAnsi="Times New Roman"/>
                <w:bCs/>
                <w:i/>
                <w:iCs/>
                <w:sz w:val="24"/>
                <w:szCs w:val="24"/>
                <w:lang w:eastAsia="sk-SK"/>
              </w:rPr>
              <w:t>z toho: zavedenie pravidla o obmedzení úrokových nákladov</w:t>
            </w:r>
          </w:p>
        </w:tc>
        <w:tc>
          <w:tcPr>
            <w:tcW w:w="1417" w:type="dxa"/>
            <w:shd w:val="clear" w:color="auto" w:fill="FFFFFF" w:themeFill="background1"/>
            <w:vAlign w:val="center"/>
          </w:tcPr>
          <w:p w:rsidR="0004402F" w:rsidRPr="00396C96" w:rsidRDefault="0004402F" w:rsidP="0004402F">
            <w:pPr>
              <w:tabs>
                <w:tab w:val="num" w:pos="1080"/>
              </w:tabs>
              <w:jc w:val="center"/>
              <w:rPr>
                <w:rFonts w:ascii="Times New Roman" w:hAnsi="Times New Roman"/>
                <w:b/>
                <w:bCs/>
                <w:sz w:val="24"/>
                <w:szCs w:val="24"/>
                <w:lang w:eastAsia="sk-SK"/>
              </w:rPr>
            </w:pPr>
            <w:r w:rsidRPr="00396C96">
              <w:rPr>
                <w:rFonts w:ascii="Times New Roman" w:hAnsi="Times New Roman"/>
                <w:b/>
                <w:bCs/>
                <w:sz w:val="24"/>
                <w:szCs w:val="24"/>
                <w:lang w:eastAsia="sk-SK"/>
              </w:rPr>
              <w:t>0</w:t>
            </w:r>
          </w:p>
        </w:tc>
        <w:tc>
          <w:tcPr>
            <w:tcW w:w="1559" w:type="dxa"/>
            <w:shd w:val="clear" w:color="auto" w:fill="FFFFFF" w:themeFill="background1"/>
            <w:vAlign w:val="center"/>
          </w:tcPr>
          <w:p w:rsidR="0004402F" w:rsidRPr="00396C96" w:rsidRDefault="0004402F" w:rsidP="0004402F">
            <w:pPr>
              <w:tabs>
                <w:tab w:val="num" w:pos="1080"/>
              </w:tabs>
              <w:jc w:val="center"/>
              <w:rPr>
                <w:rFonts w:ascii="Times New Roman" w:hAnsi="Times New Roman"/>
                <w:b/>
                <w:bCs/>
                <w:color w:val="000000"/>
                <w:sz w:val="24"/>
                <w:szCs w:val="24"/>
              </w:rPr>
            </w:pPr>
            <w:r w:rsidRPr="00396C96">
              <w:rPr>
                <w:rFonts w:ascii="Times New Roman" w:hAnsi="Times New Roman"/>
                <w:b/>
                <w:bCs/>
                <w:color w:val="000000"/>
                <w:sz w:val="24"/>
                <w:szCs w:val="24"/>
              </w:rPr>
              <w:t>0</w:t>
            </w:r>
          </w:p>
        </w:tc>
        <w:tc>
          <w:tcPr>
            <w:tcW w:w="1560" w:type="dxa"/>
            <w:shd w:val="clear" w:color="auto" w:fill="FFFFFF" w:themeFill="background1"/>
            <w:vAlign w:val="center"/>
          </w:tcPr>
          <w:p w:rsidR="0004402F" w:rsidRPr="00396C96" w:rsidRDefault="0004402F" w:rsidP="0004402F">
            <w:pPr>
              <w:tabs>
                <w:tab w:val="num" w:pos="1080"/>
              </w:tabs>
              <w:jc w:val="center"/>
              <w:rPr>
                <w:rFonts w:ascii="Times New Roman" w:hAnsi="Times New Roman"/>
                <w:b/>
                <w:bCs/>
                <w:sz w:val="24"/>
                <w:szCs w:val="24"/>
                <w:lang w:eastAsia="sk-SK"/>
              </w:rPr>
            </w:pPr>
            <w:r w:rsidRPr="00396C96">
              <w:rPr>
                <w:rFonts w:ascii="Times New Roman" w:hAnsi="Times New Roman"/>
                <w:b/>
                <w:bCs/>
                <w:sz w:val="24"/>
                <w:szCs w:val="24"/>
                <w:lang w:eastAsia="sk-SK"/>
              </w:rPr>
              <w:t>0</w:t>
            </w:r>
          </w:p>
        </w:tc>
        <w:tc>
          <w:tcPr>
            <w:tcW w:w="1559" w:type="dxa"/>
            <w:shd w:val="clear" w:color="auto" w:fill="FFFFFF" w:themeFill="background1"/>
            <w:vAlign w:val="center"/>
          </w:tcPr>
          <w:p w:rsidR="0004402F" w:rsidRPr="00396C96" w:rsidRDefault="0004402F" w:rsidP="0004402F">
            <w:pPr>
              <w:tabs>
                <w:tab w:val="num" w:pos="1080"/>
              </w:tabs>
              <w:jc w:val="center"/>
              <w:rPr>
                <w:rFonts w:ascii="Times New Roman" w:hAnsi="Times New Roman"/>
                <w:b/>
                <w:bCs/>
                <w:sz w:val="24"/>
                <w:szCs w:val="24"/>
                <w:lang w:eastAsia="sk-SK"/>
              </w:rPr>
            </w:pPr>
            <w:r w:rsidRPr="00396C96">
              <w:rPr>
                <w:rFonts w:ascii="Times New Roman" w:hAnsi="Times New Roman"/>
                <w:b/>
                <w:bCs/>
                <w:color w:val="000000"/>
                <w:sz w:val="24"/>
                <w:szCs w:val="24"/>
              </w:rPr>
              <w:t>6 085 500</w:t>
            </w:r>
          </w:p>
        </w:tc>
        <w:tc>
          <w:tcPr>
            <w:tcW w:w="2977" w:type="dxa"/>
            <w:vMerge/>
            <w:shd w:val="clear" w:color="auto" w:fill="FFFFFF" w:themeFill="background1"/>
          </w:tcPr>
          <w:p w:rsidR="0004402F" w:rsidRDefault="0004402F" w:rsidP="0004402F">
            <w:pPr>
              <w:tabs>
                <w:tab w:val="num" w:pos="1080"/>
              </w:tabs>
              <w:jc w:val="both"/>
              <w:rPr>
                <w:rFonts w:ascii="Times New Roman" w:hAnsi="Times New Roman"/>
                <w:bCs/>
                <w:sz w:val="24"/>
                <w:szCs w:val="20"/>
                <w:lang w:eastAsia="sk-SK"/>
              </w:rPr>
            </w:pPr>
          </w:p>
        </w:tc>
      </w:tr>
      <w:tr w:rsidR="0004402F" w:rsidTr="0004402F">
        <w:tc>
          <w:tcPr>
            <w:tcW w:w="4957" w:type="dxa"/>
            <w:shd w:val="clear" w:color="auto" w:fill="FFFFFF" w:themeFill="background1"/>
            <w:vAlign w:val="center"/>
          </w:tcPr>
          <w:p w:rsidR="0004402F" w:rsidRDefault="0004402F" w:rsidP="0004402F">
            <w:pPr>
              <w:tabs>
                <w:tab w:val="num" w:pos="1080"/>
              </w:tabs>
              <w:jc w:val="both"/>
              <w:rPr>
                <w:rFonts w:ascii="Times New Roman" w:hAnsi="Times New Roman"/>
                <w:bCs/>
                <w:i/>
                <w:iCs/>
                <w:sz w:val="24"/>
                <w:szCs w:val="24"/>
                <w:lang w:eastAsia="sk-SK"/>
              </w:rPr>
            </w:pPr>
            <w:r>
              <w:rPr>
                <w:rFonts w:ascii="Times New Roman" w:hAnsi="Times New Roman"/>
                <w:bCs/>
                <w:i/>
                <w:iCs/>
                <w:sz w:val="24"/>
                <w:szCs w:val="24"/>
                <w:lang w:eastAsia="sk-SK"/>
              </w:rPr>
              <w:t>z toho: prvotná implementácia IFRS 17</w:t>
            </w:r>
          </w:p>
        </w:tc>
        <w:tc>
          <w:tcPr>
            <w:tcW w:w="1417" w:type="dxa"/>
            <w:shd w:val="clear" w:color="auto" w:fill="FFFFFF" w:themeFill="background1"/>
          </w:tcPr>
          <w:p w:rsidR="0004402F" w:rsidRPr="00396C96" w:rsidRDefault="0004402F" w:rsidP="0004402F">
            <w:pPr>
              <w:tabs>
                <w:tab w:val="num" w:pos="1080"/>
              </w:tabs>
              <w:jc w:val="center"/>
              <w:rPr>
                <w:rFonts w:ascii="Times New Roman" w:hAnsi="Times New Roman"/>
                <w:b/>
                <w:bCs/>
                <w:sz w:val="24"/>
                <w:szCs w:val="24"/>
                <w:lang w:eastAsia="sk-SK"/>
              </w:rPr>
            </w:pPr>
            <w:r w:rsidRPr="00396C96">
              <w:rPr>
                <w:rFonts w:ascii="Times New Roman" w:hAnsi="Times New Roman"/>
                <w:b/>
                <w:bCs/>
                <w:sz w:val="24"/>
                <w:szCs w:val="24"/>
                <w:lang w:eastAsia="sk-SK"/>
              </w:rPr>
              <w:t>0</w:t>
            </w:r>
          </w:p>
        </w:tc>
        <w:tc>
          <w:tcPr>
            <w:tcW w:w="1559" w:type="dxa"/>
            <w:shd w:val="clear" w:color="auto" w:fill="FFFFFF" w:themeFill="background1"/>
            <w:vAlign w:val="bottom"/>
          </w:tcPr>
          <w:p w:rsidR="0004402F" w:rsidRPr="00396C96" w:rsidRDefault="0004402F" w:rsidP="0004402F">
            <w:pPr>
              <w:tabs>
                <w:tab w:val="num" w:pos="1080"/>
              </w:tabs>
              <w:jc w:val="center"/>
              <w:rPr>
                <w:rFonts w:ascii="Times New Roman" w:hAnsi="Times New Roman"/>
                <w:b/>
                <w:bCs/>
                <w:color w:val="000000"/>
                <w:sz w:val="24"/>
                <w:szCs w:val="24"/>
              </w:rPr>
            </w:pPr>
            <w:r w:rsidRPr="00396C96">
              <w:rPr>
                <w:rFonts w:ascii="Times New Roman" w:hAnsi="Times New Roman"/>
                <w:b/>
                <w:bCs/>
                <w:color w:val="000000"/>
                <w:sz w:val="24"/>
                <w:szCs w:val="24"/>
              </w:rPr>
              <w:t>0</w:t>
            </w:r>
          </w:p>
        </w:tc>
        <w:tc>
          <w:tcPr>
            <w:tcW w:w="1560" w:type="dxa"/>
            <w:shd w:val="clear" w:color="auto" w:fill="FFFFFF" w:themeFill="background1"/>
            <w:vAlign w:val="bottom"/>
          </w:tcPr>
          <w:p w:rsidR="0004402F" w:rsidRPr="00396C96" w:rsidRDefault="0004402F" w:rsidP="0004402F">
            <w:pPr>
              <w:tabs>
                <w:tab w:val="num" w:pos="1080"/>
              </w:tabs>
              <w:jc w:val="center"/>
              <w:rPr>
                <w:rFonts w:ascii="Times New Roman" w:hAnsi="Times New Roman"/>
                <w:b/>
                <w:bCs/>
                <w:sz w:val="24"/>
                <w:szCs w:val="24"/>
                <w:lang w:eastAsia="sk-SK"/>
              </w:rPr>
            </w:pPr>
            <w:r w:rsidRPr="00396C96">
              <w:rPr>
                <w:rFonts w:ascii="Times New Roman" w:hAnsi="Times New Roman"/>
                <w:b/>
                <w:bCs/>
                <w:sz w:val="24"/>
                <w:szCs w:val="24"/>
                <w:lang w:eastAsia="sk-SK"/>
              </w:rPr>
              <w:t>34 728 750</w:t>
            </w:r>
          </w:p>
        </w:tc>
        <w:tc>
          <w:tcPr>
            <w:tcW w:w="1559" w:type="dxa"/>
            <w:shd w:val="clear" w:color="auto" w:fill="FFFFFF" w:themeFill="background1"/>
            <w:vAlign w:val="bottom"/>
          </w:tcPr>
          <w:p w:rsidR="0004402F" w:rsidRPr="00396C96" w:rsidRDefault="0004402F" w:rsidP="0004402F">
            <w:pPr>
              <w:tabs>
                <w:tab w:val="num" w:pos="1080"/>
              </w:tabs>
              <w:jc w:val="center"/>
              <w:rPr>
                <w:rFonts w:ascii="Times New Roman" w:hAnsi="Times New Roman"/>
                <w:b/>
                <w:bCs/>
                <w:sz w:val="24"/>
                <w:szCs w:val="24"/>
                <w:lang w:eastAsia="sk-SK"/>
              </w:rPr>
            </w:pPr>
            <w:r w:rsidRPr="00396C96">
              <w:rPr>
                <w:rFonts w:ascii="Times New Roman" w:hAnsi="Times New Roman"/>
                <w:b/>
                <w:bCs/>
                <w:sz w:val="24"/>
                <w:szCs w:val="24"/>
                <w:lang w:eastAsia="sk-SK"/>
              </w:rPr>
              <w:t>28 113 750</w:t>
            </w:r>
          </w:p>
        </w:tc>
        <w:tc>
          <w:tcPr>
            <w:tcW w:w="2977" w:type="dxa"/>
            <w:vMerge/>
            <w:shd w:val="clear" w:color="auto" w:fill="FFFFFF" w:themeFill="background1"/>
          </w:tcPr>
          <w:p w:rsidR="0004402F" w:rsidRDefault="0004402F" w:rsidP="0004402F">
            <w:pPr>
              <w:tabs>
                <w:tab w:val="num" w:pos="1080"/>
              </w:tabs>
              <w:jc w:val="both"/>
              <w:rPr>
                <w:rFonts w:ascii="Times New Roman" w:hAnsi="Times New Roman"/>
                <w:bCs/>
                <w:sz w:val="24"/>
                <w:szCs w:val="20"/>
                <w:lang w:eastAsia="sk-SK"/>
              </w:rPr>
            </w:pPr>
          </w:p>
        </w:tc>
      </w:tr>
      <w:tr w:rsidR="0004402F" w:rsidTr="0004402F">
        <w:tc>
          <w:tcPr>
            <w:tcW w:w="4957" w:type="dxa"/>
            <w:shd w:val="clear" w:color="auto" w:fill="FFFFFF" w:themeFill="background1"/>
          </w:tcPr>
          <w:p w:rsidR="0004402F" w:rsidRDefault="0004402F" w:rsidP="0004402F">
            <w:pPr>
              <w:tabs>
                <w:tab w:val="num" w:pos="1080"/>
              </w:tabs>
              <w:jc w:val="both"/>
              <w:rPr>
                <w:rFonts w:ascii="Times New Roman" w:hAnsi="Times New Roman"/>
                <w:bCs/>
                <w:sz w:val="24"/>
                <w:szCs w:val="20"/>
                <w:lang w:eastAsia="sk-SK"/>
              </w:rPr>
            </w:pPr>
            <w:r w:rsidRPr="007D5748">
              <w:rPr>
                <w:rFonts w:ascii="Times New Roman" w:hAnsi="Times New Roman"/>
                <w:b/>
                <w:bCs/>
                <w:sz w:val="24"/>
                <w:szCs w:val="24"/>
                <w:lang w:eastAsia="sk-SK"/>
              </w:rPr>
              <w:t>Nedaňové príjmy (200)</w:t>
            </w:r>
            <w:r w:rsidRPr="007D5748">
              <w:rPr>
                <w:rFonts w:ascii="Times New Roman" w:hAnsi="Times New Roman"/>
                <w:b/>
                <w:bCs/>
                <w:sz w:val="24"/>
                <w:szCs w:val="24"/>
                <w:vertAlign w:val="superscript"/>
                <w:lang w:eastAsia="sk-SK"/>
              </w:rPr>
              <w:t>1</w:t>
            </w:r>
          </w:p>
        </w:tc>
        <w:tc>
          <w:tcPr>
            <w:tcW w:w="1417" w:type="dxa"/>
            <w:shd w:val="clear" w:color="auto" w:fill="FFFFFF" w:themeFill="background1"/>
          </w:tcPr>
          <w:p w:rsidR="0004402F" w:rsidRPr="00396C96" w:rsidRDefault="0004402F" w:rsidP="0004402F">
            <w:pPr>
              <w:tabs>
                <w:tab w:val="num" w:pos="1080"/>
              </w:tabs>
              <w:jc w:val="both"/>
              <w:rPr>
                <w:rFonts w:ascii="Times New Roman" w:hAnsi="Times New Roman"/>
                <w:bCs/>
                <w:sz w:val="24"/>
                <w:szCs w:val="24"/>
                <w:lang w:eastAsia="sk-SK"/>
              </w:rPr>
            </w:pPr>
          </w:p>
        </w:tc>
        <w:tc>
          <w:tcPr>
            <w:tcW w:w="1559" w:type="dxa"/>
            <w:shd w:val="clear" w:color="auto" w:fill="FFFFFF" w:themeFill="background1"/>
          </w:tcPr>
          <w:p w:rsidR="0004402F" w:rsidRPr="00396C96" w:rsidRDefault="0004402F" w:rsidP="0004402F">
            <w:pPr>
              <w:tabs>
                <w:tab w:val="num" w:pos="1080"/>
              </w:tabs>
              <w:jc w:val="both"/>
              <w:rPr>
                <w:rFonts w:ascii="Times New Roman" w:hAnsi="Times New Roman"/>
                <w:bCs/>
                <w:sz w:val="24"/>
                <w:szCs w:val="24"/>
                <w:lang w:eastAsia="sk-SK"/>
              </w:rPr>
            </w:pPr>
          </w:p>
        </w:tc>
        <w:tc>
          <w:tcPr>
            <w:tcW w:w="1560" w:type="dxa"/>
            <w:shd w:val="clear" w:color="auto" w:fill="FFFFFF" w:themeFill="background1"/>
          </w:tcPr>
          <w:p w:rsidR="0004402F" w:rsidRPr="00396C96" w:rsidRDefault="0004402F" w:rsidP="0004402F">
            <w:pPr>
              <w:tabs>
                <w:tab w:val="num" w:pos="1080"/>
              </w:tabs>
              <w:jc w:val="both"/>
              <w:rPr>
                <w:rFonts w:ascii="Times New Roman" w:hAnsi="Times New Roman"/>
                <w:bCs/>
                <w:sz w:val="24"/>
                <w:szCs w:val="24"/>
                <w:lang w:eastAsia="sk-SK"/>
              </w:rPr>
            </w:pPr>
          </w:p>
        </w:tc>
        <w:tc>
          <w:tcPr>
            <w:tcW w:w="1559" w:type="dxa"/>
            <w:shd w:val="clear" w:color="auto" w:fill="FFFFFF" w:themeFill="background1"/>
          </w:tcPr>
          <w:p w:rsidR="0004402F" w:rsidRPr="00396C96" w:rsidRDefault="0004402F" w:rsidP="0004402F">
            <w:pPr>
              <w:tabs>
                <w:tab w:val="num" w:pos="1080"/>
              </w:tabs>
              <w:jc w:val="center"/>
              <w:rPr>
                <w:rFonts w:ascii="Times New Roman" w:hAnsi="Times New Roman"/>
                <w:b/>
                <w:bCs/>
                <w:sz w:val="24"/>
                <w:szCs w:val="24"/>
                <w:lang w:eastAsia="sk-SK"/>
              </w:rPr>
            </w:pPr>
          </w:p>
        </w:tc>
        <w:tc>
          <w:tcPr>
            <w:tcW w:w="2977" w:type="dxa"/>
            <w:vMerge/>
            <w:shd w:val="clear" w:color="auto" w:fill="FFFFFF" w:themeFill="background1"/>
          </w:tcPr>
          <w:p w:rsidR="0004402F" w:rsidRDefault="0004402F" w:rsidP="0004402F">
            <w:pPr>
              <w:tabs>
                <w:tab w:val="num" w:pos="1080"/>
              </w:tabs>
              <w:jc w:val="both"/>
              <w:rPr>
                <w:rFonts w:ascii="Times New Roman" w:hAnsi="Times New Roman"/>
                <w:bCs/>
                <w:sz w:val="24"/>
                <w:szCs w:val="20"/>
                <w:lang w:eastAsia="sk-SK"/>
              </w:rPr>
            </w:pPr>
          </w:p>
        </w:tc>
      </w:tr>
      <w:tr w:rsidR="0004402F" w:rsidTr="0004402F">
        <w:tc>
          <w:tcPr>
            <w:tcW w:w="4957" w:type="dxa"/>
            <w:shd w:val="clear" w:color="auto" w:fill="FFFFFF" w:themeFill="background1"/>
          </w:tcPr>
          <w:p w:rsidR="0004402F" w:rsidRDefault="0004402F" w:rsidP="0004402F">
            <w:pPr>
              <w:tabs>
                <w:tab w:val="num" w:pos="1080"/>
              </w:tabs>
              <w:jc w:val="both"/>
              <w:rPr>
                <w:rFonts w:ascii="Times New Roman" w:hAnsi="Times New Roman"/>
                <w:bCs/>
                <w:sz w:val="24"/>
                <w:szCs w:val="20"/>
                <w:lang w:eastAsia="sk-SK"/>
              </w:rPr>
            </w:pPr>
            <w:r w:rsidRPr="007D5748">
              <w:rPr>
                <w:rFonts w:ascii="Times New Roman" w:hAnsi="Times New Roman"/>
                <w:b/>
                <w:bCs/>
                <w:sz w:val="24"/>
                <w:szCs w:val="24"/>
                <w:lang w:eastAsia="sk-SK"/>
              </w:rPr>
              <w:t>Granty a transfery (300)</w:t>
            </w:r>
            <w:r w:rsidRPr="007D5748">
              <w:rPr>
                <w:rFonts w:ascii="Times New Roman" w:hAnsi="Times New Roman"/>
                <w:b/>
                <w:bCs/>
                <w:sz w:val="24"/>
                <w:szCs w:val="24"/>
                <w:vertAlign w:val="superscript"/>
                <w:lang w:eastAsia="sk-SK"/>
              </w:rPr>
              <w:t>1</w:t>
            </w:r>
          </w:p>
        </w:tc>
        <w:tc>
          <w:tcPr>
            <w:tcW w:w="1417" w:type="dxa"/>
            <w:shd w:val="clear" w:color="auto" w:fill="FFFFFF" w:themeFill="background1"/>
          </w:tcPr>
          <w:p w:rsidR="0004402F" w:rsidRPr="00396C96" w:rsidRDefault="0004402F" w:rsidP="0004402F">
            <w:pPr>
              <w:tabs>
                <w:tab w:val="num" w:pos="1080"/>
              </w:tabs>
              <w:jc w:val="both"/>
              <w:rPr>
                <w:rFonts w:ascii="Times New Roman" w:hAnsi="Times New Roman"/>
                <w:bCs/>
                <w:sz w:val="24"/>
                <w:szCs w:val="24"/>
                <w:lang w:eastAsia="sk-SK"/>
              </w:rPr>
            </w:pPr>
          </w:p>
        </w:tc>
        <w:tc>
          <w:tcPr>
            <w:tcW w:w="1559" w:type="dxa"/>
            <w:shd w:val="clear" w:color="auto" w:fill="FFFFFF" w:themeFill="background1"/>
          </w:tcPr>
          <w:p w:rsidR="0004402F" w:rsidRPr="00396C96" w:rsidRDefault="0004402F" w:rsidP="0004402F">
            <w:pPr>
              <w:tabs>
                <w:tab w:val="num" w:pos="1080"/>
              </w:tabs>
              <w:jc w:val="both"/>
              <w:rPr>
                <w:rFonts w:ascii="Times New Roman" w:hAnsi="Times New Roman"/>
                <w:bCs/>
                <w:sz w:val="24"/>
                <w:szCs w:val="24"/>
                <w:lang w:eastAsia="sk-SK"/>
              </w:rPr>
            </w:pPr>
          </w:p>
        </w:tc>
        <w:tc>
          <w:tcPr>
            <w:tcW w:w="1560" w:type="dxa"/>
            <w:shd w:val="clear" w:color="auto" w:fill="FFFFFF" w:themeFill="background1"/>
          </w:tcPr>
          <w:p w:rsidR="0004402F" w:rsidRPr="00396C96" w:rsidRDefault="0004402F" w:rsidP="0004402F">
            <w:pPr>
              <w:tabs>
                <w:tab w:val="num" w:pos="1080"/>
              </w:tabs>
              <w:jc w:val="both"/>
              <w:rPr>
                <w:rFonts w:ascii="Times New Roman" w:hAnsi="Times New Roman"/>
                <w:bCs/>
                <w:sz w:val="24"/>
                <w:szCs w:val="24"/>
                <w:lang w:eastAsia="sk-SK"/>
              </w:rPr>
            </w:pPr>
          </w:p>
        </w:tc>
        <w:tc>
          <w:tcPr>
            <w:tcW w:w="1559" w:type="dxa"/>
            <w:shd w:val="clear" w:color="auto" w:fill="FFFFFF" w:themeFill="background1"/>
          </w:tcPr>
          <w:p w:rsidR="0004402F" w:rsidRPr="00396C96" w:rsidRDefault="0004402F" w:rsidP="0004402F">
            <w:pPr>
              <w:tabs>
                <w:tab w:val="num" w:pos="1080"/>
              </w:tabs>
              <w:jc w:val="center"/>
              <w:rPr>
                <w:rFonts w:ascii="Times New Roman" w:hAnsi="Times New Roman"/>
                <w:b/>
                <w:bCs/>
                <w:sz w:val="24"/>
                <w:szCs w:val="24"/>
                <w:lang w:eastAsia="sk-SK"/>
              </w:rPr>
            </w:pPr>
          </w:p>
        </w:tc>
        <w:tc>
          <w:tcPr>
            <w:tcW w:w="2977" w:type="dxa"/>
            <w:vMerge/>
            <w:shd w:val="clear" w:color="auto" w:fill="FFFFFF" w:themeFill="background1"/>
          </w:tcPr>
          <w:p w:rsidR="0004402F" w:rsidRDefault="0004402F" w:rsidP="0004402F">
            <w:pPr>
              <w:tabs>
                <w:tab w:val="num" w:pos="1080"/>
              </w:tabs>
              <w:jc w:val="both"/>
              <w:rPr>
                <w:rFonts w:ascii="Times New Roman" w:hAnsi="Times New Roman"/>
                <w:bCs/>
                <w:sz w:val="24"/>
                <w:szCs w:val="20"/>
                <w:lang w:eastAsia="sk-SK"/>
              </w:rPr>
            </w:pPr>
          </w:p>
        </w:tc>
      </w:tr>
      <w:tr w:rsidR="0004402F" w:rsidTr="0004402F">
        <w:tc>
          <w:tcPr>
            <w:tcW w:w="4957" w:type="dxa"/>
            <w:shd w:val="clear" w:color="auto" w:fill="FFFFFF" w:themeFill="background1"/>
          </w:tcPr>
          <w:p w:rsidR="0004402F" w:rsidRDefault="0004402F" w:rsidP="0004402F">
            <w:pPr>
              <w:tabs>
                <w:tab w:val="num" w:pos="1080"/>
              </w:tabs>
              <w:jc w:val="both"/>
              <w:rPr>
                <w:rFonts w:ascii="Times New Roman" w:hAnsi="Times New Roman"/>
                <w:bCs/>
                <w:sz w:val="24"/>
                <w:szCs w:val="20"/>
                <w:lang w:eastAsia="sk-SK"/>
              </w:rPr>
            </w:pPr>
            <w:r w:rsidRPr="007D5748">
              <w:rPr>
                <w:rFonts w:ascii="Times New Roman" w:hAnsi="Times New Roman"/>
                <w:b/>
                <w:bCs/>
                <w:sz w:val="24"/>
                <w:szCs w:val="24"/>
                <w:lang w:eastAsia="sk-SK"/>
              </w:rPr>
              <w:t>Príjmy z transakcií s finančnými aktívami a finančnými pasívami (400)</w:t>
            </w:r>
          </w:p>
        </w:tc>
        <w:tc>
          <w:tcPr>
            <w:tcW w:w="1417" w:type="dxa"/>
            <w:shd w:val="clear" w:color="auto" w:fill="FFFF99"/>
          </w:tcPr>
          <w:p w:rsidR="0004402F" w:rsidRPr="00396C96" w:rsidRDefault="0004402F" w:rsidP="0004402F">
            <w:pPr>
              <w:tabs>
                <w:tab w:val="num" w:pos="1080"/>
              </w:tabs>
              <w:jc w:val="both"/>
              <w:rPr>
                <w:rFonts w:ascii="Times New Roman" w:hAnsi="Times New Roman"/>
                <w:bCs/>
                <w:sz w:val="24"/>
                <w:szCs w:val="24"/>
                <w:lang w:eastAsia="sk-SK"/>
              </w:rPr>
            </w:pPr>
          </w:p>
        </w:tc>
        <w:tc>
          <w:tcPr>
            <w:tcW w:w="1559" w:type="dxa"/>
            <w:shd w:val="clear" w:color="auto" w:fill="FFFF99"/>
          </w:tcPr>
          <w:p w:rsidR="0004402F" w:rsidRPr="00396C96" w:rsidRDefault="0004402F" w:rsidP="0004402F">
            <w:pPr>
              <w:tabs>
                <w:tab w:val="num" w:pos="1080"/>
              </w:tabs>
              <w:jc w:val="both"/>
              <w:rPr>
                <w:rFonts w:ascii="Times New Roman" w:hAnsi="Times New Roman"/>
                <w:bCs/>
                <w:sz w:val="24"/>
                <w:szCs w:val="24"/>
                <w:lang w:eastAsia="sk-SK"/>
              </w:rPr>
            </w:pPr>
          </w:p>
        </w:tc>
        <w:tc>
          <w:tcPr>
            <w:tcW w:w="1560" w:type="dxa"/>
            <w:shd w:val="clear" w:color="auto" w:fill="FFFF99"/>
          </w:tcPr>
          <w:p w:rsidR="0004402F" w:rsidRPr="00396C96" w:rsidRDefault="0004402F" w:rsidP="0004402F">
            <w:pPr>
              <w:tabs>
                <w:tab w:val="num" w:pos="1080"/>
              </w:tabs>
              <w:jc w:val="both"/>
              <w:rPr>
                <w:rFonts w:ascii="Times New Roman" w:hAnsi="Times New Roman"/>
                <w:bCs/>
                <w:sz w:val="24"/>
                <w:szCs w:val="24"/>
                <w:lang w:eastAsia="sk-SK"/>
              </w:rPr>
            </w:pPr>
          </w:p>
        </w:tc>
        <w:tc>
          <w:tcPr>
            <w:tcW w:w="1559" w:type="dxa"/>
            <w:shd w:val="clear" w:color="auto" w:fill="FFFF99"/>
          </w:tcPr>
          <w:p w:rsidR="0004402F" w:rsidRPr="00396C96" w:rsidRDefault="0004402F" w:rsidP="0004402F">
            <w:pPr>
              <w:tabs>
                <w:tab w:val="num" w:pos="1080"/>
              </w:tabs>
              <w:jc w:val="center"/>
              <w:rPr>
                <w:rFonts w:ascii="Times New Roman" w:hAnsi="Times New Roman"/>
                <w:b/>
                <w:bCs/>
                <w:sz w:val="24"/>
                <w:szCs w:val="24"/>
                <w:lang w:eastAsia="sk-SK"/>
              </w:rPr>
            </w:pPr>
          </w:p>
        </w:tc>
        <w:tc>
          <w:tcPr>
            <w:tcW w:w="2977" w:type="dxa"/>
            <w:vMerge/>
            <w:shd w:val="clear" w:color="auto" w:fill="FFFFFF" w:themeFill="background1"/>
          </w:tcPr>
          <w:p w:rsidR="0004402F" w:rsidRDefault="0004402F" w:rsidP="0004402F">
            <w:pPr>
              <w:tabs>
                <w:tab w:val="num" w:pos="1080"/>
              </w:tabs>
              <w:jc w:val="both"/>
              <w:rPr>
                <w:rFonts w:ascii="Times New Roman" w:hAnsi="Times New Roman"/>
                <w:bCs/>
                <w:sz w:val="24"/>
                <w:szCs w:val="20"/>
                <w:lang w:eastAsia="sk-SK"/>
              </w:rPr>
            </w:pPr>
          </w:p>
        </w:tc>
      </w:tr>
      <w:tr w:rsidR="0004402F" w:rsidTr="0004402F">
        <w:tc>
          <w:tcPr>
            <w:tcW w:w="4957" w:type="dxa"/>
            <w:shd w:val="clear" w:color="auto" w:fill="FFFFFF" w:themeFill="background1"/>
          </w:tcPr>
          <w:p w:rsidR="0004402F" w:rsidRDefault="0004402F" w:rsidP="0004402F">
            <w:pPr>
              <w:tabs>
                <w:tab w:val="num" w:pos="1080"/>
              </w:tabs>
              <w:jc w:val="both"/>
              <w:rPr>
                <w:rFonts w:ascii="Times New Roman" w:hAnsi="Times New Roman"/>
                <w:bCs/>
                <w:sz w:val="24"/>
                <w:szCs w:val="20"/>
                <w:lang w:eastAsia="sk-SK"/>
              </w:rPr>
            </w:pPr>
            <w:r w:rsidRPr="007D5748">
              <w:rPr>
                <w:rFonts w:ascii="Times New Roman" w:hAnsi="Times New Roman"/>
                <w:b/>
                <w:bCs/>
                <w:sz w:val="24"/>
                <w:szCs w:val="24"/>
                <w:lang w:eastAsia="sk-SK"/>
              </w:rPr>
              <w:t>Prijaté úvery, pôžičky a návratné finančné výpomoci (500)</w:t>
            </w:r>
          </w:p>
        </w:tc>
        <w:tc>
          <w:tcPr>
            <w:tcW w:w="1417" w:type="dxa"/>
            <w:shd w:val="clear" w:color="auto" w:fill="FFFF99"/>
          </w:tcPr>
          <w:p w:rsidR="0004402F" w:rsidRPr="00396C96" w:rsidRDefault="0004402F" w:rsidP="0004402F">
            <w:pPr>
              <w:tabs>
                <w:tab w:val="num" w:pos="1080"/>
              </w:tabs>
              <w:jc w:val="both"/>
              <w:rPr>
                <w:rFonts w:ascii="Times New Roman" w:hAnsi="Times New Roman"/>
                <w:bCs/>
                <w:sz w:val="24"/>
                <w:szCs w:val="24"/>
                <w:lang w:eastAsia="sk-SK"/>
              </w:rPr>
            </w:pPr>
          </w:p>
        </w:tc>
        <w:tc>
          <w:tcPr>
            <w:tcW w:w="1559" w:type="dxa"/>
            <w:shd w:val="clear" w:color="auto" w:fill="FFFF99"/>
          </w:tcPr>
          <w:p w:rsidR="0004402F" w:rsidRPr="00396C96" w:rsidRDefault="0004402F" w:rsidP="0004402F">
            <w:pPr>
              <w:tabs>
                <w:tab w:val="num" w:pos="1080"/>
              </w:tabs>
              <w:jc w:val="both"/>
              <w:rPr>
                <w:rFonts w:ascii="Times New Roman" w:hAnsi="Times New Roman"/>
                <w:bCs/>
                <w:sz w:val="24"/>
                <w:szCs w:val="24"/>
                <w:lang w:eastAsia="sk-SK"/>
              </w:rPr>
            </w:pPr>
          </w:p>
        </w:tc>
        <w:tc>
          <w:tcPr>
            <w:tcW w:w="1560" w:type="dxa"/>
            <w:shd w:val="clear" w:color="auto" w:fill="FFFF99"/>
          </w:tcPr>
          <w:p w:rsidR="0004402F" w:rsidRPr="00396C96" w:rsidRDefault="0004402F" w:rsidP="0004402F">
            <w:pPr>
              <w:tabs>
                <w:tab w:val="num" w:pos="1080"/>
              </w:tabs>
              <w:jc w:val="both"/>
              <w:rPr>
                <w:rFonts w:ascii="Times New Roman" w:hAnsi="Times New Roman"/>
                <w:bCs/>
                <w:sz w:val="24"/>
                <w:szCs w:val="24"/>
                <w:lang w:eastAsia="sk-SK"/>
              </w:rPr>
            </w:pPr>
          </w:p>
        </w:tc>
        <w:tc>
          <w:tcPr>
            <w:tcW w:w="1559" w:type="dxa"/>
            <w:shd w:val="clear" w:color="auto" w:fill="FFFF99"/>
          </w:tcPr>
          <w:p w:rsidR="0004402F" w:rsidRPr="00396C96" w:rsidRDefault="0004402F" w:rsidP="0004402F">
            <w:pPr>
              <w:tabs>
                <w:tab w:val="num" w:pos="1080"/>
              </w:tabs>
              <w:jc w:val="center"/>
              <w:rPr>
                <w:rFonts w:ascii="Times New Roman" w:hAnsi="Times New Roman"/>
                <w:b/>
                <w:bCs/>
                <w:sz w:val="24"/>
                <w:szCs w:val="24"/>
                <w:lang w:eastAsia="sk-SK"/>
              </w:rPr>
            </w:pPr>
          </w:p>
        </w:tc>
        <w:tc>
          <w:tcPr>
            <w:tcW w:w="2977" w:type="dxa"/>
            <w:vMerge/>
            <w:shd w:val="clear" w:color="auto" w:fill="FFFFFF" w:themeFill="background1"/>
          </w:tcPr>
          <w:p w:rsidR="0004402F" w:rsidRDefault="0004402F" w:rsidP="0004402F">
            <w:pPr>
              <w:tabs>
                <w:tab w:val="num" w:pos="1080"/>
              </w:tabs>
              <w:jc w:val="both"/>
              <w:rPr>
                <w:rFonts w:ascii="Times New Roman" w:hAnsi="Times New Roman"/>
                <w:bCs/>
                <w:sz w:val="24"/>
                <w:szCs w:val="20"/>
                <w:lang w:eastAsia="sk-SK"/>
              </w:rPr>
            </w:pPr>
          </w:p>
        </w:tc>
      </w:tr>
      <w:tr w:rsidR="0004402F" w:rsidTr="0004402F">
        <w:tc>
          <w:tcPr>
            <w:tcW w:w="4957" w:type="dxa"/>
            <w:shd w:val="clear" w:color="auto" w:fill="BFBFBF" w:themeFill="background1" w:themeFillShade="BF"/>
          </w:tcPr>
          <w:p w:rsidR="0004402F" w:rsidRDefault="0004402F" w:rsidP="0004402F">
            <w:pPr>
              <w:tabs>
                <w:tab w:val="num" w:pos="1080"/>
              </w:tabs>
              <w:jc w:val="both"/>
              <w:rPr>
                <w:rFonts w:ascii="Times New Roman" w:hAnsi="Times New Roman"/>
                <w:bCs/>
                <w:sz w:val="24"/>
                <w:szCs w:val="20"/>
                <w:lang w:eastAsia="sk-SK"/>
              </w:rPr>
            </w:pPr>
            <w:r w:rsidRPr="007D5748">
              <w:rPr>
                <w:rFonts w:ascii="Times New Roman" w:hAnsi="Times New Roman"/>
                <w:b/>
                <w:bCs/>
                <w:sz w:val="24"/>
                <w:szCs w:val="24"/>
                <w:lang w:eastAsia="sk-SK"/>
              </w:rPr>
              <w:t>Dopad na príjmy verejnej správy celkom</w:t>
            </w:r>
          </w:p>
        </w:tc>
        <w:tc>
          <w:tcPr>
            <w:tcW w:w="1417" w:type="dxa"/>
            <w:shd w:val="clear" w:color="auto" w:fill="BFBFBF" w:themeFill="background1" w:themeFillShade="BF"/>
          </w:tcPr>
          <w:p w:rsidR="0004402F" w:rsidRPr="00396C96" w:rsidRDefault="0004402F" w:rsidP="0004402F">
            <w:pPr>
              <w:tabs>
                <w:tab w:val="num" w:pos="1080"/>
              </w:tabs>
              <w:jc w:val="center"/>
              <w:rPr>
                <w:rFonts w:ascii="Times New Roman" w:hAnsi="Times New Roman"/>
                <w:b/>
                <w:bCs/>
                <w:sz w:val="24"/>
                <w:szCs w:val="24"/>
                <w:lang w:eastAsia="sk-SK"/>
              </w:rPr>
            </w:pPr>
            <w:r w:rsidRPr="00396C96">
              <w:rPr>
                <w:rFonts w:ascii="Times New Roman" w:hAnsi="Times New Roman"/>
                <w:b/>
                <w:bCs/>
                <w:sz w:val="24"/>
                <w:szCs w:val="24"/>
                <w:lang w:eastAsia="sk-SK"/>
              </w:rPr>
              <w:t>0</w:t>
            </w:r>
          </w:p>
        </w:tc>
        <w:tc>
          <w:tcPr>
            <w:tcW w:w="1559" w:type="dxa"/>
            <w:shd w:val="clear" w:color="auto" w:fill="BFBFBF" w:themeFill="background1" w:themeFillShade="BF"/>
            <w:vAlign w:val="bottom"/>
          </w:tcPr>
          <w:p w:rsidR="0004402F" w:rsidRPr="00396C96" w:rsidRDefault="0004402F" w:rsidP="0004402F">
            <w:pPr>
              <w:tabs>
                <w:tab w:val="num" w:pos="1080"/>
              </w:tabs>
              <w:jc w:val="center"/>
              <w:rPr>
                <w:rFonts w:ascii="Times New Roman" w:hAnsi="Times New Roman"/>
                <w:b/>
                <w:bCs/>
                <w:sz w:val="24"/>
                <w:szCs w:val="24"/>
                <w:lang w:eastAsia="sk-SK"/>
              </w:rPr>
            </w:pPr>
            <w:r>
              <w:rPr>
                <w:rFonts w:ascii="Times New Roman" w:hAnsi="Times New Roman"/>
                <w:b/>
                <w:bCs/>
                <w:color w:val="000000"/>
                <w:sz w:val="24"/>
                <w:szCs w:val="24"/>
              </w:rPr>
              <w:t>0</w:t>
            </w:r>
          </w:p>
        </w:tc>
        <w:tc>
          <w:tcPr>
            <w:tcW w:w="1560" w:type="dxa"/>
            <w:shd w:val="clear" w:color="auto" w:fill="BFBFBF" w:themeFill="background1" w:themeFillShade="BF"/>
            <w:vAlign w:val="bottom"/>
          </w:tcPr>
          <w:p w:rsidR="0004402F" w:rsidRPr="00396C96" w:rsidRDefault="0004402F" w:rsidP="0004402F">
            <w:pPr>
              <w:tabs>
                <w:tab w:val="num" w:pos="1080"/>
              </w:tabs>
              <w:jc w:val="center"/>
              <w:rPr>
                <w:rFonts w:ascii="Times New Roman" w:hAnsi="Times New Roman"/>
                <w:b/>
                <w:bCs/>
                <w:sz w:val="24"/>
                <w:szCs w:val="24"/>
                <w:lang w:eastAsia="sk-SK"/>
              </w:rPr>
            </w:pPr>
            <w:r w:rsidRPr="00396C96">
              <w:rPr>
                <w:rFonts w:ascii="Times New Roman" w:hAnsi="Times New Roman"/>
                <w:b/>
                <w:bCs/>
                <w:sz w:val="24"/>
                <w:szCs w:val="24"/>
                <w:lang w:eastAsia="sk-SK"/>
              </w:rPr>
              <w:t>34 728 750</w:t>
            </w:r>
          </w:p>
        </w:tc>
        <w:tc>
          <w:tcPr>
            <w:tcW w:w="1559" w:type="dxa"/>
            <w:shd w:val="clear" w:color="auto" w:fill="BFBFBF" w:themeFill="background1" w:themeFillShade="BF"/>
            <w:vAlign w:val="bottom"/>
          </w:tcPr>
          <w:p w:rsidR="0004402F" w:rsidRPr="00396C96" w:rsidRDefault="0004402F" w:rsidP="0004402F">
            <w:pPr>
              <w:tabs>
                <w:tab w:val="num" w:pos="1080"/>
              </w:tabs>
              <w:jc w:val="center"/>
              <w:rPr>
                <w:rFonts w:ascii="Times New Roman" w:hAnsi="Times New Roman"/>
                <w:b/>
                <w:bCs/>
                <w:sz w:val="24"/>
                <w:szCs w:val="24"/>
                <w:lang w:eastAsia="sk-SK"/>
              </w:rPr>
            </w:pPr>
            <w:r>
              <w:rPr>
                <w:rFonts w:ascii="Times New Roman" w:hAnsi="Times New Roman"/>
                <w:b/>
                <w:bCs/>
                <w:sz w:val="24"/>
                <w:szCs w:val="24"/>
                <w:lang w:eastAsia="sk-SK"/>
              </w:rPr>
              <w:t>34 199 250</w:t>
            </w:r>
          </w:p>
        </w:tc>
        <w:tc>
          <w:tcPr>
            <w:tcW w:w="2977" w:type="dxa"/>
            <w:shd w:val="clear" w:color="auto" w:fill="BFBFBF" w:themeFill="background1" w:themeFillShade="BF"/>
          </w:tcPr>
          <w:p w:rsidR="0004402F" w:rsidRDefault="0004402F" w:rsidP="0004402F">
            <w:pPr>
              <w:tabs>
                <w:tab w:val="num" w:pos="1080"/>
              </w:tabs>
              <w:jc w:val="both"/>
              <w:rPr>
                <w:rFonts w:ascii="Times New Roman" w:hAnsi="Times New Roman"/>
                <w:bCs/>
                <w:sz w:val="24"/>
                <w:szCs w:val="20"/>
                <w:lang w:eastAsia="sk-SK"/>
              </w:rPr>
            </w:pPr>
          </w:p>
        </w:tc>
      </w:tr>
    </w:tbl>
    <w:p w:rsidR="0004402F" w:rsidRDefault="0004402F" w:rsidP="0004402F">
      <w:pPr>
        <w:tabs>
          <w:tab w:val="num" w:pos="1080"/>
        </w:tabs>
        <w:spacing w:after="0" w:line="240" w:lineRule="auto"/>
        <w:ind w:right="-32"/>
        <w:jc w:val="right"/>
        <w:rPr>
          <w:rFonts w:ascii="Times New Roman" w:hAnsi="Times New Roman"/>
          <w:bCs/>
          <w:sz w:val="24"/>
          <w:szCs w:val="24"/>
          <w:lang w:eastAsia="sk-SK"/>
        </w:rPr>
        <w:sectPr w:rsidR="0004402F">
          <w:pgSz w:w="16838" w:h="11906" w:orient="landscape"/>
          <w:pgMar w:top="1418" w:right="1418" w:bottom="1418" w:left="1418" w:header="709" w:footer="709" w:gutter="0"/>
          <w:cols w:space="708"/>
          <w:docGrid w:linePitch="360"/>
        </w:sectPr>
      </w:pPr>
    </w:p>
    <w:p w:rsidR="0004402F" w:rsidRPr="007D5748" w:rsidRDefault="0004402F" w:rsidP="0004402F">
      <w:pPr>
        <w:tabs>
          <w:tab w:val="num" w:pos="1080"/>
        </w:tabs>
        <w:spacing w:after="0" w:line="240" w:lineRule="auto"/>
        <w:ind w:right="-32"/>
        <w:jc w:val="right"/>
        <w:rPr>
          <w:rFonts w:ascii="Times New Roman" w:hAnsi="Times New Roman"/>
          <w:bCs/>
          <w:sz w:val="24"/>
          <w:szCs w:val="20"/>
          <w:lang w:eastAsia="sk-SK"/>
        </w:rPr>
      </w:pPr>
      <w:r w:rsidRPr="007D5748">
        <w:rPr>
          <w:rFonts w:ascii="Times New Roman" w:hAnsi="Times New Roman"/>
          <w:bCs/>
          <w:sz w:val="24"/>
          <w:szCs w:val="24"/>
          <w:lang w:eastAsia="sk-SK"/>
        </w:rPr>
        <w:lastRenderedPageBreak/>
        <w:t xml:space="preserve">Tabuľka č. 4 </w:t>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04402F" w:rsidRPr="007D5748" w:rsidTr="0004402F">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04402F" w:rsidRPr="007D5748" w:rsidRDefault="0004402F" w:rsidP="0004402F">
            <w:pPr>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04402F" w:rsidRPr="007D5748" w:rsidRDefault="0004402F" w:rsidP="0004402F">
            <w:pPr>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04402F" w:rsidRPr="007D5748" w:rsidRDefault="0004402F" w:rsidP="0004402F">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rsidR="0004402F" w:rsidRPr="007D5748" w:rsidTr="0004402F">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04402F" w:rsidRPr="007D5748" w:rsidRDefault="0004402F" w:rsidP="0004402F">
            <w:pPr>
              <w:spacing w:after="0" w:line="240" w:lineRule="auto"/>
              <w:rPr>
                <w:rFonts w:ascii="Times New Roman" w:hAnsi="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04402F" w:rsidRPr="007D5748" w:rsidRDefault="0004402F" w:rsidP="0004402F">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2022</w:t>
            </w:r>
          </w:p>
        </w:tc>
        <w:tc>
          <w:tcPr>
            <w:tcW w:w="1540" w:type="dxa"/>
            <w:tcBorders>
              <w:top w:val="nil"/>
              <w:left w:val="nil"/>
              <w:bottom w:val="single" w:sz="4" w:space="0" w:color="auto"/>
              <w:right w:val="single" w:sz="4" w:space="0" w:color="auto"/>
            </w:tcBorders>
            <w:shd w:val="clear" w:color="auto" w:fill="BFBFBF" w:themeFill="background1" w:themeFillShade="BF"/>
          </w:tcPr>
          <w:p w:rsidR="0004402F" w:rsidRPr="007D5748" w:rsidRDefault="0004402F" w:rsidP="0004402F">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2023</w:t>
            </w:r>
          </w:p>
        </w:tc>
        <w:tc>
          <w:tcPr>
            <w:tcW w:w="1540" w:type="dxa"/>
            <w:tcBorders>
              <w:top w:val="nil"/>
              <w:left w:val="nil"/>
              <w:bottom w:val="single" w:sz="4" w:space="0" w:color="auto"/>
              <w:right w:val="single" w:sz="4" w:space="0" w:color="auto"/>
            </w:tcBorders>
            <w:shd w:val="clear" w:color="auto" w:fill="BFBFBF" w:themeFill="background1" w:themeFillShade="BF"/>
          </w:tcPr>
          <w:p w:rsidR="0004402F" w:rsidRPr="007D5748" w:rsidRDefault="0004402F" w:rsidP="0004402F">
            <w:pPr>
              <w:spacing w:after="0" w:line="240" w:lineRule="auto"/>
              <w:jc w:val="center"/>
              <w:rPr>
                <w:rFonts w:ascii="Times New Roman" w:hAnsi="Times New Roman"/>
                <w:b/>
                <w:bCs/>
                <w:sz w:val="20"/>
                <w:szCs w:val="20"/>
                <w:lang w:eastAsia="sk-SK"/>
              </w:rPr>
            </w:pPr>
            <w:r>
              <w:rPr>
                <w:rFonts w:ascii="Times New Roman" w:hAnsi="Times New Roman"/>
                <w:b/>
                <w:bCs/>
                <w:sz w:val="20"/>
                <w:szCs w:val="20"/>
                <w:lang w:eastAsia="sk-SK"/>
              </w:rPr>
              <w:t>2024</w:t>
            </w:r>
          </w:p>
        </w:tc>
        <w:tc>
          <w:tcPr>
            <w:tcW w:w="1540" w:type="dxa"/>
            <w:tcBorders>
              <w:top w:val="nil"/>
              <w:left w:val="nil"/>
              <w:bottom w:val="single" w:sz="4" w:space="0" w:color="auto"/>
              <w:right w:val="single" w:sz="4" w:space="0" w:color="auto"/>
            </w:tcBorders>
            <w:shd w:val="clear" w:color="auto" w:fill="BFBFBF" w:themeFill="background1" w:themeFillShade="BF"/>
          </w:tcPr>
          <w:p w:rsidR="0004402F" w:rsidRPr="007D5748" w:rsidRDefault="0004402F" w:rsidP="0004402F">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2025</w:t>
            </w:r>
          </w:p>
        </w:tc>
        <w:tc>
          <w:tcPr>
            <w:tcW w:w="2220" w:type="dxa"/>
            <w:vMerge/>
            <w:tcBorders>
              <w:top w:val="single" w:sz="4" w:space="0" w:color="auto"/>
              <w:left w:val="single" w:sz="4" w:space="0" w:color="auto"/>
              <w:bottom w:val="single" w:sz="4" w:space="0" w:color="auto"/>
              <w:right w:val="single" w:sz="4" w:space="0" w:color="auto"/>
            </w:tcBorders>
            <w:vAlign w:val="center"/>
          </w:tcPr>
          <w:p w:rsidR="0004402F" w:rsidRPr="007D5748" w:rsidRDefault="0004402F" w:rsidP="0004402F">
            <w:pPr>
              <w:spacing w:after="0" w:line="240" w:lineRule="auto"/>
              <w:rPr>
                <w:rFonts w:ascii="Times New Roman" w:hAnsi="Times New Roman"/>
                <w:b/>
                <w:bCs/>
                <w:color w:val="FFFFFF"/>
                <w:sz w:val="24"/>
                <w:szCs w:val="24"/>
                <w:lang w:eastAsia="sk-SK"/>
              </w:rPr>
            </w:pPr>
          </w:p>
        </w:tc>
      </w:tr>
      <w:tr w:rsidR="0004402F" w:rsidRPr="007D5748" w:rsidTr="0004402F">
        <w:trPr>
          <w:trHeight w:val="255"/>
        </w:trPr>
        <w:tc>
          <w:tcPr>
            <w:tcW w:w="7070" w:type="dxa"/>
            <w:tcBorders>
              <w:top w:val="nil"/>
              <w:left w:val="single" w:sz="4" w:space="0" w:color="auto"/>
              <w:bottom w:val="single" w:sz="4" w:space="0" w:color="auto"/>
              <w:right w:val="single" w:sz="4" w:space="0" w:color="auto"/>
            </w:tcBorders>
          </w:tcPr>
          <w:p w:rsidR="0004402F" w:rsidRPr="007D5748" w:rsidRDefault="0004402F" w:rsidP="0004402F">
            <w:pPr>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Bežné výdavky (600)</w:t>
            </w:r>
          </w:p>
        </w:tc>
        <w:tc>
          <w:tcPr>
            <w:tcW w:w="1540" w:type="dxa"/>
            <w:tcBorders>
              <w:top w:val="nil"/>
              <w:left w:val="nil"/>
              <w:bottom w:val="single" w:sz="4" w:space="0" w:color="auto"/>
              <w:right w:val="single" w:sz="4" w:space="0" w:color="auto"/>
            </w:tcBorders>
            <w:vAlign w:val="center"/>
          </w:tcPr>
          <w:p w:rsidR="0004402F" w:rsidRDefault="0004402F" w:rsidP="0004402F">
            <w:pPr>
              <w:spacing w:after="0"/>
              <w:jc w:val="right"/>
              <w:rPr>
                <w:b/>
                <w:bCs/>
                <w:color w:val="000000"/>
                <w:sz w:val="20"/>
                <w:szCs w:val="20"/>
              </w:rPr>
            </w:pPr>
            <w:r>
              <w:rPr>
                <w:b/>
                <w:bCs/>
                <w:color w:val="000000"/>
                <w:sz w:val="20"/>
                <w:szCs w:val="20"/>
              </w:rPr>
              <w:t>0</w:t>
            </w:r>
          </w:p>
        </w:tc>
        <w:tc>
          <w:tcPr>
            <w:tcW w:w="1540" w:type="dxa"/>
            <w:tcBorders>
              <w:top w:val="nil"/>
              <w:left w:val="nil"/>
              <w:bottom w:val="single" w:sz="4" w:space="0" w:color="auto"/>
              <w:right w:val="single" w:sz="4" w:space="0" w:color="auto"/>
            </w:tcBorders>
            <w:vAlign w:val="center"/>
          </w:tcPr>
          <w:p w:rsidR="0004402F" w:rsidRDefault="0004402F" w:rsidP="0004402F">
            <w:pPr>
              <w:spacing w:after="0"/>
              <w:jc w:val="right"/>
              <w:rPr>
                <w:color w:val="000000"/>
                <w:sz w:val="20"/>
                <w:szCs w:val="20"/>
              </w:rPr>
            </w:pPr>
            <w:r>
              <w:rPr>
                <w:color w:val="000000"/>
                <w:sz w:val="20"/>
                <w:szCs w:val="20"/>
              </w:rPr>
              <w:t>0</w:t>
            </w:r>
          </w:p>
        </w:tc>
        <w:tc>
          <w:tcPr>
            <w:tcW w:w="1540" w:type="dxa"/>
            <w:tcBorders>
              <w:top w:val="nil"/>
              <w:left w:val="nil"/>
              <w:bottom w:val="single" w:sz="4" w:space="0" w:color="auto"/>
              <w:right w:val="single" w:sz="4" w:space="0" w:color="auto"/>
            </w:tcBorders>
            <w:vAlign w:val="center"/>
          </w:tcPr>
          <w:p w:rsidR="0004402F" w:rsidRDefault="0004402F" w:rsidP="0004402F">
            <w:pPr>
              <w:spacing w:after="0"/>
              <w:jc w:val="right"/>
              <w:rPr>
                <w:color w:val="000000"/>
                <w:sz w:val="20"/>
                <w:szCs w:val="20"/>
              </w:rPr>
            </w:pPr>
            <w:r>
              <w:rPr>
                <w:color w:val="000000"/>
                <w:sz w:val="20"/>
                <w:szCs w:val="20"/>
              </w:rPr>
              <w:t>0</w:t>
            </w:r>
          </w:p>
        </w:tc>
        <w:tc>
          <w:tcPr>
            <w:tcW w:w="1540" w:type="dxa"/>
            <w:tcBorders>
              <w:top w:val="nil"/>
              <w:left w:val="nil"/>
              <w:bottom w:val="single" w:sz="4" w:space="0" w:color="auto"/>
              <w:right w:val="single" w:sz="4" w:space="0" w:color="auto"/>
            </w:tcBorders>
            <w:vAlign w:val="center"/>
          </w:tcPr>
          <w:p w:rsidR="0004402F" w:rsidRDefault="0004402F" w:rsidP="0004402F">
            <w:pPr>
              <w:spacing w:after="0"/>
              <w:jc w:val="right"/>
              <w:rPr>
                <w:color w:val="000000"/>
                <w:sz w:val="20"/>
                <w:szCs w:val="20"/>
              </w:rPr>
            </w:pPr>
            <w:r>
              <w:rPr>
                <w:color w:val="000000"/>
                <w:sz w:val="20"/>
                <w:szCs w:val="20"/>
              </w:rPr>
              <w:t>0</w:t>
            </w:r>
          </w:p>
        </w:tc>
        <w:tc>
          <w:tcPr>
            <w:tcW w:w="2220" w:type="dxa"/>
            <w:tcBorders>
              <w:top w:val="nil"/>
              <w:left w:val="nil"/>
              <w:bottom w:val="single" w:sz="4" w:space="0" w:color="auto"/>
              <w:right w:val="single" w:sz="4" w:space="0" w:color="auto"/>
            </w:tcBorders>
            <w:noWrap/>
            <w:vAlign w:val="bottom"/>
          </w:tcPr>
          <w:p w:rsidR="0004402F" w:rsidRPr="007D5748" w:rsidRDefault="0004402F" w:rsidP="0004402F">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04402F" w:rsidRPr="007D5748" w:rsidTr="0004402F">
        <w:trPr>
          <w:trHeight w:val="255"/>
        </w:trPr>
        <w:tc>
          <w:tcPr>
            <w:tcW w:w="7070" w:type="dxa"/>
            <w:tcBorders>
              <w:top w:val="nil"/>
              <w:left w:val="single" w:sz="4" w:space="0" w:color="auto"/>
              <w:bottom w:val="single" w:sz="4" w:space="0" w:color="auto"/>
              <w:right w:val="single" w:sz="4" w:space="0" w:color="auto"/>
            </w:tcBorders>
          </w:tcPr>
          <w:p w:rsidR="0004402F" w:rsidRPr="007D5748" w:rsidRDefault="0004402F" w:rsidP="0004402F">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vAlign w:val="center"/>
          </w:tcPr>
          <w:p w:rsidR="0004402F" w:rsidRDefault="0004402F" w:rsidP="0004402F">
            <w:pPr>
              <w:spacing w:after="0"/>
              <w:jc w:val="right"/>
              <w:rPr>
                <w:color w:val="000000"/>
                <w:sz w:val="20"/>
                <w:szCs w:val="20"/>
              </w:rPr>
            </w:pPr>
            <w:r>
              <w:rPr>
                <w:color w:val="000000"/>
                <w:sz w:val="20"/>
                <w:szCs w:val="20"/>
              </w:rPr>
              <w:t>0</w:t>
            </w:r>
          </w:p>
        </w:tc>
        <w:tc>
          <w:tcPr>
            <w:tcW w:w="1540" w:type="dxa"/>
            <w:tcBorders>
              <w:top w:val="nil"/>
              <w:left w:val="nil"/>
              <w:bottom w:val="single" w:sz="4" w:space="0" w:color="auto"/>
              <w:right w:val="single" w:sz="4" w:space="0" w:color="auto"/>
            </w:tcBorders>
            <w:vAlign w:val="center"/>
          </w:tcPr>
          <w:p w:rsidR="0004402F" w:rsidRDefault="0004402F" w:rsidP="0004402F">
            <w:pPr>
              <w:spacing w:after="0"/>
              <w:jc w:val="right"/>
              <w:rPr>
                <w:color w:val="000000"/>
                <w:sz w:val="20"/>
                <w:szCs w:val="20"/>
              </w:rPr>
            </w:pPr>
            <w:r>
              <w:rPr>
                <w:color w:val="000000"/>
                <w:sz w:val="20"/>
                <w:szCs w:val="20"/>
              </w:rPr>
              <w:t>0</w:t>
            </w:r>
          </w:p>
        </w:tc>
        <w:tc>
          <w:tcPr>
            <w:tcW w:w="1540" w:type="dxa"/>
            <w:tcBorders>
              <w:top w:val="nil"/>
              <w:left w:val="nil"/>
              <w:bottom w:val="single" w:sz="4" w:space="0" w:color="auto"/>
              <w:right w:val="single" w:sz="4" w:space="0" w:color="auto"/>
            </w:tcBorders>
            <w:vAlign w:val="center"/>
          </w:tcPr>
          <w:p w:rsidR="0004402F" w:rsidRDefault="0004402F" w:rsidP="0004402F">
            <w:pPr>
              <w:spacing w:after="0"/>
              <w:jc w:val="right"/>
              <w:rPr>
                <w:color w:val="000000"/>
                <w:sz w:val="20"/>
                <w:szCs w:val="20"/>
              </w:rPr>
            </w:pPr>
            <w:r>
              <w:rPr>
                <w:color w:val="000000"/>
                <w:sz w:val="20"/>
                <w:szCs w:val="20"/>
              </w:rPr>
              <w:t>0</w:t>
            </w:r>
          </w:p>
        </w:tc>
        <w:tc>
          <w:tcPr>
            <w:tcW w:w="1540" w:type="dxa"/>
            <w:tcBorders>
              <w:top w:val="nil"/>
              <w:left w:val="nil"/>
              <w:bottom w:val="single" w:sz="4" w:space="0" w:color="auto"/>
              <w:right w:val="single" w:sz="4" w:space="0" w:color="auto"/>
            </w:tcBorders>
            <w:vAlign w:val="center"/>
          </w:tcPr>
          <w:p w:rsidR="0004402F" w:rsidRDefault="0004402F" w:rsidP="0004402F">
            <w:pPr>
              <w:spacing w:after="0"/>
              <w:jc w:val="right"/>
              <w:rPr>
                <w:color w:val="000000"/>
                <w:sz w:val="20"/>
                <w:szCs w:val="20"/>
              </w:rPr>
            </w:pPr>
            <w:r>
              <w:rPr>
                <w:color w:val="000000"/>
                <w:sz w:val="20"/>
                <w:szCs w:val="20"/>
              </w:rPr>
              <w:t>0</w:t>
            </w:r>
          </w:p>
        </w:tc>
        <w:tc>
          <w:tcPr>
            <w:tcW w:w="2220" w:type="dxa"/>
            <w:tcBorders>
              <w:top w:val="nil"/>
              <w:left w:val="nil"/>
              <w:bottom w:val="single" w:sz="4" w:space="0" w:color="auto"/>
              <w:right w:val="single" w:sz="4" w:space="0" w:color="auto"/>
            </w:tcBorders>
            <w:noWrap/>
            <w:vAlign w:val="bottom"/>
          </w:tcPr>
          <w:p w:rsidR="0004402F" w:rsidRPr="007D5748" w:rsidRDefault="0004402F" w:rsidP="0004402F">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04402F" w:rsidRPr="007D5748" w:rsidTr="0004402F">
        <w:trPr>
          <w:trHeight w:val="255"/>
        </w:trPr>
        <w:tc>
          <w:tcPr>
            <w:tcW w:w="7070" w:type="dxa"/>
            <w:tcBorders>
              <w:top w:val="nil"/>
              <w:left w:val="single" w:sz="4" w:space="0" w:color="auto"/>
              <w:bottom w:val="single" w:sz="4" w:space="0" w:color="auto"/>
              <w:right w:val="single" w:sz="4" w:space="0" w:color="auto"/>
            </w:tcBorders>
          </w:tcPr>
          <w:p w:rsidR="0004402F" w:rsidRPr="007D5748" w:rsidRDefault="0004402F" w:rsidP="0004402F">
            <w:pPr>
              <w:spacing w:after="0" w:line="240" w:lineRule="auto"/>
              <w:rPr>
                <w:rFonts w:ascii="Times New Roman" w:hAnsi="Times New Roman"/>
                <w:sz w:val="20"/>
                <w:szCs w:val="20"/>
                <w:vertAlign w:val="superscript"/>
                <w:lang w:eastAsia="sk-SK"/>
              </w:rPr>
            </w:pPr>
            <w:r w:rsidRPr="007D5748">
              <w:rPr>
                <w:rFonts w:ascii="Times New Roman" w:hAnsi="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vAlign w:val="center"/>
          </w:tcPr>
          <w:p w:rsidR="0004402F" w:rsidRDefault="0004402F" w:rsidP="0004402F">
            <w:pPr>
              <w:spacing w:after="0"/>
              <w:jc w:val="right"/>
              <w:rPr>
                <w:color w:val="000000"/>
                <w:sz w:val="20"/>
                <w:szCs w:val="20"/>
              </w:rPr>
            </w:pPr>
            <w:r>
              <w:rPr>
                <w:color w:val="000000"/>
                <w:sz w:val="20"/>
                <w:szCs w:val="20"/>
              </w:rPr>
              <w:t>0</w:t>
            </w:r>
          </w:p>
        </w:tc>
        <w:tc>
          <w:tcPr>
            <w:tcW w:w="1540" w:type="dxa"/>
            <w:tcBorders>
              <w:top w:val="nil"/>
              <w:left w:val="nil"/>
              <w:bottom w:val="single" w:sz="4" w:space="0" w:color="auto"/>
              <w:right w:val="single" w:sz="4" w:space="0" w:color="auto"/>
            </w:tcBorders>
            <w:vAlign w:val="center"/>
          </w:tcPr>
          <w:p w:rsidR="0004402F" w:rsidRDefault="0004402F" w:rsidP="0004402F">
            <w:pPr>
              <w:spacing w:after="0"/>
              <w:jc w:val="right"/>
              <w:rPr>
                <w:color w:val="000000"/>
                <w:sz w:val="20"/>
                <w:szCs w:val="20"/>
              </w:rPr>
            </w:pPr>
            <w:r>
              <w:rPr>
                <w:color w:val="000000"/>
                <w:sz w:val="20"/>
                <w:szCs w:val="20"/>
              </w:rPr>
              <w:t>0</w:t>
            </w:r>
          </w:p>
        </w:tc>
        <w:tc>
          <w:tcPr>
            <w:tcW w:w="1540" w:type="dxa"/>
            <w:tcBorders>
              <w:top w:val="nil"/>
              <w:left w:val="nil"/>
              <w:bottom w:val="single" w:sz="4" w:space="0" w:color="auto"/>
              <w:right w:val="single" w:sz="4" w:space="0" w:color="auto"/>
            </w:tcBorders>
            <w:vAlign w:val="center"/>
          </w:tcPr>
          <w:p w:rsidR="0004402F" w:rsidRDefault="0004402F" w:rsidP="0004402F">
            <w:pPr>
              <w:spacing w:after="0"/>
              <w:jc w:val="right"/>
              <w:rPr>
                <w:color w:val="000000"/>
                <w:sz w:val="20"/>
                <w:szCs w:val="20"/>
              </w:rPr>
            </w:pPr>
            <w:r>
              <w:rPr>
                <w:color w:val="000000"/>
                <w:sz w:val="20"/>
                <w:szCs w:val="20"/>
              </w:rPr>
              <w:t>0</w:t>
            </w:r>
          </w:p>
        </w:tc>
        <w:tc>
          <w:tcPr>
            <w:tcW w:w="1540" w:type="dxa"/>
            <w:tcBorders>
              <w:top w:val="nil"/>
              <w:left w:val="nil"/>
              <w:bottom w:val="single" w:sz="4" w:space="0" w:color="auto"/>
              <w:right w:val="single" w:sz="4" w:space="0" w:color="auto"/>
            </w:tcBorders>
            <w:vAlign w:val="center"/>
          </w:tcPr>
          <w:p w:rsidR="0004402F" w:rsidRDefault="0004402F" w:rsidP="0004402F">
            <w:pPr>
              <w:spacing w:after="0"/>
              <w:jc w:val="right"/>
              <w:rPr>
                <w:color w:val="000000"/>
                <w:sz w:val="20"/>
                <w:szCs w:val="20"/>
              </w:rPr>
            </w:pPr>
            <w:r>
              <w:rPr>
                <w:color w:val="000000"/>
                <w:sz w:val="20"/>
                <w:szCs w:val="20"/>
              </w:rPr>
              <w:t>0</w:t>
            </w:r>
          </w:p>
        </w:tc>
        <w:tc>
          <w:tcPr>
            <w:tcW w:w="2220" w:type="dxa"/>
            <w:tcBorders>
              <w:top w:val="nil"/>
              <w:left w:val="nil"/>
              <w:bottom w:val="single" w:sz="4" w:space="0" w:color="auto"/>
              <w:right w:val="single" w:sz="4" w:space="0" w:color="auto"/>
            </w:tcBorders>
            <w:noWrap/>
            <w:vAlign w:val="bottom"/>
          </w:tcPr>
          <w:p w:rsidR="0004402F" w:rsidRPr="007D5748" w:rsidRDefault="0004402F" w:rsidP="0004402F">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04402F" w:rsidRPr="007D5748" w:rsidTr="0004402F">
        <w:trPr>
          <w:trHeight w:val="255"/>
        </w:trPr>
        <w:tc>
          <w:tcPr>
            <w:tcW w:w="7070" w:type="dxa"/>
            <w:tcBorders>
              <w:top w:val="nil"/>
              <w:left w:val="single" w:sz="4" w:space="0" w:color="auto"/>
              <w:bottom w:val="single" w:sz="4" w:space="0" w:color="auto"/>
              <w:right w:val="single" w:sz="4" w:space="0" w:color="auto"/>
            </w:tcBorders>
          </w:tcPr>
          <w:p w:rsidR="0004402F" w:rsidRPr="007D5748" w:rsidRDefault="0004402F" w:rsidP="0004402F">
            <w:pPr>
              <w:spacing w:after="0" w:line="240" w:lineRule="auto"/>
              <w:rPr>
                <w:rFonts w:ascii="Times New Roman" w:hAnsi="Times New Roman"/>
                <w:sz w:val="20"/>
                <w:szCs w:val="20"/>
                <w:vertAlign w:val="superscript"/>
                <w:lang w:eastAsia="sk-SK"/>
              </w:rPr>
            </w:pPr>
            <w:r w:rsidRPr="007D5748">
              <w:rPr>
                <w:rFonts w:ascii="Times New Roman" w:hAnsi="Times New Roman"/>
                <w:sz w:val="20"/>
                <w:szCs w:val="20"/>
                <w:lang w:eastAsia="sk-SK"/>
              </w:rPr>
              <w:t xml:space="preserve">  Tovary a služby (630)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04402F" w:rsidRDefault="0004402F" w:rsidP="0004402F">
            <w:pPr>
              <w:spacing w:after="0"/>
              <w:jc w:val="right"/>
              <w:rPr>
                <w:color w:val="000000"/>
                <w:sz w:val="20"/>
                <w:szCs w:val="20"/>
              </w:rPr>
            </w:pPr>
            <w:r>
              <w:rPr>
                <w:color w:val="000000"/>
                <w:sz w:val="20"/>
                <w:szCs w:val="20"/>
              </w:rPr>
              <w:t>0</w:t>
            </w:r>
          </w:p>
        </w:tc>
        <w:tc>
          <w:tcPr>
            <w:tcW w:w="1540" w:type="dxa"/>
            <w:tcBorders>
              <w:top w:val="nil"/>
              <w:left w:val="nil"/>
              <w:bottom w:val="single" w:sz="4" w:space="0" w:color="auto"/>
              <w:right w:val="single" w:sz="4" w:space="0" w:color="auto"/>
            </w:tcBorders>
            <w:vAlign w:val="center"/>
          </w:tcPr>
          <w:p w:rsidR="0004402F" w:rsidRDefault="0004402F" w:rsidP="0004402F">
            <w:pPr>
              <w:spacing w:after="0"/>
              <w:jc w:val="right"/>
              <w:rPr>
                <w:color w:val="000000"/>
                <w:sz w:val="20"/>
                <w:szCs w:val="20"/>
              </w:rPr>
            </w:pPr>
            <w:r>
              <w:rPr>
                <w:color w:val="000000"/>
                <w:sz w:val="20"/>
                <w:szCs w:val="20"/>
              </w:rPr>
              <w:t>0</w:t>
            </w:r>
          </w:p>
        </w:tc>
        <w:tc>
          <w:tcPr>
            <w:tcW w:w="1540" w:type="dxa"/>
            <w:tcBorders>
              <w:top w:val="nil"/>
              <w:left w:val="nil"/>
              <w:bottom w:val="single" w:sz="4" w:space="0" w:color="auto"/>
              <w:right w:val="single" w:sz="4" w:space="0" w:color="auto"/>
            </w:tcBorders>
            <w:vAlign w:val="center"/>
          </w:tcPr>
          <w:p w:rsidR="0004402F" w:rsidRDefault="0004402F" w:rsidP="0004402F">
            <w:pPr>
              <w:spacing w:after="0"/>
              <w:jc w:val="right"/>
              <w:rPr>
                <w:color w:val="000000"/>
                <w:sz w:val="20"/>
                <w:szCs w:val="20"/>
              </w:rPr>
            </w:pPr>
            <w:r>
              <w:rPr>
                <w:color w:val="000000"/>
                <w:sz w:val="20"/>
                <w:szCs w:val="20"/>
              </w:rPr>
              <w:t>0</w:t>
            </w:r>
          </w:p>
        </w:tc>
        <w:tc>
          <w:tcPr>
            <w:tcW w:w="1540" w:type="dxa"/>
            <w:tcBorders>
              <w:top w:val="nil"/>
              <w:left w:val="nil"/>
              <w:bottom w:val="single" w:sz="4" w:space="0" w:color="auto"/>
              <w:right w:val="single" w:sz="4" w:space="0" w:color="auto"/>
            </w:tcBorders>
            <w:vAlign w:val="center"/>
          </w:tcPr>
          <w:p w:rsidR="0004402F" w:rsidRDefault="0004402F" w:rsidP="0004402F">
            <w:pPr>
              <w:spacing w:after="0"/>
              <w:jc w:val="right"/>
              <w:rPr>
                <w:color w:val="000000"/>
                <w:sz w:val="20"/>
                <w:szCs w:val="20"/>
              </w:rPr>
            </w:pPr>
            <w:r>
              <w:rPr>
                <w:color w:val="000000"/>
                <w:sz w:val="20"/>
                <w:szCs w:val="20"/>
              </w:rPr>
              <w:t>0</w:t>
            </w:r>
          </w:p>
        </w:tc>
        <w:tc>
          <w:tcPr>
            <w:tcW w:w="2220" w:type="dxa"/>
            <w:tcBorders>
              <w:top w:val="nil"/>
              <w:left w:val="nil"/>
              <w:bottom w:val="single" w:sz="4" w:space="0" w:color="auto"/>
              <w:right w:val="single" w:sz="4" w:space="0" w:color="auto"/>
            </w:tcBorders>
            <w:noWrap/>
            <w:vAlign w:val="bottom"/>
          </w:tcPr>
          <w:p w:rsidR="0004402F" w:rsidRPr="007D5748" w:rsidRDefault="0004402F" w:rsidP="0004402F">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04402F" w:rsidRPr="007D5748" w:rsidTr="0004402F">
        <w:trPr>
          <w:trHeight w:val="255"/>
        </w:trPr>
        <w:tc>
          <w:tcPr>
            <w:tcW w:w="7070" w:type="dxa"/>
            <w:tcBorders>
              <w:top w:val="nil"/>
              <w:left w:val="single" w:sz="4" w:space="0" w:color="auto"/>
              <w:bottom w:val="single" w:sz="4" w:space="0" w:color="auto"/>
              <w:right w:val="single" w:sz="4" w:space="0" w:color="auto"/>
            </w:tcBorders>
          </w:tcPr>
          <w:p w:rsidR="0004402F" w:rsidRPr="007D5748" w:rsidRDefault="0004402F" w:rsidP="0004402F">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Bežné transfery (640)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04402F" w:rsidRDefault="0004402F" w:rsidP="0004402F">
            <w:pPr>
              <w:spacing w:after="0"/>
              <w:jc w:val="right"/>
              <w:rPr>
                <w:color w:val="000000"/>
                <w:sz w:val="20"/>
                <w:szCs w:val="20"/>
              </w:rPr>
            </w:pPr>
            <w:r>
              <w:rPr>
                <w:color w:val="000000"/>
                <w:sz w:val="20"/>
                <w:szCs w:val="20"/>
              </w:rPr>
              <w:t>0</w:t>
            </w:r>
          </w:p>
        </w:tc>
        <w:tc>
          <w:tcPr>
            <w:tcW w:w="1540" w:type="dxa"/>
            <w:tcBorders>
              <w:top w:val="nil"/>
              <w:left w:val="nil"/>
              <w:bottom w:val="single" w:sz="4" w:space="0" w:color="auto"/>
              <w:right w:val="single" w:sz="4" w:space="0" w:color="auto"/>
            </w:tcBorders>
            <w:vAlign w:val="center"/>
          </w:tcPr>
          <w:p w:rsidR="0004402F" w:rsidRDefault="0004402F" w:rsidP="0004402F">
            <w:pPr>
              <w:spacing w:after="0"/>
              <w:jc w:val="right"/>
              <w:rPr>
                <w:color w:val="000000"/>
                <w:sz w:val="20"/>
                <w:szCs w:val="20"/>
              </w:rPr>
            </w:pPr>
            <w:r>
              <w:rPr>
                <w:color w:val="000000"/>
                <w:sz w:val="20"/>
                <w:szCs w:val="20"/>
              </w:rPr>
              <w:t>0</w:t>
            </w:r>
          </w:p>
        </w:tc>
        <w:tc>
          <w:tcPr>
            <w:tcW w:w="1540" w:type="dxa"/>
            <w:tcBorders>
              <w:top w:val="nil"/>
              <w:left w:val="nil"/>
              <w:bottom w:val="single" w:sz="4" w:space="0" w:color="auto"/>
              <w:right w:val="single" w:sz="4" w:space="0" w:color="auto"/>
            </w:tcBorders>
            <w:vAlign w:val="center"/>
          </w:tcPr>
          <w:p w:rsidR="0004402F" w:rsidRDefault="0004402F" w:rsidP="0004402F">
            <w:pPr>
              <w:spacing w:after="0"/>
              <w:jc w:val="right"/>
              <w:rPr>
                <w:color w:val="000000"/>
                <w:sz w:val="20"/>
                <w:szCs w:val="20"/>
              </w:rPr>
            </w:pPr>
            <w:r>
              <w:rPr>
                <w:color w:val="000000"/>
                <w:sz w:val="20"/>
                <w:szCs w:val="20"/>
              </w:rPr>
              <w:t>0</w:t>
            </w:r>
          </w:p>
        </w:tc>
        <w:tc>
          <w:tcPr>
            <w:tcW w:w="1540" w:type="dxa"/>
            <w:tcBorders>
              <w:top w:val="nil"/>
              <w:left w:val="nil"/>
              <w:bottom w:val="single" w:sz="4" w:space="0" w:color="auto"/>
              <w:right w:val="single" w:sz="4" w:space="0" w:color="auto"/>
            </w:tcBorders>
            <w:vAlign w:val="center"/>
          </w:tcPr>
          <w:p w:rsidR="0004402F" w:rsidRDefault="0004402F" w:rsidP="0004402F">
            <w:pPr>
              <w:spacing w:after="0"/>
              <w:jc w:val="right"/>
              <w:rPr>
                <w:color w:val="000000"/>
                <w:sz w:val="20"/>
                <w:szCs w:val="20"/>
              </w:rPr>
            </w:pPr>
            <w:r>
              <w:rPr>
                <w:color w:val="000000"/>
                <w:sz w:val="20"/>
                <w:szCs w:val="20"/>
              </w:rPr>
              <w:t>0</w:t>
            </w:r>
          </w:p>
        </w:tc>
        <w:tc>
          <w:tcPr>
            <w:tcW w:w="2220" w:type="dxa"/>
            <w:tcBorders>
              <w:top w:val="nil"/>
              <w:left w:val="nil"/>
              <w:bottom w:val="single" w:sz="4" w:space="0" w:color="auto"/>
              <w:right w:val="single" w:sz="4" w:space="0" w:color="auto"/>
            </w:tcBorders>
            <w:noWrap/>
            <w:vAlign w:val="bottom"/>
          </w:tcPr>
          <w:p w:rsidR="0004402F" w:rsidRPr="007D5748" w:rsidRDefault="0004402F" w:rsidP="0004402F">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04402F" w:rsidRPr="007D5748" w:rsidTr="0004402F">
        <w:trPr>
          <w:trHeight w:val="255"/>
        </w:trPr>
        <w:tc>
          <w:tcPr>
            <w:tcW w:w="7070" w:type="dxa"/>
            <w:tcBorders>
              <w:top w:val="nil"/>
              <w:left w:val="single" w:sz="4" w:space="0" w:color="auto"/>
              <w:bottom w:val="single" w:sz="4" w:space="0" w:color="auto"/>
              <w:right w:val="single" w:sz="4" w:space="0" w:color="auto"/>
            </w:tcBorders>
            <w:vAlign w:val="center"/>
          </w:tcPr>
          <w:p w:rsidR="0004402F" w:rsidRPr="007D5748" w:rsidRDefault="0004402F" w:rsidP="0004402F">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Splácanie úrokov a ostatné platby súvisiace s </w:t>
            </w:r>
            <w:r>
              <w:t xml:space="preserve"> </w:t>
            </w:r>
            <w:r w:rsidRPr="008D339D">
              <w:rPr>
                <w:rFonts w:ascii="Times New Roman" w:hAnsi="Times New Roman"/>
                <w:sz w:val="20"/>
                <w:szCs w:val="20"/>
                <w:lang w:eastAsia="sk-SK"/>
              </w:rPr>
              <w:t>úverom, pôžičkou, návratnou finančnou výpomocou a finančným prenájmom</w:t>
            </w:r>
            <w:r w:rsidRPr="007D5748">
              <w:rPr>
                <w:rFonts w:ascii="Times New Roman" w:hAnsi="Times New Roman"/>
                <w:sz w:val="20"/>
                <w:szCs w:val="20"/>
                <w:lang w:eastAsia="sk-SK"/>
              </w:rPr>
              <w:t xml:space="preserve"> (650)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vAlign w:val="center"/>
          </w:tcPr>
          <w:p w:rsidR="0004402F" w:rsidRDefault="0004402F" w:rsidP="0004402F">
            <w:pPr>
              <w:spacing w:after="0"/>
              <w:jc w:val="right"/>
              <w:rPr>
                <w:color w:val="000000"/>
                <w:sz w:val="20"/>
                <w:szCs w:val="20"/>
              </w:rPr>
            </w:pPr>
            <w:r>
              <w:rPr>
                <w:color w:val="000000"/>
                <w:sz w:val="20"/>
                <w:szCs w:val="20"/>
              </w:rPr>
              <w:t>0</w:t>
            </w:r>
          </w:p>
        </w:tc>
        <w:tc>
          <w:tcPr>
            <w:tcW w:w="1540" w:type="dxa"/>
            <w:tcBorders>
              <w:top w:val="nil"/>
              <w:left w:val="nil"/>
              <w:bottom w:val="single" w:sz="4" w:space="0" w:color="auto"/>
              <w:right w:val="single" w:sz="4" w:space="0" w:color="auto"/>
            </w:tcBorders>
            <w:vAlign w:val="center"/>
          </w:tcPr>
          <w:p w:rsidR="0004402F" w:rsidRDefault="0004402F" w:rsidP="0004402F">
            <w:pPr>
              <w:spacing w:after="0"/>
              <w:jc w:val="right"/>
              <w:rPr>
                <w:color w:val="000000"/>
                <w:sz w:val="20"/>
                <w:szCs w:val="20"/>
              </w:rPr>
            </w:pPr>
            <w:r>
              <w:rPr>
                <w:color w:val="000000"/>
                <w:sz w:val="20"/>
                <w:szCs w:val="20"/>
              </w:rPr>
              <w:t>0</w:t>
            </w:r>
          </w:p>
        </w:tc>
        <w:tc>
          <w:tcPr>
            <w:tcW w:w="1540" w:type="dxa"/>
            <w:tcBorders>
              <w:top w:val="nil"/>
              <w:left w:val="nil"/>
              <w:bottom w:val="single" w:sz="4" w:space="0" w:color="auto"/>
              <w:right w:val="single" w:sz="4" w:space="0" w:color="auto"/>
            </w:tcBorders>
            <w:vAlign w:val="center"/>
          </w:tcPr>
          <w:p w:rsidR="0004402F" w:rsidRDefault="0004402F" w:rsidP="0004402F">
            <w:pPr>
              <w:spacing w:after="0"/>
              <w:jc w:val="right"/>
              <w:rPr>
                <w:color w:val="000000"/>
                <w:sz w:val="20"/>
                <w:szCs w:val="20"/>
              </w:rPr>
            </w:pPr>
            <w:r>
              <w:rPr>
                <w:color w:val="000000"/>
                <w:sz w:val="20"/>
                <w:szCs w:val="20"/>
              </w:rPr>
              <w:t>0</w:t>
            </w:r>
          </w:p>
        </w:tc>
        <w:tc>
          <w:tcPr>
            <w:tcW w:w="1540" w:type="dxa"/>
            <w:tcBorders>
              <w:top w:val="nil"/>
              <w:left w:val="nil"/>
              <w:bottom w:val="single" w:sz="4" w:space="0" w:color="auto"/>
              <w:right w:val="single" w:sz="4" w:space="0" w:color="auto"/>
            </w:tcBorders>
            <w:vAlign w:val="center"/>
          </w:tcPr>
          <w:p w:rsidR="0004402F" w:rsidRDefault="0004402F" w:rsidP="0004402F">
            <w:pPr>
              <w:spacing w:after="0"/>
              <w:jc w:val="right"/>
              <w:rPr>
                <w:color w:val="000000"/>
                <w:sz w:val="20"/>
                <w:szCs w:val="20"/>
              </w:rPr>
            </w:pPr>
            <w:r>
              <w:rPr>
                <w:color w:val="000000"/>
                <w:sz w:val="20"/>
                <w:szCs w:val="20"/>
              </w:rPr>
              <w:t>0</w:t>
            </w:r>
          </w:p>
        </w:tc>
        <w:tc>
          <w:tcPr>
            <w:tcW w:w="2220" w:type="dxa"/>
            <w:tcBorders>
              <w:top w:val="nil"/>
              <w:left w:val="nil"/>
              <w:bottom w:val="single" w:sz="4" w:space="0" w:color="auto"/>
              <w:right w:val="single" w:sz="4" w:space="0" w:color="auto"/>
            </w:tcBorders>
            <w:noWrap/>
            <w:vAlign w:val="bottom"/>
          </w:tcPr>
          <w:p w:rsidR="0004402F" w:rsidRPr="007D5748" w:rsidRDefault="0004402F" w:rsidP="0004402F">
            <w:pPr>
              <w:spacing w:after="0" w:line="240" w:lineRule="auto"/>
              <w:rPr>
                <w:rFonts w:ascii="Times New Roman" w:hAnsi="Times New Roman"/>
                <w:sz w:val="24"/>
                <w:szCs w:val="24"/>
                <w:lang w:eastAsia="sk-SK"/>
              </w:rPr>
            </w:pPr>
          </w:p>
        </w:tc>
      </w:tr>
      <w:tr w:rsidR="0004402F" w:rsidRPr="007D5748" w:rsidTr="0004402F">
        <w:trPr>
          <w:trHeight w:val="255"/>
        </w:trPr>
        <w:tc>
          <w:tcPr>
            <w:tcW w:w="7070" w:type="dxa"/>
            <w:tcBorders>
              <w:top w:val="nil"/>
              <w:left w:val="single" w:sz="4" w:space="0" w:color="auto"/>
              <w:bottom w:val="single" w:sz="4" w:space="0" w:color="auto"/>
              <w:right w:val="single" w:sz="4" w:space="0" w:color="auto"/>
            </w:tcBorders>
          </w:tcPr>
          <w:p w:rsidR="0004402F" w:rsidRPr="007D5748" w:rsidRDefault="0004402F" w:rsidP="0004402F">
            <w:pPr>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Kapitálové výdavky (700)</w:t>
            </w:r>
          </w:p>
        </w:tc>
        <w:tc>
          <w:tcPr>
            <w:tcW w:w="1540" w:type="dxa"/>
            <w:tcBorders>
              <w:top w:val="nil"/>
              <w:left w:val="nil"/>
              <w:bottom w:val="single" w:sz="4" w:space="0" w:color="auto"/>
              <w:right w:val="single" w:sz="4" w:space="0" w:color="auto"/>
            </w:tcBorders>
            <w:vAlign w:val="center"/>
          </w:tcPr>
          <w:p w:rsidR="0004402F" w:rsidRPr="003B4E3C" w:rsidRDefault="0004402F" w:rsidP="0004402F">
            <w:pPr>
              <w:spacing w:after="0"/>
              <w:jc w:val="right"/>
              <w:rPr>
                <w:b/>
                <w:color w:val="000000"/>
                <w:sz w:val="20"/>
                <w:szCs w:val="20"/>
              </w:rPr>
            </w:pPr>
            <w:r w:rsidRPr="003B4E3C">
              <w:rPr>
                <w:b/>
                <w:color w:val="000000"/>
                <w:sz w:val="20"/>
                <w:szCs w:val="20"/>
              </w:rPr>
              <w:t>126 084</w:t>
            </w:r>
          </w:p>
        </w:tc>
        <w:tc>
          <w:tcPr>
            <w:tcW w:w="1540" w:type="dxa"/>
            <w:tcBorders>
              <w:top w:val="nil"/>
              <w:left w:val="nil"/>
              <w:bottom w:val="single" w:sz="4" w:space="0" w:color="auto"/>
              <w:right w:val="single" w:sz="4" w:space="0" w:color="auto"/>
            </w:tcBorders>
            <w:vAlign w:val="center"/>
          </w:tcPr>
          <w:p w:rsidR="0004402F" w:rsidRPr="00864A6E" w:rsidRDefault="0004402F" w:rsidP="0004402F">
            <w:pPr>
              <w:spacing w:after="0"/>
              <w:jc w:val="right"/>
              <w:rPr>
                <w:b/>
                <w:color w:val="000000"/>
                <w:sz w:val="20"/>
                <w:szCs w:val="20"/>
              </w:rPr>
            </w:pPr>
            <w:r w:rsidRPr="00864A6E">
              <w:rPr>
                <w:b/>
                <w:color w:val="000000"/>
                <w:sz w:val="20"/>
                <w:szCs w:val="20"/>
              </w:rPr>
              <w:t>389 343</w:t>
            </w:r>
          </w:p>
        </w:tc>
        <w:tc>
          <w:tcPr>
            <w:tcW w:w="1540" w:type="dxa"/>
            <w:tcBorders>
              <w:top w:val="nil"/>
              <w:left w:val="nil"/>
              <w:bottom w:val="single" w:sz="4" w:space="0" w:color="auto"/>
              <w:right w:val="single" w:sz="4" w:space="0" w:color="auto"/>
            </w:tcBorders>
            <w:vAlign w:val="center"/>
          </w:tcPr>
          <w:p w:rsidR="0004402F" w:rsidRDefault="0004402F" w:rsidP="0004402F">
            <w:pPr>
              <w:spacing w:after="0"/>
              <w:jc w:val="right"/>
              <w:rPr>
                <w:color w:val="000000"/>
                <w:sz w:val="20"/>
                <w:szCs w:val="20"/>
              </w:rPr>
            </w:pPr>
            <w:r>
              <w:rPr>
                <w:color w:val="000000"/>
                <w:sz w:val="20"/>
                <w:szCs w:val="20"/>
              </w:rPr>
              <w:t>0</w:t>
            </w:r>
          </w:p>
        </w:tc>
        <w:tc>
          <w:tcPr>
            <w:tcW w:w="1540" w:type="dxa"/>
            <w:tcBorders>
              <w:top w:val="nil"/>
              <w:left w:val="nil"/>
              <w:bottom w:val="single" w:sz="4" w:space="0" w:color="auto"/>
              <w:right w:val="single" w:sz="4" w:space="0" w:color="auto"/>
            </w:tcBorders>
            <w:vAlign w:val="center"/>
          </w:tcPr>
          <w:p w:rsidR="0004402F" w:rsidRDefault="0004402F" w:rsidP="0004402F">
            <w:pPr>
              <w:spacing w:after="0"/>
              <w:jc w:val="right"/>
              <w:rPr>
                <w:color w:val="000000"/>
                <w:sz w:val="24"/>
                <w:szCs w:val="24"/>
              </w:rPr>
            </w:pPr>
            <w:r>
              <w:rPr>
                <w:color w:val="000000"/>
              </w:rPr>
              <w:t>0</w:t>
            </w:r>
          </w:p>
        </w:tc>
        <w:tc>
          <w:tcPr>
            <w:tcW w:w="2220" w:type="dxa"/>
            <w:tcBorders>
              <w:top w:val="nil"/>
              <w:left w:val="nil"/>
              <w:bottom w:val="single" w:sz="4" w:space="0" w:color="auto"/>
              <w:right w:val="single" w:sz="4" w:space="0" w:color="auto"/>
            </w:tcBorders>
            <w:noWrap/>
            <w:vAlign w:val="bottom"/>
          </w:tcPr>
          <w:p w:rsidR="0004402F" w:rsidRPr="007D5748" w:rsidRDefault="0004402F" w:rsidP="0004402F">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04402F" w:rsidRPr="007D5748" w:rsidTr="0004402F">
        <w:trPr>
          <w:trHeight w:val="255"/>
        </w:trPr>
        <w:tc>
          <w:tcPr>
            <w:tcW w:w="7070" w:type="dxa"/>
            <w:tcBorders>
              <w:top w:val="nil"/>
              <w:left w:val="single" w:sz="4" w:space="0" w:color="auto"/>
              <w:bottom w:val="single" w:sz="4" w:space="0" w:color="auto"/>
              <w:right w:val="single" w:sz="4" w:space="0" w:color="auto"/>
            </w:tcBorders>
          </w:tcPr>
          <w:p w:rsidR="0004402F" w:rsidRPr="007D5748" w:rsidRDefault="0004402F" w:rsidP="0004402F">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Obstarávanie kapitálových aktív (710)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04402F" w:rsidRPr="00864A6E" w:rsidRDefault="0004402F" w:rsidP="0004402F">
            <w:pPr>
              <w:spacing w:after="0"/>
              <w:jc w:val="right"/>
              <w:rPr>
                <w:rFonts w:ascii="Times New Roman" w:hAnsi="Times New Roman"/>
                <w:sz w:val="20"/>
                <w:szCs w:val="20"/>
                <w:lang w:eastAsia="sk-SK"/>
              </w:rPr>
            </w:pPr>
            <w:r w:rsidRPr="00864A6E">
              <w:rPr>
                <w:rFonts w:ascii="Times New Roman" w:hAnsi="Times New Roman"/>
                <w:sz w:val="20"/>
                <w:szCs w:val="20"/>
                <w:lang w:eastAsia="sk-SK"/>
              </w:rPr>
              <w:t>126 084</w:t>
            </w:r>
          </w:p>
        </w:tc>
        <w:tc>
          <w:tcPr>
            <w:tcW w:w="1540" w:type="dxa"/>
            <w:tcBorders>
              <w:top w:val="nil"/>
              <w:left w:val="nil"/>
              <w:bottom w:val="single" w:sz="4" w:space="0" w:color="auto"/>
              <w:right w:val="single" w:sz="4" w:space="0" w:color="auto"/>
            </w:tcBorders>
          </w:tcPr>
          <w:p w:rsidR="0004402F" w:rsidRDefault="0004402F" w:rsidP="0004402F">
            <w:pPr>
              <w:spacing w:after="0"/>
              <w:jc w:val="right"/>
            </w:pPr>
            <w:r w:rsidRPr="00F3571D">
              <w:rPr>
                <w:color w:val="000000"/>
                <w:sz w:val="20"/>
                <w:szCs w:val="20"/>
              </w:rPr>
              <w:t>389 343</w:t>
            </w:r>
          </w:p>
        </w:tc>
        <w:tc>
          <w:tcPr>
            <w:tcW w:w="1540" w:type="dxa"/>
            <w:tcBorders>
              <w:top w:val="nil"/>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04402F" w:rsidRPr="007D5748" w:rsidRDefault="0004402F" w:rsidP="0004402F">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04402F" w:rsidRPr="007D5748" w:rsidTr="0004402F">
        <w:trPr>
          <w:trHeight w:val="255"/>
        </w:trPr>
        <w:tc>
          <w:tcPr>
            <w:tcW w:w="7070" w:type="dxa"/>
            <w:tcBorders>
              <w:top w:val="nil"/>
              <w:left w:val="single" w:sz="4" w:space="0" w:color="auto"/>
              <w:bottom w:val="single" w:sz="4" w:space="0" w:color="auto"/>
              <w:right w:val="single" w:sz="4" w:space="0" w:color="auto"/>
            </w:tcBorders>
          </w:tcPr>
          <w:p w:rsidR="0004402F" w:rsidRPr="007D5748" w:rsidRDefault="0004402F" w:rsidP="0004402F">
            <w:pPr>
              <w:spacing w:after="0" w:line="240" w:lineRule="auto"/>
              <w:ind w:left="209"/>
              <w:rPr>
                <w:rFonts w:ascii="Times New Roman" w:hAnsi="Times New Roman"/>
                <w:sz w:val="20"/>
                <w:szCs w:val="20"/>
                <w:lang w:eastAsia="sk-SK"/>
              </w:rPr>
            </w:pPr>
            <w:r>
              <w:rPr>
                <w:rFonts w:ascii="Times New Roman" w:hAnsi="Times New Roman"/>
                <w:sz w:val="20"/>
                <w:szCs w:val="20"/>
                <w:lang w:eastAsia="sk-SK"/>
              </w:rPr>
              <w:t>v tom: Rekonštrukcia a modernizácia (718)</w:t>
            </w:r>
          </w:p>
        </w:tc>
        <w:tc>
          <w:tcPr>
            <w:tcW w:w="1540" w:type="dxa"/>
            <w:tcBorders>
              <w:top w:val="nil"/>
              <w:left w:val="nil"/>
              <w:bottom w:val="single" w:sz="4" w:space="0" w:color="auto"/>
              <w:right w:val="single" w:sz="4" w:space="0" w:color="auto"/>
            </w:tcBorders>
          </w:tcPr>
          <w:p w:rsidR="0004402F" w:rsidRPr="00864A6E" w:rsidRDefault="0004402F" w:rsidP="0004402F">
            <w:pPr>
              <w:spacing w:after="0"/>
              <w:jc w:val="right"/>
              <w:rPr>
                <w:rFonts w:ascii="Times New Roman" w:hAnsi="Times New Roman"/>
                <w:sz w:val="20"/>
                <w:szCs w:val="20"/>
                <w:lang w:eastAsia="sk-SK"/>
              </w:rPr>
            </w:pPr>
            <w:r w:rsidRPr="00864A6E">
              <w:rPr>
                <w:rFonts w:ascii="Times New Roman" w:hAnsi="Times New Roman"/>
                <w:sz w:val="20"/>
                <w:szCs w:val="20"/>
                <w:lang w:eastAsia="sk-SK"/>
              </w:rPr>
              <w:t>126 084</w:t>
            </w:r>
          </w:p>
        </w:tc>
        <w:tc>
          <w:tcPr>
            <w:tcW w:w="1540" w:type="dxa"/>
            <w:tcBorders>
              <w:top w:val="nil"/>
              <w:left w:val="nil"/>
              <w:bottom w:val="single" w:sz="4" w:space="0" w:color="auto"/>
              <w:right w:val="single" w:sz="4" w:space="0" w:color="auto"/>
            </w:tcBorders>
          </w:tcPr>
          <w:p w:rsidR="0004402F" w:rsidRDefault="0004402F" w:rsidP="0004402F">
            <w:pPr>
              <w:spacing w:after="0"/>
              <w:jc w:val="right"/>
            </w:pPr>
            <w:r w:rsidRPr="00F3571D">
              <w:rPr>
                <w:color w:val="000000"/>
                <w:sz w:val="20"/>
                <w:szCs w:val="20"/>
              </w:rPr>
              <w:t>389 343</w:t>
            </w:r>
          </w:p>
        </w:tc>
        <w:tc>
          <w:tcPr>
            <w:tcW w:w="1540" w:type="dxa"/>
            <w:tcBorders>
              <w:top w:val="nil"/>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04402F" w:rsidRPr="007D5748" w:rsidRDefault="0004402F" w:rsidP="0004402F">
            <w:pPr>
              <w:spacing w:after="0" w:line="240" w:lineRule="auto"/>
              <w:rPr>
                <w:rFonts w:ascii="Times New Roman" w:hAnsi="Times New Roman"/>
                <w:sz w:val="24"/>
                <w:szCs w:val="24"/>
                <w:lang w:eastAsia="sk-SK"/>
              </w:rPr>
            </w:pPr>
          </w:p>
        </w:tc>
      </w:tr>
      <w:tr w:rsidR="0004402F" w:rsidRPr="007D5748" w:rsidTr="0004402F">
        <w:trPr>
          <w:trHeight w:val="255"/>
        </w:trPr>
        <w:tc>
          <w:tcPr>
            <w:tcW w:w="7070" w:type="dxa"/>
            <w:tcBorders>
              <w:top w:val="nil"/>
              <w:left w:val="single" w:sz="4" w:space="0" w:color="auto"/>
              <w:bottom w:val="single" w:sz="4" w:space="0" w:color="auto"/>
              <w:right w:val="single" w:sz="4" w:space="0" w:color="auto"/>
            </w:tcBorders>
          </w:tcPr>
          <w:p w:rsidR="0004402F" w:rsidRPr="007D5748" w:rsidRDefault="0004402F" w:rsidP="0004402F">
            <w:pPr>
              <w:spacing w:after="0" w:line="240" w:lineRule="auto"/>
              <w:rPr>
                <w:rFonts w:ascii="Times New Roman" w:hAnsi="Times New Roman"/>
                <w:sz w:val="20"/>
                <w:szCs w:val="20"/>
                <w:lang w:eastAsia="sk-SK"/>
              </w:rPr>
            </w:pPr>
            <w:r w:rsidRPr="007D5748">
              <w:rPr>
                <w:rFonts w:ascii="Times New Roman" w:hAnsi="Times New Roman"/>
                <w:sz w:val="20"/>
                <w:szCs w:val="20"/>
                <w:lang w:eastAsia="sk-SK"/>
              </w:rPr>
              <w:t xml:space="preserve">  Kapitálové transfery (720)</w:t>
            </w:r>
            <w:r w:rsidRPr="007D5748">
              <w:rPr>
                <w:rFonts w:ascii="Times New Roman" w:hAnsi="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04402F" w:rsidRPr="007D5748" w:rsidRDefault="0004402F" w:rsidP="0004402F">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04402F" w:rsidRPr="007D5748" w:rsidTr="0004402F">
        <w:trPr>
          <w:trHeight w:val="255"/>
        </w:trPr>
        <w:tc>
          <w:tcPr>
            <w:tcW w:w="7070" w:type="dxa"/>
            <w:tcBorders>
              <w:top w:val="nil"/>
              <w:left w:val="single" w:sz="4" w:space="0" w:color="auto"/>
              <w:bottom w:val="single" w:sz="4" w:space="0" w:color="auto"/>
              <w:right w:val="single" w:sz="4" w:space="0" w:color="auto"/>
            </w:tcBorders>
          </w:tcPr>
          <w:p w:rsidR="0004402F" w:rsidRPr="007D5748" w:rsidRDefault="0004402F" w:rsidP="0004402F">
            <w:pPr>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04402F" w:rsidRPr="007D5748" w:rsidRDefault="0004402F" w:rsidP="0004402F">
            <w:pPr>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04402F" w:rsidRPr="007D5748" w:rsidRDefault="0004402F" w:rsidP="0004402F">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shd w:val="clear" w:color="auto" w:fill="FFFF99"/>
          </w:tcPr>
          <w:p w:rsidR="0004402F" w:rsidRPr="007D5748" w:rsidRDefault="0004402F" w:rsidP="0004402F">
            <w:pPr>
              <w:spacing w:after="0" w:line="240" w:lineRule="auto"/>
              <w:jc w:val="center"/>
              <w:rPr>
                <w:rFonts w:ascii="Times New Roman" w:hAnsi="Times New Roman"/>
                <w:b/>
                <w:bCs/>
                <w:sz w:val="20"/>
                <w:szCs w:val="20"/>
                <w:lang w:eastAsia="sk-SK"/>
              </w:rPr>
            </w:pPr>
            <w:r w:rsidRPr="007D5748">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04402F" w:rsidRPr="007D5748" w:rsidRDefault="0004402F" w:rsidP="0004402F">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 </w:t>
            </w:r>
          </w:p>
        </w:tc>
        <w:tc>
          <w:tcPr>
            <w:tcW w:w="2220" w:type="dxa"/>
            <w:tcBorders>
              <w:top w:val="nil"/>
              <w:left w:val="nil"/>
              <w:bottom w:val="single" w:sz="4" w:space="0" w:color="auto"/>
              <w:right w:val="single" w:sz="4" w:space="0" w:color="auto"/>
            </w:tcBorders>
            <w:noWrap/>
            <w:vAlign w:val="bottom"/>
          </w:tcPr>
          <w:p w:rsidR="0004402F" w:rsidRPr="007D5748" w:rsidRDefault="0004402F" w:rsidP="0004402F">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04402F" w:rsidRPr="007D5748" w:rsidTr="0004402F">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4402F" w:rsidRPr="007D5748" w:rsidRDefault="0004402F" w:rsidP="0004402F">
            <w:pPr>
              <w:spacing w:after="0" w:line="240" w:lineRule="auto"/>
              <w:rPr>
                <w:rFonts w:ascii="Times New Roman" w:hAnsi="Times New Roman"/>
                <w:b/>
                <w:bCs/>
                <w:sz w:val="20"/>
                <w:szCs w:val="20"/>
                <w:lang w:eastAsia="sk-SK"/>
              </w:rPr>
            </w:pPr>
            <w:r w:rsidRPr="007D5748">
              <w:rPr>
                <w:rFonts w:ascii="Times New Roman" w:hAnsi="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04402F" w:rsidRPr="007D5748" w:rsidRDefault="0004402F" w:rsidP="0004402F">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126 084</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04402F" w:rsidRPr="007D5748" w:rsidRDefault="0004402F" w:rsidP="0004402F">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389 343</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04402F" w:rsidRPr="008316FF" w:rsidRDefault="0004402F" w:rsidP="0004402F">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04402F" w:rsidRPr="008316FF" w:rsidRDefault="0004402F" w:rsidP="0004402F">
            <w:pPr>
              <w:spacing w:after="0" w:line="240" w:lineRule="auto"/>
              <w:jc w:val="right"/>
              <w:rPr>
                <w:rFonts w:ascii="Times New Roman" w:hAnsi="Times New Roman"/>
                <w:b/>
                <w:bCs/>
                <w:sz w:val="20"/>
                <w:szCs w:val="20"/>
                <w:lang w:eastAsia="sk-SK"/>
              </w:rPr>
            </w:pPr>
            <w:r>
              <w:rPr>
                <w:rFonts w:ascii="Times New Roman" w:hAnsi="Times New Roman"/>
                <w:b/>
                <w:bCs/>
                <w:sz w:val="20"/>
                <w:szCs w:val="20"/>
                <w:lang w:eastAsia="sk-SK"/>
              </w:rPr>
              <w:t>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04402F" w:rsidRPr="008316FF" w:rsidRDefault="0004402F" w:rsidP="0004402F">
            <w:pPr>
              <w:spacing w:after="0" w:line="240" w:lineRule="auto"/>
              <w:rPr>
                <w:rFonts w:ascii="Times New Roman" w:hAnsi="Times New Roman"/>
                <w:b/>
                <w:bCs/>
                <w:sz w:val="20"/>
                <w:szCs w:val="20"/>
                <w:lang w:eastAsia="sk-SK"/>
              </w:rPr>
            </w:pPr>
            <w:r w:rsidRPr="008316FF">
              <w:rPr>
                <w:rFonts w:ascii="Times New Roman" w:hAnsi="Times New Roman"/>
                <w:b/>
                <w:bCs/>
                <w:sz w:val="20"/>
                <w:szCs w:val="20"/>
                <w:lang w:eastAsia="sk-SK"/>
              </w:rPr>
              <w:t> </w:t>
            </w:r>
          </w:p>
        </w:tc>
      </w:tr>
    </w:tbl>
    <w:p w:rsidR="0004402F" w:rsidRDefault="0004402F" w:rsidP="0004402F">
      <w:pPr>
        <w:tabs>
          <w:tab w:val="num" w:pos="1080"/>
        </w:tabs>
        <w:spacing w:after="0" w:line="240" w:lineRule="auto"/>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  </w:t>
      </w:r>
    </w:p>
    <w:p w:rsidR="0004402F" w:rsidRPr="007D5748" w:rsidRDefault="0004402F" w:rsidP="0004402F">
      <w:pPr>
        <w:tabs>
          <w:tab w:val="num" w:pos="1080"/>
        </w:tabs>
        <w:spacing w:after="0" w:line="240" w:lineRule="auto"/>
        <w:jc w:val="right"/>
        <w:rPr>
          <w:rFonts w:ascii="Times New Roman" w:hAnsi="Times New Roman"/>
          <w:bCs/>
          <w:sz w:val="24"/>
          <w:szCs w:val="24"/>
          <w:lang w:eastAsia="sk-SK"/>
        </w:rPr>
      </w:pPr>
      <w:r w:rsidRPr="007D5748">
        <w:rPr>
          <w:rFonts w:ascii="Times New Roman" w:hAnsi="Times New Roman"/>
          <w:bCs/>
          <w:sz w:val="24"/>
          <w:szCs w:val="24"/>
          <w:lang w:eastAsia="sk-SK"/>
        </w:rPr>
        <w:t xml:space="preserve">Tabuľka č. 5 </w:t>
      </w: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2418"/>
        <w:gridCol w:w="1722"/>
        <w:gridCol w:w="1620"/>
      </w:tblGrid>
      <w:tr w:rsidR="0004402F" w:rsidRPr="007D5748" w:rsidTr="0004402F">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4402F" w:rsidRPr="007D5748" w:rsidRDefault="0004402F" w:rsidP="0004402F">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Zamestnanosť</w:t>
            </w:r>
          </w:p>
        </w:tc>
        <w:tc>
          <w:tcPr>
            <w:tcW w:w="7626"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04402F" w:rsidRPr="007D5748" w:rsidRDefault="0004402F" w:rsidP="0004402F">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Vplyv na rozpočet verejnej správy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04402F" w:rsidRPr="007D5748" w:rsidRDefault="0004402F" w:rsidP="0004402F">
            <w:pPr>
              <w:spacing w:after="0" w:line="240" w:lineRule="auto"/>
              <w:jc w:val="center"/>
              <w:rPr>
                <w:rFonts w:ascii="Times New Roman" w:hAnsi="Times New Roman"/>
                <w:b/>
                <w:bCs/>
                <w:sz w:val="24"/>
                <w:szCs w:val="24"/>
                <w:lang w:eastAsia="sk-SK"/>
              </w:rPr>
            </w:pPr>
            <w:r w:rsidRPr="007D5748">
              <w:rPr>
                <w:rFonts w:ascii="Times New Roman" w:hAnsi="Times New Roman"/>
                <w:b/>
                <w:bCs/>
                <w:sz w:val="24"/>
                <w:szCs w:val="24"/>
                <w:lang w:eastAsia="sk-SK"/>
              </w:rPr>
              <w:t>poznámka</w:t>
            </w:r>
          </w:p>
        </w:tc>
      </w:tr>
      <w:tr w:rsidR="0004402F" w:rsidRPr="007D5748" w:rsidTr="0004402F">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4402F" w:rsidRPr="007D5748" w:rsidRDefault="0004402F" w:rsidP="0004402F">
            <w:pPr>
              <w:spacing w:after="0" w:line="240" w:lineRule="auto"/>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04402F" w:rsidRPr="007D5748" w:rsidRDefault="0004402F" w:rsidP="0004402F">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2022</w:t>
            </w:r>
          </w:p>
        </w:tc>
        <w:tc>
          <w:tcPr>
            <w:tcW w:w="1788" w:type="dxa"/>
            <w:tcBorders>
              <w:top w:val="nil"/>
              <w:left w:val="nil"/>
              <w:bottom w:val="single" w:sz="4" w:space="0" w:color="auto"/>
              <w:right w:val="single" w:sz="4" w:space="0" w:color="auto"/>
            </w:tcBorders>
            <w:shd w:val="clear" w:color="auto" w:fill="BFBFBF" w:themeFill="background1" w:themeFillShade="BF"/>
          </w:tcPr>
          <w:p w:rsidR="0004402F" w:rsidRPr="007D5748" w:rsidRDefault="0004402F" w:rsidP="0004402F">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2023</w:t>
            </w:r>
          </w:p>
        </w:tc>
        <w:tc>
          <w:tcPr>
            <w:tcW w:w="2418" w:type="dxa"/>
            <w:tcBorders>
              <w:top w:val="nil"/>
              <w:left w:val="nil"/>
              <w:bottom w:val="single" w:sz="4" w:space="0" w:color="auto"/>
              <w:right w:val="single" w:sz="4" w:space="0" w:color="auto"/>
            </w:tcBorders>
            <w:shd w:val="clear" w:color="auto" w:fill="BFBFBF" w:themeFill="background1" w:themeFillShade="BF"/>
          </w:tcPr>
          <w:p w:rsidR="0004402F" w:rsidRPr="007D5748" w:rsidRDefault="0004402F" w:rsidP="0004402F">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2024</w:t>
            </w:r>
          </w:p>
        </w:tc>
        <w:tc>
          <w:tcPr>
            <w:tcW w:w="1722" w:type="dxa"/>
            <w:tcBorders>
              <w:top w:val="nil"/>
              <w:left w:val="nil"/>
              <w:bottom w:val="single" w:sz="4" w:space="0" w:color="auto"/>
              <w:right w:val="single" w:sz="4" w:space="0" w:color="auto"/>
            </w:tcBorders>
            <w:shd w:val="clear" w:color="auto" w:fill="BFBFBF" w:themeFill="background1" w:themeFillShade="BF"/>
          </w:tcPr>
          <w:p w:rsidR="0004402F" w:rsidRPr="007D5748" w:rsidRDefault="0004402F" w:rsidP="0004402F">
            <w:pPr>
              <w:spacing w:after="0" w:line="240" w:lineRule="auto"/>
              <w:jc w:val="center"/>
              <w:rPr>
                <w:rFonts w:ascii="Times New Roman" w:hAnsi="Times New Roman"/>
                <w:b/>
                <w:bCs/>
                <w:sz w:val="24"/>
                <w:szCs w:val="24"/>
                <w:lang w:eastAsia="sk-SK"/>
              </w:rPr>
            </w:pPr>
            <w:r>
              <w:rPr>
                <w:rFonts w:ascii="Times New Roman" w:hAnsi="Times New Roman"/>
                <w:b/>
                <w:bCs/>
                <w:sz w:val="24"/>
                <w:szCs w:val="24"/>
                <w:lang w:eastAsia="sk-SK"/>
              </w:rPr>
              <w:t>2025</w:t>
            </w:r>
          </w:p>
        </w:tc>
        <w:tc>
          <w:tcPr>
            <w:tcW w:w="162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4402F" w:rsidRPr="007D5748" w:rsidRDefault="0004402F" w:rsidP="0004402F">
            <w:pPr>
              <w:spacing w:after="0" w:line="240" w:lineRule="auto"/>
              <w:rPr>
                <w:rFonts w:ascii="Times New Roman" w:hAnsi="Times New Roman"/>
                <w:b/>
                <w:bCs/>
                <w:color w:val="FFFFFF"/>
                <w:sz w:val="24"/>
                <w:szCs w:val="24"/>
                <w:lang w:eastAsia="sk-SK"/>
              </w:rPr>
            </w:pPr>
          </w:p>
        </w:tc>
      </w:tr>
      <w:tr w:rsidR="0004402F" w:rsidRPr="007D5748" w:rsidTr="0004402F">
        <w:trPr>
          <w:trHeight w:val="255"/>
        </w:trPr>
        <w:tc>
          <w:tcPr>
            <w:tcW w:w="6188" w:type="dxa"/>
            <w:tcBorders>
              <w:top w:val="nil"/>
              <w:left w:val="single" w:sz="4" w:space="0" w:color="auto"/>
              <w:bottom w:val="single" w:sz="4" w:space="0" w:color="auto"/>
              <w:right w:val="single" w:sz="4" w:space="0" w:color="auto"/>
            </w:tcBorders>
          </w:tcPr>
          <w:p w:rsidR="0004402F" w:rsidRPr="007D5748" w:rsidRDefault="0004402F" w:rsidP="0004402F">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b/>
                <w:bCs/>
                <w:sz w:val="24"/>
                <w:szCs w:val="24"/>
                <w:lang w:eastAsia="sk-SK"/>
              </w:rPr>
            </w:pPr>
          </w:p>
        </w:tc>
        <w:tc>
          <w:tcPr>
            <w:tcW w:w="2418" w:type="dxa"/>
            <w:tcBorders>
              <w:top w:val="nil"/>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b/>
                <w:bCs/>
                <w:sz w:val="24"/>
                <w:szCs w:val="24"/>
                <w:lang w:eastAsia="sk-SK"/>
              </w:rPr>
            </w:pPr>
          </w:p>
        </w:tc>
        <w:tc>
          <w:tcPr>
            <w:tcW w:w="1620" w:type="dxa"/>
            <w:tcBorders>
              <w:top w:val="nil"/>
              <w:left w:val="nil"/>
              <w:bottom w:val="single" w:sz="4" w:space="0" w:color="auto"/>
              <w:right w:val="single" w:sz="4" w:space="0" w:color="auto"/>
            </w:tcBorders>
            <w:noWrap/>
            <w:vAlign w:val="bottom"/>
          </w:tcPr>
          <w:p w:rsidR="0004402F" w:rsidRPr="007D5748" w:rsidRDefault="0004402F" w:rsidP="0004402F">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04402F" w:rsidRPr="007D5748" w:rsidTr="0004402F">
        <w:trPr>
          <w:trHeight w:val="255"/>
        </w:trPr>
        <w:tc>
          <w:tcPr>
            <w:tcW w:w="6188" w:type="dxa"/>
            <w:tcBorders>
              <w:top w:val="nil"/>
              <w:left w:val="single" w:sz="4" w:space="0" w:color="auto"/>
              <w:bottom w:val="single" w:sz="4" w:space="0" w:color="auto"/>
              <w:right w:val="single" w:sz="4" w:space="0" w:color="auto"/>
            </w:tcBorders>
          </w:tcPr>
          <w:p w:rsidR="0004402F" w:rsidRPr="007D5748" w:rsidRDefault="0004402F" w:rsidP="0004402F">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b/>
                <w:bCs/>
                <w:sz w:val="24"/>
                <w:szCs w:val="24"/>
                <w:lang w:eastAsia="sk-SK"/>
              </w:rPr>
            </w:pPr>
          </w:p>
        </w:tc>
        <w:tc>
          <w:tcPr>
            <w:tcW w:w="2418" w:type="dxa"/>
            <w:tcBorders>
              <w:top w:val="single" w:sz="4" w:space="0" w:color="auto"/>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b/>
                <w:bCs/>
                <w:sz w:val="24"/>
                <w:szCs w:val="24"/>
                <w:lang w:eastAsia="sk-SK"/>
              </w:rPr>
            </w:pPr>
          </w:p>
        </w:tc>
        <w:tc>
          <w:tcPr>
            <w:tcW w:w="1620" w:type="dxa"/>
            <w:tcBorders>
              <w:top w:val="nil"/>
              <w:left w:val="nil"/>
              <w:bottom w:val="single" w:sz="4" w:space="0" w:color="auto"/>
              <w:right w:val="single" w:sz="4" w:space="0" w:color="auto"/>
            </w:tcBorders>
            <w:noWrap/>
            <w:vAlign w:val="bottom"/>
          </w:tcPr>
          <w:p w:rsidR="0004402F" w:rsidRPr="007D5748" w:rsidRDefault="0004402F" w:rsidP="0004402F">
            <w:pPr>
              <w:spacing w:after="0" w:line="240" w:lineRule="auto"/>
              <w:rPr>
                <w:rFonts w:ascii="Times New Roman" w:hAnsi="Times New Roman"/>
                <w:sz w:val="24"/>
                <w:szCs w:val="24"/>
                <w:lang w:eastAsia="sk-SK"/>
              </w:rPr>
            </w:pPr>
          </w:p>
        </w:tc>
      </w:tr>
      <w:tr w:rsidR="0004402F" w:rsidRPr="007D5748" w:rsidTr="0004402F">
        <w:trPr>
          <w:trHeight w:val="255"/>
        </w:trPr>
        <w:tc>
          <w:tcPr>
            <w:tcW w:w="6188" w:type="dxa"/>
            <w:tcBorders>
              <w:top w:val="nil"/>
              <w:left w:val="single" w:sz="4" w:space="0" w:color="auto"/>
              <w:bottom w:val="single" w:sz="4" w:space="0" w:color="auto"/>
              <w:right w:val="single" w:sz="4" w:space="0" w:color="auto"/>
            </w:tcBorders>
          </w:tcPr>
          <w:p w:rsidR="0004402F" w:rsidRPr="007D5748" w:rsidRDefault="0004402F" w:rsidP="0004402F">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b/>
                <w:bCs/>
                <w:sz w:val="24"/>
                <w:szCs w:val="24"/>
                <w:lang w:eastAsia="sk-SK"/>
              </w:rPr>
            </w:pPr>
          </w:p>
        </w:tc>
        <w:tc>
          <w:tcPr>
            <w:tcW w:w="2418" w:type="dxa"/>
            <w:tcBorders>
              <w:top w:val="single" w:sz="4" w:space="0" w:color="auto"/>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b/>
                <w:bCs/>
                <w:sz w:val="24"/>
                <w:szCs w:val="24"/>
                <w:lang w:eastAsia="sk-SK"/>
              </w:rPr>
            </w:pPr>
          </w:p>
        </w:tc>
        <w:tc>
          <w:tcPr>
            <w:tcW w:w="1620" w:type="dxa"/>
            <w:tcBorders>
              <w:top w:val="nil"/>
              <w:left w:val="nil"/>
              <w:bottom w:val="single" w:sz="4" w:space="0" w:color="auto"/>
              <w:right w:val="single" w:sz="4" w:space="0" w:color="auto"/>
            </w:tcBorders>
            <w:noWrap/>
            <w:vAlign w:val="bottom"/>
          </w:tcPr>
          <w:p w:rsidR="0004402F" w:rsidRPr="007D5748" w:rsidRDefault="0004402F" w:rsidP="0004402F">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04402F" w:rsidRPr="007D5748" w:rsidTr="0004402F">
        <w:trPr>
          <w:trHeight w:val="255"/>
        </w:trPr>
        <w:tc>
          <w:tcPr>
            <w:tcW w:w="6188" w:type="dxa"/>
            <w:tcBorders>
              <w:top w:val="nil"/>
              <w:left w:val="single" w:sz="4" w:space="0" w:color="auto"/>
              <w:bottom w:val="single" w:sz="4" w:space="0" w:color="auto"/>
              <w:right w:val="single" w:sz="4" w:space="0" w:color="auto"/>
            </w:tcBorders>
          </w:tcPr>
          <w:p w:rsidR="0004402F" w:rsidRPr="007D5748" w:rsidRDefault="0004402F" w:rsidP="0004402F">
            <w:pPr>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 </w:t>
            </w:r>
          </w:p>
        </w:tc>
        <w:tc>
          <w:tcPr>
            <w:tcW w:w="2418" w:type="dxa"/>
            <w:tcBorders>
              <w:top w:val="single" w:sz="4" w:space="0" w:color="auto"/>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 </w:t>
            </w:r>
          </w:p>
        </w:tc>
        <w:tc>
          <w:tcPr>
            <w:tcW w:w="1722" w:type="dxa"/>
            <w:tcBorders>
              <w:top w:val="single" w:sz="4" w:space="0" w:color="auto"/>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sz w:val="24"/>
                <w:szCs w:val="24"/>
                <w:lang w:eastAsia="sk-SK"/>
              </w:rPr>
            </w:pPr>
            <w:r w:rsidRPr="007D5748">
              <w:rPr>
                <w:rFonts w:ascii="Times New Roman" w:hAnsi="Times New Roman"/>
                <w:sz w:val="24"/>
                <w:szCs w:val="24"/>
                <w:lang w:eastAsia="sk-SK"/>
              </w:rPr>
              <w:t> </w:t>
            </w:r>
          </w:p>
        </w:tc>
        <w:tc>
          <w:tcPr>
            <w:tcW w:w="1620" w:type="dxa"/>
            <w:tcBorders>
              <w:top w:val="nil"/>
              <w:left w:val="nil"/>
              <w:bottom w:val="single" w:sz="4" w:space="0" w:color="auto"/>
              <w:right w:val="single" w:sz="4" w:space="0" w:color="auto"/>
            </w:tcBorders>
            <w:noWrap/>
            <w:vAlign w:val="bottom"/>
          </w:tcPr>
          <w:p w:rsidR="0004402F" w:rsidRPr="007D5748" w:rsidRDefault="0004402F" w:rsidP="0004402F">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04402F" w:rsidRPr="007D5748" w:rsidTr="0004402F">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04402F" w:rsidRPr="007D5748" w:rsidRDefault="0004402F" w:rsidP="0004402F">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04402F" w:rsidRPr="007D5748" w:rsidRDefault="0004402F" w:rsidP="0004402F">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04402F" w:rsidRPr="007D5748" w:rsidRDefault="0004402F" w:rsidP="0004402F">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2418" w:type="dxa"/>
            <w:tcBorders>
              <w:top w:val="nil"/>
              <w:left w:val="nil"/>
              <w:bottom w:val="single" w:sz="4" w:space="0" w:color="auto"/>
              <w:right w:val="single" w:sz="4" w:space="0" w:color="auto"/>
            </w:tcBorders>
            <w:shd w:val="clear" w:color="auto" w:fill="BFBFBF" w:themeFill="background1" w:themeFillShade="BF"/>
          </w:tcPr>
          <w:p w:rsidR="0004402F" w:rsidRPr="007D5748" w:rsidRDefault="0004402F" w:rsidP="0004402F">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hemeFill="background1" w:themeFillShade="BF"/>
          </w:tcPr>
          <w:p w:rsidR="0004402F" w:rsidRPr="007D5748" w:rsidRDefault="0004402F" w:rsidP="0004402F">
            <w:pPr>
              <w:spacing w:after="0" w:line="240" w:lineRule="auto"/>
              <w:jc w:val="right"/>
              <w:rPr>
                <w:rFonts w:ascii="Times New Roman" w:hAnsi="Times New Roman"/>
                <w:b/>
                <w:bCs/>
                <w:sz w:val="24"/>
                <w:szCs w:val="24"/>
                <w:lang w:eastAsia="sk-SK"/>
              </w:rPr>
            </w:pPr>
            <w:r w:rsidRPr="007D5748">
              <w:rPr>
                <w:rFonts w:ascii="Times New Roman" w:hAnsi="Times New Roman"/>
                <w:b/>
                <w:bCs/>
                <w:sz w:val="24"/>
                <w:szCs w:val="24"/>
                <w:lang w:eastAsia="sk-SK"/>
              </w:rPr>
              <w:t>0</w:t>
            </w:r>
          </w:p>
        </w:tc>
        <w:tc>
          <w:tcPr>
            <w:tcW w:w="1620" w:type="dxa"/>
            <w:tcBorders>
              <w:top w:val="nil"/>
              <w:left w:val="nil"/>
              <w:bottom w:val="single" w:sz="4" w:space="0" w:color="auto"/>
              <w:right w:val="single" w:sz="4" w:space="0" w:color="auto"/>
            </w:tcBorders>
            <w:shd w:val="clear" w:color="auto" w:fill="BFBFBF" w:themeFill="background1" w:themeFillShade="BF"/>
            <w:noWrap/>
            <w:vAlign w:val="bottom"/>
          </w:tcPr>
          <w:p w:rsidR="0004402F" w:rsidRPr="007D5748" w:rsidRDefault="0004402F" w:rsidP="0004402F">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rsidR="0004402F" w:rsidRPr="007D5748" w:rsidTr="0004402F">
        <w:trPr>
          <w:trHeight w:val="255"/>
        </w:trPr>
        <w:tc>
          <w:tcPr>
            <w:tcW w:w="6188" w:type="dxa"/>
            <w:tcBorders>
              <w:top w:val="nil"/>
              <w:left w:val="single" w:sz="4" w:space="0" w:color="auto"/>
              <w:bottom w:val="single" w:sz="4" w:space="0" w:color="auto"/>
              <w:right w:val="single" w:sz="4" w:space="0" w:color="auto"/>
            </w:tcBorders>
          </w:tcPr>
          <w:p w:rsidR="0004402F" w:rsidRPr="007D5748" w:rsidRDefault="0004402F" w:rsidP="0004402F">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b/>
                <w:bCs/>
                <w:sz w:val="24"/>
                <w:szCs w:val="24"/>
                <w:lang w:eastAsia="sk-SK"/>
              </w:rPr>
            </w:pPr>
          </w:p>
        </w:tc>
        <w:tc>
          <w:tcPr>
            <w:tcW w:w="2418" w:type="dxa"/>
            <w:tcBorders>
              <w:top w:val="nil"/>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b/>
                <w:bCs/>
                <w:sz w:val="24"/>
                <w:szCs w:val="24"/>
                <w:lang w:eastAsia="sk-SK"/>
              </w:rPr>
            </w:pPr>
          </w:p>
        </w:tc>
        <w:tc>
          <w:tcPr>
            <w:tcW w:w="1620" w:type="dxa"/>
            <w:tcBorders>
              <w:top w:val="nil"/>
              <w:left w:val="nil"/>
              <w:bottom w:val="single" w:sz="4" w:space="0" w:color="auto"/>
              <w:right w:val="single" w:sz="4" w:space="0" w:color="auto"/>
            </w:tcBorders>
            <w:noWrap/>
            <w:vAlign w:val="bottom"/>
          </w:tcPr>
          <w:p w:rsidR="0004402F" w:rsidRPr="007D5748" w:rsidRDefault="0004402F" w:rsidP="0004402F">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rsidR="0004402F" w:rsidRPr="007D5748" w:rsidTr="0004402F">
        <w:trPr>
          <w:trHeight w:val="255"/>
        </w:trPr>
        <w:tc>
          <w:tcPr>
            <w:tcW w:w="6188" w:type="dxa"/>
            <w:tcBorders>
              <w:top w:val="nil"/>
              <w:left w:val="single" w:sz="4" w:space="0" w:color="auto"/>
              <w:bottom w:val="single" w:sz="4" w:space="0" w:color="auto"/>
              <w:right w:val="single" w:sz="4" w:space="0" w:color="auto"/>
            </w:tcBorders>
          </w:tcPr>
          <w:p w:rsidR="0004402F" w:rsidRPr="007D5748" w:rsidRDefault="0004402F" w:rsidP="0004402F">
            <w:pPr>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sz w:val="24"/>
                <w:szCs w:val="24"/>
                <w:lang w:eastAsia="sk-SK"/>
              </w:rPr>
            </w:pPr>
          </w:p>
        </w:tc>
        <w:tc>
          <w:tcPr>
            <w:tcW w:w="2418" w:type="dxa"/>
            <w:tcBorders>
              <w:top w:val="nil"/>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sz w:val="24"/>
                <w:szCs w:val="24"/>
                <w:lang w:eastAsia="sk-SK"/>
              </w:rPr>
            </w:pPr>
          </w:p>
        </w:tc>
        <w:tc>
          <w:tcPr>
            <w:tcW w:w="1722" w:type="dxa"/>
            <w:tcBorders>
              <w:top w:val="nil"/>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sz w:val="24"/>
                <w:szCs w:val="24"/>
                <w:lang w:eastAsia="sk-SK"/>
              </w:rPr>
            </w:pPr>
          </w:p>
        </w:tc>
        <w:tc>
          <w:tcPr>
            <w:tcW w:w="1620" w:type="dxa"/>
            <w:tcBorders>
              <w:top w:val="nil"/>
              <w:left w:val="nil"/>
              <w:bottom w:val="single" w:sz="4" w:space="0" w:color="auto"/>
              <w:right w:val="single" w:sz="4" w:space="0" w:color="auto"/>
            </w:tcBorders>
            <w:noWrap/>
            <w:vAlign w:val="bottom"/>
          </w:tcPr>
          <w:p w:rsidR="0004402F" w:rsidRPr="007D5748" w:rsidRDefault="0004402F" w:rsidP="0004402F">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r w:rsidR="0004402F" w:rsidRPr="007D5748" w:rsidTr="0004402F">
        <w:trPr>
          <w:trHeight w:val="255"/>
        </w:trPr>
        <w:tc>
          <w:tcPr>
            <w:tcW w:w="6188" w:type="dxa"/>
            <w:tcBorders>
              <w:top w:val="nil"/>
              <w:left w:val="single" w:sz="4" w:space="0" w:color="auto"/>
              <w:bottom w:val="single" w:sz="4" w:space="0" w:color="auto"/>
              <w:right w:val="single" w:sz="4" w:space="0" w:color="auto"/>
            </w:tcBorders>
          </w:tcPr>
          <w:p w:rsidR="0004402F" w:rsidRPr="007D5748" w:rsidRDefault="0004402F" w:rsidP="0004402F">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b/>
                <w:bCs/>
                <w:sz w:val="24"/>
                <w:szCs w:val="24"/>
                <w:lang w:eastAsia="sk-SK"/>
              </w:rPr>
            </w:pPr>
          </w:p>
        </w:tc>
        <w:tc>
          <w:tcPr>
            <w:tcW w:w="2418" w:type="dxa"/>
            <w:tcBorders>
              <w:top w:val="nil"/>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b/>
                <w:bCs/>
                <w:sz w:val="24"/>
                <w:szCs w:val="24"/>
                <w:lang w:eastAsia="sk-SK"/>
              </w:rPr>
            </w:pPr>
          </w:p>
        </w:tc>
        <w:tc>
          <w:tcPr>
            <w:tcW w:w="1722" w:type="dxa"/>
            <w:tcBorders>
              <w:top w:val="nil"/>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b/>
                <w:bCs/>
                <w:sz w:val="24"/>
                <w:szCs w:val="24"/>
                <w:lang w:eastAsia="sk-SK"/>
              </w:rPr>
            </w:pPr>
          </w:p>
        </w:tc>
        <w:tc>
          <w:tcPr>
            <w:tcW w:w="1620" w:type="dxa"/>
            <w:tcBorders>
              <w:top w:val="nil"/>
              <w:left w:val="nil"/>
              <w:bottom w:val="single" w:sz="4" w:space="0" w:color="auto"/>
              <w:right w:val="single" w:sz="4" w:space="0" w:color="auto"/>
            </w:tcBorders>
            <w:noWrap/>
            <w:vAlign w:val="bottom"/>
          </w:tcPr>
          <w:p w:rsidR="0004402F" w:rsidRPr="007D5748" w:rsidRDefault="0004402F" w:rsidP="0004402F">
            <w:pPr>
              <w:spacing w:after="0" w:line="240" w:lineRule="auto"/>
              <w:rPr>
                <w:rFonts w:ascii="Times New Roman" w:hAnsi="Times New Roman"/>
                <w:b/>
                <w:bCs/>
                <w:sz w:val="24"/>
                <w:szCs w:val="24"/>
                <w:lang w:eastAsia="sk-SK"/>
              </w:rPr>
            </w:pPr>
            <w:r w:rsidRPr="007D5748">
              <w:rPr>
                <w:rFonts w:ascii="Times New Roman" w:hAnsi="Times New Roman"/>
                <w:b/>
                <w:bCs/>
                <w:sz w:val="24"/>
                <w:szCs w:val="24"/>
                <w:lang w:eastAsia="sk-SK"/>
              </w:rPr>
              <w:t> </w:t>
            </w:r>
          </w:p>
        </w:tc>
      </w:tr>
      <w:tr w:rsidR="0004402F" w:rsidRPr="007D5748" w:rsidTr="0004402F">
        <w:trPr>
          <w:trHeight w:val="255"/>
        </w:trPr>
        <w:tc>
          <w:tcPr>
            <w:tcW w:w="6188" w:type="dxa"/>
            <w:tcBorders>
              <w:top w:val="nil"/>
              <w:left w:val="single" w:sz="4" w:space="0" w:color="auto"/>
              <w:bottom w:val="single" w:sz="4" w:space="0" w:color="auto"/>
              <w:right w:val="single" w:sz="4" w:space="0" w:color="auto"/>
            </w:tcBorders>
          </w:tcPr>
          <w:p w:rsidR="0004402F" w:rsidRPr="007D5748" w:rsidRDefault="0004402F" w:rsidP="0004402F">
            <w:pPr>
              <w:spacing w:after="0" w:line="240" w:lineRule="auto"/>
              <w:rPr>
                <w:rFonts w:ascii="Times New Roman" w:hAnsi="Times New Roman"/>
                <w:sz w:val="24"/>
                <w:szCs w:val="24"/>
                <w:lang w:eastAsia="sk-SK"/>
              </w:rPr>
            </w:pPr>
            <w:r w:rsidRPr="007D5748">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sz w:val="24"/>
                <w:szCs w:val="24"/>
                <w:lang w:eastAsia="sk-SK"/>
              </w:rPr>
            </w:pPr>
          </w:p>
        </w:tc>
        <w:tc>
          <w:tcPr>
            <w:tcW w:w="2418" w:type="dxa"/>
            <w:tcBorders>
              <w:top w:val="nil"/>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sz w:val="24"/>
                <w:szCs w:val="24"/>
                <w:lang w:eastAsia="sk-SK"/>
              </w:rPr>
            </w:pPr>
          </w:p>
        </w:tc>
        <w:tc>
          <w:tcPr>
            <w:tcW w:w="1722" w:type="dxa"/>
            <w:tcBorders>
              <w:top w:val="nil"/>
              <w:left w:val="nil"/>
              <w:bottom w:val="single" w:sz="4" w:space="0" w:color="auto"/>
              <w:right w:val="single" w:sz="4" w:space="0" w:color="auto"/>
            </w:tcBorders>
          </w:tcPr>
          <w:p w:rsidR="0004402F" w:rsidRPr="007D5748" w:rsidRDefault="0004402F" w:rsidP="0004402F">
            <w:pPr>
              <w:spacing w:after="0" w:line="240" w:lineRule="auto"/>
              <w:jc w:val="center"/>
              <w:rPr>
                <w:rFonts w:ascii="Times New Roman" w:hAnsi="Times New Roman"/>
                <w:sz w:val="24"/>
                <w:szCs w:val="24"/>
                <w:lang w:eastAsia="sk-SK"/>
              </w:rPr>
            </w:pPr>
          </w:p>
        </w:tc>
        <w:tc>
          <w:tcPr>
            <w:tcW w:w="1620" w:type="dxa"/>
            <w:tcBorders>
              <w:top w:val="nil"/>
              <w:left w:val="nil"/>
              <w:bottom w:val="single" w:sz="4" w:space="0" w:color="auto"/>
              <w:right w:val="single" w:sz="4" w:space="0" w:color="auto"/>
            </w:tcBorders>
            <w:noWrap/>
            <w:vAlign w:val="bottom"/>
          </w:tcPr>
          <w:p w:rsidR="0004402F" w:rsidRPr="007D5748" w:rsidRDefault="0004402F" w:rsidP="0004402F">
            <w:pPr>
              <w:spacing w:after="0" w:line="240" w:lineRule="auto"/>
              <w:rPr>
                <w:rFonts w:ascii="Times New Roman" w:hAnsi="Times New Roman"/>
                <w:sz w:val="24"/>
                <w:szCs w:val="24"/>
                <w:lang w:eastAsia="sk-SK"/>
              </w:rPr>
            </w:pPr>
            <w:r w:rsidRPr="007D5748">
              <w:rPr>
                <w:rFonts w:ascii="Times New Roman" w:hAnsi="Times New Roman"/>
                <w:sz w:val="24"/>
                <w:szCs w:val="24"/>
                <w:lang w:eastAsia="sk-SK"/>
              </w:rPr>
              <w:t> </w:t>
            </w:r>
          </w:p>
        </w:tc>
      </w:tr>
    </w:tbl>
    <w:p w:rsidR="0004402F" w:rsidRDefault="0004402F" w:rsidP="0004402F">
      <w:pPr>
        <w:spacing w:after="0" w:line="240" w:lineRule="auto"/>
        <w:rPr>
          <w:rFonts w:ascii="Times New Roman" w:hAnsi="Times New Roman"/>
          <w:b/>
          <w:bCs/>
          <w:sz w:val="24"/>
          <w:szCs w:val="24"/>
          <w:lang w:eastAsia="sk-SK"/>
        </w:rPr>
      </w:pPr>
    </w:p>
    <w:p w:rsidR="00D21CDB" w:rsidRDefault="0004402F" w:rsidP="0004402F">
      <w:pPr>
        <w:sectPr w:rsidR="00D21CDB" w:rsidSect="00D21CDB">
          <w:headerReference w:type="default" r:id="rId13"/>
          <w:footerReference w:type="default" r:id="rId14"/>
          <w:pgSz w:w="16838" w:h="11906" w:orient="landscape"/>
          <w:pgMar w:top="1417" w:right="1417" w:bottom="1417" w:left="1417" w:header="708" w:footer="708" w:gutter="0"/>
          <w:cols w:space="708"/>
          <w:docGrid w:linePitch="360"/>
        </w:sectPr>
      </w:pPr>
      <w:r>
        <w:br w:type="page"/>
      </w:r>
    </w:p>
    <w:p w:rsidR="00D21CDB" w:rsidRPr="00895898" w:rsidRDefault="00D21CDB" w:rsidP="00D21CDB">
      <w:pPr>
        <w:jc w:val="center"/>
        <w:rPr>
          <w:rFonts w:ascii="Times New Roman" w:hAnsi="Times New Roman"/>
          <w:b/>
          <w:sz w:val="28"/>
          <w:szCs w:val="28"/>
        </w:rPr>
      </w:pPr>
      <w:r w:rsidRPr="00895898">
        <w:rPr>
          <w:rFonts w:ascii="Times New Roman" w:hAnsi="Times New Roman"/>
          <w:b/>
          <w:sz w:val="28"/>
          <w:szCs w:val="28"/>
        </w:rPr>
        <w:lastRenderedPageBreak/>
        <w:t>Analýza vplyvov na podnikateľské prostredie</w:t>
      </w:r>
    </w:p>
    <w:p w:rsidR="00D21CDB" w:rsidRPr="00895898" w:rsidRDefault="00D21CDB" w:rsidP="00D21CDB">
      <w:pPr>
        <w:jc w:val="both"/>
        <w:rPr>
          <w:rFonts w:ascii="Times New Roman" w:hAnsi="Times New Roman"/>
          <w:b/>
          <w:sz w:val="24"/>
          <w:szCs w:val="24"/>
        </w:rPr>
      </w:pPr>
    </w:p>
    <w:p w:rsidR="00D21CDB" w:rsidRDefault="00D21CDB" w:rsidP="00D21CDB">
      <w:pPr>
        <w:rPr>
          <w:rFonts w:ascii="Times New Roman" w:hAnsi="Times New Roman"/>
          <w:b/>
          <w:sz w:val="24"/>
          <w:szCs w:val="24"/>
        </w:rPr>
      </w:pPr>
      <w:r w:rsidRPr="001F1B43">
        <w:rPr>
          <w:rFonts w:ascii="Times New Roman" w:hAnsi="Times New Roman"/>
          <w:b/>
          <w:sz w:val="24"/>
          <w:szCs w:val="24"/>
        </w:rPr>
        <w:t>Názov materiálu:</w:t>
      </w:r>
      <w:r>
        <w:rPr>
          <w:rFonts w:ascii="Times New Roman" w:hAnsi="Times New Roman"/>
          <w:b/>
          <w:sz w:val="24"/>
          <w:szCs w:val="24"/>
        </w:rPr>
        <w:t xml:space="preserve"> </w:t>
      </w:r>
    </w:p>
    <w:p w:rsidR="00D21CDB" w:rsidRPr="00FB3A0F" w:rsidRDefault="00D21CDB" w:rsidP="00D21CDB">
      <w:pPr>
        <w:jc w:val="both"/>
        <w:rPr>
          <w:rFonts w:ascii="Times New Roman" w:hAnsi="Times New Roman"/>
          <w:sz w:val="24"/>
          <w:szCs w:val="24"/>
          <w:lang w:eastAsia="sk-SK"/>
        </w:rPr>
      </w:pPr>
      <w:r>
        <w:rPr>
          <w:rFonts w:ascii="Times New Roman" w:hAnsi="Times New Roman"/>
          <w:sz w:val="24"/>
          <w:szCs w:val="24"/>
          <w:lang w:eastAsia="sk-SK"/>
        </w:rPr>
        <w:t>Návrh zákona, ktorým</w:t>
      </w:r>
      <w:r w:rsidRPr="00871115">
        <w:rPr>
          <w:rFonts w:ascii="Times New Roman" w:hAnsi="Times New Roman"/>
          <w:sz w:val="24"/>
          <w:szCs w:val="24"/>
          <w:lang w:eastAsia="sk-SK"/>
        </w:rPr>
        <w:t xml:space="preserve"> sa mení a dopĺňa zákon č. 595/2003 Z. z. o dani z príjmov v znení neskorších predpisov a ktorým sa mení a dopĺňa zákona č. 563/2009 Z. z. o správe daní (daňový poriadok) </w:t>
      </w:r>
      <w:r w:rsidRPr="00407E60">
        <w:rPr>
          <w:rFonts w:ascii="Times New Roman" w:hAnsi="Times New Roman"/>
          <w:sz w:val="24"/>
          <w:szCs w:val="24"/>
          <w:lang w:eastAsia="sk-SK"/>
        </w:rPr>
        <w:t>a o zmene a doplnení niektorých zákonov </w:t>
      </w:r>
      <w:r w:rsidRPr="00871115">
        <w:rPr>
          <w:rFonts w:ascii="Times New Roman" w:hAnsi="Times New Roman"/>
          <w:sz w:val="24"/>
          <w:szCs w:val="24"/>
          <w:lang w:eastAsia="sk-SK"/>
        </w:rPr>
        <w:t xml:space="preserve"> v znení neskorších predpisov </w:t>
      </w:r>
    </w:p>
    <w:p w:rsidR="00D21CDB" w:rsidRPr="001F1B43" w:rsidRDefault="00D21CDB" w:rsidP="00D21CDB">
      <w:pPr>
        <w:jc w:val="both"/>
        <w:rPr>
          <w:rFonts w:ascii="Times New Roman" w:hAnsi="Times New Roman"/>
          <w:b/>
          <w:sz w:val="24"/>
          <w:szCs w:val="24"/>
        </w:rPr>
      </w:pPr>
      <w:r w:rsidRPr="001F1B43">
        <w:rPr>
          <w:rFonts w:ascii="Times New Roman" w:hAnsi="Times New Roman"/>
          <w:b/>
          <w:sz w:val="24"/>
          <w:szCs w:val="24"/>
        </w:rPr>
        <w:t>Predkladateľ:</w:t>
      </w:r>
    </w:p>
    <w:p w:rsidR="00D21CDB" w:rsidRPr="00CF1C23" w:rsidRDefault="00D21CDB" w:rsidP="00D21CDB">
      <w:pPr>
        <w:rPr>
          <w:rFonts w:ascii="Times New Roman" w:hAnsi="Times New Roman"/>
          <w:sz w:val="24"/>
          <w:szCs w:val="24"/>
          <w:lang w:eastAsia="sk-SK"/>
        </w:rPr>
      </w:pPr>
      <w:r w:rsidRPr="00FB3A0F">
        <w:rPr>
          <w:rFonts w:ascii="Times New Roman" w:hAnsi="Times New Roman"/>
          <w:sz w:val="24"/>
          <w:szCs w:val="24"/>
          <w:lang w:eastAsia="sk-SK"/>
        </w:rPr>
        <w:t>Ministerstvo financií SR</w:t>
      </w:r>
    </w:p>
    <w:p w:rsidR="00D21CDB" w:rsidRDefault="00D21CDB" w:rsidP="00D21CDB">
      <w:pPr>
        <w:jc w:val="both"/>
        <w:rPr>
          <w:rFonts w:ascii="Times New Roman" w:hAnsi="Times New Roman"/>
          <w:b/>
          <w:sz w:val="24"/>
          <w:szCs w:val="24"/>
        </w:rPr>
      </w:pPr>
    </w:p>
    <w:p w:rsidR="00D21CDB" w:rsidRPr="001F1B43" w:rsidRDefault="00D21CDB" w:rsidP="00D21CDB">
      <w:pPr>
        <w:rPr>
          <w:rFonts w:ascii="Times New Roman" w:hAnsi="Times New Roman"/>
          <w:b/>
          <w:sz w:val="24"/>
          <w:szCs w:val="24"/>
        </w:rPr>
      </w:pPr>
      <w:r w:rsidRPr="001F1B43">
        <w:rPr>
          <w:rFonts w:ascii="Times New Roman" w:hAnsi="Times New Roman"/>
          <w:b/>
          <w:sz w:val="24"/>
          <w:szCs w:val="24"/>
        </w:rPr>
        <w:t>3.1 Náklady regulácie</w:t>
      </w:r>
    </w:p>
    <w:p w:rsidR="00D21CDB" w:rsidRPr="001F1B43" w:rsidRDefault="00D21CDB" w:rsidP="00D21CDB">
      <w:pPr>
        <w:tabs>
          <w:tab w:val="left" w:pos="8025"/>
        </w:tabs>
        <w:rPr>
          <w:rFonts w:ascii="Times New Roman" w:hAnsi="Times New Roman"/>
          <w:bCs/>
          <w:i/>
          <w:iCs/>
          <w:sz w:val="24"/>
          <w:szCs w:val="24"/>
        </w:rPr>
      </w:pPr>
      <w:r w:rsidRPr="001F1B43">
        <w:rPr>
          <w:rFonts w:ascii="Times New Roman" w:hAnsi="Times New Roman"/>
          <w:b/>
          <w:i/>
          <w:iCs/>
          <w:sz w:val="24"/>
          <w:szCs w:val="24"/>
        </w:rPr>
        <w:t xml:space="preserve">3.1.1 Súhrnná tabuľka nákladov regulácie </w:t>
      </w:r>
      <w:r>
        <w:rPr>
          <w:rFonts w:ascii="Times New Roman" w:hAnsi="Times New Roman"/>
          <w:b/>
          <w:i/>
          <w:iCs/>
          <w:sz w:val="24"/>
          <w:szCs w:val="24"/>
        </w:rPr>
        <w:tab/>
      </w:r>
    </w:p>
    <w:p w:rsidR="00D21CDB" w:rsidRPr="00D8247C" w:rsidRDefault="00D21CDB" w:rsidP="00D21CDB">
      <w:pPr>
        <w:jc w:val="both"/>
        <w:rPr>
          <w:rFonts w:ascii="Times New Roman" w:hAnsi="Times New Roman"/>
          <w:i/>
          <w:sz w:val="24"/>
          <w:szCs w:val="24"/>
        </w:rPr>
      </w:pPr>
      <w:r w:rsidRPr="00D8247C">
        <w:rPr>
          <w:rFonts w:ascii="Times New Roman" w:hAnsi="Times New Roman"/>
          <w:i/>
          <w:sz w:val="24"/>
          <w:szCs w:val="24"/>
        </w:rPr>
        <w:t xml:space="preserve">Tabuľka č. 1: Zmeny nákladov (ročne) v prepočte na podnikateľské prostredie (PP), vyhodnotenie mechanizmu znižovania byrokracie a nákladov. </w:t>
      </w:r>
    </w:p>
    <w:p w:rsidR="00D21CDB" w:rsidRDefault="00D21CDB" w:rsidP="00D21CDB">
      <w:pPr>
        <w:jc w:val="center"/>
      </w:pPr>
      <w:r>
        <w:fldChar w:fldCharType="begin"/>
      </w:r>
      <w:r>
        <w:instrText xml:space="preserve">LINK </w:instrText>
      </w:r>
      <w:r w:rsidR="00373390">
        <w:instrText xml:space="preserve">Excel.Sheet.12 "\\\\mf.mfsr.sk\\DfsRoot\\ADRESARE\\DAN_Z_PRIJMU\\ZAKON\\2022\\ZDP od 1.1.2023\\Legislatívny proces\\VPK\\Prílohy\\29_6_2022_Príloha k analýze vplyvov na podnikateľské prostredie MRcEKvxe.xlsx" "Krok 2- Tabuľky na skopírovanie!R5C2:R16C6" </w:instrText>
      </w:r>
      <w:r>
        <w:instrText>\a \h</w:instrText>
      </w:r>
      <w:r>
        <w:fldChar w:fldCharType="separate"/>
      </w:r>
    </w:p>
    <w:tbl>
      <w:tblPr>
        <w:tblW w:w="8780" w:type="dxa"/>
        <w:tblCellMar>
          <w:left w:w="70" w:type="dxa"/>
          <w:right w:w="70" w:type="dxa"/>
        </w:tblCellMar>
        <w:tblLook w:val="04A0" w:firstRow="1" w:lastRow="0" w:firstColumn="1" w:lastColumn="0" w:noHBand="0" w:noVBand="1"/>
      </w:tblPr>
      <w:tblGrid>
        <w:gridCol w:w="3780"/>
        <w:gridCol w:w="1580"/>
        <w:gridCol w:w="1060"/>
        <w:gridCol w:w="1360"/>
        <w:gridCol w:w="1000"/>
      </w:tblGrid>
      <w:tr w:rsidR="00D21CDB" w:rsidRPr="00126DC3" w:rsidTr="006C5916">
        <w:trPr>
          <w:trHeight w:val="510"/>
        </w:trPr>
        <w:tc>
          <w:tcPr>
            <w:tcW w:w="3780" w:type="dxa"/>
            <w:tcBorders>
              <w:top w:val="single" w:sz="8" w:space="0" w:color="auto"/>
              <w:left w:val="single" w:sz="8" w:space="0" w:color="auto"/>
              <w:bottom w:val="single" w:sz="4" w:space="0" w:color="auto"/>
              <w:right w:val="single" w:sz="4" w:space="0" w:color="auto"/>
            </w:tcBorders>
            <w:vAlign w:val="center"/>
            <w:hideMark/>
          </w:tcPr>
          <w:p w:rsidR="00D21CDB" w:rsidRPr="00126DC3" w:rsidRDefault="00D21CDB" w:rsidP="006C5916">
            <w:pPr>
              <w:spacing w:after="0" w:line="240" w:lineRule="auto"/>
              <w:jc w:val="center"/>
              <w:rPr>
                <w:rFonts w:ascii="Times New Roman" w:hAnsi="Times New Roman"/>
                <w:b/>
                <w:bCs/>
                <w:i/>
                <w:iCs/>
                <w:color w:val="000000"/>
                <w:sz w:val="20"/>
                <w:szCs w:val="20"/>
                <w:lang w:eastAsia="sk-SK"/>
              </w:rPr>
            </w:pPr>
            <w:r w:rsidRPr="00126DC3">
              <w:rPr>
                <w:rFonts w:ascii="Times New Roman" w:hAnsi="Times New Roman"/>
                <w:b/>
                <w:bCs/>
                <w:i/>
                <w:iCs/>
                <w:color w:val="000000"/>
                <w:sz w:val="20"/>
                <w:szCs w:val="20"/>
                <w:lang w:eastAsia="sk-SK"/>
              </w:rPr>
              <w:t>TYP NÁKLADOV</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rsidR="00D21CDB" w:rsidRPr="00126DC3" w:rsidRDefault="00D21CDB" w:rsidP="006C5916">
            <w:pPr>
              <w:spacing w:after="0" w:line="240" w:lineRule="auto"/>
              <w:jc w:val="center"/>
              <w:rPr>
                <w:rFonts w:ascii="Times New Roman" w:hAnsi="Times New Roman"/>
                <w:b/>
                <w:bCs/>
                <w:color w:val="000000"/>
                <w:sz w:val="20"/>
                <w:szCs w:val="20"/>
                <w:lang w:eastAsia="sk-SK"/>
              </w:rPr>
            </w:pPr>
            <w:r w:rsidRPr="00126DC3">
              <w:rPr>
                <w:rFonts w:ascii="Times New Roman" w:hAnsi="Times New Roman"/>
                <w:b/>
                <w:bCs/>
                <w:color w:val="000000"/>
                <w:sz w:val="20"/>
                <w:szCs w:val="20"/>
                <w:lang w:eastAsia="sk-SK"/>
              </w:rPr>
              <w:t>Zvýšenie nákladov v € na PP</w:t>
            </w:r>
          </w:p>
        </w:tc>
        <w:tc>
          <w:tcPr>
            <w:tcW w:w="2360" w:type="dxa"/>
            <w:gridSpan w:val="2"/>
            <w:tcBorders>
              <w:top w:val="single" w:sz="8" w:space="0" w:color="auto"/>
              <w:left w:val="nil"/>
              <w:bottom w:val="single" w:sz="4" w:space="0" w:color="auto"/>
              <w:right w:val="single" w:sz="8" w:space="0" w:color="000000"/>
            </w:tcBorders>
            <w:shd w:val="clear" w:color="000000" w:fill="92D050"/>
            <w:vAlign w:val="center"/>
            <w:hideMark/>
          </w:tcPr>
          <w:p w:rsidR="00D21CDB" w:rsidRPr="00126DC3" w:rsidRDefault="00D21CDB" w:rsidP="006C5916">
            <w:pPr>
              <w:spacing w:after="0" w:line="240" w:lineRule="auto"/>
              <w:jc w:val="center"/>
              <w:rPr>
                <w:rFonts w:ascii="Times New Roman" w:hAnsi="Times New Roman"/>
                <w:b/>
                <w:bCs/>
                <w:color w:val="000000"/>
                <w:sz w:val="20"/>
                <w:szCs w:val="20"/>
                <w:lang w:eastAsia="sk-SK"/>
              </w:rPr>
            </w:pPr>
            <w:r w:rsidRPr="00126DC3">
              <w:rPr>
                <w:rFonts w:ascii="Times New Roman" w:hAnsi="Times New Roman"/>
                <w:b/>
                <w:bCs/>
                <w:color w:val="000000"/>
                <w:sz w:val="20"/>
                <w:szCs w:val="20"/>
                <w:lang w:eastAsia="sk-SK"/>
              </w:rPr>
              <w:t>Zníženie nákladov v € na PP</w:t>
            </w:r>
          </w:p>
        </w:tc>
      </w:tr>
      <w:tr w:rsidR="00D21CDB" w:rsidRPr="00126DC3" w:rsidTr="006C5916">
        <w:trPr>
          <w:trHeight w:val="660"/>
        </w:trPr>
        <w:tc>
          <w:tcPr>
            <w:tcW w:w="3780" w:type="dxa"/>
            <w:tcBorders>
              <w:top w:val="nil"/>
              <w:left w:val="single" w:sz="8" w:space="0" w:color="auto"/>
              <w:bottom w:val="single" w:sz="4" w:space="0" w:color="auto"/>
              <w:right w:val="single" w:sz="4" w:space="0" w:color="auto"/>
            </w:tcBorders>
            <w:vAlign w:val="center"/>
            <w:hideMark/>
          </w:tcPr>
          <w:p w:rsidR="00D21CDB" w:rsidRPr="00126DC3" w:rsidRDefault="00D21CDB" w:rsidP="006C5916">
            <w:pPr>
              <w:spacing w:after="0" w:line="240" w:lineRule="auto"/>
              <w:rPr>
                <w:rFonts w:ascii="Times New Roman" w:hAnsi="Times New Roman"/>
                <w:b/>
                <w:bCs/>
                <w:i/>
                <w:iCs/>
                <w:color w:val="000000"/>
                <w:sz w:val="20"/>
                <w:szCs w:val="20"/>
                <w:lang w:eastAsia="sk-SK"/>
              </w:rPr>
            </w:pPr>
            <w:r w:rsidRPr="00126DC3">
              <w:rPr>
                <w:rFonts w:ascii="Times New Roman" w:hAnsi="Times New Roman"/>
                <w:b/>
                <w:bCs/>
                <w:i/>
                <w:iCs/>
                <w:color w:val="000000"/>
                <w:sz w:val="20"/>
                <w:szCs w:val="20"/>
                <w:lang w:eastAsia="sk-SK"/>
              </w:rPr>
              <w:t>A.Dane, odvody, clá a poplatky, ktorých cieľom je znižovať negatívne externality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D21CDB" w:rsidRPr="00126DC3" w:rsidRDefault="00D21CDB" w:rsidP="006C5916">
            <w:pPr>
              <w:spacing w:after="0" w:line="240" w:lineRule="auto"/>
              <w:jc w:val="center"/>
              <w:rPr>
                <w:rFonts w:ascii="Times New Roman" w:hAnsi="Times New Roman"/>
                <w:b/>
                <w:color w:val="FF0000"/>
                <w:sz w:val="20"/>
                <w:szCs w:val="20"/>
                <w:lang w:eastAsia="sk-SK"/>
              </w:rPr>
            </w:pPr>
            <w:r>
              <w:rPr>
                <w:rFonts w:ascii="Times New Roman" w:hAnsi="Times New Roman"/>
                <w:b/>
                <w:sz w:val="20"/>
                <w:szCs w:val="20"/>
                <w:lang w:eastAsia="sk-SK"/>
              </w:rPr>
              <w:t>4 057 000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D21CDB" w:rsidRPr="00126DC3" w:rsidRDefault="00D21CDB" w:rsidP="006C5916">
            <w:pPr>
              <w:spacing w:after="0" w:line="240" w:lineRule="auto"/>
              <w:jc w:val="center"/>
              <w:rPr>
                <w:rFonts w:ascii="Times New Roman" w:hAnsi="Times New Roman"/>
                <w:b/>
                <w:bCs/>
                <w:color w:val="000000"/>
                <w:sz w:val="20"/>
                <w:szCs w:val="20"/>
                <w:lang w:eastAsia="sk-SK"/>
              </w:rPr>
            </w:pPr>
            <w:r w:rsidRPr="00126DC3">
              <w:rPr>
                <w:rFonts w:ascii="Times New Roman" w:hAnsi="Times New Roman"/>
                <w:b/>
                <w:bCs/>
                <w:color w:val="000000"/>
                <w:sz w:val="20"/>
                <w:szCs w:val="20"/>
                <w:lang w:eastAsia="sk-SK"/>
              </w:rPr>
              <w:t>0</w:t>
            </w:r>
          </w:p>
        </w:tc>
      </w:tr>
      <w:tr w:rsidR="00D21CDB" w:rsidRPr="00126DC3" w:rsidTr="006C5916">
        <w:trPr>
          <w:trHeight w:val="300"/>
        </w:trPr>
        <w:tc>
          <w:tcPr>
            <w:tcW w:w="3780" w:type="dxa"/>
            <w:tcBorders>
              <w:top w:val="nil"/>
              <w:left w:val="single" w:sz="8" w:space="0" w:color="auto"/>
              <w:bottom w:val="single" w:sz="4" w:space="0" w:color="auto"/>
              <w:right w:val="single" w:sz="4" w:space="0" w:color="auto"/>
            </w:tcBorders>
            <w:vAlign w:val="center"/>
            <w:hideMark/>
          </w:tcPr>
          <w:p w:rsidR="00D21CDB" w:rsidRPr="00126DC3" w:rsidRDefault="00D21CDB" w:rsidP="006C5916">
            <w:pPr>
              <w:spacing w:after="0" w:line="240" w:lineRule="auto"/>
              <w:rPr>
                <w:rFonts w:ascii="Times New Roman" w:hAnsi="Times New Roman"/>
                <w:b/>
                <w:bCs/>
                <w:i/>
                <w:iCs/>
                <w:color w:val="000000"/>
                <w:sz w:val="20"/>
                <w:szCs w:val="20"/>
                <w:lang w:eastAsia="sk-SK"/>
              </w:rPr>
            </w:pPr>
            <w:r w:rsidRPr="00126DC3">
              <w:rPr>
                <w:rFonts w:ascii="Times New Roman" w:hAnsi="Times New Roman"/>
                <w:b/>
                <w:bCs/>
                <w:i/>
                <w:iCs/>
                <w:color w:val="000000"/>
                <w:sz w:val="20"/>
                <w:szCs w:val="20"/>
                <w:lang w:eastAsia="sk-SK"/>
              </w:rPr>
              <w:t>B. Iné poplatky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D21CDB" w:rsidRPr="00126DC3" w:rsidRDefault="00D21CDB" w:rsidP="006C5916">
            <w:pPr>
              <w:spacing w:after="0" w:line="240" w:lineRule="auto"/>
              <w:jc w:val="center"/>
              <w:rPr>
                <w:rFonts w:ascii="Times New Roman" w:hAnsi="Times New Roman"/>
                <w:b/>
                <w:bCs/>
                <w:color w:val="000000"/>
                <w:sz w:val="20"/>
                <w:szCs w:val="20"/>
                <w:lang w:eastAsia="sk-SK"/>
              </w:rPr>
            </w:pPr>
            <w:r w:rsidRPr="00126DC3">
              <w:rPr>
                <w:rFonts w:ascii="Times New Roman" w:hAnsi="Times New Roman"/>
                <w:b/>
                <w:bCs/>
                <w:color w:val="000000"/>
                <w:sz w:val="20"/>
                <w:szCs w:val="20"/>
                <w:lang w:eastAsia="sk-SK"/>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D21CDB" w:rsidRPr="00126DC3" w:rsidRDefault="00D21CDB" w:rsidP="006C5916">
            <w:pPr>
              <w:spacing w:after="0" w:line="240" w:lineRule="auto"/>
              <w:jc w:val="center"/>
              <w:rPr>
                <w:rFonts w:ascii="Times New Roman" w:hAnsi="Times New Roman"/>
                <w:b/>
                <w:bCs/>
                <w:color w:val="000000"/>
                <w:sz w:val="20"/>
                <w:szCs w:val="20"/>
                <w:lang w:eastAsia="sk-SK"/>
              </w:rPr>
            </w:pPr>
            <w:r w:rsidRPr="00126DC3">
              <w:rPr>
                <w:rFonts w:ascii="Times New Roman" w:hAnsi="Times New Roman"/>
                <w:b/>
                <w:bCs/>
                <w:color w:val="000000"/>
                <w:sz w:val="20"/>
                <w:szCs w:val="20"/>
                <w:lang w:eastAsia="sk-SK"/>
              </w:rPr>
              <w:t>0</w:t>
            </w:r>
          </w:p>
        </w:tc>
      </w:tr>
      <w:tr w:rsidR="00D21CDB" w:rsidRPr="00126DC3" w:rsidTr="006C5916">
        <w:trPr>
          <w:trHeight w:val="300"/>
        </w:trPr>
        <w:tc>
          <w:tcPr>
            <w:tcW w:w="3780" w:type="dxa"/>
            <w:tcBorders>
              <w:top w:val="nil"/>
              <w:left w:val="single" w:sz="8" w:space="0" w:color="auto"/>
              <w:bottom w:val="single" w:sz="4" w:space="0" w:color="auto"/>
              <w:right w:val="single" w:sz="4" w:space="0" w:color="auto"/>
            </w:tcBorders>
            <w:vAlign w:val="center"/>
            <w:hideMark/>
          </w:tcPr>
          <w:p w:rsidR="00D21CDB" w:rsidRPr="00126DC3" w:rsidRDefault="00D21CDB" w:rsidP="006C5916">
            <w:pPr>
              <w:spacing w:after="0" w:line="240" w:lineRule="auto"/>
              <w:rPr>
                <w:rFonts w:ascii="Times New Roman" w:hAnsi="Times New Roman"/>
                <w:b/>
                <w:bCs/>
                <w:i/>
                <w:iCs/>
                <w:color w:val="000000"/>
                <w:sz w:val="20"/>
                <w:szCs w:val="20"/>
                <w:lang w:eastAsia="sk-SK"/>
              </w:rPr>
            </w:pPr>
            <w:r w:rsidRPr="00126DC3">
              <w:rPr>
                <w:rFonts w:ascii="Times New Roman" w:hAnsi="Times New Roman"/>
                <w:b/>
                <w:bCs/>
                <w:i/>
                <w:iCs/>
                <w:color w:val="000000"/>
                <w:sz w:val="20"/>
                <w:szCs w:val="20"/>
                <w:lang w:eastAsia="sk-SK"/>
              </w:rPr>
              <w:t>C. Nepriame finančné náklady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D21CDB" w:rsidRPr="00126DC3" w:rsidRDefault="00D21CDB" w:rsidP="006C5916">
            <w:pPr>
              <w:spacing w:after="0" w:line="240" w:lineRule="auto"/>
              <w:jc w:val="center"/>
              <w:rPr>
                <w:rFonts w:ascii="Times New Roman" w:hAnsi="Times New Roman"/>
                <w:b/>
                <w:bCs/>
                <w:color w:val="000000"/>
                <w:sz w:val="20"/>
                <w:szCs w:val="20"/>
                <w:lang w:eastAsia="sk-SK"/>
              </w:rPr>
            </w:pPr>
            <w:r w:rsidRPr="00126DC3">
              <w:rPr>
                <w:rFonts w:ascii="Times New Roman" w:hAnsi="Times New Roman"/>
                <w:b/>
                <w:bCs/>
                <w:color w:val="000000"/>
                <w:sz w:val="20"/>
                <w:szCs w:val="20"/>
                <w:lang w:eastAsia="sk-SK"/>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D21CDB" w:rsidRPr="00126DC3" w:rsidRDefault="00D21CDB" w:rsidP="006C5916">
            <w:pPr>
              <w:spacing w:after="0" w:line="240" w:lineRule="auto"/>
              <w:jc w:val="center"/>
              <w:rPr>
                <w:rFonts w:ascii="Times New Roman" w:hAnsi="Times New Roman"/>
                <w:b/>
                <w:bCs/>
                <w:color w:val="000000"/>
                <w:sz w:val="20"/>
                <w:szCs w:val="20"/>
                <w:lang w:eastAsia="sk-SK"/>
              </w:rPr>
            </w:pPr>
            <w:r w:rsidRPr="00126DC3">
              <w:rPr>
                <w:rFonts w:ascii="Times New Roman" w:hAnsi="Times New Roman"/>
                <w:b/>
                <w:bCs/>
                <w:color w:val="000000"/>
                <w:sz w:val="20"/>
                <w:szCs w:val="20"/>
                <w:lang w:eastAsia="sk-SK"/>
              </w:rPr>
              <w:t>0</w:t>
            </w:r>
          </w:p>
        </w:tc>
      </w:tr>
      <w:tr w:rsidR="00D21CDB" w:rsidRPr="00126DC3" w:rsidTr="006C5916">
        <w:trPr>
          <w:trHeight w:val="300"/>
        </w:trPr>
        <w:tc>
          <w:tcPr>
            <w:tcW w:w="3780" w:type="dxa"/>
            <w:tcBorders>
              <w:top w:val="nil"/>
              <w:left w:val="single" w:sz="8" w:space="0" w:color="auto"/>
              <w:bottom w:val="single" w:sz="4" w:space="0" w:color="auto"/>
              <w:right w:val="single" w:sz="4" w:space="0" w:color="auto"/>
            </w:tcBorders>
            <w:vAlign w:val="center"/>
            <w:hideMark/>
          </w:tcPr>
          <w:p w:rsidR="00D21CDB" w:rsidRPr="00126DC3" w:rsidRDefault="00D21CDB" w:rsidP="006C5916">
            <w:pPr>
              <w:spacing w:after="0" w:line="240" w:lineRule="auto"/>
              <w:rPr>
                <w:rFonts w:ascii="Times New Roman" w:hAnsi="Times New Roman"/>
                <w:b/>
                <w:bCs/>
                <w:i/>
                <w:iCs/>
                <w:color w:val="000000"/>
                <w:sz w:val="20"/>
                <w:szCs w:val="20"/>
                <w:lang w:eastAsia="sk-SK"/>
              </w:rPr>
            </w:pPr>
            <w:r w:rsidRPr="00126DC3">
              <w:rPr>
                <w:rFonts w:ascii="Times New Roman" w:hAnsi="Times New Roman"/>
                <w:b/>
                <w:bCs/>
                <w:i/>
                <w:iCs/>
                <w:color w:val="000000"/>
                <w:sz w:val="20"/>
                <w:szCs w:val="20"/>
                <w:lang w:eastAsia="sk-SK"/>
              </w:rPr>
              <w:t>D. Administratívne náklady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D21CDB" w:rsidRPr="00126DC3" w:rsidRDefault="00D21CDB" w:rsidP="006C5916">
            <w:pPr>
              <w:spacing w:after="0" w:line="240" w:lineRule="auto"/>
              <w:jc w:val="center"/>
              <w:rPr>
                <w:rFonts w:ascii="Times New Roman" w:hAnsi="Times New Roman"/>
                <w:b/>
                <w:bCs/>
                <w:color w:val="000000"/>
                <w:sz w:val="20"/>
                <w:szCs w:val="20"/>
                <w:lang w:eastAsia="sk-SK"/>
              </w:rPr>
            </w:pPr>
            <w:r w:rsidRPr="00126DC3">
              <w:rPr>
                <w:rFonts w:ascii="Times New Roman" w:hAnsi="Times New Roman"/>
                <w:b/>
                <w:bCs/>
                <w:color w:val="000000"/>
                <w:sz w:val="20"/>
                <w:szCs w:val="20"/>
                <w:lang w:eastAsia="sk-SK"/>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D21CDB" w:rsidRPr="00126DC3" w:rsidRDefault="00D21CDB" w:rsidP="006C5916">
            <w:pPr>
              <w:spacing w:after="0" w:line="240" w:lineRule="auto"/>
              <w:jc w:val="center"/>
              <w:rPr>
                <w:rFonts w:ascii="Times New Roman" w:hAnsi="Times New Roman"/>
                <w:b/>
                <w:bCs/>
                <w:color w:val="000000"/>
                <w:sz w:val="20"/>
                <w:szCs w:val="20"/>
                <w:lang w:eastAsia="sk-SK"/>
              </w:rPr>
            </w:pPr>
            <w:r w:rsidRPr="00126DC3">
              <w:rPr>
                <w:rFonts w:ascii="Times New Roman" w:hAnsi="Times New Roman"/>
                <w:b/>
                <w:bCs/>
                <w:color w:val="000000"/>
                <w:sz w:val="20"/>
                <w:szCs w:val="20"/>
                <w:lang w:eastAsia="sk-SK"/>
              </w:rPr>
              <w:t>3 838 727</w:t>
            </w:r>
          </w:p>
        </w:tc>
      </w:tr>
      <w:tr w:rsidR="00D21CDB" w:rsidRPr="00126DC3" w:rsidTr="006C5916">
        <w:trPr>
          <w:trHeight w:val="300"/>
        </w:trPr>
        <w:tc>
          <w:tcPr>
            <w:tcW w:w="3780" w:type="dxa"/>
            <w:tcBorders>
              <w:top w:val="nil"/>
              <w:left w:val="single" w:sz="8" w:space="0" w:color="auto"/>
              <w:bottom w:val="single" w:sz="4" w:space="0" w:color="auto"/>
              <w:right w:val="single" w:sz="4" w:space="0" w:color="auto"/>
            </w:tcBorders>
            <w:vAlign w:val="center"/>
            <w:hideMark/>
          </w:tcPr>
          <w:p w:rsidR="00D21CDB" w:rsidRPr="00126DC3" w:rsidRDefault="00D21CDB" w:rsidP="006C5916">
            <w:pPr>
              <w:spacing w:after="0" w:line="240" w:lineRule="auto"/>
              <w:rPr>
                <w:rFonts w:ascii="Times New Roman" w:hAnsi="Times New Roman"/>
                <w:b/>
                <w:bCs/>
                <w:i/>
                <w:iCs/>
                <w:color w:val="000000"/>
                <w:sz w:val="20"/>
                <w:szCs w:val="20"/>
                <w:lang w:eastAsia="sk-SK"/>
              </w:rPr>
            </w:pPr>
            <w:r w:rsidRPr="00126DC3">
              <w:rPr>
                <w:rFonts w:ascii="Times New Roman" w:hAnsi="Times New Roman"/>
                <w:b/>
                <w:bCs/>
                <w:i/>
                <w:iCs/>
                <w:color w:val="000000"/>
                <w:sz w:val="20"/>
                <w:szCs w:val="20"/>
                <w:lang w:eastAsia="sk-SK"/>
              </w:rPr>
              <w:t>Spolu = A+B+C+D</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D21CDB" w:rsidRPr="00126DC3" w:rsidRDefault="00D21CDB" w:rsidP="006C5916">
            <w:pPr>
              <w:spacing w:after="0" w:line="240" w:lineRule="auto"/>
              <w:jc w:val="center"/>
              <w:rPr>
                <w:rFonts w:ascii="Times New Roman" w:hAnsi="Times New Roman"/>
                <w:b/>
                <w:color w:val="FF0000"/>
                <w:sz w:val="20"/>
                <w:szCs w:val="20"/>
                <w:lang w:eastAsia="sk-SK"/>
              </w:rPr>
            </w:pPr>
            <w:r>
              <w:rPr>
                <w:rFonts w:ascii="Times New Roman" w:hAnsi="Times New Roman"/>
                <w:b/>
                <w:sz w:val="20"/>
                <w:szCs w:val="20"/>
                <w:lang w:eastAsia="sk-SK"/>
              </w:rPr>
              <w:t>4 057 000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D21CDB" w:rsidRPr="00126DC3" w:rsidRDefault="00D21CDB" w:rsidP="006C5916">
            <w:pPr>
              <w:spacing w:after="0" w:line="240" w:lineRule="auto"/>
              <w:jc w:val="center"/>
              <w:rPr>
                <w:rFonts w:ascii="Times New Roman" w:hAnsi="Times New Roman"/>
                <w:b/>
                <w:bCs/>
                <w:color w:val="000000"/>
                <w:sz w:val="20"/>
                <w:szCs w:val="20"/>
                <w:lang w:eastAsia="sk-SK"/>
              </w:rPr>
            </w:pPr>
            <w:r w:rsidRPr="00126DC3">
              <w:rPr>
                <w:rFonts w:ascii="Times New Roman" w:hAnsi="Times New Roman"/>
                <w:b/>
                <w:bCs/>
                <w:color w:val="000000"/>
                <w:sz w:val="20"/>
                <w:szCs w:val="20"/>
                <w:lang w:eastAsia="sk-SK"/>
              </w:rPr>
              <w:t>3 838 727</w:t>
            </w:r>
          </w:p>
        </w:tc>
      </w:tr>
      <w:tr w:rsidR="00D21CDB" w:rsidRPr="00126DC3" w:rsidTr="006C5916">
        <w:trPr>
          <w:trHeight w:val="300"/>
        </w:trPr>
        <w:tc>
          <w:tcPr>
            <w:tcW w:w="3780" w:type="dxa"/>
            <w:tcBorders>
              <w:top w:val="nil"/>
              <w:left w:val="single" w:sz="8" w:space="0" w:color="auto"/>
              <w:bottom w:val="single" w:sz="4" w:space="0" w:color="auto"/>
              <w:right w:val="single" w:sz="4" w:space="0" w:color="auto"/>
            </w:tcBorders>
            <w:vAlign w:val="center"/>
            <w:hideMark/>
          </w:tcPr>
          <w:p w:rsidR="00D21CDB" w:rsidRPr="00126DC3" w:rsidRDefault="00D21CDB" w:rsidP="006C5916">
            <w:pPr>
              <w:spacing w:after="0" w:line="240" w:lineRule="auto"/>
              <w:rPr>
                <w:rFonts w:ascii="Times New Roman" w:hAnsi="Times New Roman"/>
                <w:b/>
                <w:bCs/>
                <w:i/>
                <w:iCs/>
                <w:color w:val="000000"/>
                <w:sz w:val="20"/>
                <w:szCs w:val="20"/>
                <w:lang w:eastAsia="sk-SK"/>
              </w:rPr>
            </w:pPr>
            <w:r w:rsidRPr="00126DC3">
              <w:rPr>
                <w:rFonts w:ascii="Times New Roman" w:hAnsi="Times New Roman"/>
                <w:b/>
                <w:bCs/>
                <w:i/>
                <w:iCs/>
                <w:color w:val="000000"/>
                <w:sz w:val="20"/>
                <w:szCs w:val="20"/>
                <w:lang w:eastAsia="sk-SK"/>
              </w:rPr>
              <w:t xml:space="preserve"> Z toho</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D21CDB" w:rsidRPr="00126DC3" w:rsidRDefault="00D21CDB" w:rsidP="006C5916">
            <w:pPr>
              <w:spacing w:after="0" w:line="240" w:lineRule="auto"/>
              <w:jc w:val="center"/>
              <w:rPr>
                <w:rFonts w:ascii="Times New Roman" w:hAnsi="Times New Roman"/>
                <w:b/>
                <w:bCs/>
                <w:color w:val="000000"/>
                <w:sz w:val="20"/>
                <w:szCs w:val="20"/>
                <w:lang w:eastAsia="sk-SK"/>
              </w:rPr>
            </w:pPr>
            <w:r w:rsidRPr="00126DC3">
              <w:rPr>
                <w:rFonts w:ascii="Times New Roman" w:hAnsi="Times New Roman"/>
                <w:b/>
                <w:bCs/>
                <w:color w:val="000000"/>
                <w:sz w:val="20"/>
                <w:szCs w:val="20"/>
                <w:lang w:eastAsia="sk-SK"/>
              </w:rPr>
              <w:t> </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D21CDB" w:rsidRPr="00126DC3" w:rsidRDefault="00D21CDB" w:rsidP="006C5916">
            <w:pPr>
              <w:spacing w:after="0" w:line="240" w:lineRule="auto"/>
              <w:jc w:val="center"/>
              <w:rPr>
                <w:rFonts w:ascii="Times New Roman" w:hAnsi="Times New Roman"/>
                <w:b/>
                <w:bCs/>
                <w:color w:val="000000"/>
                <w:sz w:val="20"/>
                <w:szCs w:val="20"/>
                <w:lang w:eastAsia="sk-SK"/>
              </w:rPr>
            </w:pPr>
            <w:r w:rsidRPr="00126DC3">
              <w:rPr>
                <w:rFonts w:ascii="Times New Roman" w:hAnsi="Times New Roman"/>
                <w:b/>
                <w:bCs/>
                <w:color w:val="000000"/>
                <w:sz w:val="20"/>
                <w:szCs w:val="20"/>
                <w:lang w:eastAsia="sk-SK"/>
              </w:rPr>
              <w:t> </w:t>
            </w:r>
          </w:p>
        </w:tc>
      </w:tr>
      <w:tr w:rsidR="00D21CDB" w:rsidRPr="00126DC3" w:rsidTr="006C5916">
        <w:trPr>
          <w:trHeight w:val="615"/>
        </w:trPr>
        <w:tc>
          <w:tcPr>
            <w:tcW w:w="3780" w:type="dxa"/>
            <w:tcBorders>
              <w:top w:val="nil"/>
              <w:left w:val="single" w:sz="8" w:space="0" w:color="auto"/>
              <w:bottom w:val="single" w:sz="4" w:space="0" w:color="auto"/>
              <w:right w:val="single" w:sz="4" w:space="0" w:color="auto"/>
            </w:tcBorders>
            <w:vAlign w:val="center"/>
            <w:hideMark/>
          </w:tcPr>
          <w:p w:rsidR="00D21CDB" w:rsidRPr="00126DC3" w:rsidRDefault="00D21CDB" w:rsidP="006C5916">
            <w:pPr>
              <w:spacing w:after="0" w:line="240" w:lineRule="auto"/>
              <w:rPr>
                <w:rFonts w:ascii="Times New Roman" w:hAnsi="Times New Roman"/>
                <w:b/>
                <w:bCs/>
                <w:i/>
                <w:iCs/>
                <w:color w:val="000000"/>
                <w:sz w:val="20"/>
                <w:szCs w:val="20"/>
                <w:lang w:eastAsia="sk-SK"/>
              </w:rPr>
            </w:pPr>
            <w:r w:rsidRPr="00126DC3">
              <w:rPr>
                <w:rFonts w:ascii="Times New Roman" w:hAnsi="Times New Roman"/>
                <w:b/>
                <w:bCs/>
                <w:i/>
                <w:iCs/>
                <w:color w:val="000000"/>
                <w:sz w:val="20"/>
                <w:szCs w:val="20"/>
                <w:lang w:eastAsia="sk-SK"/>
              </w:rPr>
              <w:t>E. Vplyv na mikro, malé a stredné podn.</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D21CDB" w:rsidRPr="00126DC3" w:rsidRDefault="00D21CDB" w:rsidP="006C5916">
            <w:pPr>
              <w:spacing w:after="0" w:line="240" w:lineRule="auto"/>
              <w:jc w:val="center"/>
              <w:rPr>
                <w:rFonts w:ascii="Times New Roman" w:hAnsi="Times New Roman"/>
                <w:b/>
                <w:bCs/>
                <w:color w:val="000000"/>
                <w:sz w:val="20"/>
                <w:szCs w:val="20"/>
                <w:lang w:eastAsia="sk-SK"/>
              </w:rPr>
            </w:pPr>
            <w:r w:rsidRPr="00126DC3">
              <w:rPr>
                <w:rFonts w:ascii="Times New Roman" w:hAnsi="Times New Roman"/>
                <w:b/>
                <w:bCs/>
                <w:color w:val="000000"/>
                <w:sz w:val="20"/>
                <w:szCs w:val="20"/>
                <w:lang w:eastAsia="sk-SK"/>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D21CDB" w:rsidRPr="00126DC3" w:rsidRDefault="00D21CDB" w:rsidP="006C5916">
            <w:pPr>
              <w:spacing w:after="0" w:line="240" w:lineRule="auto"/>
              <w:jc w:val="center"/>
              <w:rPr>
                <w:rFonts w:ascii="Times New Roman" w:hAnsi="Times New Roman"/>
                <w:b/>
                <w:bCs/>
                <w:color w:val="000000"/>
                <w:sz w:val="20"/>
                <w:szCs w:val="20"/>
                <w:lang w:eastAsia="sk-SK"/>
              </w:rPr>
            </w:pPr>
            <w:r w:rsidRPr="00126DC3">
              <w:rPr>
                <w:rFonts w:ascii="Times New Roman" w:hAnsi="Times New Roman"/>
                <w:b/>
                <w:bCs/>
                <w:color w:val="000000"/>
                <w:sz w:val="20"/>
                <w:szCs w:val="20"/>
                <w:lang w:eastAsia="sk-SK"/>
              </w:rPr>
              <w:t>0</w:t>
            </w:r>
          </w:p>
        </w:tc>
      </w:tr>
      <w:tr w:rsidR="00D21CDB" w:rsidRPr="00126DC3" w:rsidTr="006C5916">
        <w:trPr>
          <w:trHeight w:val="990"/>
        </w:trPr>
        <w:tc>
          <w:tcPr>
            <w:tcW w:w="3780" w:type="dxa"/>
            <w:tcBorders>
              <w:top w:val="nil"/>
              <w:left w:val="single" w:sz="8" w:space="0" w:color="auto"/>
              <w:bottom w:val="single" w:sz="8" w:space="0" w:color="auto"/>
              <w:right w:val="single" w:sz="4" w:space="0" w:color="auto"/>
            </w:tcBorders>
            <w:vAlign w:val="center"/>
            <w:hideMark/>
          </w:tcPr>
          <w:p w:rsidR="00D21CDB" w:rsidRPr="00126DC3" w:rsidRDefault="00D21CDB" w:rsidP="006C5916">
            <w:pPr>
              <w:spacing w:after="0" w:line="240" w:lineRule="auto"/>
              <w:rPr>
                <w:rFonts w:ascii="Times New Roman" w:hAnsi="Times New Roman"/>
                <w:b/>
                <w:bCs/>
                <w:i/>
                <w:iCs/>
                <w:color w:val="000000"/>
                <w:sz w:val="20"/>
                <w:szCs w:val="20"/>
                <w:lang w:eastAsia="sk-SK"/>
              </w:rPr>
            </w:pPr>
            <w:r w:rsidRPr="00126DC3">
              <w:rPr>
                <w:rFonts w:ascii="Times New Roman" w:hAnsi="Times New Roman"/>
                <w:b/>
                <w:bCs/>
                <w:i/>
                <w:iCs/>
                <w:color w:val="000000"/>
                <w:sz w:val="20"/>
                <w:szCs w:val="20"/>
                <w:lang w:eastAsia="sk-SK"/>
              </w:rPr>
              <w:t>F. Úplná harmonizácia práva EÚ</w:t>
            </w:r>
            <w:r w:rsidRPr="00126DC3">
              <w:rPr>
                <w:rFonts w:ascii="Times New Roman" w:hAnsi="Times New Roman"/>
                <w:b/>
                <w:bCs/>
                <w:i/>
                <w:iCs/>
                <w:color w:val="000000"/>
                <w:sz w:val="20"/>
                <w:szCs w:val="20"/>
                <w:lang w:eastAsia="sk-SK"/>
              </w:rPr>
              <w:br/>
            </w:r>
            <w:r w:rsidRPr="00126DC3">
              <w:rPr>
                <w:rFonts w:ascii="Times New Roman" w:hAnsi="Times New Roman"/>
                <w:i/>
                <w:iCs/>
                <w:color w:val="000000"/>
                <w:sz w:val="16"/>
                <w:szCs w:val="16"/>
                <w:lang w:eastAsia="sk-SK"/>
              </w:rPr>
              <w:t>(okrem daní, odvodov, ciel a poplatkov, ktorých cieľom je znižovať negatívne externality)</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rsidR="00D21CDB" w:rsidRPr="00126DC3" w:rsidRDefault="00D21CDB" w:rsidP="006C5916">
            <w:pPr>
              <w:spacing w:after="0" w:line="240" w:lineRule="auto"/>
              <w:jc w:val="center"/>
              <w:rPr>
                <w:rFonts w:ascii="Times New Roman" w:hAnsi="Times New Roman"/>
                <w:b/>
                <w:bCs/>
                <w:color w:val="000000"/>
                <w:sz w:val="20"/>
                <w:szCs w:val="20"/>
                <w:lang w:eastAsia="sk-SK"/>
              </w:rPr>
            </w:pPr>
            <w:r w:rsidRPr="00126DC3">
              <w:rPr>
                <w:rFonts w:ascii="Times New Roman" w:hAnsi="Times New Roman"/>
                <w:b/>
                <w:bCs/>
                <w:color w:val="000000"/>
                <w:sz w:val="20"/>
                <w:szCs w:val="20"/>
                <w:lang w:eastAsia="sk-SK"/>
              </w:rPr>
              <w:t>0</w:t>
            </w:r>
          </w:p>
        </w:tc>
        <w:tc>
          <w:tcPr>
            <w:tcW w:w="2360" w:type="dxa"/>
            <w:gridSpan w:val="2"/>
            <w:tcBorders>
              <w:top w:val="single" w:sz="4" w:space="0" w:color="auto"/>
              <w:left w:val="nil"/>
              <w:bottom w:val="single" w:sz="8" w:space="0" w:color="auto"/>
              <w:right w:val="single" w:sz="8" w:space="0" w:color="000000"/>
            </w:tcBorders>
            <w:shd w:val="clear" w:color="000000" w:fill="92D050"/>
            <w:vAlign w:val="center"/>
            <w:hideMark/>
          </w:tcPr>
          <w:p w:rsidR="00D21CDB" w:rsidRPr="00126DC3" w:rsidRDefault="00D21CDB" w:rsidP="006C5916">
            <w:pPr>
              <w:spacing w:after="0" w:line="240" w:lineRule="auto"/>
              <w:jc w:val="center"/>
              <w:rPr>
                <w:rFonts w:ascii="Times New Roman" w:hAnsi="Times New Roman"/>
                <w:b/>
                <w:bCs/>
                <w:color w:val="000000"/>
                <w:sz w:val="20"/>
                <w:szCs w:val="20"/>
                <w:lang w:eastAsia="sk-SK"/>
              </w:rPr>
            </w:pPr>
            <w:r w:rsidRPr="00126DC3">
              <w:rPr>
                <w:rFonts w:ascii="Times New Roman" w:hAnsi="Times New Roman"/>
                <w:b/>
                <w:bCs/>
                <w:color w:val="000000"/>
                <w:sz w:val="20"/>
                <w:szCs w:val="20"/>
                <w:lang w:eastAsia="sk-SK"/>
              </w:rPr>
              <w:t>0</w:t>
            </w:r>
          </w:p>
        </w:tc>
      </w:tr>
      <w:tr w:rsidR="00D21CDB" w:rsidRPr="00126DC3" w:rsidTr="006C5916">
        <w:trPr>
          <w:trHeight w:val="270"/>
        </w:trPr>
        <w:tc>
          <w:tcPr>
            <w:tcW w:w="3780" w:type="dxa"/>
            <w:tcBorders>
              <w:top w:val="nil"/>
              <w:left w:val="nil"/>
              <w:bottom w:val="nil"/>
              <w:right w:val="nil"/>
            </w:tcBorders>
            <w:noWrap/>
            <w:vAlign w:val="bottom"/>
            <w:hideMark/>
          </w:tcPr>
          <w:p w:rsidR="00D21CDB" w:rsidRPr="00126DC3" w:rsidRDefault="00D21CDB" w:rsidP="006C5916">
            <w:pPr>
              <w:spacing w:after="0" w:line="240" w:lineRule="auto"/>
              <w:rPr>
                <w:rFonts w:ascii="Times New Roman" w:hAnsi="Times New Roman"/>
                <w:b/>
                <w:bCs/>
                <w:color w:val="000000"/>
                <w:sz w:val="20"/>
                <w:szCs w:val="20"/>
                <w:lang w:eastAsia="sk-SK"/>
              </w:rPr>
            </w:pPr>
          </w:p>
        </w:tc>
        <w:tc>
          <w:tcPr>
            <w:tcW w:w="1580" w:type="dxa"/>
            <w:tcBorders>
              <w:top w:val="nil"/>
              <w:left w:val="nil"/>
              <w:bottom w:val="nil"/>
              <w:right w:val="nil"/>
            </w:tcBorders>
            <w:vAlign w:val="center"/>
            <w:hideMark/>
          </w:tcPr>
          <w:p w:rsidR="00D21CDB" w:rsidRPr="00126DC3" w:rsidRDefault="00D21CDB" w:rsidP="006C5916">
            <w:pPr>
              <w:spacing w:after="0" w:line="240" w:lineRule="auto"/>
              <w:jc w:val="center"/>
              <w:rPr>
                <w:rFonts w:ascii="Times New Roman" w:hAnsi="Times New Roman"/>
                <w:sz w:val="20"/>
                <w:szCs w:val="20"/>
                <w:lang w:eastAsia="sk-SK"/>
              </w:rPr>
            </w:pPr>
          </w:p>
        </w:tc>
        <w:tc>
          <w:tcPr>
            <w:tcW w:w="1060" w:type="dxa"/>
            <w:tcBorders>
              <w:top w:val="nil"/>
              <w:left w:val="nil"/>
              <w:bottom w:val="nil"/>
              <w:right w:val="nil"/>
            </w:tcBorders>
            <w:vAlign w:val="center"/>
            <w:hideMark/>
          </w:tcPr>
          <w:p w:rsidR="00D21CDB" w:rsidRPr="00126DC3" w:rsidRDefault="00D21CDB" w:rsidP="006C5916">
            <w:pPr>
              <w:spacing w:after="0" w:line="240" w:lineRule="auto"/>
              <w:jc w:val="center"/>
              <w:rPr>
                <w:rFonts w:ascii="Times New Roman" w:hAnsi="Times New Roman"/>
                <w:sz w:val="20"/>
                <w:szCs w:val="20"/>
                <w:lang w:eastAsia="sk-SK"/>
              </w:rPr>
            </w:pPr>
          </w:p>
        </w:tc>
        <w:tc>
          <w:tcPr>
            <w:tcW w:w="1360" w:type="dxa"/>
            <w:tcBorders>
              <w:top w:val="nil"/>
              <w:left w:val="nil"/>
              <w:bottom w:val="nil"/>
              <w:right w:val="nil"/>
            </w:tcBorders>
            <w:vAlign w:val="center"/>
            <w:hideMark/>
          </w:tcPr>
          <w:p w:rsidR="00D21CDB" w:rsidRPr="00126DC3" w:rsidRDefault="00D21CDB" w:rsidP="006C5916">
            <w:pPr>
              <w:spacing w:after="0" w:line="240" w:lineRule="auto"/>
              <w:jc w:val="center"/>
              <w:rPr>
                <w:rFonts w:ascii="Times New Roman" w:hAnsi="Times New Roman"/>
                <w:sz w:val="20"/>
                <w:szCs w:val="20"/>
                <w:lang w:eastAsia="sk-SK"/>
              </w:rPr>
            </w:pPr>
          </w:p>
        </w:tc>
        <w:tc>
          <w:tcPr>
            <w:tcW w:w="1000" w:type="dxa"/>
            <w:tcBorders>
              <w:top w:val="nil"/>
              <w:left w:val="nil"/>
              <w:bottom w:val="nil"/>
              <w:right w:val="nil"/>
            </w:tcBorders>
            <w:vAlign w:val="center"/>
            <w:hideMark/>
          </w:tcPr>
          <w:p w:rsidR="00D21CDB" w:rsidRPr="00126DC3" w:rsidRDefault="00D21CDB" w:rsidP="006C5916">
            <w:pPr>
              <w:spacing w:after="0" w:line="240" w:lineRule="auto"/>
              <w:jc w:val="center"/>
              <w:rPr>
                <w:rFonts w:ascii="Times New Roman" w:hAnsi="Times New Roman"/>
                <w:sz w:val="20"/>
                <w:szCs w:val="20"/>
                <w:lang w:eastAsia="sk-SK"/>
              </w:rPr>
            </w:pPr>
          </w:p>
        </w:tc>
      </w:tr>
      <w:tr w:rsidR="00D21CDB" w:rsidRPr="00126DC3" w:rsidTr="006C5916">
        <w:trPr>
          <w:trHeight w:val="330"/>
        </w:trPr>
        <w:tc>
          <w:tcPr>
            <w:tcW w:w="3780" w:type="dxa"/>
            <w:tcBorders>
              <w:top w:val="single" w:sz="8" w:space="0" w:color="auto"/>
              <w:left w:val="single" w:sz="8" w:space="0" w:color="auto"/>
              <w:bottom w:val="single" w:sz="4" w:space="0" w:color="auto"/>
              <w:right w:val="single" w:sz="4" w:space="0" w:color="auto"/>
            </w:tcBorders>
            <w:vAlign w:val="center"/>
            <w:hideMark/>
          </w:tcPr>
          <w:p w:rsidR="00D21CDB" w:rsidRPr="00126DC3" w:rsidRDefault="00D21CDB" w:rsidP="006C5916">
            <w:pPr>
              <w:spacing w:after="0" w:line="240" w:lineRule="auto"/>
              <w:rPr>
                <w:rFonts w:ascii="Times New Roman" w:hAnsi="Times New Roman"/>
                <w:i/>
                <w:iCs/>
                <w:color w:val="000000"/>
                <w:sz w:val="20"/>
                <w:szCs w:val="20"/>
                <w:lang w:eastAsia="sk-SK"/>
              </w:rPr>
            </w:pPr>
            <w:r w:rsidRPr="00126DC3">
              <w:rPr>
                <w:rFonts w:ascii="Times New Roman" w:hAnsi="Times New Roman"/>
                <w:i/>
                <w:iCs/>
                <w:color w:val="000000"/>
                <w:sz w:val="20"/>
                <w:szCs w:val="20"/>
                <w:lang w:eastAsia="sk-SK"/>
              </w:rPr>
              <w:t>VÝPOČET PRAVIDLA 1in2out:</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rsidR="00D21CDB" w:rsidRPr="00126DC3" w:rsidRDefault="00D21CDB" w:rsidP="006C5916">
            <w:pPr>
              <w:spacing w:after="0" w:line="240" w:lineRule="auto"/>
              <w:jc w:val="center"/>
              <w:rPr>
                <w:rFonts w:ascii="Times New Roman" w:hAnsi="Times New Roman"/>
                <w:color w:val="000000"/>
                <w:sz w:val="20"/>
                <w:szCs w:val="20"/>
                <w:lang w:eastAsia="sk-SK"/>
              </w:rPr>
            </w:pPr>
            <w:r w:rsidRPr="00126DC3">
              <w:rPr>
                <w:rFonts w:ascii="Times New Roman" w:hAnsi="Times New Roman"/>
                <w:color w:val="000000"/>
                <w:sz w:val="20"/>
                <w:szCs w:val="20"/>
                <w:lang w:eastAsia="sk-SK"/>
              </w:rPr>
              <w:t>IN</w:t>
            </w:r>
          </w:p>
        </w:tc>
        <w:tc>
          <w:tcPr>
            <w:tcW w:w="2360" w:type="dxa"/>
            <w:gridSpan w:val="2"/>
            <w:tcBorders>
              <w:top w:val="single" w:sz="8" w:space="0" w:color="auto"/>
              <w:left w:val="nil"/>
              <w:bottom w:val="single" w:sz="4" w:space="0" w:color="auto"/>
              <w:right w:val="single" w:sz="8" w:space="0" w:color="000000"/>
            </w:tcBorders>
            <w:shd w:val="clear" w:color="000000" w:fill="92D050"/>
            <w:vAlign w:val="center"/>
            <w:hideMark/>
          </w:tcPr>
          <w:p w:rsidR="00D21CDB" w:rsidRPr="00126DC3" w:rsidRDefault="00D21CDB" w:rsidP="006C5916">
            <w:pPr>
              <w:spacing w:after="0" w:line="240" w:lineRule="auto"/>
              <w:jc w:val="center"/>
              <w:rPr>
                <w:rFonts w:ascii="Times New Roman" w:hAnsi="Times New Roman"/>
                <w:color w:val="000000"/>
                <w:sz w:val="20"/>
                <w:szCs w:val="20"/>
                <w:lang w:eastAsia="sk-SK"/>
              </w:rPr>
            </w:pPr>
            <w:r w:rsidRPr="00126DC3">
              <w:rPr>
                <w:rFonts w:ascii="Times New Roman" w:hAnsi="Times New Roman"/>
                <w:color w:val="000000"/>
                <w:sz w:val="20"/>
                <w:szCs w:val="20"/>
                <w:lang w:eastAsia="sk-SK"/>
              </w:rPr>
              <w:t>OUT</w:t>
            </w:r>
          </w:p>
        </w:tc>
      </w:tr>
      <w:tr w:rsidR="00D21CDB" w:rsidRPr="00126DC3" w:rsidTr="006C5916">
        <w:trPr>
          <w:trHeight w:val="345"/>
        </w:trPr>
        <w:tc>
          <w:tcPr>
            <w:tcW w:w="3780" w:type="dxa"/>
            <w:tcBorders>
              <w:top w:val="nil"/>
              <w:left w:val="single" w:sz="8" w:space="0" w:color="auto"/>
              <w:bottom w:val="single" w:sz="8" w:space="0" w:color="auto"/>
              <w:right w:val="single" w:sz="4" w:space="0" w:color="auto"/>
            </w:tcBorders>
            <w:vAlign w:val="center"/>
            <w:hideMark/>
          </w:tcPr>
          <w:p w:rsidR="00D21CDB" w:rsidRPr="00126DC3" w:rsidRDefault="00D21CDB" w:rsidP="006C5916">
            <w:pPr>
              <w:spacing w:after="0" w:line="240" w:lineRule="auto"/>
              <w:rPr>
                <w:rFonts w:ascii="Times New Roman" w:hAnsi="Times New Roman"/>
                <w:i/>
                <w:iCs/>
                <w:color w:val="000000"/>
                <w:sz w:val="20"/>
                <w:szCs w:val="20"/>
                <w:lang w:eastAsia="sk-SK"/>
              </w:rPr>
            </w:pPr>
            <w:r w:rsidRPr="00126DC3">
              <w:rPr>
                <w:rFonts w:ascii="Times New Roman" w:hAnsi="Times New Roman"/>
                <w:i/>
                <w:iCs/>
                <w:color w:val="000000"/>
                <w:sz w:val="20"/>
                <w:szCs w:val="20"/>
                <w:lang w:eastAsia="sk-SK"/>
              </w:rPr>
              <w:t>G. Náklady okrem výnimiek = B+C+D-F</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rsidR="00D21CDB" w:rsidRPr="00126DC3" w:rsidRDefault="00D21CDB" w:rsidP="006C5916">
            <w:pPr>
              <w:spacing w:after="0" w:line="240" w:lineRule="auto"/>
              <w:jc w:val="center"/>
              <w:rPr>
                <w:rFonts w:ascii="Times New Roman" w:hAnsi="Times New Roman"/>
                <w:b/>
                <w:bCs/>
                <w:color w:val="000000"/>
                <w:sz w:val="20"/>
                <w:szCs w:val="20"/>
                <w:lang w:eastAsia="sk-SK"/>
              </w:rPr>
            </w:pPr>
            <w:r w:rsidRPr="00126DC3">
              <w:rPr>
                <w:rFonts w:ascii="Times New Roman" w:hAnsi="Times New Roman"/>
                <w:b/>
                <w:bCs/>
                <w:color w:val="000000"/>
                <w:sz w:val="20"/>
                <w:szCs w:val="20"/>
                <w:lang w:eastAsia="sk-SK"/>
              </w:rPr>
              <w:t>0</w:t>
            </w:r>
          </w:p>
        </w:tc>
        <w:tc>
          <w:tcPr>
            <w:tcW w:w="2360" w:type="dxa"/>
            <w:gridSpan w:val="2"/>
            <w:tcBorders>
              <w:top w:val="single" w:sz="4" w:space="0" w:color="auto"/>
              <w:left w:val="nil"/>
              <w:bottom w:val="single" w:sz="8" w:space="0" w:color="auto"/>
              <w:right w:val="single" w:sz="8" w:space="0" w:color="000000"/>
            </w:tcBorders>
            <w:shd w:val="clear" w:color="000000" w:fill="92D050"/>
            <w:vAlign w:val="center"/>
            <w:hideMark/>
          </w:tcPr>
          <w:p w:rsidR="00D21CDB" w:rsidRPr="00126DC3" w:rsidRDefault="00D21CDB" w:rsidP="006C5916">
            <w:pPr>
              <w:spacing w:after="0" w:line="240" w:lineRule="auto"/>
              <w:jc w:val="center"/>
              <w:rPr>
                <w:rFonts w:ascii="Times New Roman" w:hAnsi="Times New Roman"/>
                <w:b/>
                <w:bCs/>
                <w:color w:val="000000"/>
                <w:sz w:val="20"/>
                <w:szCs w:val="20"/>
                <w:lang w:eastAsia="sk-SK"/>
              </w:rPr>
            </w:pPr>
            <w:r w:rsidRPr="00126DC3">
              <w:rPr>
                <w:rFonts w:ascii="Times New Roman" w:hAnsi="Times New Roman"/>
                <w:b/>
                <w:bCs/>
                <w:color w:val="000000"/>
                <w:sz w:val="20"/>
                <w:szCs w:val="20"/>
                <w:lang w:eastAsia="sk-SK"/>
              </w:rPr>
              <w:t>3 838 727</w:t>
            </w:r>
          </w:p>
        </w:tc>
      </w:tr>
    </w:tbl>
    <w:p w:rsidR="00D21CDB" w:rsidRDefault="00D21CDB" w:rsidP="00D21CDB">
      <w:pPr>
        <w:jc w:val="center"/>
        <w:rPr>
          <w:rFonts w:ascii="Times New Roman" w:hAnsi="Times New Roman"/>
          <w:b/>
          <w:i/>
          <w:iCs/>
          <w:sz w:val="24"/>
          <w:szCs w:val="24"/>
        </w:rPr>
      </w:pPr>
      <w:r>
        <w:fldChar w:fldCharType="end"/>
      </w:r>
    </w:p>
    <w:p w:rsidR="00D21CDB" w:rsidRDefault="00D21CDB" w:rsidP="00D21CDB">
      <w:pPr>
        <w:rPr>
          <w:rFonts w:ascii="Times New Roman" w:hAnsi="Times New Roman"/>
          <w:b/>
          <w:i/>
          <w:iCs/>
          <w:sz w:val="24"/>
          <w:szCs w:val="24"/>
        </w:rPr>
        <w:sectPr w:rsidR="00D21CDB" w:rsidSect="00D21CDB">
          <w:pgSz w:w="11906" w:h="16838"/>
          <w:pgMar w:top="1417" w:right="1417" w:bottom="1417" w:left="1417" w:header="708" w:footer="708" w:gutter="0"/>
          <w:cols w:space="708"/>
          <w:docGrid w:linePitch="360"/>
        </w:sectPr>
      </w:pPr>
    </w:p>
    <w:p w:rsidR="00D21CDB" w:rsidRPr="001F1B43" w:rsidRDefault="00D21CDB" w:rsidP="00D21CDB">
      <w:pPr>
        <w:rPr>
          <w:rFonts w:ascii="Times New Roman" w:hAnsi="Times New Roman"/>
          <w:b/>
          <w:i/>
          <w:iCs/>
          <w:sz w:val="24"/>
          <w:szCs w:val="24"/>
        </w:rPr>
      </w:pPr>
      <w:r w:rsidRPr="001F1B43">
        <w:rPr>
          <w:rFonts w:ascii="Times New Roman" w:hAnsi="Times New Roman"/>
          <w:b/>
          <w:i/>
          <w:iCs/>
          <w:sz w:val="24"/>
          <w:szCs w:val="24"/>
        </w:rPr>
        <w:lastRenderedPageBreak/>
        <w:t>3.1.2 Výpočty vplyvov jednotlivých regulácií na zmeny v nákladoch podnikateľov</w:t>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r w:rsidRPr="00D8247C">
        <w:rPr>
          <w:rFonts w:ascii="Times New Roman" w:hAnsi="Times New Roman"/>
          <w:i/>
          <w:sz w:val="24"/>
          <w:szCs w:val="24"/>
        </w:rPr>
        <w:tab/>
      </w:r>
    </w:p>
    <w:p w:rsidR="00D21CDB" w:rsidRPr="00D8247C" w:rsidRDefault="00D21CDB" w:rsidP="00D21CDB">
      <w:pPr>
        <w:jc w:val="both"/>
        <w:rPr>
          <w:rFonts w:ascii="Times New Roman" w:hAnsi="Times New Roman"/>
          <w:i/>
          <w:sz w:val="24"/>
          <w:szCs w:val="24"/>
        </w:rPr>
      </w:pPr>
      <w:r w:rsidRPr="00D8247C">
        <w:rPr>
          <w:rFonts w:ascii="Times New Roman" w:hAnsi="Times New Roman"/>
          <w:i/>
          <w:sz w:val="24"/>
          <w:szCs w:val="24"/>
        </w:rPr>
        <w:t>Tabuľka č. 2: Výpočet vplyvov jednotlivých regulácií:</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3509"/>
        <w:gridCol w:w="1043"/>
        <w:gridCol w:w="1129"/>
        <w:gridCol w:w="1300"/>
        <w:gridCol w:w="934"/>
        <w:gridCol w:w="1396"/>
        <w:gridCol w:w="974"/>
        <w:gridCol w:w="974"/>
        <w:gridCol w:w="976"/>
        <w:gridCol w:w="1134"/>
        <w:gridCol w:w="992"/>
      </w:tblGrid>
      <w:tr w:rsidR="00D21CDB" w:rsidRPr="00895898" w:rsidTr="006C5916">
        <w:trPr>
          <w:trHeight w:val="1885"/>
        </w:trPr>
        <w:tc>
          <w:tcPr>
            <w:tcW w:w="500" w:type="dxa"/>
            <w:shd w:val="clear" w:color="auto" w:fill="BFBFBF"/>
            <w:vAlign w:val="center"/>
          </w:tcPr>
          <w:p w:rsidR="00D21CDB" w:rsidRPr="00895898" w:rsidRDefault="00D21CDB" w:rsidP="006C5916">
            <w:pPr>
              <w:spacing w:after="0" w:line="240" w:lineRule="auto"/>
              <w:jc w:val="center"/>
              <w:rPr>
                <w:rFonts w:ascii="Times New Roman" w:hAnsi="Times New Roman"/>
                <w:b/>
                <w:bCs/>
                <w:color w:val="000000"/>
                <w:sz w:val="20"/>
                <w:szCs w:val="20"/>
                <w:lang w:eastAsia="sk-SK"/>
              </w:rPr>
            </w:pPr>
            <w:r w:rsidRPr="00895898">
              <w:rPr>
                <w:rFonts w:ascii="Times New Roman" w:hAnsi="Times New Roman"/>
                <w:b/>
                <w:bCs/>
                <w:color w:val="000000"/>
                <w:sz w:val="20"/>
                <w:szCs w:val="20"/>
                <w:lang w:eastAsia="sk-SK"/>
              </w:rPr>
              <w:t>P.č.</w:t>
            </w:r>
          </w:p>
        </w:tc>
        <w:tc>
          <w:tcPr>
            <w:tcW w:w="3509" w:type="dxa"/>
            <w:shd w:val="clear" w:color="auto" w:fill="BFBFBF"/>
            <w:vAlign w:val="center"/>
            <w:hideMark/>
          </w:tcPr>
          <w:p w:rsidR="00D21CDB" w:rsidRPr="00895898" w:rsidRDefault="00D21CDB" w:rsidP="006C5916">
            <w:pPr>
              <w:spacing w:after="0" w:line="240" w:lineRule="auto"/>
              <w:jc w:val="center"/>
              <w:rPr>
                <w:rFonts w:ascii="Times New Roman" w:hAnsi="Times New Roman"/>
                <w:b/>
                <w:bCs/>
                <w:color w:val="000000"/>
                <w:sz w:val="20"/>
                <w:szCs w:val="20"/>
                <w:lang w:eastAsia="sk-SK"/>
              </w:rPr>
            </w:pPr>
            <w:r w:rsidRPr="00895898">
              <w:rPr>
                <w:rFonts w:ascii="Times New Roman" w:hAnsi="Times New Roman"/>
                <w:b/>
                <w:bCs/>
                <w:color w:val="000000"/>
                <w:sz w:val="20"/>
                <w:szCs w:val="20"/>
                <w:lang w:eastAsia="sk-SK"/>
              </w:rPr>
              <w:t>Zrozumiteľný a stručný opis regulácie vyjadrujúci dôvod zvýšenia/zníženia nákladov na PP</w:t>
            </w:r>
          </w:p>
        </w:tc>
        <w:tc>
          <w:tcPr>
            <w:tcW w:w="1043" w:type="dxa"/>
            <w:shd w:val="clear" w:color="auto" w:fill="BFBFBF"/>
          </w:tcPr>
          <w:p w:rsidR="00D21CDB" w:rsidRPr="00895898" w:rsidRDefault="00D21CDB" w:rsidP="006C5916">
            <w:pPr>
              <w:spacing w:after="0" w:line="240" w:lineRule="auto"/>
              <w:jc w:val="center"/>
              <w:rPr>
                <w:rFonts w:ascii="Times New Roman" w:hAnsi="Times New Roman"/>
                <w:b/>
                <w:bCs/>
                <w:color w:val="000000"/>
                <w:sz w:val="20"/>
                <w:szCs w:val="20"/>
                <w:lang w:eastAsia="sk-SK"/>
              </w:rPr>
            </w:pPr>
          </w:p>
          <w:p w:rsidR="00D21CDB" w:rsidRPr="00895898" w:rsidRDefault="00D21CDB" w:rsidP="006C5916">
            <w:pPr>
              <w:spacing w:after="0" w:line="240" w:lineRule="auto"/>
              <w:jc w:val="center"/>
              <w:rPr>
                <w:rFonts w:ascii="Times New Roman" w:hAnsi="Times New Roman"/>
                <w:b/>
                <w:bCs/>
                <w:color w:val="000000"/>
                <w:sz w:val="20"/>
                <w:szCs w:val="20"/>
                <w:lang w:eastAsia="sk-SK"/>
              </w:rPr>
            </w:pPr>
            <w:r w:rsidRPr="00895898">
              <w:rPr>
                <w:rFonts w:ascii="Times New Roman" w:hAnsi="Times New Roman"/>
                <w:b/>
                <w:bCs/>
                <w:color w:val="000000"/>
                <w:sz w:val="20"/>
                <w:szCs w:val="20"/>
                <w:lang w:eastAsia="sk-SK"/>
              </w:rPr>
              <w:t>Číslo normy</w:t>
            </w:r>
          </w:p>
          <w:p w:rsidR="00D21CDB" w:rsidRPr="00895898" w:rsidRDefault="00D21CDB" w:rsidP="006C5916">
            <w:pPr>
              <w:spacing w:after="0" w:line="240" w:lineRule="auto"/>
              <w:jc w:val="center"/>
              <w:rPr>
                <w:rFonts w:ascii="Times New Roman" w:hAnsi="Times New Roman"/>
                <w:bCs/>
                <w:color w:val="000000"/>
                <w:sz w:val="20"/>
                <w:szCs w:val="20"/>
                <w:lang w:eastAsia="sk-SK"/>
              </w:rPr>
            </w:pPr>
            <w:r w:rsidRPr="00895898">
              <w:rPr>
                <w:rFonts w:ascii="Times New Roman" w:hAnsi="Times New Roman"/>
                <w:bCs/>
                <w:color w:val="000000"/>
                <w:sz w:val="20"/>
                <w:szCs w:val="20"/>
                <w:lang w:eastAsia="sk-SK"/>
              </w:rPr>
              <w:t>(zákona, vyhlášky a pod.)</w:t>
            </w:r>
          </w:p>
        </w:tc>
        <w:tc>
          <w:tcPr>
            <w:tcW w:w="1129" w:type="dxa"/>
            <w:shd w:val="clear" w:color="auto" w:fill="BFBFBF"/>
            <w:vAlign w:val="center"/>
            <w:hideMark/>
          </w:tcPr>
          <w:p w:rsidR="00D21CDB" w:rsidRPr="00895898" w:rsidRDefault="00D21CDB" w:rsidP="006C5916">
            <w:pPr>
              <w:spacing w:after="0" w:line="240" w:lineRule="auto"/>
              <w:jc w:val="center"/>
              <w:rPr>
                <w:rFonts w:ascii="Times New Roman" w:hAnsi="Times New Roman"/>
                <w:b/>
                <w:bCs/>
                <w:color w:val="000000"/>
                <w:sz w:val="20"/>
                <w:szCs w:val="20"/>
                <w:lang w:eastAsia="sk-SK"/>
              </w:rPr>
            </w:pPr>
            <w:r w:rsidRPr="00895898">
              <w:rPr>
                <w:rFonts w:ascii="Times New Roman" w:hAnsi="Times New Roman"/>
                <w:b/>
                <w:bCs/>
                <w:color w:val="000000"/>
                <w:sz w:val="20"/>
                <w:szCs w:val="20"/>
                <w:lang w:eastAsia="sk-SK"/>
              </w:rPr>
              <w:t xml:space="preserve">Lokalizácia </w:t>
            </w:r>
            <w:r w:rsidRPr="00895898">
              <w:rPr>
                <w:rFonts w:ascii="Times New Roman" w:hAnsi="Times New Roman"/>
                <w:bCs/>
                <w:color w:val="000000"/>
                <w:sz w:val="20"/>
                <w:szCs w:val="20"/>
                <w:lang w:eastAsia="sk-SK"/>
              </w:rPr>
              <w:t>(§, ods.)</w:t>
            </w:r>
          </w:p>
        </w:tc>
        <w:tc>
          <w:tcPr>
            <w:tcW w:w="1300" w:type="dxa"/>
            <w:shd w:val="clear" w:color="auto" w:fill="BFBFBF"/>
            <w:vAlign w:val="center"/>
          </w:tcPr>
          <w:p w:rsidR="00D21CDB" w:rsidRPr="00895898" w:rsidRDefault="00D21CDB" w:rsidP="006C5916">
            <w:pPr>
              <w:spacing w:after="0" w:line="240" w:lineRule="auto"/>
              <w:jc w:val="center"/>
              <w:rPr>
                <w:rFonts w:ascii="Times New Roman" w:hAnsi="Times New Roman"/>
                <w:b/>
                <w:bCs/>
                <w:color w:val="000000"/>
                <w:sz w:val="20"/>
                <w:szCs w:val="20"/>
                <w:lang w:eastAsia="sk-SK"/>
              </w:rPr>
            </w:pPr>
            <w:r w:rsidRPr="00895898">
              <w:rPr>
                <w:rFonts w:ascii="Times New Roman" w:hAnsi="Times New Roman"/>
                <w:b/>
                <w:bCs/>
                <w:color w:val="000000"/>
                <w:sz w:val="20"/>
                <w:szCs w:val="20"/>
                <w:lang w:eastAsia="sk-SK"/>
              </w:rPr>
              <w:t>Pôvod regulácie:</w:t>
            </w:r>
          </w:p>
          <w:p w:rsidR="00D21CDB" w:rsidRPr="00895898" w:rsidRDefault="00D21CDB" w:rsidP="006C5916">
            <w:pPr>
              <w:spacing w:after="0" w:line="240" w:lineRule="auto"/>
              <w:jc w:val="center"/>
              <w:rPr>
                <w:rFonts w:ascii="Times New Roman" w:hAnsi="Times New Roman"/>
                <w:color w:val="000000"/>
                <w:sz w:val="20"/>
                <w:szCs w:val="20"/>
                <w:lang w:eastAsia="sk-SK"/>
              </w:rPr>
            </w:pPr>
            <w:r w:rsidRPr="00895898">
              <w:rPr>
                <w:rFonts w:ascii="Times New Roman" w:hAnsi="Times New Roman"/>
                <w:color w:val="000000"/>
                <w:sz w:val="20"/>
                <w:szCs w:val="20"/>
                <w:lang w:eastAsia="sk-SK"/>
              </w:rPr>
              <w:t>SK/EÚ úplná harm./EÚ harm. s možnosťou voľby</w:t>
            </w:r>
          </w:p>
        </w:tc>
        <w:tc>
          <w:tcPr>
            <w:tcW w:w="934" w:type="dxa"/>
            <w:shd w:val="clear" w:color="auto" w:fill="BFBFBF"/>
            <w:vAlign w:val="center"/>
            <w:hideMark/>
          </w:tcPr>
          <w:p w:rsidR="00D21CDB" w:rsidRPr="00895898" w:rsidRDefault="00D21CDB" w:rsidP="006C5916">
            <w:pPr>
              <w:spacing w:after="0" w:line="240" w:lineRule="auto"/>
              <w:jc w:val="center"/>
              <w:rPr>
                <w:rFonts w:ascii="Times New Roman" w:hAnsi="Times New Roman"/>
                <w:b/>
                <w:bCs/>
                <w:color w:val="000000"/>
                <w:sz w:val="20"/>
                <w:szCs w:val="20"/>
                <w:lang w:eastAsia="sk-SK"/>
              </w:rPr>
            </w:pPr>
            <w:r w:rsidRPr="00895898">
              <w:rPr>
                <w:rFonts w:ascii="Times New Roman" w:hAnsi="Times New Roman"/>
                <w:b/>
                <w:bCs/>
                <w:color w:val="000000"/>
                <w:sz w:val="20"/>
                <w:szCs w:val="20"/>
                <w:lang w:eastAsia="sk-SK"/>
              </w:rPr>
              <w:t>Účinnosť</w:t>
            </w:r>
          </w:p>
          <w:p w:rsidR="00D21CDB" w:rsidRPr="00895898" w:rsidRDefault="00D21CDB" w:rsidP="006C5916">
            <w:pPr>
              <w:spacing w:after="0" w:line="240" w:lineRule="auto"/>
              <w:jc w:val="center"/>
              <w:rPr>
                <w:rFonts w:ascii="Times New Roman" w:hAnsi="Times New Roman"/>
                <w:b/>
                <w:bCs/>
                <w:color w:val="000000"/>
                <w:sz w:val="20"/>
                <w:szCs w:val="20"/>
                <w:lang w:eastAsia="sk-SK"/>
              </w:rPr>
            </w:pPr>
            <w:r w:rsidRPr="00895898">
              <w:rPr>
                <w:rFonts w:ascii="Times New Roman" w:hAnsi="Times New Roman"/>
                <w:b/>
                <w:bCs/>
                <w:color w:val="000000"/>
                <w:sz w:val="20"/>
                <w:szCs w:val="20"/>
                <w:lang w:eastAsia="sk-SK"/>
              </w:rPr>
              <w:t>regulácie</w:t>
            </w:r>
          </w:p>
          <w:p w:rsidR="00D21CDB" w:rsidRPr="00895898" w:rsidRDefault="00D21CDB" w:rsidP="006C5916">
            <w:pPr>
              <w:spacing w:after="0" w:line="240" w:lineRule="auto"/>
              <w:jc w:val="center"/>
              <w:rPr>
                <w:rFonts w:ascii="Times New Roman" w:hAnsi="Times New Roman"/>
                <w:bCs/>
                <w:color w:val="000000"/>
                <w:sz w:val="20"/>
                <w:szCs w:val="20"/>
                <w:lang w:eastAsia="sk-SK"/>
              </w:rPr>
            </w:pPr>
          </w:p>
        </w:tc>
        <w:tc>
          <w:tcPr>
            <w:tcW w:w="1396" w:type="dxa"/>
            <w:shd w:val="clear" w:color="auto" w:fill="BFBFBF"/>
            <w:vAlign w:val="center"/>
          </w:tcPr>
          <w:p w:rsidR="00D21CDB" w:rsidRPr="00895898" w:rsidRDefault="00D21CDB" w:rsidP="006C5916">
            <w:pPr>
              <w:spacing w:after="0" w:line="240" w:lineRule="auto"/>
              <w:jc w:val="center"/>
              <w:rPr>
                <w:rFonts w:ascii="Times New Roman" w:hAnsi="Times New Roman"/>
                <w:b/>
                <w:bCs/>
                <w:color w:val="000000"/>
                <w:sz w:val="20"/>
                <w:szCs w:val="20"/>
                <w:lang w:eastAsia="sk-SK"/>
              </w:rPr>
            </w:pPr>
            <w:r w:rsidRPr="00895898">
              <w:rPr>
                <w:rFonts w:ascii="Times New Roman" w:hAnsi="Times New Roman"/>
                <w:b/>
                <w:bCs/>
                <w:color w:val="000000"/>
                <w:sz w:val="20"/>
                <w:szCs w:val="20"/>
                <w:lang w:eastAsia="sk-SK"/>
              </w:rPr>
              <w:t>Kategória dotk. subjektov</w:t>
            </w:r>
          </w:p>
        </w:tc>
        <w:tc>
          <w:tcPr>
            <w:tcW w:w="974" w:type="dxa"/>
            <w:shd w:val="clear" w:color="auto" w:fill="BFBFBF"/>
            <w:vAlign w:val="center"/>
          </w:tcPr>
          <w:p w:rsidR="00D21CDB" w:rsidRPr="00895898" w:rsidRDefault="00D21CDB" w:rsidP="006C5916">
            <w:pPr>
              <w:spacing w:after="0" w:line="240" w:lineRule="auto"/>
              <w:jc w:val="center"/>
              <w:rPr>
                <w:rFonts w:ascii="Times New Roman" w:hAnsi="Times New Roman"/>
                <w:b/>
                <w:bCs/>
                <w:color w:val="000000"/>
                <w:sz w:val="20"/>
                <w:szCs w:val="20"/>
                <w:lang w:eastAsia="sk-SK"/>
              </w:rPr>
            </w:pPr>
            <w:r w:rsidRPr="00895898">
              <w:rPr>
                <w:rFonts w:ascii="Times New Roman" w:hAnsi="Times New Roman"/>
                <w:b/>
                <w:bCs/>
                <w:color w:val="000000"/>
                <w:sz w:val="20"/>
                <w:szCs w:val="20"/>
                <w:lang w:eastAsia="sk-SK"/>
              </w:rPr>
              <w:t xml:space="preserve">Počet  subjektov v dotk. kategórii </w:t>
            </w:r>
          </w:p>
        </w:tc>
        <w:tc>
          <w:tcPr>
            <w:tcW w:w="974" w:type="dxa"/>
            <w:shd w:val="clear" w:color="auto" w:fill="BFBFBF"/>
            <w:vAlign w:val="center"/>
            <w:hideMark/>
          </w:tcPr>
          <w:p w:rsidR="00D21CDB" w:rsidRPr="00895898" w:rsidRDefault="00D21CDB" w:rsidP="006C5916">
            <w:pPr>
              <w:spacing w:after="0" w:line="240" w:lineRule="auto"/>
              <w:jc w:val="center"/>
              <w:rPr>
                <w:rFonts w:ascii="Times New Roman" w:hAnsi="Times New Roman"/>
                <w:b/>
                <w:bCs/>
                <w:color w:val="000000"/>
                <w:sz w:val="20"/>
                <w:szCs w:val="20"/>
                <w:lang w:eastAsia="sk-SK"/>
              </w:rPr>
            </w:pPr>
            <w:r w:rsidRPr="00895898">
              <w:rPr>
                <w:rFonts w:ascii="Times New Roman" w:hAnsi="Times New Roman"/>
                <w:b/>
                <w:bCs/>
                <w:color w:val="000000"/>
                <w:sz w:val="20"/>
                <w:szCs w:val="20"/>
                <w:lang w:eastAsia="sk-SK"/>
              </w:rPr>
              <w:t xml:space="preserve">Počet subjektov MSP v dotk. kategórii </w:t>
            </w:r>
          </w:p>
        </w:tc>
        <w:tc>
          <w:tcPr>
            <w:tcW w:w="976" w:type="dxa"/>
            <w:shd w:val="clear" w:color="auto" w:fill="BFBFBF"/>
            <w:vAlign w:val="center"/>
            <w:hideMark/>
          </w:tcPr>
          <w:p w:rsidR="00D21CDB" w:rsidRPr="00895898" w:rsidRDefault="00D21CDB" w:rsidP="006C5916">
            <w:pPr>
              <w:spacing w:after="0" w:line="240" w:lineRule="auto"/>
              <w:jc w:val="center"/>
              <w:rPr>
                <w:rFonts w:ascii="Times New Roman" w:hAnsi="Times New Roman"/>
                <w:b/>
                <w:bCs/>
                <w:color w:val="000000"/>
                <w:sz w:val="20"/>
                <w:szCs w:val="20"/>
                <w:lang w:eastAsia="sk-SK"/>
              </w:rPr>
            </w:pPr>
            <w:r w:rsidRPr="00895898">
              <w:rPr>
                <w:rFonts w:ascii="Times New Roman" w:hAnsi="Times New Roman"/>
                <w:b/>
                <w:bCs/>
                <w:color w:val="000000"/>
                <w:sz w:val="20"/>
                <w:szCs w:val="20"/>
                <w:lang w:eastAsia="sk-SK"/>
              </w:rPr>
              <w:t>Vplyv na 1 podnik. v €</w:t>
            </w:r>
          </w:p>
        </w:tc>
        <w:tc>
          <w:tcPr>
            <w:tcW w:w="1134" w:type="dxa"/>
            <w:shd w:val="clear" w:color="auto" w:fill="BFBFBF"/>
            <w:vAlign w:val="center"/>
            <w:hideMark/>
          </w:tcPr>
          <w:p w:rsidR="00D21CDB" w:rsidRPr="00895898" w:rsidRDefault="00D21CDB" w:rsidP="006C5916">
            <w:pPr>
              <w:spacing w:after="0" w:line="240" w:lineRule="auto"/>
              <w:jc w:val="center"/>
              <w:rPr>
                <w:rFonts w:ascii="Times New Roman" w:hAnsi="Times New Roman"/>
                <w:b/>
                <w:bCs/>
                <w:color w:val="000000"/>
                <w:sz w:val="20"/>
                <w:szCs w:val="20"/>
                <w:lang w:eastAsia="sk-SK"/>
              </w:rPr>
            </w:pPr>
            <w:r w:rsidRPr="00895898">
              <w:rPr>
                <w:rFonts w:ascii="Times New Roman" w:hAnsi="Times New Roman"/>
                <w:b/>
                <w:bCs/>
                <w:color w:val="000000"/>
                <w:sz w:val="20"/>
                <w:szCs w:val="20"/>
                <w:lang w:eastAsia="sk-SK"/>
              </w:rPr>
              <w:t>Vplyv na kategóriu dotk. subjektov v €</w:t>
            </w:r>
          </w:p>
        </w:tc>
        <w:tc>
          <w:tcPr>
            <w:tcW w:w="992" w:type="dxa"/>
            <w:shd w:val="clear" w:color="auto" w:fill="BFBFBF"/>
            <w:vAlign w:val="center"/>
          </w:tcPr>
          <w:p w:rsidR="00D21CDB" w:rsidRPr="00895898" w:rsidRDefault="00D21CDB" w:rsidP="006C5916">
            <w:pPr>
              <w:spacing w:after="0" w:line="240" w:lineRule="auto"/>
              <w:jc w:val="center"/>
              <w:rPr>
                <w:rFonts w:ascii="Times New Roman" w:hAnsi="Times New Roman"/>
                <w:b/>
                <w:bCs/>
                <w:color w:val="000000"/>
                <w:sz w:val="20"/>
                <w:szCs w:val="20"/>
                <w:lang w:eastAsia="sk-SK"/>
              </w:rPr>
            </w:pPr>
            <w:r w:rsidRPr="00895898">
              <w:rPr>
                <w:rFonts w:ascii="Times New Roman" w:hAnsi="Times New Roman"/>
                <w:b/>
                <w:bCs/>
                <w:color w:val="000000"/>
                <w:sz w:val="20"/>
                <w:szCs w:val="20"/>
                <w:lang w:eastAsia="sk-SK"/>
              </w:rPr>
              <w:t>Druh vplyvu</w:t>
            </w:r>
          </w:p>
          <w:p w:rsidR="00D21CDB" w:rsidRPr="00895898" w:rsidRDefault="00D21CDB" w:rsidP="006C5916">
            <w:pPr>
              <w:spacing w:after="0" w:line="240" w:lineRule="auto"/>
              <w:jc w:val="center"/>
              <w:rPr>
                <w:rFonts w:ascii="Times New Roman" w:hAnsi="Times New Roman"/>
                <w:bCs/>
                <w:color w:val="000000"/>
                <w:sz w:val="20"/>
                <w:szCs w:val="20"/>
                <w:lang w:eastAsia="sk-SK"/>
              </w:rPr>
            </w:pPr>
            <w:r w:rsidRPr="00895898">
              <w:rPr>
                <w:rFonts w:ascii="Times New Roman" w:hAnsi="Times New Roman"/>
                <w:bCs/>
                <w:color w:val="000000"/>
                <w:sz w:val="20"/>
                <w:szCs w:val="20"/>
                <w:lang w:eastAsia="sk-SK"/>
              </w:rPr>
              <w:t xml:space="preserve">In (zvyšuje náklady) / </w:t>
            </w:r>
          </w:p>
          <w:p w:rsidR="00D21CDB" w:rsidRPr="00895898" w:rsidRDefault="00D21CDB" w:rsidP="006C5916">
            <w:pPr>
              <w:spacing w:after="0" w:line="240" w:lineRule="auto"/>
              <w:jc w:val="center"/>
              <w:rPr>
                <w:rFonts w:ascii="Times New Roman" w:hAnsi="Times New Roman"/>
                <w:b/>
                <w:bCs/>
                <w:color w:val="000000"/>
                <w:sz w:val="20"/>
                <w:szCs w:val="20"/>
                <w:lang w:eastAsia="sk-SK"/>
              </w:rPr>
            </w:pPr>
            <w:r w:rsidRPr="00895898">
              <w:rPr>
                <w:rFonts w:ascii="Times New Roman" w:hAnsi="Times New Roman"/>
                <w:bCs/>
                <w:color w:val="000000"/>
                <w:sz w:val="20"/>
                <w:szCs w:val="20"/>
                <w:lang w:eastAsia="sk-SK"/>
              </w:rPr>
              <w:t>Out (znižuje náklady</w:t>
            </w:r>
            <w:r w:rsidRPr="00895898">
              <w:rPr>
                <w:rFonts w:ascii="Times New Roman" w:hAnsi="Times New Roman"/>
                <w:b/>
                <w:bCs/>
                <w:color w:val="000000"/>
                <w:sz w:val="20"/>
                <w:szCs w:val="20"/>
                <w:lang w:eastAsia="sk-SK"/>
              </w:rPr>
              <w:t>)</w:t>
            </w:r>
          </w:p>
          <w:p w:rsidR="00D21CDB" w:rsidRPr="00895898" w:rsidRDefault="00D21CDB" w:rsidP="006C5916">
            <w:pPr>
              <w:spacing w:after="0" w:line="240" w:lineRule="auto"/>
              <w:jc w:val="center"/>
              <w:rPr>
                <w:rFonts w:ascii="Times New Roman" w:hAnsi="Times New Roman"/>
                <w:b/>
                <w:bCs/>
                <w:color w:val="000000"/>
                <w:sz w:val="20"/>
                <w:szCs w:val="20"/>
                <w:lang w:eastAsia="sk-SK"/>
              </w:rPr>
            </w:pPr>
          </w:p>
        </w:tc>
      </w:tr>
      <w:tr w:rsidR="00D21CDB" w:rsidRPr="00630C2E" w:rsidTr="006C5916">
        <w:trPr>
          <w:trHeight w:val="612"/>
        </w:trPr>
        <w:tc>
          <w:tcPr>
            <w:tcW w:w="500" w:type="dxa"/>
            <w:vAlign w:val="center"/>
          </w:tcPr>
          <w:p w:rsidR="00D21CDB" w:rsidRPr="00630C2E" w:rsidRDefault="00D21CDB" w:rsidP="006C5916">
            <w:pPr>
              <w:spacing w:after="0" w:line="240" w:lineRule="auto"/>
              <w:jc w:val="center"/>
              <w:rPr>
                <w:rFonts w:ascii="Times New Roman" w:hAnsi="Times New Roman"/>
                <w:lang w:eastAsia="sk-SK"/>
              </w:rPr>
            </w:pPr>
            <w:r w:rsidRPr="00630C2E">
              <w:rPr>
                <w:rFonts w:ascii="Times New Roman" w:hAnsi="Times New Roman"/>
                <w:color w:val="000000"/>
              </w:rPr>
              <w:t>1</w:t>
            </w:r>
          </w:p>
        </w:tc>
        <w:tc>
          <w:tcPr>
            <w:tcW w:w="3509" w:type="dxa"/>
            <w:vAlign w:val="center"/>
          </w:tcPr>
          <w:p w:rsidR="00D21CDB" w:rsidRPr="003547BB" w:rsidRDefault="00D21CDB" w:rsidP="006C5916">
            <w:pPr>
              <w:spacing w:after="0" w:line="240" w:lineRule="auto"/>
              <w:rPr>
                <w:rFonts w:ascii="Times New Roman" w:hAnsi="Times New Roman"/>
                <w:lang w:eastAsia="sk-SK"/>
              </w:rPr>
            </w:pPr>
            <w:r w:rsidRPr="003547BB">
              <w:rPr>
                <w:rFonts w:ascii="Times New Roman" w:hAnsi="Times New Roman"/>
                <w:color w:val="000000"/>
              </w:rPr>
              <w:t>Doplnenie pravidiel pre zisťovanie základu dane stálej prevádzkarne nerezidenta na území SR</w:t>
            </w:r>
          </w:p>
        </w:tc>
        <w:tc>
          <w:tcPr>
            <w:tcW w:w="1043" w:type="dxa"/>
            <w:vAlign w:val="center"/>
          </w:tcPr>
          <w:p w:rsidR="00D21CDB" w:rsidRPr="003547BB" w:rsidRDefault="00D21CDB" w:rsidP="006C5916">
            <w:pPr>
              <w:spacing w:after="0" w:line="240" w:lineRule="auto"/>
              <w:jc w:val="center"/>
              <w:rPr>
                <w:rFonts w:ascii="Times New Roman" w:hAnsi="Times New Roman"/>
                <w:lang w:eastAsia="sk-SK"/>
              </w:rPr>
            </w:pPr>
            <w:r w:rsidRPr="003547BB">
              <w:rPr>
                <w:rFonts w:ascii="Times New Roman" w:hAnsi="Times New Roman"/>
                <w:color w:val="000000"/>
              </w:rPr>
              <w:t>595/2003 Z. z.</w:t>
            </w:r>
          </w:p>
        </w:tc>
        <w:tc>
          <w:tcPr>
            <w:tcW w:w="1129" w:type="dxa"/>
            <w:vAlign w:val="center"/>
          </w:tcPr>
          <w:p w:rsidR="00D21CDB" w:rsidRPr="003547BB" w:rsidRDefault="00D21CDB" w:rsidP="006C5916">
            <w:pPr>
              <w:spacing w:after="0" w:line="240" w:lineRule="auto"/>
              <w:jc w:val="center"/>
              <w:rPr>
                <w:rFonts w:ascii="Times New Roman" w:hAnsi="Times New Roman"/>
                <w:lang w:eastAsia="sk-SK"/>
              </w:rPr>
            </w:pPr>
            <w:r w:rsidRPr="003547BB">
              <w:rPr>
                <w:rFonts w:ascii="Times New Roman" w:hAnsi="Times New Roman"/>
                <w:color w:val="000000"/>
              </w:rPr>
              <w:t>§ 17 ods. 1 písm. d) a e)</w:t>
            </w:r>
          </w:p>
        </w:tc>
        <w:tc>
          <w:tcPr>
            <w:tcW w:w="1300" w:type="dxa"/>
            <w:vAlign w:val="center"/>
          </w:tcPr>
          <w:p w:rsidR="00D21CDB" w:rsidRPr="003547BB" w:rsidRDefault="00D21CDB" w:rsidP="006C5916">
            <w:pPr>
              <w:spacing w:after="0" w:line="240" w:lineRule="auto"/>
              <w:jc w:val="center"/>
              <w:rPr>
                <w:rFonts w:ascii="Times New Roman" w:hAnsi="Times New Roman"/>
                <w:color w:val="000000"/>
                <w:lang w:eastAsia="sk-SK"/>
              </w:rPr>
            </w:pPr>
            <w:r w:rsidRPr="003547BB">
              <w:rPr>
                <w:rFonts w:ascii="Times New Roman" w:hAnsi="Times New Roman"/>
                <w:color w:val="000000"/>
              </w:rPr>
              <w:t>SK</w:t>
            </w:r>
          </w:p>
        </w:tc>
        <w:tc>
          <w:tcPr>
            <w:tcW w:w="934" w:type="dxa"/>
            <w:noWrap/>
            <w:vAlign w:val="center"/>
          </w:tcPr>
          <w:p w:rsidR="00D21CDB" w:rsidRPr="003547BB" w:rsidRDefault="00D21CDB" w:rsidP="006C5916">
            <w:pPr>
              <w:spacing w:after="0" w:line="240" w:lineRule="auto"/>
              <w:rPr>
                <w:rFonts w:ascii="Times New Roman" w:hAnsi="Times New Roman"/>
                <w:color w:val="000000"/>
                <w:lang w:eastAsia="sk-SK"/>
              </w:rPr>
            </w:pPr>
            <w:r w:rsidRPr="003547BB">
              <w:rPr>
                <w:rFonts w:ascii="Times New Roman" w:hAnsi="Times New Roman"/>
                <w:color w:val="000000"/>
              </w:rPr>
              <w:t>01.01.23</w:t>
            </w:r>
          </w:p>
        </w:tc>
        <w:tc>
          <w:tcPr>
            <w:tcW w:w="1396" w:type="dxa"/>
            <w:vAlign w:val="center"/>
          </w:tcPr>
          <w:p w:rsidR="00D21CDB" w:rsidRPr="003547BB" w:rsidRDefault="00D21CDB" w:rsidP="006C5916">
            <w:pPr>
              <w:spacing w:after="0" w:line="240" w:lineRule="auto"/>
              <w:rPr>
                <w:rFonts w:ascii="Times New Roman" w:hAnsi="Times New Roman"/>
                <w:lang w:eastAsia="sk-SK"/>
              </w:rPr>
            </w:pPr>
            <w:r w:rsidRPr="003547BB">
              <w:rPr>
                <w:rFonts w:ascii="Times New Roman" w:hAnsi="Times New Roman"/>
                <w:color w:val="000000"/>
              </w:rPr>
              <w:t>stále prevádzkarne nerezidentov na území SR</w:t>
            </w:r>
          </w:p>
        </w:tc>
        <w:tc>
          <w:tcPr>
            <w:tcW w:w="974" w:type="dxa"/>
            <w:noWrap/>
            <w:vAlign w:val="center"/>
          </w:tcPr>
          <w:p w:rsidR="00D21CDB" w:rsidRPr="003547BB" w:rsidRDefault="00D21CDB" w:rsidP="006C5916">
            <w:pPr>
              <w:spacing w:after="0" w:line="240" w:lineRule="auto"/>
              <w:jc w:val="center"/>
              <w:rPr>
                <w:rFonts w:ascii="Times New Roman" w:hAnsi="Times New Roman"/>
                <w:lang w:eastAsia="sk-SK"/>
              </w:rPr>
            </w:pPr>
            <w:r w:rsidRPr="003547BB">
              <w:rPr>
                <w:rFonts w:ascii="Times New Roman" w:hAnsi="Times New Roman"/>
                <w:color w:val="000000"/>
              </w:rPr>
              <w:t>80</w:t>
            </w:r>
          </w:p>
        </w:tc>
        <w:tc>
          <w:tcPr>
            <w:tcW w:w="974" w:type="dxa"/>
            <w:noWrap/>
            <w:vAlign w:val="center"/>
          </w:tcPr>
          <w:p w:rsidR="00D21CDB" w:rsidRPr="003547BB" w:rsidRDefault="00D21CDB" w:rsidP="006C5916">
            <w:pPr>
              <w:spacing w:after="0" w:line="240" w:lineRule="auto"/>
              <w:jc w:val="center"/>
              <w:rPr>
                <w:rFonts w:ascii="Times New Roman" w:hAnsi="Times New Roman"/>
                <w:color w:val="000000"/>
                <w:lang w:eastAsia="sk-SK"/>
              </w:rPr>
            </w:pPr>
            <w:r w:rsidRPr="003547BB">
              <w:rPr>
                <w:rFonts w:ascii="Times New Roman" w:hAnsi="Times New Roman"/>
                <w:color w:val="000000"/>
              </w:rPr>
              <w:t xml:space="preserve"> N </w:t>
            </w:r>
          </w:p>
        </w:tc>
        <w:tc>
          <w:tcPr>
            <w:tcW w:w="976" w:type="dxa"/>
            <w:noWrap/>
            <w:vAlign w:val="center"/>
          </w:tcPr>
          <w:p w:rsidR="00D21CDB" w:rsidRPr="003547BB" w:rsidRDefault="00D21CDB" w:rsidP="006C5916">
            <w:pPr>
              <w:spacing w:after="0" w:line="240" w:lineRule="auto"/>
              <w:jc w:val="center"/>
              <w:rPr>
                <w:rFonts w:ascii="Times New Roman" w:hAnsi="Times New Roman"/>
                <w:lang w:eastAsia="sk-SK"/>
              </w:rPr>
            </w:pPr>
            <w:r w:rsidRPr="003547BB">
              <w:rPr>
                <w:rFonts w:ascii="Times New Roman" w:hAnsi="Times New Roman"/>
                <w:color w:val="000000"/>
              </w:rPr>
              <w:t>246</w:t>
            </w:r>
          </w:p>
        </w:tc>
        <w:tc>
          <w:tcPr>
            <w:tcW w:w="1134" w:type="dxa"/>
            <w:noWrap/>
            <w:vAlign w:val="center"/>
          </w:tcPr>
          <w:p w:rsidR="00D21CDB" w:rsidRPr="003547BB" w:rsidRDefault="00D21CDB" w:rsidP="006C5916">
            <w:pPr>
              <w:spacing w:after="0" w:line="240" w:lineRule="auto"/>
              <w:jc w:val="center"/>
              <w:rPr>
                <w:rFonts w:ascii="Times New Roman" w:hAnsi="Times New Roman"/>
                <w:color w:val="000000"/>
                <w:lang w:eastAsia="sk-SK"/>
              </w:rPr>
            </w:pPr>
            <w:r w:rsidRPr="003547BB">
              <w:rPr>
                <w:rFonts w:ascii="Times New Roman" w:hAnsi="Times New Roman"/>
                <w:color w:val="000000"/>
              </w:rPr>
              <w:t>19 647</w:t>
            </w:r>
          </w:p>
        </w:tc>
        <w:tc>
          <w:tcPr>
            <w:tcW w:w="992" w:type="dxa"/>
            <w:vAlign w:val="center"/>
          </w:tcPr>
          <w:p w:rsidR="00D21CDB" w:rsidRPr="00630C2E" w:rsidRDefault="00D21CDB" w:rsidP="006C5916">
            <w:pPr>
              <w:spacing w:after="0" w:line="240" w:lineRule="auto"/>
              <w:jc w:val="center"/>
              <w:rPr>
                <w:rFonts w:ascii="Times New Roman" w:hAnsi="Times New Roman"/>
                <w:lang w:eastAsia="sk-SK"/>
              </w:rPr>
            </w:pPr>
            <w:r w:rsidRPr="00630C2E">
              <w:rPr>
                <w:rFonts w:ascii="Times New Roman" w:hAnsi="Times New Roman"/>
                <w:color w:val="000000"/>
              </w:rPr>
              <w:t>Out (znižuje náklady)</w:t>
            </w:r>
          </w:p>
        </w:tc>
      </w:tr>
      <w:tr w:rsidR="00D21CDB" w:rsidRPr="00630C2E" w:rsidTr="006C5916">
        <w:trPr>
          <w:trHeight w:val="600"/>
        </w:trPr>
        <w:tc>
          <w:tcPr>
            <w:tcW w:w="500" w:type="dxa"/>
            <w:vAlign w:val="center"/>
          </w:tcPr>
          <w:p w:rsidR="00D21CDB" w:rsidRPr="00630C2E" w:rsidRDefault="00D21CDB" w:rsidP="006C5916">
            <w:pPr>
              <w:spacing w:after="0" w:line="240" w:lineRule="auto"/>
              <w:jc w:val="center"/>
              <w:rPr>
                <w:rFonts w:ascii="Times New Roman" w:hAnsi="Times New Roman"/>
                <w:lang w:eastAsia="sk-SK"/>
              </w:rPr>
            </w:pPr>
            <w:r w:rsidRPr="00630C2E">
              <w:rPr>
                <w:rFonts w:ascii="Times New Roman" w:hAnsi="Times New Roman"/>
                <w:color w:val="000000"/>
              </w:rPr>
              <w:t>2</w:t>
            </w:r>
          </w:p>
        </w:tc>
        <w:tc>
          <w:tcPr>
            <w:tcW w:w="3509" w:type="dxa"/>
            <w:vAlign w:val="center"/>
          </w:tcPr>
          <w:p w:rsidR="00D21CDB" w:rsidRPr="003547BB" w:rsidRDefault="00D21CDB" w:rsidP="006C5916">
            <w:pPr>
              <w:spacing w:after="0" w:line="240" w:lineRule="auto"/>
              <w:rPr>
                <w:rFonts w:ascii="Times New Roman" w:hAnsi="Times New Roman"/>
                <w:lang w:eastAsia="sk-SK"/>
              </w:rPr>
            </w:pPr>
            <w:r w:rsidRPr="003547BB">
              <w:rPr>
                <w:rFonts w:ascii="Times New Roman" w:hAnsi="Times New Roman"/>
                <w:color w:val="000000"/>
              </w:rPr>
              <w:t>Doplnenie pravidiel transferového oceňovania (bezpečný prístav)</w:t>
            </w:r>
          </w:p>
        </w:tc>
        <w:tc>
          <w:tcPr>
            <w:tcW w:w="1043" w:type="dxa"/>
            <w:vAlign w:val="center"/>
          </w:tcPr>
          <w:p w:rsidR="00D21CDB" w:rsidRPr="003547BB" w:rsidRDefault="00D21CDB" w:rsidP="006C5916">
            <w:pPr>
              <w:spacing w:after="0" w:line="240" w:lineRule="auto"/>
              <w:jc w:val="center"/>
              <w:rPr>
                <w:rFonts w:ascii="Times New Roman" w:hAnsi="Times New Roman"/>
                <w:lang w:eastAsia="sk-SK"/>
              </w:rPr>
            </w:pPr>
            <w:r w:rsidRPr="003547BB">
              <w:rPr>
                <w:rFonts w:ascii="Times New Roman" w:hAnsi="Times New Roman"/>
                <w:color w:val="000000"/>
              </w:rPr>
              <w:t>595/2003 Z. z.</w:t>
            </w:r>
          </w:p>
        </w:tc>
        <w:tc>
          <w:tcPr>
            <w:tcW w:w="1129" w:type="dxa"/>
            <w:vAlign w:val="center"/>
          </w:tcPr>
          <w:p w:rsidR="00D21CDB" w:rsidRPr="003547BB" w:rsidRDefault="00D21CDB" w:rsidP="006C5916">
            <w:pPr>
              <w:spacing w:after="0" w:line="240" w:lineRule="auto"/>
              <w:jc w:val="center"/>
              <w:rPr>
                <w:rFonts w:ascii="Times New Roman" w:hAnsi="Times New Roman"/>
                <w:lang w:eastAsia="sk-SK"/>
              </w:rPr>
            </w:pPr>
            <w:r w:rsidRPr="003547BB">
              <w:rPr>
                <w:rFonts w:ascii="Times New Roman" w:hAnsi="Times New Roman"/>
                <w:color w:val="000000"/>
              </w:rPr>
              <w:t>§ 17 ods. 5 písm. a)</w:t>
            </w:r>
          </w:p>
        </w:tc>
        <w:tc>
          <w:tcPr>
            <w:tcW w:w="1300" w:type="dxa"/>
            <w:vAlign w:val="center"/>
          </w:tcPr>
          <w:p w:rsidR="00D21CDB" w:rsidRPr="003547BB" w:rsidRDefault="00D21CDB" w:rsidP="006C5916">
            <w:pPr>
              <w:spacing w:after="0" w:line="240" w:lineRule="auto"/>
              <w:jc w:val="center"/>
              <w:rPr>
                <w:rFonts w:ascii="Times New Roman" w:hAnsi="Times New Roman"/>
                <w:color w:val="000000"/>
                <w:lang w:eastAsia="sk-SK"/>
              </w:rPr>
            </w:pPr>
            <w:r w:rsidRPr="003547BB">
              <w:rPr>
                <w:rFonts w:ascii="Times New Roman" w:hAnsi="Times New Roman"/>
                <w:color w:val="000000"/>
              </w:rPr>
              <w:t>SK</w:t>
            </w:r>
          </w:p>
        </w:tc>
        <w:tc>
          <w:tcPr>
            <w:tcW w:w="934" w:type="dxa"/>
            <w:noWrap/>
            <w:vAlign w:val="center"/>
          </w:tcPr>
          <w:p w:rsidR="00D21CDB" w:rsidRPr="003547BB" w:rsidRDefault="00D21CDB" w:rsidP="006C5916">
            <w:pPr>
              <w:spacing w:after="0" w:line="240" w:lineRule="auto"/>
              <w:rPr>
                <w:rFonts w:ascii="Times New Roman" w:hAnsi="Times New Roman"/>
                <w:color w:val="000000"/>
                <w:lang w:eastAsia="sk-SK"/>
              </w:rPr>
            </w:pPr>
            <w:r w:rsidRPr="003547BB">
              <w:rPr>
                <w:rFonts w:ascii="Times New Roman" w:hAnsi="Times New Roman"/>
                <w:color w:val="000000"/>
              </w:rPr>
              <w:t>01.01.23</w:t>
            </w:r>
          </w:p>
        </w:tc>
        <w:tc>
          <w:tcPr>
            <w:tcW w:w="1396" w:type="dxa"/>
            <w:vAlign w:val="center"/>
          </w:tcPr>
          <w:p w:rsidR="00D21CDB" w:rsidRPr="003547BB" w:rsidRDefault="00D21CDB" w:rsidP="006C5916">
            <w:pPr>
              <w:spacing w:after="0" w:line="240" w:lineRule="auto"/>
              <w:rPr>
                <w:rFonts w:ascii="Times New Roman" w:hAnsi="Times New Roman"/>
                <w:lang w:eastAsia="sk-SK"/>
              </w:rPr>
            </w:pPr>
            <w:r w:rsidRPr="003547BB">
              <w:rPr>
                <w:rFonts w:ascii="Times New Roman" w:hAnsi="Times New Roman"/>
                <w:color w:val="000000"/>
              </w:rPr>
              <w:t>podnikateľské subjekty</w:t>
            </w:r>
          </w:p>
        </w:tc>
        <w:tc>
          <w:tcPr>
            <w:tcW w:w="974" w:type="dxa"/>
            <w:noWrap/>
            <w:vAlign w:val="center"/>
          </w:tcPr>
          <w:p w:rsidR="00D21CDB" w:rsidRPr="003547BB" w:rsidRDefault="00D21CDB" w:rsidP="006C5916">
            <w:pPr>
              <w:spacing w:after="0" w:line="240" w:lineRule="auto"/>
              <w:jc w:val="center"/>
              <w:rPr>
                <w:rFonts w:ascii="Times New Roman" w:hAnsi="Times New Roman"/>
                <w:lang w:eastAsia="sk-SK"/>
              </w:rPr>
            </w:pPr>
            <w:r w:rsidRPr="003547BB">
              <w:rPr>
                <w:rFonts w:ascii="Times New Roman" w:hAnsi="Times New Roman"/>
                <w:color w:val="000000"/>
              </w:rPr>
              <w:t>120 000</w:t>
            </w:r>
          </w:p>
        </w:tc>
        <w:tc>
          <w:tcPr>
            <w:tcW w:w="974" w:type="dxa"/>
            <w:noWrap/>
            <w:vAlign w:val="center"/>
          </w:tcPr>
          <w:p w:rsidR="00D21CDB" w:rsidRPr="003547BB" w:rsidRDefault="00D21CDB" w:rsidP="006C5916">
            <w:pPr>
              <w:spacing w:after="0" w:line="240" w:lineRule="auto"/>
              <w:jc w:val="center"/>
              <w:rPr>
                <w:rFonts w:ascii="Times New Roman" w:hAnsi="Times New Roman"/>
                <w:color w:val="000000"/>
                <w:lang w:eastAsia="sk-SK"/>
              </w:rPr>
            </w:pPr>
            <w:r w:rsidRPr="003547BB">
              <w:rPr>
                <w:rFonts w:ascii="Times New Roman" w:hAnsi="Times New Roman"/>
                <w:color w:val="000000"/>
              </w:rPr>
              <w:t xml:space="preserve"> N </w:t>
            </w:r>
          </w:p>
        </w:tc>
        <w:tc>
          <w:tcPr>
            <w:tcW w:w="976" w:type="dxa"/>
            <w:noWrap/>
            <w:vAlign w:val="center"/>
          </w:tcPr>
          <w:p w:rsidR="00D21CDB" w:rsidRPr="003547BB" w:rsidRDefault="00D21CDB" w:rsidP="006C5916">
            <w:pPr>
              <w:spacing w:after="0" w:line="240" w:lineRule="auto"/>
              <w:jc w:val="center"/>
              <w:rPr>
                <w:rFonts w:ascii="Times New Roman" w:hAnsi="Times New Roman"/>
                <w:color w:val="000000"/>
                <w:lang w:eastAsia="sk-SK"/>
              </w:rPr>
            </w:pPr>
            <w:r w:rsidRPr="003547BB">
              <w:rPr>
                <w:rFonts w:ascii="Times New Roman" w:hAnsi="Times New Roman"/>
                <w:color w:val="000000"/>
              </w:rPr>
              <w:t>31</w:t>
            </w:r>
          </w:p>
        </w:tc>
        <w:tc>
          <w:tcPr>
            <w:tcW w:w="1134" w:type="dxa"/>
            <w:noWrap/>
            <w:vAlign w:val="center"/>
          </w:tcPr>
          <w:p w:rsidR="00D21CDB" w:rsidRPr="003547BB" w:rsidRDefault="00D21CDB" w:rsidP="006C5916">
            <w:pPr>
              <w:spacing w:after="0" w:line="240" w:lineRule="auto"/>
              <w:jc w:val="center"/>
              <w:rPr>
                <w:rFonts w:ascii="Times New Roman" w:hAnsi="Times New Roman"/>
                <w:color w:val="000000"/>
                <w:lang w:eastAsia="sk-SK"/>
              </w:rPr>
            </w:pPr>
            <w:r w:rsidRPr="003547BB">
              <w:rPr>
                <w:rFonts w:ascii="Times New Roman" w:hAnsi="Times New Roman"/>
                <w:color w:val="000000"/>
              </w:rPr>
              <w:t>3 683 813</w:t>
            </w:r>
          </w:p>
        </w:tc>
        <w:tc>
          <w:tcPr>
            <w:tcW w:w="992" w:type="dxa"/>
            <w:vAlign w:val="center"/>
          </w:tcPr>
          <w:p w:rsidR="00D21CDB" w:rsidRPr="00630C2E" w:rsidRDefault="00D21CDB" w:rsidP="006C5916">
            <w:pPr>
              <w:spacing w:after="0" w:line="240" w:lineRule="auto"/>
              <w:jc w:val="center"/>
              <w:rPr>
                <w:rFonts w:ascii="Times New Roman" w:hAnsi="Times New Roman"/>
                <w:lang w:eastAsia="sk-SK"/>
              </w:rPr>
            </w:pPr>
            <w:r w:rsidRPr="00630C2E">
              <w:rPr>
                <w:rFonts w:ascii="Times New Roman" w:hAnsi="Times New Roman"/>
                <w:color w:val="000000"/>
              </w:rPr>
              <w:t>Out (znižuje náklady)</w:t>
            </w:r>
          </w:p>
        </w:tc>
      </w:tr>
      <w:tr w:rsidR="00D21CDB" w:rsidRPr="00630C2E" w:rsidTr="006C5916">
        <w:trPr>
          <w:trHeight w:val="600"/>
        </w:trPr>
        <w:tc>
          <w:tcPr>
            <w:tcW w:w="500" w:type="dxa"/>
            <w:vAlign w:val="center"/>
          </w:tcPr>
          <w:p w:rsidR="00D21CDB" w:rsidRPr="00630C2E" w:rsidRDefault="00D21CDB" w:rsidP="006C5916">
            <w:pPr>
              <w:spacing w:after="0" w:line="240" w:lineRule="auto"/>
              <w:jc w:val="center"/>
              <w:rPr>
                <w:rFonts w:ascii="Times New Roman" w:hAnsi="Times New Roman"/>
                <w:lang w:eastAsia="sk-SK"/>
              </w:rPr>
            </w:pPr>
            <w:r w:rsidRPr="00630C2E">
              <w:rPr>
                <w:rFonts w:ascii="Times New Roman" w:hAnsi="Times New Roman"/>
                <w:color w:val="000000"/>
              </w:rPr>
              <w:t>3</w:t>
            </w:r>
          </w:p>
        </w:tc>
        <w:tc>
          <w:tcPr>
            <w:tcW w:w="3509" w:type="dxa"/>
            <w:vAlign w:val="center"/>
          </w:tcPr>
          <w:p w:rsidR="00D21CDB" w:rsidRPr="003547BB" w:rsidRDefault="00D21CDB" w:rsidP="006C5916">
            <w:pPr>
              <w:spacing w:after="0" w:line="240" w:lineRule="auto"/>
              <w:rPr>
                <w:rFonts w:ascii="Times New Roman" w:hAnsi="Times New Roman"/>
                <w:lang w:eastAsia="sk-SK"/>
              </w:rPr>
            </w:pPr>
            <w:r w:rsidRPr="003547BB">
              <w:rPr>
                <w:rFonts w:ascii="Times New Roman" w:hAnsi="Times New Roman"/>
                <w:color w:val="000000"/>
              </w:rPr>
              <w:t>Vykazovanie technických rezerv       v poisťovníctve</w:t>
            </w:r>
          </w:p>
        </w:tc>
        <w:tc>
          <w:tcPr>
            <w:tcW w:w="1043" w:type="dxa"/>
            <w:vAlign w:val="center"/>
          </w:tcPr>
          <w:p w:rsidR="00D21CDB" w:rsidRPr="003547BB" w:rsidRDefault="00D21CDB" w:rsidP="006C5916">
            <w:pPr>
              <w:spacing w:after="0" w:line="240" w:lineRule="auto"/>
              <w:jc w:val="center"/>
              <w:rPr>
                <w:rFonts w:ascii="Times New Roman" w:hAnsi="Times New Roman"/>
                <w:lang w:eastAsia="sk-SK"/>
              </w:rPr>
            </w:pPr>
            <w:r w:rsidRPr="003547BB">
              <w:rPr>
                <w:rFonts w:ascii="Times New Roman" w:hAnsi="Times New Roman"/>
                <w:color w:val="000000"/>
              </w:rPr>
              <w:t>595/2003 Z. z.</w:t>
            </w:r>
          </w:p>
        </w:tc>
        <w:tc>
          <w:tcPr>
            <w:tcW w:w="1129" w:type="dxa"/>
            <w:vAlign w:val="center"/>
          </w:tcPr>
          <w:p w:rsidR="00D21CDB" w:rsidRPr="003547BB" w:rsidRDefault="00D21CDB" w:rsidP="006C5916">
            <w:pPr>
              <w:spacing w:after="0" w:line="240" w:lineRule="auto"/>
              <w:jc w:val="center"/>
              <w:rPr>
                <w:rFonts w:ascii="Times New Roman" w:hAnsi="Times New Roman"/>
                <w:lang w:eastAsia="sk-SK"/>
              </w:rPr>
            </w:pPr>
            <w:r w:rsidRPr="003547BB">
              <w:rPr>
                <w:rFonts w:ascii="Times New Roman" w:hAnsi="Times New Roman"/>
                <w:color w:val="000000"/>
              </w:rPr>
              <w:t>§ 20 ods. 8</w:t>
            </w:r>
          </w:p>
        </w:tc>
        <w:tc>
          <w:tcPr>
            <w:tcW w:w="1300" w:type="dxa"/>
            <w:vAlign w:val="center"/>
          </w:tcPr>
          <w:p w:rsidR="00D21CDB" w:rsidRPr="003547BB" w:rsidRDefault="00D21CDB" w:rsidP="006C5916">
            <w:pPr>
              <w:spacing w:after="0" w:line="240" w:lineRule="auto"/>
              <w:jc w:val="center"/>
              <w:rPr>
                <w:rFonts w:ascii="Times New Roman" w:hAnsi="Times New Roman"/>
                <w:color w:val="000000"/>
                <w:lang w:eastAsia="sk-SK"/>
              </w:rPr>
            </w:pPr>
            <w:r w:rsidRPr="003547BB">
              <w:rPr>
                <w:rFonts w:ascii="Times New Roman" w:hAnsi="Times New Roman"/>
                <w:color w:val="000000"/>
              </w:rPr>
              <w:t>SK</w:t>
            </w:r>
          </w:p>
        </w:tc>
        <w:tc>
          <w:tcPr>
            <w:tcW w:w="934" w:type="dxa"/>
            <w:noWrap/>
            <w:vAlign w:val="center"/>
          </w:tcPr>
          <w:p w:rsidR="00D21CDB" w:rsidRPr="003547BB" w:rsidRDefault="00D21CDB" w:rsidP="006C5916">
            <w:pPr>
              <w:spacing w:after="0" w:line="240" w:lineRule="auto"/>
              <w:rPr>
                <w:rFonts w:ascii="Times New Roman" w:hAnsi="Times New Roman"/>
                <w:color w:val="000000"/>
                <w:lang w:eastAsia="sk-SK"/>
              </w:rPr>
            </w:pPr>
            <w:r w:rsidRPr="003547BB">
              <w:rPr>
                <w:rFonts w:ascii="Times New Roman" w:hAnsi="Times New Roman"/>
                <w:color w:val="000000"/>
              </w:rPr>
              <w:t>01.01.23</w:t>
            </w:r>
          </w:p>
        </w:tc>
        <w:tc>
          <w:tcPr>
            <w:tcW w:w="1396" w:type="dxa"/>
            <w:vAlign w:val="center"/>
          </w:tcPr>
          <w:p w:rsidR="00D21CDB" w:rsidRPr="003547BB" w:rsidRDefault="00D21CDB" w:rsidP="006C5916">
            <w:pPr>
              <w:spacing w:after="0" w:line="240" w:lineRule="auto"/>
              <w:rPr>
                <w:rFonts w:ascii="Times New Roman" w:hAnsi="Times New Roman"/>
                <w:lang w:eastAsia="sk-SK"/>
              </w:rPr>
            </w:pPr>
            <w:r w:rsidRPr="003547BB">
              <w:rPr>
                <w:rFonts w:ascii="Times New Roman" w:hAnsi="Times New Roman"/>
                <w:color w:val="000000"/>
              </w:rPr>
              <w:t>poisťovne</w:t>
            </w:r>
          </w:p>
        </w:tc>
        <w:tc>
          <w:tcPr>
            <w:tcW w:w="974" w:type="dxa"/>
            <w:noWrap/>
            <w:vAlign w:val="center"/>
          </w:tcPr>
          <w:p w:rsidR="00D21CDB" w:rsidRPr="003547BB" w:rsidRDefault="00D21CDB" w:rsidP="006C5916">
            <w:pPr>
              <w:spacing w:after="0" w:line="240" w:lineRule="auto"/>
              <w:jc w:val="center"/>
              <w:rPr>
                <w:rFonts w:ascii="Times New Roman" w:hAnsi="Times New Roman"/>
                <w:lang w:eastAsia="sk-SK"/>
              </w:rPr>
            </w:pPr>
            <w:r w:rsidRPr="003547BB">
              <w:rPr>
                <w:rFonts w:ascii="Times New Roman" w:hAnsi="Times New Roman"/>
                <w:color w:val="000000"/>
              </w:rPr>
              <w:t>28</w:t>
            </w:r>
          </w:p>
        </w:tc>
        <w:tc>
          <w:tcPr>
            <w:tcW w:w="974" w:type="dxa"/>
            <w:noWrap/>
            <w:vAlign w:val="center"/>
          </w:tcPr>
          <w:p w:rsidR="00D21CDB" w:rsidRPr="003547BB" w:rsidRDefault="00D21CDB" w:rsidP="006C5916">
            <w:pPr>
              <w:spacing w:after="0" w:line="240" w:lineRule="auto"/>
              <w:jc w:val="center"/>
              <w:rPr>
                <w:rFonts w:ascii="Times New Roman" w:hAnsi="Times New Roman"/>
                <w:color w:val="000000"/>
                <w:lang w:eastAsia="sk-SK"/>
              </w:rPr>
            </w:pPr>
            <w:r w:rsidRPr="003547BB">
              <w:rPr>
                <w:rFonts w:ascii="Times New Roman" w:hAnsi="Times New Roman"/>
                <w:color w:val="000000"/>
              </w:rPr>
              <w:t xml:space="preserve">                        -   </w:t>
            </w:r>
          </w:p>
        </w:tc>
        <w:tc>
          <w:tcPr>
            <w:tcW w:w="976" w:type="dxa"/>
            <w:noWrap/>
            <w:vAlign w:val="center"/>
          </w:tcPr>
          <w:p w:rsidR="00D21CDB" w:rsidRPr="003547BB" w:rsidRDefault="00D21CDB" w:rsidP="006C5916">
            <w:pPr>
              <w:spacing w:after="0" w:line="240" w:lineRule="auto"/>
              <w:jc w:val="center"/>
              <w:rPr>
                <w:rFonts w:ascii="Times New Roman" w:hAnsi="Times New Roman"/>
                <w:color w:val="000000"/>
                <w:lang w:eastAsia="sk-SK"/>
              </w:rPr>
            </w:pPr>
            <w:r w:rsidRPr="003547BB">
              <w:rPr>
                <w:rFonts w:ascii="Times New Roman" w:hAnsi="Times New Roman"/>
                <w:color w:val="000000"/>
              </w:rPr>
              <w:t>491</w:t>
            </w:r>
          </w:p>
        </w:tc>
        <w:tc>
          <w:tcPr>
            <w:tcW w:w="1134" w:type="dxa"/>
            <w:noWrap/>
            <w:vAlign w:val="center"/>
          </w:tcPr>
          <w:p w:rsidR="00D21CDB" w:rsidRPr="003547BB" w:rsidRDefault="00D21CDB" w:rsidP="006C5916">
            <w:pPr>
              <w:spacing w:after="0" w:line="240" w:lineRule="auto"/>
              <w:jc w:val="center"/>
              <w:rPr>
                <w:rFonts w:ascii="Times New Roman" w:hAnsi="Times New Roman"/>
                <w:color w:val="000000"/>
                <w:lang w:eastAsia="sk-SK"/>
              </w:rPr>
            </w:pPr>
            <w:r w:rsidRPr="003547BB">
              <w:rPr>
                <w:rFonts w:ascii="Times New Roman" w:hAnsi="Times New Roman"/>
                <w:color w:val="000000"/>
              </w:rPr>
              <w:t>13 753</w:t>
            </w:r>
          </w:p>
        </w:tc>
        <w:tc>
          <w:tcPr>
            <w:tcW w:w="992" w:type="dxa"/>
            <w:vAlign w:val="center"/>
          </w:tcPr>
          <w:p w:rsidR="00D21CDB" w:rsidRPr="00630C2E" w:rsidRDefault="00D21CDB" w:rsidP="006C5916">
            <w:pPr>
              <w:spacing w:after="0" w:line="240" w:lineRule="auto"/>
              <w:jc w:val="center"/>
              <w:rPr>
                <w:rFonts w:ascii="Times New Roman" w:hAnsi="Times New Roman"/>
                <w:lang w:eastAsia="sk-SK"/>
              </w:rPr>
            </w:pPr>
            <w:r w:rsidRPr="00630C2E">
              <w:rPr>
                <w:rFonts w:ascii="Times New Roman" w:hAnsi="Times New Roman"/>
                <w:color w:val="000000"/>
              </w:rPr>
              <w:t>Out (znižuje náklady)</w:t>
            </w:r>
          </w:p>
        </w:tc>
      </w:tr>
      <w:tr w:rsidR="00D21CDB" w:rsidRPr="00AE5148" w:rsidTr="006C5916">
        <w:trPr>
          <w:trHeight w:val="600"/>
        </w:trPr>
        <w:tc>
          <w:tcPr>
            <w:tcW w:w="500" w:type="dxa"/>
            <w:vAlign w:val="center"/>
          </w:tcPr>
          <w:p w:rsidR="00D21CDB" w:rsidRPr="00AE5148" w:rsidRDefault="00D21CDB" w:rsidP="006C5916">
            <w:pPr>
              <w:spacing w:after="0" w:line="240" w:lineRule="auto"/>
              <w:jc w:val="center"/>
              <w:rPr>
                <w:rFonts w:ascii="Times New Roman" w:hAnsi="Times New Roman"/>
                <w:color w:val="000000"/>
              </w:rPr>
            </w:pPr>
            <w:r w:rsidRPr="00AE5148">
              <w:rPr>
                <w:rFonts w:ascii="Times New Roman" w:hAnsi="Times New Roman"/>
                <w:color w:val="000000"/>
              </w:rPr>
              <w:t>4</w:t>
            </w:r>
          </w:p>
        </w:tc>
        <w:tc>
          <w:tcPr>
            <w:tcW w:w="3509" w:type="dxa"/>
            <w:vAlign w:val="center"/>
          </w:tcPr>
          <w:p w:rsidR="00D21CDB" w:rsidRPr="003547BB" w:rsidRDefault="00D21CDB" w:rsidP="006C5916">
            <w:pPr>
              <w:spacing w:after="0" w:line="240" w:lineRule="auto"/>
              <w:rPr>
                <w:rFonts w:ascii="Times New Roman" w:hAnsi="Times New Roman"/>
                <w:color w:val="000000"/>
              </w:rPr>
            </w:pPr>
            <w:r w:rsidRPr="003547BB">
              <w:rPr>
                <w:rFonts w:ascii="Times New Roman" w:hAnsi="Times New Roman"/>
                <w:color w:val="000000"/>
              </w:rPr>
              <w:t>Automatická registrácia na daň z príjmov</w:t>
            </w:r>
          </w:p>
        </w:tc>
        <w:tc>
          <w:tcPr>
            <w:tcW w:w="1043" w:type="dxa"/>
            <w:vAlign w:val="center"/>
          </w:tcPr>
          <w:p w:rsidR="00D21CDB" w:rsidRPr="003547BB" w:rsidRDefault="00D21CDB" w:rsidP="006C5916">
            <w:pPr>
              <w:spacing w:after="0" w:line="240" w:lineRule="auto"/>
              <w:jc w:val="center"/>
              <w:rPr>
                <w:rFonts w:ascii="Times New Roman" w:hAnsi="Times New Roman"/>
                <w:color w:val="000000"/>
              </w:rPr>
            </w:pPr>
            <w:r w:rsidRPr="003547BB">
              <w:rPr>
                <w:rFonts w:ascii="Times New Roman" w:hAnsi="Times New Roman"/>
                <w:color w:val="000000"/>
              </w:rPr>
              <w:t xml:space="preserve">595/2003 Z. z. </w:t>
            </w:r>
          </w:p>
        </w:tc>
        <w:tc>
          <w:tcPr>
            <w:tcW w:w="1129" w:type="dxa"/>
            <w:vAlign w:val="center"/>
          </w:tcPr>
          <w:p w:rsidR="00D21CDB" w:rsidRPr="003547BB" w:rsidRDefault="00D21CDB" w:rsidP="006C5916">
            <w:pPr>
              <w:spacing w:after="0" w:line="240" w:lineRule="auto"/>
              <w:jc w:val="center"/>
              <w:rPr>
                <w:rFonts w:ascii="Times New Roman" w:hAnsi="Times New Roman"/>
                <w:color w:val="000000"/>
              </w:rPr>
            </w:pPr>
            <w:r w:rsidRPr="003547BB">
              <w:rPr>
                <w:rFonts w:ascii="Times New Roman" w:hAnsi="Times New Roman"/>
                <w:color w:val="000000"/>
              </w:rPr>
              <w:t xml:space="preserve">§ 49a      </w:t>
            </w:r>
          </w:p>
        </w:tc>
        <w:tc>
          <w:tcPr>
            <w:tcW w:w="1300" w:type="dxa"/>
            <w:vAlign w:val="center"/>
          </w:tcPr>
          <w:p w:rsidR="00D21CDB" w:rsidRPr="003547BB" w:rsidRDefault="00D21CDB" w:rsidP="006C5916">
            <w:pPr>
              <w:spacing w:after="0" w:line="240" w:lineRule="auto"/>
              <w:jc w:val="center"/>
              <w:rPr>
                <w:rFonts w:ascii="Times New Roman" w:hAnsi="Times New Roman"/>
                <w:color w:val="000000"/>
              </w:rPr>
            </w:pPr>
            <w:r w:rsidRPr="003547BB">
              <w:rPr>
                <w:rFonts w:ascii="Times New Roman" w:hAnsi="Times New Roman"/>
                <w:color w:val="000000"/>
              </w:rPr>
              <w:t>SK</w:t>
            </w:r>
          </w:p>
        </w:tc>
        <w:tc>
          <w:tcPr>
            <w:tcW w:w="934" w:type="dxa"/>
            <w:noWrap/>
            <w:vAlign w:val="center"/>
          </w:tcPr>
          <w:p w:rsidR="00D21CDB" w:rsidRPr="003547BB" w:rsidRDefault="00D21CDB" w:rsidP="006C5916">
            <w:pPr>
              <w:spacing w:after="0" w:line="240" w:lineRule="auto"/>
              <w:rPr>
                <w:rFonts w:ascii="Times New Roman" w:hAnsi="Times New Roman"/>
                <w:color w:val="000000"/>
              </w:rPr>
            </w:pPr>
            <w:r w:rsidRPr="003547BB">
              <w:rPr>
                <w:rFonts w:ascii="Times New Roman" w:hAnsi="Times New Roman"/>
                <w:color w:val="000000"/>
              </w:rPr>
              <w:t>01.01.23</w:t>
            </w:r>
          </w:p>
        </w:tc>
        <w:tc>
          <w:tcPr>
            <w:tcW w:w="1396" w:type="dxa"/>
            <w:vAlign w:val="center"/>
          </w:tcPr>
          <w:p w:rsidR="00D21CDB" w:rsidRPr="003547BB" w:rsidRDefault="00D21CDB" w:rsidP="006C5916">
            <w:pPr>
              <w:spacing w:after="0" w:line="240" w:lineRule="auto"/>
              <w:rPr>
                <w:rFonts w:ascii="Times New Roman" w:hAnsi="Times New Roman"/>
                <w:color w:val="000000"/>
              </w:rPr>
            </w:pPr>
            <w:r w:rsidRPr="003547BB">
              <w:rPr>
                <w:rFonts w:ascii="Times New Roman" w:hAnsi="Times New Roman"/>
                <w:color w:val="000000"/>
              </w:rPr>
              <w:t xml:space="preserve">FO  a PO s povinnosťou registrácie v ŽR a OR </w:t>
            </w:r>
          </w:p>
        </w:tc>
        <w:tc>
          <w:tcPr>
            <w:tcW w:w="974" w:type="dxa"/>
            <w:noWrap/>
            <w:vAlign w:val="center"/>
          </w:tcPr>
          <w:p w:rsidR="00D21CDB" w:rsidRPr="003547BB" w:rsidRDefault="00D21CDB" w:rsidP="006C5916">
            <w:pPr>
              <w:spacing w:after="0" w:line="240" w:lineRule="auto"/>
              <w:rPr>
                <w:rFonts w:ascii="Times New Roman" w:hAnsi="Times New Roman"/>
                <w:color w:val="000000"/>
              </w:rPr>
            </w:pPr>
            <w:r w:rsidRPr="003547BB">
              <w:rPr>
                <w:rFonts w:ascii="Times New Roman" w:hAnsi="Times New Roman"/>
                <w:color w:val="000000"/>
              </w:rPr>
              <w:t xml:space="preserve"> 95 000 </w:t>
            </w:r>
          </w:p>
        </w:tc>
        <w:tc>
          <w:tcPr>
            <w:tcW w:w="974" w:type="dxa"/>
            <w:noWrap/>
            <w:vAlign w:val="center"/>
          </w:tcPr>
          <w:p w:rsidR="00D21CDB" w:rsidRPr="003547BB" w:rsidRDefault="00D21CDB" w:rsidP="006C5916">
            <w:pPr>
              <w:spacing w:after="0" w:line="240" w:lineRule="auto"/>
              <w:jc w:val="center"/>
              <w:rPr>
                <w:rFonts w:ascii="Times New Roman" w:hAnsi="Times New Roman"/>
                <w:color w:val="000000"/>
              </w:rPr>
            </w:pPr>
            <w:r w:rsidRPr="003547BB">
              <w:rPr>
                <w:rFonts w:ascii="Times New Roman" w:hAnsi="Times New Roman"/>
                <w:color w:val="000000"/>
              </w:rPr>
              <w:t xml:space="preserve"> N </w:t>
            </w:r>
          </w:p>
        </w:tc>
        <w:tc>
          <w:tcPr>
            <w:tcW w:w="976" w:type="dxa"/>
            <w:noWrap/>
            <w:vAlign w:val="center"/>
          </w:tcPr>
          <w:p w:rsidR="00D21CDB" w:rsidRPr="003547BB" w:rsidRDefault="00D21CDB" w:rsidP="006C5916">
            <w:pPr>
              <w:spacing w:after="0" w:line="240" w:lineRule="auto"/>
              <w:jc w:val="center"/>
              <w:rPr>
                <w:rFonts w:ascii="Times New Roman" w:hAnsi="Times New Roman"/>
                <w:color w:val="000000"/>
              </w:rPr>
            </w:pPr>
            <w:r w:rsidRPr="003547BB">
              <w:rPr>
                <w:rFonts w:ascii="Times New Roman" w:hAnsi="Times New Roman"/>
                <w:color w:val="000000"/>
              </w:rPr>
              <w:t>1</w:t>
            </w:r>
          </w:p>
        </w:tc>
        <w:tc>
          <w:tcPr>
            <w:tcW w:w="1134" w:type="dxa"/>
            <w:noWrap/>
            <w:vAlign w:val="center"/>
          </w:tcPr>
          <w:p w:rsidR="00D21CDB" w:rsidRPr="003547BB" w:rsidRDefault="00D21CDB" w:rsidP="006C5916">
            <w:pPr>
              <w:spacing w:after="0" w:line="240" w:lineRule="auto"/>
              <w:jc w:val="center"/>
              <w:rPr>
                <w:rFonts w:ascii="Times New Roman" w:hAnsi="Times New Roman"/>
                <w:color w:val="000000"/>
              </w:rPr>
            </w:pPr>
            <w:r w:rsidRPr="003547BB">
              <w:rPr>
                <w:rFonts w:ascii="Times New Roman" w:hAnsi="Times New Roman"/>
                <w:color w:val="000000"/>
              </w:rPr>
              <w:t>121 515</w:t>
            </w:r>
          </w:p>
        </w:tc>
        <w:tc>
          <w:tcPr>
            <w:tcW w:w="992" w:type="dxa"/>
            <w:vAlign w:val="center"/>
          </w:tcPr>
          <w:p w:rsidR="00D21CDB" w:rsidRPr="00AE5148" w:rsidRDefault="00D21CDB" w:rsidP="006C5916">
            <w:pPr>
              <w:spacing w:after="0" w:line="240" w:lineRule="auto"/>
              <w:jc w:val="center"/>
              <w:rPr>
                <w:rFonts w:ascii="Times New Roman" w:hAnsi="Times New Roman"/>
                <w:color w:val="000000"/>
              </w:rPr>
            </w:pPr>
            <w:r w:rsidRPr="00AE5148">
              <w:rPr>
                <w:rFonts w:ascii="Times New Roman" w:hAnsi="Times New Roman"/>
                <w:color w:val="000000"/>
              </w:rPr>
              <w:t>Out (znižuje náklady)</w:t>
            </w:r>
          </w:p>
        </w:tc>
      </w:tr>
      <w:tr w:rsidR="00D21CDB" w:rsidRPr="00895898" w:rsidTr="006C5916">
        <w:trPr>
          <w:trHeight w:val="600"/>
        </w:trPr>
        <w:tc>
          <w:tcPr>
            <w:tcW w:w="500" w:type="dxa"/>
            <w:vAlign w:val="center"/>
          </w:tcPr>
          <w:p w:rsidR="00D21CDB" w:rsidRPr="00126DC3" w:rsidRDefault="00D21CDB" w:rsidP="006C5916">
            <w:pPr>
              <w:spacing w:after="0" w:line="240" w:lineRule="auto"/>
              <w:jc w:val="center"/>
              <w:rPr>
                <w:rFonts w:ascii="Times New Roman" w:hAnsi="Times New Roman"/>
                <w:lang w:eastAsia="sk-SK"/>
              </w:rPr>
            </w:pPr>
            <w:r w:rsidRPr="00126DC3">
              <w:rPr>
                <w:rFonts w:ascii="Times New Roman" w:hAnsi="Times New Roman"/>
                <w:lang w:eastAsia="sk-SK"/>
              </w:rPr>
              <w:t>5</w:t>
            </w:r>
          </w:p>
        </w:tc>
        <w:tc>
          <w:tcPr>
            <w:tcW w:w="3509" w:type="dxa"/>
            <w:vAlign w:val="center"/>
          </w:tcPr>
          <w:p w:rsidR="00D21CDB" w:rsidRPr="00126DC3" w:rsidRDefault="00D21CDB" w:rsidP="006C5916">
            <w:pPr>
              <w:spacing w:after="0" w:line="240" w:lineRule="auto"/>
              <w:rPr>
                <w:rFonts w:ascii="Times New Roman" w:hAnsi="Times New Roman"/>
                <w:lang w:eastAsia="sk-SK"/>
              </w:rPr>
            </w:pPr>
            <w:r w:rsidRPr="00126DC3">
              <w:rPr>
                <w:rFonts w:ascii="Times New Roman" w:hAnsi="Times New Roman"/>
                <w:lang w:eastAsia="sk-SK"/>
              </w:rPr>
              <w:t>Obmedzenie úrokových nákladov u PO</w:t>
            </w:r>
          </w:p>
        </w:tc>
        <w:tc>
          <w:tcPr>
            <w:tcW w:w="1043" w:type="dxa"/>
          </w:tcPr>
          <w:p w:rsidR="00D21CDB" w:rsidRPr="00126DC3" w:rsidRDefault="00D21CDB" w:rsidP="006C5916">
            <w:pPr>
              <w:spacing w:after="0" w:line="240" w:lineRule="auto"/>
              <w:jc w:val="center"/>
              <w:rPr>
                <w:rFonts w:ascii="Times New Roman" w:hAnsi="Times New Roman"/>
              </w:rPr>
            </w:pPr>
          </w:p>
          <w:p w:rsidR="00D21CDB" w:rsidRPr="00126DC3" w:rsidRDefault="00D21CDB" w:rsidP="006C5916">
            <w:pPr>
              <w:spacing w:after="0" w:line="240" w:lineRule="auto"/>
              <w:jc w:val="center"/>
              <w:rPr>
                <w:rFonts w:ascii="Times New Roman" w:hAnsi="Times New Roman"/>
                <w:lang w:eastAsia="sk-SK"/>
              </w:rPr>
            </w:pPr>
            <w:r w:rsidRPr="00126DC3">
              <w:rPr>
                <w:rFonts w:ascii="Times New Roman" w:hAnsi="Times New Roman"/>
              </w:rPr>
              <w:t>595/2003 Z. z.</w:t>
            </w:r>
          </w:p>
        </w:tc>
        <w:tc>
          <w:tcPr>
            <w:tcW w:w="1129" w:type="dxa"/>
            <w:vAlign w:val="center"/>
          </w:tcPr>
          <w:p w:rsidR="00D21CDB" w:rsidRPr="00126DC3" w:rsidRDefault="00D21CDB" w:rsidP="006C5916">
            <w:pPr>
              <w:spacing w:after="0" w:line="240" w:lineRule="auto"/>
              <w:jc w:val="center"/>
              <w:rPr>
                <w:rFonts w:ascii="Times New Roman" w:hAnsi="Times New Roman"/>
                <w:lang w:eastAsia="sk-SK"/>
              </w:rPr>
            </w:pPr>
            <w:r w:rsidRPr="00126DC3">
              <w:rPr>
                <w:rFonts w:ascii="Times New Roman" w:hAnsi="Times New Roman"/>
                <w:lang w:eastAsia="sk-SK"/>
              </w:rPr>
              <w:t>§ 17k</w:t>
            </w:r>
          </w:p>
        </w:tc>
        <w:tc>
          <w:tcPr>
            <w:tcW w:w="1300" w:type="dxa"/>
            <w:vAlign w:val="center"/>
          </w:tcPr>
          <w:p w:rsidR="00D21CDB" w:rsidRPr="00126DC3" w:rsidRDefault="00D21CDB" w:rsidP="006C5916">
            <w:pPr>
              <w:spacing w:after="0" w:line="240" w:lineRule="auto"/>
              <w:jc w:val="center"/>
              <w:rPr>
                <w:rFonts w:ascii="Times New Roman" w:hAnsi="Times New Roman"/>
                <w:lang w:eastAsia="sk-SK"/>
              </w:rPr>
            </w:pPr>
            <w:r w:rsidRPr="00126DC3">
              <w:rPr>
                <w:rFonts w:ascii="Times New Roman" w:hAnsi="Times New Roman"/>
                <w:lang w:eastAsia="sk-SK"/>
              </w:rPr>
              <w:t>SK</w:t>
            </w:r>
          </w:p>
        </w:tc>
        <w:tc>
          <w:tcPr>
            <w:tcW w:w="934" w:type="dxa"/>
            <w:noWrap/>
            <w:vAlign w:val="center"/>
          </w:tcPr>
          <w:p w:rsidR="00D21CDB" w:rsidRPr="00126DC3" w:rsidRDefault="00D21CDB" w:rsidP="006C5916">
            <w:pPr>
              <w:spacing w:after="0" w:line="240" w:lineRule="auto"/>
              <w:rPr>
                <w:rFonts w:ascii="Times New Roman" w:hAnsi="Times New Roman"/>
                <w:lang w:eastAsia="sk-SK"/>
              </w:rPr>
            </w:pPr>
            <w:r w:rsidRPr="00126DC3">
              <w:rPr>
                <w:rFonts w:ascii="Times New Roman" w:hAnsi="Times New Roman"/>
                <w:lang w:eastAsia="sk-SK"/>
              </w:rPr>
              <w:t>01.01.24</w:t>
            </w:r>
          </w:p>
        </w:tc>
        <w:tc>
          <w:tcPr>
            <w:tcW w:w="1396" w:type="dxa"/>
            <w:vAlign w:val="center"/>
          </w:tcPr>
          <w:p w:rsidR="00D21CDB" w:rsidRPr="00126DC3" w:rsidRDefault="00D21CDB" w:rsidP="006C5916">
            <w:pPr>
              <w:spacing w:after="0" w:line="240" w:lineRule="auto"/>
              <w:rPr>
                <w:rFonts w:ascii="Times New Roman" w:hAnsi="Times New Roman"/>
                <w:lang w:eastAsia="sk-SK"/>
              </w:rPr>
            </w:pPr>
            <w:r w:rsidRPr="00126DC3">
              <w:rPr>
                <w:rFonts w:ascii="Times New Roman" w:hAnsi="Times New Roman"/>
                <w:lang w:eastAsia="sk-SK"/>
              </w:rPr>
              <w:t>PO podnikateľské subjekty</w:t>
            </w:r>
          </w:p>
        </w:tc>
        <w:tc>
          <w:tcPr>
            <w:tcW w:w="974" w:type="dxa"/>
            <w:noWrap/>
            <w:vAlign w:val="center"/>
          </w:tcPr>
          <w:p w:rsidR="00D21CDB" w:rsidRPr="00126DC3" w:rsidRDefault="00D21CDB" w:rsidP="006C5916">
            <w:pPr>
              <w:spacing w:after="0" w:line="240" w:lineRule="auto"/>
              <w:jc w:val="center"/>
              <w:rPr>
                <w:rFonts w:ascii="Times New Roman" w:hAnsi="Times New Roman"/>
                <w:lang w:eastAsia="sk-SK"/>
              </w:rPr>
            </w:pPr>
            <w:r w:rsidRPr="00126DC3">
              <w:rPr>
                <w:rFonts w:ascii="Times New Roman" w:hAnsi="Times New Roman"/>
                <w:lang w:eastAsia="sk-SK"/>
              </w:rPr>
              <w:t>20</w:t>
            </w:r>
          </w:p>
        </w:tc>
        <w:tc>
          <w:tcPr>
            <w:tcW w:w="974" w:type="dxa"/>
            <w:noWrap/>
            <w:vAlign w:val="center"/>
          </w:tcPr>
          <w:p w:rsidR="00D21CDB" w:rsidRPr="00126DC3" w:rsidRDefault="00D21CDB" w:rsidP="006C5916">
            <w:pPr>
              <w:spacing w:after="0" w:line="240" w:lineRule="auto"/>
              <w:jc w:val="center"/>
              <w:rPr>
                <w:rFonts w:ascii="Times New Roman" w:hAnsi="Times New Roman"/>
                <w:lang w:eastAsia="sk-SK"/>
              </w:rPr>
            </w:pPr>
            <w:r w:rsidRPr="00126DC3">
              <w:rPr>
                <w:rFonts w:ascii="Times New Roman" w:hAnsi="Times New Roman"/>
                <w:lang w:eastAsia="sk-SK"/>
              </w:rPr>
              <w:t>-</w:t>
            </w:r>
          </w:p>
        </w:tc>
        <w:tc>
          <w:tcPr>
            <w:tcW w:w="976" w:type="dxa"/>
            <w:noWrap/>
            <w:vAlign w:val="center"/>
          </w:tcPr>
          <w:p w:rsidR="00D21CDB" w:rsidRPr="00126DC3" w:rsidRDefault="00D21CDB" w:rsidP="006C5916">
            <w:pPr>
              <w:spacing w:after="0" w:line="240" w:lineRule="auto"/>
              <w:rPr>
                <w:rFonts w:ascii="Times New Roman" w:hAnsi="Times New Roman"/>
                <w:lang w:eastAsia="sk-SK"/>
              </w:rPr>
            </w:pPr>
            <w:r w:rsidRPr="00126DC3">
              <w:rPr>
                <w:rFonts w:ascii="Times New Roman" w:hAnsi="Times New Roman"/>
                <w:lang w:eastAsia="sk-SK"/>
              </w:rPr>
              <w:t>202 850</w:t>
            </w:r>
          </w:p>
        </w:tc>
        <w:tc>
          <w:tcPr>
            <w:tcW w:w="1134" w:type="dxa"/>
            <w:noWrap/>
            <w:vAlign w:val="center"/>
          </w:tcPr>
          <w:p w:rsidR="00D21CDB" w:rsidRPr="00126DC3" w:rsidRDefault="00D21CDB" w:rsidP="006C5916">
            <w:pPr>
              <w:spacing w:after="0" w:line="240" w:lineRule="auto"/>
              <w:jc w:val="center"/>
              <w:rPr>
                <w:rFonts w:ascii="Times New Roman" w:hAnsi="Times New Roman"/>
                <w:lang w:eastAsia="sk-SK"/>
              </w:rPr>
            </w:pPr>
            <w:r w:rsidRPr="00126DC3">
              <w:rPr>
                <w:rFonts w:ascii="Times New Roman" w:hAnsi="Times New Roman"/>
                <w:lang w:eastAsia="sk-SK"/>
              </w:rPr>
              <w:t>4 057 000</w:t>
            </w:r>
          </w:p>
        </w:tc>
        <w:tc>
          <w:tcPr>
            <w:tcW w:w="992" w:type="dxa"/>
            <w:vAlign w:val="center"/>
          </w:tcPr>
          <w:p w:rsidR="00D21CDB" w:rsidRPr="00126DC3" w:rsidRDefault="00D21CDB" w:rsidP="006C5916">
            <w:pPr>
              <w:spacing w:after="0" w:line="240" w:lineRule="auto"/>
              <w:jc w:val="center"/>
              <w:rPr>
                <w:rFonts w:ascii="Times New Roman" w:hAnsi="Times New Roman"/>
                <w:lang w:eastAsia="sk-SK"/>
              </w:rPr>
            </w:pPr>
            <w:r w:rsidRPr="00126DC3">
              <w:rPr>
                <w:rFonts w:ascii="Times New Roman" w:hAnsi="Times New Roman"/>
                <w:lang w:eastAsia="sk-SK"/>
              </w:rPr>
              <w:t>In (zvyšuje náklady)</w:t>
            </w:r>
          </w:p>
        </w:tc>
      </w:tr>
      <w:tr w:rsidR="00D21CDB" w:rsidRPr="00895898" w:rsidTr="006C5916">
        <w:trPr>
          <w:trHeight w:val="600"/>
        </w:trPr>
        <w:tc>
          <w:tcPr>
            <w:tcW w:w="500" w:type="dxa"/>
            <w:vAlign w:val="center"/>
          </w:tcPr>
          <w:p w:rsidR="00D21CDB" w:rsidRPr="00126DC3" w:rsidRDefault="00D21CDB" w:rsidP="006C5916">
            <w:pPr>
              <w:spacing w:after="0" w:line="240" w:lineRule="auto"/>
              <w:jc w:val="center"/>
              <w:rPr>
                <w:rFonts w:ascii="Times New Roman" w:hAnsi="Times New Roman"/>
                <w:lang w:eastAsia="sk-SK"/>
              </w:rPr>
            </w:pPr>
            <w:r w:rsidRPr="00126DC3">
              <w:rPr>
                <w:rFonts w:ascii="Times New Roman" w:hAnsi="Times New Roman"/>
                <w:lang w:eastAsia="sk-SK"/>
              </w:rPr>
              <w:t>6.</w:t>
            </w:r>
          </w:p>
        </w:tc>
        <w:tc>
          <w:tcPr>
            <w:tcW w:w="3509" w:type="dxa"/>
            <w:vAlign w:val="center"/>
          </w:tcPr>
          <w:p w:rsidR="00D21CDB" w:rsidRPr="00126DC3" w:rsidRDefault="00D21CDB" w:rsidP="006C5916">
            <w:pPr>
              <w:spacing w:after="0" w:line="240" w:lineRule="auto"/>
              <w:rPr>
                <w:rFonts w:ascii="Times New Roman" w:hAnsi="Times New Roman"/>
                <w:lang w:eastAsia="sk-SK"/>
              </w:rPr>
            </w:pPr>
            <w:r w:rsidRPr="00126DC3">
              <w:rPr>
                <w:rFonts w:ascii="Times New Roman" w:hAnsi="Times New Roman"/>
                <w:lang w:eastAsia="sk-SK"/>
              </w:rPr>
              <w:t>Zavedenie tzv. „druhej šance“ pri pokutách</w:t>
            </w:r>
          </w:p>
        </w:tc>
        <w:tc>
          <w:tcPr>
            <w:tcW w:w="1043" w:type="dxa"/>
          </w:tcPr>
          <w:p w:rsidR="00D21CDB" w:rsidRPr="00126DC3" w:rsidRDefault="00D21CDB" w:rsidP="006C5916">
            <w:pPr>
              <w:spacing w:after="0" w:line="240" w:lineRule="auto"/>
              <w:jc w:val="center"/>
              <w:rPr>
                <w:rFonts w:ascii="Times New Roman" w:hAnsi="Times New Roman"/>
                <w:lang w:eastAsia="sk-SK"/>
              </w:rPr>
            </w:pPr>
          </w:p>
          <w:p w:rsidR="00D21CDB" w:rsidRPr="00126DC3" w:rsidRDefault="00D21CDB" w:rsidP="006C5916">
            <w:pPr>
              <w:spacing w:after="0" w:line="240" w:lineRule="auto"/>
              <w:jc w:val="center"/>
              <w:rPr>
                <w:rFonts w:ascii="Times New Roman" w:hAnsi="Times New Roman"/>
                <w:lang w:eastAsia="sk-SK"/>
              </w:rPr>
            </w:pPr>
            <w:r w:rsidRPr="00126DC3">
              <w:rPr>
                <w:rFonts w:ascii="Times New Roman" w:hAnsi="Times New Roman"/>
                <w:lang w:eastAsia="sk-SK"/>
              </w:rPr>
              <w:t>563/2009 Z. z.</w:t>
            </w:r>
          </w:p>
        </w:tc>
        <w:tc>
          <w:tcPr>
            <w:tcW w:w="1129" w:type="dxa"/>
            <w:vAlign w:val="center"/>
          </w:tcPr>
          <w:p w:rsidR="00D21CDB" w:rsidRPr="00126DC3" w:rsidRDefault="00D21CDB" w:rsidP="006C5916">
            <w:pPr>
              <w:spacing w:after="0" w:line="240" w:lineRule="auto"/>
              <w:jc w:val="center"/>
              <w:rPr>
                <w:rFonts w:ascii="Times New Roman" w:hAnsi="Times New Roman"/>
                <w:lang w:eastAsia="sk-SK"/>
              </w:rPr>
            </w:pPr>
            <w:r w:rsidRPr="00126DC3">
              <w:rPr>
                <w:rFonts w:ascii="Times New Roman" w:hAnsi="Times New Roman"/>
                <w:lang w:eastAsia="sk-SK"/>
              </w:rPr>
              <w:t>§ 155</w:t>
            </w:r>
          </w:p>
        </w:tc>
        <w:tc>
          <w:tcPr>
            <w:tcW w:w="1300" w:type="dxa"/>
            <w:vAlign w:val="center"/>
          </w:tcPr>
          <w:p w:rsidR="00D21CDB" w:rsidRPr="00126DC3" w:rsidRDefault="00D21CDB" w:rsidP="006C5916">
            <w:pPr>
              <w:spacing w:after="0" w:line="240" w:lineRule="auto"/>
              <w:jc w:val="center"/>
              <w:rPr>
                <w:rFonts w:ascii="Times New Roman" w:hAnsi="Times New Roman"/>
                <w:lang w:eastAsia="sk-SK"/>
              </w:rPr>
            </w:pPr>
            <w:r w:rsidRPr="00126DC3">
              <w:rPr>
                <w:rFonts w:ascii="Times New Roman" w:hAnsi="Times New Roman"/>
                <w:lang w:eastAsia="sk-SK"/>
              </w:rPr>
              <w:t>SK</w:t>
            </w:r>
          </w:p>
        </w:tc>
        <w:tc>
          <w:tcPr>
            <w:tcW w:w="934" w:type="dxa"/>
            <w:noWrap/>
            <w:vAlign w:val="center"/>
          </w:tcPr>
          <w:p w:rsidR="00D21CDB" w:rsidRPr="00126DC3" w:rsidRDefault="00D21CDB" w:rsidP="006C5916">
            <w:pPr>
              <w:spacing w:after="0" w:line="240" w:lineRule="auto"/>
              <w:jc w:val="center"/>
              <w:rPr>
                <w:rFonts w:ascii="Times New Roman" w:hAnsi="Times New Roman"/>
                <w:lang w:eastAsia="sk-SK"/>
              </w:rPr>
            </w:pPr>
            <w:r w:rsidRPr="00126DC3">
              <w:rPr>
                <w:rFonts w:ascii="Times New Roman" w:hAnsi="Times New Roman"/>
                <w:lang w:eastAsia="sk-SK"/>
              </w:rPr>
              <w:t>01.01.24</w:t>
            </w:r>
          </w:p>
        </w:tc>
        <w:tc>
          <w:tcPr>
            <w:tcW w:w="1396" w:type="dxa"/>
            <w:vAlign w:val="center"/>
          </w:tcPr>
          <w:p w:rsidR="00D21CDB" w:rsidRPr="00126DC3" w:rsidRDefault="00D21CDB" w:rsidP="006C5916">
            <w:pPr>
              <w:spacing w:after="0" w:line="240" w:lineRule="auto"/>
              <w:rPr>
                <w:rFonts w:ascii="Times New Roman" w:hAnsi="Times New Roman"/>
                <w:lang w:eastAsia="sk-SK"/>
              </w:rPr>
            </w:pPr>
            <w:r w:rsidRPr="00126DC3">
              <w:rPr>
                <w:rFonts w:ascii="Times New Roman" w:hAnsi="Times New Roman"/>
                <w:lang w:eastAsia="sk-SK"/>
              </w:rPr>
              <w:t>Daňové subjekty</w:t>
            </w:r>
          </w:p>
        </w:tc>
        <w:tc>
          <w:tcPr>
            <w:tcW w:w="974" w:type="dxa"/>
            <w:noWrap/>
            <w:vAlign w:val="center"/>
          </w:tcPr>
          <w:p w:rsidR="00D21CDB" w:rsidRPr="00126DC3" w:rsidRDefault="00D21CDB" w:rsidP="006C5916">
            <w:pPr>
              <w:spacing w:after="0" w:line="240" w:lineRule="auto"/>
              <w:rPr>
                <w:rFonts w:ascii="Times New Roman" w:hAnsi="Times New Roman"/>
                <w:lang w:eastAsia="sk-SK"/>
              </w:rPr>
            </w:pPr>
            <w:r w:rsidRPr="00126DC3">
              <w:rPr>
                <w:rFonts w:ascii="Times New Roman" w:hAnsi="Times New Roman"/>
                <w:lang w:eastAsia="sk-SK"/>
              </w:rPr>
              <w:t>Daňové subjekty, ktoré porušia zákon</w:t>
            </w:r>
          </w:p>
        </w:tc>
        <w:tc>
          <w:tcPr>
            <w:tcW w:w="974" w:type="dxa"/>
            <w:noWrap/>
            <w:vAlign w:val="center"/>
          </w:tcPr>
          <w:p w:rsidR="00D21CDB" w:rsidRPr="00126DC3" w:rsidRDefault="00D21CDB" w:rsidP="006C5916">
            <w:pPr>
              <w:spacing w:after="0" w:line="240" w:lineRule="auto"/>
              <w:jc w:val="center"/>
              <w:rPr>
                <w:rFonts w:ascii="Times New Roman" w:hAnsi="Times New Roman"/>
                <w:lang w:eastAsia="sk-SK"/>
              </w:rPr>
            </w:pPr>
          </w:p>
        </w:tc>
        <w:tc>
          <w:tcPr>
            <w:tcW w:w="976" w:type="dxa"/>
            <w:noWrap/>
            <w:vAlign w:val="center"/>
          </w:tcPr>
          <w:p w:rsidR="00D21CDB" w:rsidRPr="00126DC3" w:rsidRDefault="00D21CDB" w:rsidP="006C5916">
            <w:pPr>
              <w:spacing w:after="0" w:line="240" w:lineRule="auto"/>
              <w:jc w:val="center"/>
              <w:rPr>
                <w:rFonts w:ascii="Times New Roman" w:hAnsi="Times New Roman"/>
                <w:lang w:eastAsia="sk-SK"/>
              </w:rPr>
            </w:pPr>
            <w:r w:rsidRPr="00126DC3">
              <w:rPr>
                <w:rFonts w:ascii="Times New Roman" w:hAnsi="Times New Roman"/>
                <w:lang w:eastAsia="sk-SK"/>
              </w:rPr>
              <w:t>-</w:t>
            </w:r>
          </w:p>
        </w:tc>
        <w:tc>
          <w:tcPr>
            <w:tcW w:w="1134" w:type="dxa"/>
            <w:noWrap/>
            <w:vAlign w:val="center"/>
          </w:tcPr>
          <w:p w:rsidR="00D21CDB" w:rsidRPr="00126DC3" w:rsidRDefault="00D21CDB" w:rsidP="006C5916">
            <w:pPr>
              <w:spacing w:after="0" w:line="240" w:lineRule="auto"/>
              <w:jc w:val="center"/>
              <w:rPr>
                <w:rFonts w:ascii="Times New Roman" w:hAnsi="Times New Roman"/>
                <w:lang w:eastAsia="sk-SK"/>
              </w:rPr>
            </w:pPr>
            <w:r w:rsidRPr="00126DC3">
              <w:rPr>
                <w:rFonts w:ascii="Times New Roman" w:hAnsi="Times New Roman"/>
                <w:lang w:eastAsia="sk-SK"/>
              </w:rPr>
              <w:t>-</w:t>
            </w:r>
          </w:p>
        </w:tc>
        <w:tc>
          <w:tcPr>
            <w:tcW w:w="992" w:type="dxa"/>
            <w:vAlign w:val="center"/>
          </w:tcPr>
          <w:p w:rsidR="00D21CDB" w:rsidRPr="00126DC3" w:rsidRDefault="00D21CDB" w:rsidP="006C5916">
            <w:pPr>
              <w:spacing w:after="0" w:line="240" w:lineRule="auto"/>
              <w:jc w:val="center"/>
              <w:rPr>
                <w:rFonts w:ascii="Times New Roman" w:hAnsi="Times New Roman"/>
                <w:lang w:eastAsia="sk-SK"/>
              </w:rPr>
            </w:pPr>
            <w:r w:rsidRPr="00126DC3">
              <w:rPr>
                <w:rFonts w:ascii="Times New Roman" w:hAnsi="Times New Roman"/>
                <w:lang w:eastAsia="sk-SK"/>
              </w:rPr>
              <w:t>Out</w:t>
            </w:r>
          </w:p>
          <w:p w:rsidR="00D21CDB" w:rsidRPr="00126DC3" w:rsidRDefault="00D21CDB" w:rsidP="006C5916">
            <w:pPr>
              <w:spacing w:after="0" w:line="240" w:lineRule="auto"/>
              <w:jc w:val="center"/>
              <w:rPr>
                <w:rFonts w:ascii="Times New Roman" w:hAnsi="Times New Roman"/>
                <w:lang w:eastAsia="sk-SK"/>
              </w:rPr>
            </w:pPr>
            <w:r w:rsidRPr="00126DC3">
              <w:rPr>
                <w:rFonts w:ascii="Times New Roman" w:hAnsi="Times New Roman"/>
                <w:lang w:eastAsia="sk-SK"/>
              </w:rPr>
              <w:t>(znižuje náklady)</w:t>
            </w:r>
          </w:p>
        </w:tc>
      </w:tr>
    </w:tbl>
    <w:p w:rsidR="00D21CDB" w:rsidRPr="00895898" w:rsidRDefault="00D21CDB" w:rsidP="00D21CDB">
      <w:pPr>
        <w:jc w:val="both"/>
        <w:rPr>
          <w:rFonts w:ascii="Times New Roman" w:hAnsi="Times New Roman"/>
          <w:b/>
          <w:bCs/>
          <w:i/>
          <w:sz w:val="24"/>
          <w:szCs w:val="24"/>
        </w:rPr>
        <w:sectPr w:rsidR="00D21CDB" w:rsidRPr="00895898" w:rsidSect="006C5916">
          <w:pgSz w:w="16838" w:h="11906" w:orient="landscape"/>
          <w:pgMar w:top="1417" w:right="1417" w:bottom="1417" w:left="1417" w:header="708" w:footer="708" w:gutter="0"/>
          <w:cols w:space="708"/>
          <w:docGrid w:linePitch="360"/>
        </w:sectPr>
      </w:pPr>
    </w:p>
    <w:p w:rsidR="00D21CDB" w:rsidRPr="001F1B43" w:rsidRDefault="00D21CDB" w:rsidP="00D21CDB">
      <w:pPr>
        <w:jc w:val="both"/>
        <w:rPr>
          <w:rFonts w:ascii="Times New Roman" w:hAnsi="Times New Roman"/>
          <w:b/>
          <w:bCs/>
          <w:i/>
          <w:sz w:val="24"/>
          <w:szCs w:val="24"/>
          <w:u w:val="single"/>
        </w:rPr>
      </w:pPr>
      <w:r w:rsidRPr="001F1B43">
        <w:rPr>
          <w:rFonts w:ascii="Times New Roman" w:hAnsi="Times New Roman"/>
          <w:b/>
          <w:bCs/>
          <w:i/>
          <w:sz w:val="24"/>
          <w:szCs w:val="24"/>
          <w:u w:val="single"/>
        </w:rPr>
        <w:lastRenderedPageBreak/>
        <w:t xml:space="preserve">Doplňujúce informácie k spôsobu výpočtu vplyvov jednotlivých regulácií na zmenu nákladov </w:t>
      </w:r>
    </w:p>
    <w:p w:rsidR="00D21CDB" w:rsidRPr="000E31F0" w:rsidRDefault="00D21CDB" w:rsidP="00D21CDB">
      <w:pPr>
        <w:jc w:val="both"/>
        <w:rPr>
          <w:rFonts w:ascii="Times New Roman" w:hAnsi="Times New Roman"/>
          <w:b/>
          <w:bCs/>
          <w:iCs/>
          <w:color w:val="000000"/>
          <w:sz w:val="24"/>
          <w:szCs w:val="24"/>
        </w:rPr>
      </w:pPr>
      <w:r w:rsidRPr="000E31F0">
        <w:rPr>
          <w:rFonts w:ascii="Times New Roman" w:hAnsi="Times New Roman"/>
          <w:b/>
          <w:bCs/>
          <w:iCs/>
          <w:color w:val="000000"/>
          <w:sz w:val="24"/>
          <w:szCs w:val="24"/>
        </w:rPr>
        <w:t>K novele zákona o dani  z príjmov:</w:t>
      </w:r>
    </w:p>
    <w:p w:rsidR="00D21CDB" w:rsidRPr="000E31F0" w:rsidRDefault="00D21CDB" w:rsidP="00D21CDB">
      <w:pPr>
        <w:pStyle w:val="Odsekzoznamu"/>
        <w:numPr>
          <w:ilvl w:val="0"/>
          <w:numId w:val="8"/>
        </w:numPr>
        <w:ind w:left="567" w:hanging="425"/>
        <w:jc w:val="both"/>
        <w:rPr>
          <w:rFonts w:ascii="Times New Roman" w:hAnsi="Times New Roman"/>
          <w:bCs/>
          <w:i/>
          <w:iCs/>
          <w:color w:val="000000"/>
          <w:sz w:val="24"/>
          <w:szCs w:val="24"/>
        </w:rPr>
      </w:pPr>
      <w:r w:rsidRPr="000E31F0">
        <w:rPr>
          <w:rFonts w:ascii="Times New Roman" w:hAnsi="Times New Roman"/>
          <w:color w:val="000000"/>
          <w:sz w:val="24"/>
          <w:szCs w:val="24"/>
        </w:rPr>
        <w:t>doplnenie pravidiel pre zisťovanie základu dane stálej prevádzkarne nerezidenta na území SR – údaj o počte nerezidentských stálych prevádzkarní umiestnených na území SR bol čerpaný z údajov FR SR, následne expertný odhad počtu tých stálych prevádzkarní, ktoré môžu využiť zvýhodnený spôsob zisťovania základu dane,</w:t>
      </w:r>
    </w:p>
    <w:p w:rsidR="00D21CDB" w:rsidRPr="000E31F0" w:rsidRDefault="00D21CDB" w:rsidP="00D21CDB">
      <w:pPr>
        <w:pStyle w:val="Odsekzoznamu"/>
        <w:numPr>
          <w:ilvl w:val="0"/>
          <w:numId w:val="8"/>
        </w:numPr>
        <w:ind w:left="567" w:hanging="425"/>
        <w:jc w:val="both"/>
        <w:rPr>
          <w:rFonts w:ascii="Times New Roman" w:hAnsi="Times New Roman"/>
          <w:bCs/>
          <w:i/>
          <w:iCs/>
          <w:color w:val="000000"/>
          <w:sz w:val="24"/>
          <w:szCs w:val="24"/>
        </w:rPr>
      </w:pPr>
      <w:r w:rsidRPr="000E31F0">
        <w:rPr>
          <w:rFonts w:ascii="Times New Roman" w:hAnsi="Times New Roman"/>
          <w:color w:val="000000"/>
          <w:sz w:val="24"/>
          <w:szCs w:val="24"/>
        </w:rPr>
        <w:t>doplnenie pravidiel transferového oceňovania (bezpečný prístav) – údaj o počte daňovníkov, ktorí sú povinní uplatňovať pravidlá transferového oceňovania bol čerpaný taktiež z údajov FR SR a následne expertný odhad počtu tých daňovníkov, ktorých by sa bezpečný prístav v navrhovanom rozsahu mal týkať,</w:t>
      </w:r>
    </w:p>
    <w:p w:rsidR="00D21CDB" w:rsidRPr="00635D00" w:rsidRDefault="00D21CDB" w:rsidP="00D21CDB">
      <w:pPr>
        <w:pStyle w:val="Odsekzoznamu"/>
        <w:numPr>
          <w:ilvl w:val="0"/>
          <w:numId w:val="8"/>
        </w:numPr>
        <w:ind w:left="567" w:hanging="425"/>
        <w:jc w:val="both"/>
        <w:rPr>
          <w:rFonts w:ascii="Times New Roman" w:hAnsi="Times New Roman"/>
          <w:bCs/>
          <w:i/>
          <w:iCs/>
          <w:color w:val="000000"/>
          <w:sz w:val="24"/>
          <w:szCs w:val="24"/>
        </w:rPr>
      </w:pPr>
      <w:r>
        <w:rPr>
          <w:rFonts w:ascii="Times New Roman" w:hAnsi="Times New Roman"/>
          <w:color w:val="000000"/>
          <w:sz w:val="24"/>
          <w:szCs w:val="24"/>
        </w:rPr>
        <w:t>v</w:t>
      </w:r>
      <w:r w:rsidRPr="000E31F0">
        <w:rPr>
          <w:rFonts w:ascii="Times New Roman" w:hAnsi="Times New Roman"/>
          <w:color w:val="000000"/>
          <w:sz w:val="24"/>
          <w:szCs w:val="24"/>
        </w:rPr>
        <w:t>ykazovanie technických rezerv v</w:t>
      </w:r>
      <w:r>
        <w:rPr>
          <w:rFonts w:ascii="Times New Roman" w:hAnsi="Times New Roman"/>
          <w:color w:val="000000"/>
          <w:sz w:val="24"/>
          <w:szCs w:val="24"/>
        </w:rPr>
        <w:t> </w:t>
      </w:r>
      <w:r w:rsidRPr="000E31F0">
        <w:rPr>
          <w:rFonts w:ascii="Times New Roman" w:hAnsi="Times New Roman"/>
          <w:color w:val="000000"/>
          <w:sz w:val="24"/>
          <w:szCs w:val="24"/>
        </w:rPr>
        <w:t>poisťovníctve</w:t>
      </w:r>
      <w:r>
        <w:rPr>
          <w:rFonts w:ascii="Times New Roman" w:hAnsi="Times New Roman"/>
          <w:color w:val="000000"/>
          <w:sz w:val="24"/>
          <w:szCs w:val="24"/>
        </w:rPr>
        <w:t xml:space="preserve"> – údaj o počte poisťovní, pobočiek poisťovní a zaisťovní bol čerpaný z údajov SLASPO, následne expertný odhad úspory administratívnych nákladov pri zisťovaní základu dane na mesačnej báze z podkladov SLASPO, </w:t>
      </w:r>
    </w:p>
    <w:p w:rsidR="00D21CDB" w:rsidRPr="00635D00" w:rsidRDefault="00D21CDB" w:rsidP="00D21CDB">
      <w:pPr>
        <w:pStyle w:val="Odsekzoznamu"/>
        <w:numPr>
          <w:ilvl w:val="0"/>
          <w:numId w:val="8"/>
        </w:numPr>
        <w:ind w:left="567" w:hanging="425"/>
        <w:jc w:val="both"/>
        <w:rPr>
          <w:rFonts w:ascii="Times New Roman" w:hAnsi="Times New Roman"/>
          <w:color w:val="000000"/>
          <w:sz w:val="24"/>
          <w:szCs w:val="24"/>
        </w:rPr>
      </w:pPr>
      <w:r>
        <w:rPr>
          <w:rFonts w:ascii="Times New Roman" w:hAnsi="Times New Roman"/>
          <w:color w:val="000000"/>
          <w:sz w:val="24"/>
          <w:szCs w:val="24"/>
        </w:rPr>
        <w:t>d</w:t>
      </w:r>
      <w:r w:rsidRPr="00635D00">
        <w:rPr>
          <w:rFonts w:ascii="Times New Roman" w:hAnsi="Times New Roman"/>
          <w:color w:val="000000"/>
          <w:sz w:val="24"/>
          <w:szCs w:val="24"/>
        </w:rPr>
        <w:t>oplnenie pravidiel pre automatickú registráciu na daň z príjmov – údaj o počte subjektov, ktorí budú podliehať automatickej registrácii bol čerpaný z údajov FR SR na základe priemeru za predchádzajúce trojročné obdobie subjektov, ktorým na základe týchto zápisov vznikla povinnosť registrácie,</w:t>
      </w:r>
    </w:p>
    <w:p w:rsidR="00D21CDB" w:rsidRPr="00635D00" w:rsidRDefault="00D21CDB" w:rsidP="00D21CDB">
      <w:pPr>
        <w:pStyle w:val="Odsekzoznamu"/>
        <w:numPr>
          <w:ilvl w:val="0"/>
          <w:numId w:val="8"/>
        </w:numPr>
        <w:ind w:left="567" w:hanging="425"/>
        <w:jc w:val="both"/>
        <w:rPr>
          <w:rFonts w:ascii="Times New Roman" w:hAnsi="Times New Roman"/>
          <w:color w:val="000000"/>
          <w:sz w:val="24"/>
          <w:szCs w:val="24"/>
        </w:rPr>
      </w:pPr>
      <w:r w:rsidRPr="00635D00">
        <w:rPr>
          <w:rFonts w:ascii="Times New Roman" w:hAnsi="Times New Roman"/>
          <w:color w:val="000000"/>
          <w:sz w:val="24"/>
          <w:szCs w:val="24"/>
        </w:rPr>
        <w:t>zavedenie pravidla o obmedzení úrokových nákladov u PO – údaj o počte dotknutých subjektov, ktoré budú podliehať tomuto pravidlu, bol čerpaný IFP z analýzy údajov v registri účtovných závierok.</w:t>
      </w:r>
    </w:p>
    <w:p w:rsidR="00D21CDB" w:rsidRPr="000E31F0" w:rsidRDefault="00D21CDB" w:rsidP="00D21CDB">
      <w:pPr>
        <w:pStyle w:val="Odsekzoznamu"/>
        <w:ind w:left="567"/>
        <w:jc w:val="both"/>
        <w:rPr>
          <w:rFonts w:ascii="Times New Roman" w:hAnsi="Times New Roman"/>
          <w:bCs/>
          <w:i/>
          <w:iCs/>
          <w:color w:val="000000"/>
          <w:sz w:val="24"/>
          <w:szCs w:val="24"/>
        </w:rPr>
      </w:pPr>
    </w:p>
    <w:p w:rsidR="00D21CDB" w:rsidRPr="00126DC3" w:rsidRDefault="00D21CDB" w:rsidP="00D21CDB">
      <w:pPr>
        <w:rPr>
          <w:rFonts w:ascii="Times New Roman" w:hAnsi="Times New Roman"/>
          <w:b/>
          <w:sz w:val="24"/>
          <w:szCs w:val="24"/>
        </w:rPr>
      </w:pPr>
      <w:r w:rsidRPr="00126DC3">
        <w:rPr>
          <w:rFonts w:ascii="Times New Roman" w:hAnsi="Times New Roman"/>
          <w:b/>
          <w:sz w:val="24"/>
          <w:szCs w:val="24"/>
        </w:rPr>
        <w:t>K novele Daňového poriadku:</w:t>
      </w:r>
    </w:p>
    <w:p w:rsidR="00D21CDB" w:rsidRPr="00126DC3" w:rsidRDefault="00D21CDB" w:rsidP="00D21CDB">
      <w:pPr>
        <w:pStyle w:val="Odsekzoznamu"/>
        <w:numPr>
          <w:ilvl w:val="0"/>
          <w:numId w:val="8"/>
        </w:numPr>
        <w:ind w:left="567" w:hanging="425"/>
        <w:jc w:val="both"/>
        <w:rPr>
          <w:rFonts w:ascii="Times New Roman" w:hAnsi="Times New Roman"/>
          <w:sz w:val="24"/>
          <w:szCs w:val="24"/>
        </w:rPr>
      </w:pPr>
      <w:r w:rsidRPr="00126DC3">
        <w:rPr>
          <w:rFonts w:ascii="Times New Roman" w:hAnsi="Times New Roman"/>
          <w:sz w:val="24"/>
          <w:szCs w:val="24"/>
        </w:rPr>
        <w:t>úprava druhej šance pri sankciách – nakoľko sankcie sa ukladajú za porušenie ustanovení zákona,  nie je možné stanoviť počty daňových subjektov, ktorých sa úprava dotkne, nakoľko nemožno predvídať správanie daňových subjektov.</w:t>
      </w:r>
    </w:p>
    <w:p w:rsidR="00D21CDB" w:rsidRPr="00B93D71" w:rsidRDefault="00D21CDB" w:rsidP="00D21CDB">
      <w:pPr>
        <w:jc w:val="both"/>
        <w:rPr>
          <w:rFonts w:ascii="Times New Roman" w:hAnsi="Times New Roman"/>
          <w:b/>
          <w:sz w:val="24"/>
          <w:szCs w:val="24"/>
        </w:rPr>
      </w:pPr>
      <w:r w:rsidRPr="001F1B43">
        <w:rPr>
          <w:rFonts w:ascii="Times New Roman" w:hAnsi="Times New Roman"/>
          <w:b/>
          <w:sz w:val="24"/>
          <w:szCs w:val="24"/>
        </w:rPr>
        <w:t>3.2 Vyhodnotenie konzultácií s podnikateľskými subjektmi pred predbežným pripomienkovým konaním</w:t>
      </w:r>
    </w:p>
    <w:p w:rsidR="00D21CDB" w:rsidRPr="00B648DC" w:rsidRDefault="00D21CDB" w:rsidP="00D21CDB">
      <w:pPr>
        <w:jc w:val="both"/>
        <w:rPr>
          <w:rStyle w:val="awspan"/>
          <w:b/>
          <w:color w:val="000000"/>
          <w:sz w:val="24"/>
          <w:szCs w:val="24"/>
        </w:rPr>
      </w:pPr>
      <w:r>
        <w:rPr>
          <w:rStyle w:val="awspan"/>
          <w:color w:val="000000"/>
          <w:sz w:val="24"/>
          <w:szCs w:val="24"/>
        </w:rPr>
        <w:t xml:space="preserve">3.2.1  </w:t>
      </w:r>
      <w:r w:rsidRPr="00B648DC">
        <w:rPr>
          <w:rStyle w:val="awspan"/>
          <w:color w:val="000000"/>
          <w:sz w:val="24"/>
          <w:szCs w:val="24"/>
        </w:rPr>
        <w:t>K novele zákona o dani z príjmov:</w:t>
      </w:r>
    </w:p>
    <w:p w:rsidR="00D21CDB" w:rsidRDefault="00D21CDB" w:rsidP="00D21CDB">
      <w:pPr>
        <w:spacing w:after="0"/>
        <w:jc w:val="both"/>
        <w:rPr>
          <w:rFonts w:ascii="Times New Roman" w:hAnsi="Times New Roman"/>
          <w:sz w:val="24"/>
          <w:szCs w:val="24"/>
        </w:rPr>
      </w:pPr>
      <w:r w:rsidRPr="00000615">
        <w:rPr>
          <w:rFonts w:ascii="Times New Roman" w:hAnsi="Times New Roman"/>
          <w:sz w:val="24"/>
          <w:szCs w:val="24"/>
        </w:rPr>
        <w:t xml:space="preserve">Konzultácie </w:t>
      </w:r>
      <w:r>
        <w:rPr>
          <w:rFonts w:ascii="Times New Roman" w:hAnsi="Times New Roman"/>
          <w:sz w:val="24"/>
          <w:szCs w:val="24"/>
        </w:rPr>
        <w:t xml:space="preserve">k novele zákona </w:t>
      </w:r>
      <w:r w:rsidRPr="00000615">
        <w:rPr>
          <w:rFonts w:ascii="Times New Roman" w:hAnsi="Times New Roman"/>
          <w:sz w:val="24"/>
          <w:szCs w:val="24"/>
        </w:rPr>
        <w:t xml:space="preserve">prebehli online formou, a to v období od </w:t>
      </w:r>
      <w:r>
        <w:rPr>
          <w:rFonts w:ascii="Times New Roman" w:hAnsi="Times New Roman"/>
          <w:sz w:val="24"/>
          <w:szCs w:val="24"/>
        </w:rPr>
        <w:t>16. marca 2022 do 11. </w:t>
      </w:r>
      <w:r w:rsidRPr="00000615">
        <w:rPr>
          <w:rFonts w:ascii="Times New Roman" w:hAnsi="Times New Roman"/>
          <w:sz w:val="24"/>
          <w:szCs w:val="24"/>
        </w:rPr>
        <w:t xml:space="preserve">apríla 2022. </w:t>
      </w:r>
    </w:p>
    <w:p w:rsidR="00D21CDB" w:rsidRPr="003427ED" w:rsidRDefault="00D21CDB" w:rsidP="00D21CDB">
      <w:pPr>
        <w:spacing w:after="0"/>
        <w:jc w:val="both"/>
        <w:rPr>
          <w:rFonts w:ascii="Times New Roman" w:hAnsi="Times New Roman"/>
          <w:sz w:val="24"/>
          <w:szCs w:val="24"/>
        </w:rPr>
      </w:pPr>
      <w:r w:rsidRPr="003427ED">
        <w:rPr>
          <w:rFonts w:ascii="Times New Roman" w:hAnsi="Times New Roman"/>
          <w:sz w:val="24"/>
          <w:szCs w:val="24"/>
        </w:rPr>
        <w:t>Konzultácií sa zúčastnili:</w:t>
      </w:r>
    </w:p>
    <w:p w:rsidR="00D21CDB" w:rsidRDefault="00D21CDB" w:rsidP="00D21CDB">
      <w:pPr>
        <w:spacing w:after="0"/>
        <w:jc w:val="both"/>
        <w:rPr>
          <w:rFonts w:ascii="Times New Roman" w:hAnsi="Times New Roman"/>
          <w:sz w:val="24"/>
          <w:szCs w:val="24"/>
        </w:rPr>
      </w:pPr>
      <w:r w:rsidRPr="00AC580F">
        <w:rPr>
          <w:rFonts w:ascii="Times New Roman" w:hAnsi="Times New Roman"/>
          <w:sz w:val="24"/>
          <w:szCs w:val="24"/>
        </w:rPr>
        <w:t>Slovenská komora daňových poradcov</w:t>
      </w:r>
      <w:r>
        <w:rPr>
          <w:rFonts w:ascii="Times New Roman" w:hAnsi="Times New Roman"/>
          <w:sz w:val="24"/>
          <w:szCs w:val="24"/>
        </w:rPr>
        <w:t xml:space="preserve"> (SKDP)</w:t>
      </w:r>
    </w:p>
    <w:p w:rsidR="00D21CDB" w:rsidRPr="003427ED" w:rsidRDefault="00D21CDB" w:rsidP="00D21CDB">
      <w:pPr>
        <w:spacing w:after="0"/>
        <w:jc w:val="both"/>
        <w:rPr>
          <w:rFonts w:ascii="Times New Roman" w:hAnsi="Times New Roman"/>
          <w:sz w:val="24"/>
          <w:szCs w:val="24"/>
        </w:rPr>
      </w:pPr>
      <w:r>
        <w:rPr>
          <w:rFonts w:ascii="Times New Roman" w:hAnsi="Times New Roman"/>
          <w:sz w:val="24"/>
          <w:szCs w:val="24"/>
        </w:rPr>
        <w:t>Slovenská asociácia finančníkov (SAF)</w:t>
      </w:r>
    </w:p>
    <w:p w:rsidR="00D21CDB" w:rsidRDefault="00D21CDB" w:rsidP="00D21CDB">
      <w:pPr>
        <w:spacing w:after="0"/>
        <w:ind w:left="709" w:hanging="709"/>
        <w:jc w:val="both"/>
        <w:rPr>
          <w:rFonts w:ascii="Times New Roman" w:hAnsi="Times New Roman"/>
          <w:sz w:val="24"/>
          <w:szCs w:val="24"/>
        </w:rPr>
      </w:pPr>
      <w:r>
        <w:rPr>
          <w:rFonts w:ascii="Times New Roman" w:hAnsi="Times New Roman"/>
          <w:sz w:val="24"/>
          <w:szCs w:val="24"/>
        </w:rPr>
        <w:t>Asociácia priemyselných zväzov a dopravy (APZD) </w:t>
      </w:r>
    </w:p>
    <w:p w:rsidR="00D21CDB" w:rsidRDefault="00D21CDB" w:rsidP="00D21CDB">
      <w:pPr>
        <w:spacing w:after="0"/>
        <w:ind w:left="709" w:hanging="709"/>
        <w:jc w:val="both"/>
        <w:rPr>
          <w:rFonts w:ascii="Times New Roman" w:hAnsi="Times New Roman"/>
          <w:sz w:val="24"/>
          <w:szCs w:val="24"/>
        </w:rPr>
      </w:pPr>
      <w:r>
        <w:rPr>
          <w:rFonts w:ascii="Times New Roman" w:hAnsi="Times New Roman"/>
          <w:sz w:val="24"/>
          <w:szCs w:val="24"/>
        </w:rPr>
        <w:t>Slovenský živnostenský zväz (SŽZ)</w:t>
      </w:r>
    </w:p>
    <w:p w:rsidR="00D21CDB" w:rsidRPr="00AC580F" w:rsidRDefault="00D21CDB" w:rsidP="00D21CDB">
      <w:pPr>
        <w:spacing w:after="0"/>
        <w:ind w:left="709" w:hanging="709"/>
        <w:jc w:val="both"/>
        <w:rPr>
          <w:rFonts w:ascii="Times New Roman" w:hAnsi="Times New Roman"/>
          <w:sz w:val="24"/>
          <w:szCs w:val="24"/>
        </w:rPr>
      </w:pPr>
      <w:r w:rsidRPr="00AC580F">
        <w:rPr>
          <w:rFonts w:ascii="Times New Roman" w:hAnsi="Times New Roman"/>
          <w:sz w:val="24"/>
          <w:szCs w:val="24"/>
        </w:rPr>
        <w:t>Republiková únia zamestnávateľov</w:t>
      </w:r>
      <w:r>
        <w:rPr>
          <w:rFonts w:ascii="Times New Roman" w:hAnsi="Times New Roman"/>
          <w:sz w:val="24"/>
          <w:szCs w:val="24"/>
        </w:rPr>
        <w:t xml:space="preserve"> (RÚZ)</w:t>
      </w:r>
    </w:p>
    <w:p w:rsidR="00D21CDB" w:rsidRDefault="00D21CDB" w:rsidP="00D21CDB">
      <w:pPr>
        <w:spacing w:after="0"/>
        <w:ind w:left="709" w:hanging="709"/>
        <w:jc w:val="both"/>
        <w:rPr>
          <w:rFonts w:ascii="Times New Roman" w:hAnsi="Times New Roman"/>
          <w:sz w:val="24"/>
          <w:szCs w:val="24"/>
        </w:rPr>
      </w:pPr>
      <w:r w:rsidRPr="00AC580F">
        <w:rPr>
          <w:rFonts w:ascii="Times New Roman" w:hAnsi="Times New Roman"/>
          <w:sz w:val="24"/>
          <w:szCs w:val="24"/>
        </w:rPr>
        <w:t>Klub 500</w:t>
      </w:r>
    </w:p>
    <w:p w:rsidR="00D21CDB" w:rsidRDefault="00D21CDB" w:rsidP="00D21CDB">
      <w:pPr>
        <w:spacing w:after="0"/>
        <w:jc w:val="both"/>
        <w:rPr>
          <w:rFonts w:ascii="Times New Roman" w:hAnsi="Times New Roman"/>
          <w:sz w:val="24"/>
          <w:szCs w:val="24"/>
        </w:rPr>
      </w:pPr>
      <w:r>
        <w:rPr>
          <w:rFonts w:ascii="Times New Roman" w:hAnsi="Times New Roman"/>
          <w:sz w:val="24"/>
          <w:szCs w:val="24"/>
        </w:rPr>
        <w:t xml:space="preserve">Slovenské elektrárne, a. s. (SE) </w:t>
      </w:r>
    </w:p>
    <w:p w:rsidR="00D21CDB" w:rsidRDefault="00D21CDB" w:rsidP="00D21CDB">
      <w:pPr>
        <w:spacing w:after="0"/>
        <w:jc w:val="both"/>
        <w:rPr>
          <w:rFonts w:ascii="Times New Roman" w:hAnsi="Times New Roman"/>
          <w:sz w:val="24"/>
          <w:szCs w:val="24"/>
        </w:rPr>
      </w:pPr>
      <w:r>
        <w:rPr>
          <w:rFonts w:ascii="Times New Roman" w:hAnsi="Times New Roman"/>
          <w:sz w:val="24"/>
          <w:szCs w:val="24"/>
        </w:rPr>
        <w:t>Zväz automobilového priemyslu SR (ZAP) </w:t>
      </w:r>
    </w:p>
    <w:p w:rsidR="00D21CDB" w:rsidRPr="003427ED" w:rsidRDefault="00D21CDB" w:rsidP="00D21CDB">
      <w:pPr>
        <w:spacing w:after="0"/>
        <w:jc w:val="both"/>
        <w:rPr>
          <w:rFonts w:ascii="Times New Roman" w:hAnsi="Times New Roman"/>
          <w:sz w:val="24"/>
          <w:szCs w:val="24"/>
        </w:rPr>
      </w:pPr>
      <w:r>
        <w:rPr>
          <w:rFonts w:ascii="Times New Roman" w:hAnsi="Times New Roman"/>
          <w:sz w:val="24"/>
          <w:szCs w:val="24"/>
        </w:rPr>
        <w:t>Slovenská asociácia poisťovní (SLASPO)</w:t>
      </w:r>
    </w:p>
    <w:p w:rsidR="00D21CDB" w:rsidRDefault="00D21CDB" w:rsidP="00D21CDB">
      <w:pPr>
        <w:spacing w:after="0"/>
        <w:jc w:val="both"/>
        <w:rPr>
          <w:rFonts w:ascii="Times New Roman" w:hAnsi="Times New Roman"/>
          <w:sz w:val="24"/>
          <w:szCs w:val="24"/>
        </w:rPr>
      </w:pPr>
      <w:r w:rsidRPr="00AC580F">
        <w:rPr>
          <w:rFonts w:ascii="Times New Roman" w:hAnsi="Times New Roman"/>
          <w:sz w:val="24"/>
          <w:szCs w:val="24"/>
        </w:rPr>
        <w:t>Slovenská asociácia správcovských spoločností</w:t>
      </w:r>
      <w:r>
        <w:rPr>
          <w:rFonts w:ascii="Times New Roman" w:hAnsi="Times New Roman"/>
          <w:sz w:val="24"/>
          <w:szCs w:val="24"/>
        </w:rPr>
        <w:t xml:space="preserve"> (SASS)</w:t>
      </w:r>
      <w:r w:rsidRPr="003427ED">
        <w:rPr>
          <w:rFonts w:ascii="Times New Roman" w:hAnsi="Times New Roman"/>
          <w:sz w:val="24"/>
          <w:szCs w:val="24"/>
        </w:rPr>
        <w:tab/>
      </w:r>
    </w:p>
    <w:p w:rsidR="00D21CDB" w:rsidRDefault="00D21CDB" w:rsidP="00D21CDB">
      <w:pPr>
        <w:spacing w:after="0"/>
        <w:jc w:val="both"/>
        <w:rPr>
          <w:rFonts w:ascii="Times New Roman" w:hAnsi="Times New Roman"/>
          <w:sz w:val="24"/>
          <w:szCs w:val="24"/>
        </w:rPr>
      </w:pPr>
    </w:p>
    <w:p w:rsidR="00D21CDB" w:rsidRPr="00000615" w:rsidRDefault="00D21CDB" w:rsidP="00D21CDB">
      <w:pPr>
        <w:spacing w:after="0"/>
        <w:jc w:val="both"/>
        <w:rPr>
          <w:rFonts w:ascii="Times New Roman" w:hAnsi="Times New Roman"/>
          <w:sz w:val="24"/>
          <w:szCs w:val="24"/>
        </w:rPr>
      </w:pPr>
      <w:r w:rsidRPr="00000615">
        <w:rPr>
          <w:rFonts w:ascii="Times New Roman" w:hAnsi="Times New Roman"/>
          <w:sz w:val="24"/>
          <w:szCs w:val="24"/>
        </w:rPr>
        <w:t>Dotknuté subjekty boli oslovené emailovou formou. V rámci konzultáci</w:t>
      </w:r>
      <w:r>
        <w:rPr>
          <w:rFonts w:ascii="Times New Roman" w:hAnsi="Times New Roman"/>
          <w:sz w:val="24"/>
          <w:szCs w:val="24"/>
        </w:rPr>
        <w:t>í</w:t>
      </w:r>
      <w:r w:rsidRPr="00000615">
        <w:rPr>
          <w:rFonts w:ascii="Times New Roman" w:hAnsi="Times New Roman"/>
          <w:sz w:val="24"/>
          <w:szCs w:val="24"/>
        </w:rPr>
        <w:t xml:space="preserve"> oslovené subjekty vzniesli predovšetkým pripomienky k čo najširšiemu uplatneniu výnimiek z pravidla o obmedzení nákladových úrokov, ktoré umožňuje smernica ATAD, ale aj pripomienky nad rámec predbežnej informácie k novele zákona (pozri prehľad v prílohe).</w:t>
      </w:r>
    </w:p>
    <w:p w:rsidR="00D21CDB" w:rsidRDefault="00D21CDB" w:rsidP="00D21CDB">
      <w:pPr>
        <w:spacing w:after="0"/>
        <w:jc w:val="both"/>
        <w:rPr>
          <w:rFonts w:ascii="Times New Roman" w:hAnsi="Times New Roman"/>
          <w:i/>
          <w:sz w:val="24"/>
          <w:szCs w:val="24"/>
        </w:rPr>
      </w:pPr>
    </w:p>
    <w:tbl>
      <w:tblPr>
        <w:tblW w:w="9639" w:type="dxa"/>
        <w:tblInd w:w="-10" w:type="dxa"/>
        <w:tblCellMar>
          <w:left w:w="70" w:type="dxa"/>
          <w:right w:w="70" w:type="dxa"/>
        </w:tblCellMar>
        <w:tblLook w:val="04A0" w:firstRow="1" w:lastRow="0" w:firstColumn="1" w:lastColumn="0" w:noHBand="0" w:noVBand="1"/>
      </w:tblPr>
      <w:tblGrid>
        <w:gridCol w:w="960"/>
        <w:gridCol w:w="6553"/>
        <w:gridCol w:w="2126"/>
      </w:tblGrid>
      <w:tr w:rsidR="00D21CDB" w:rsidRPr="004530AF" w:rsidTr="006C5916">
        <w:trPr>
          <w:trHeight w:val="701"/>
        </w:trPr>
        <w:tc>
          <w:tcPr>
            <w:tcW w:w="960" w:type="dxa"/>
            <w:tcBorders>
              <w:top w:val="single" w:sz="8" w:space="0" w:color="666666"/>
              <w:left w:val="single" w:sz="8" w:space="0" w:color="666666"/>
              <w:bottom w:val="single" w:sz="12" w:space="0" w:color="666666"/>
              <w:right w:val="single" w:sz="8" w:space="0" w:color="666666"/>
            </w:tcBorders>
            <w:vAlign w:val="center"/>
            <w:hideMark/>
          </w:tcPr>
          <w:p w:rsidR="00D21CDB" w:rsidRPr="004530AF" w:rsidRDefault="00D21CDB" w:rsidP="006C5916">
            <w:pPr>
              <w:spacing w:after="0" w:line="240" w:lineRule="auto"/>
              <w:jc w:val="center"/>
              <w:rPr>
                <w:rFonts w:ascii="Times New Roman" w:hAnsi="Times New Roman"/>
                <w:b/>
                <w:bCs/>
                <w:color w:val="000000"/>
                <w:lang w:eastAsia="sk-SK"/>
              </w:rPr>
            </w:pPr>
            <w:r w:rsidRPr="004530AF">
              <w:rPr>
                <w:rFonts w:ascii="Times New Roman" w:hAnsi="Times New Roman"/>
                <w:b/>
                <w:bCs/>
                <w:color w:val="000000"/>
                <w:lang w:eastAsia="sk-SK"/>
              </w:rPr>
              <w:t xml:space="preserve">Číslo </w:t>
            </w:r>
          </w:p>
        </w:tc>
        <w:tc>
          <w:tcPr>
            <w:tcW w:w="6553" w:type="dxa"/>
            <w:tcBorders>
              <w:top w:val="single" w:sz="8" w:space="0" w:color="666666"/>
              <w:left w:val="nil"/>
              <w:bottom w:val="single" w:sz="12" w:space="0" w:color="666666"/>
              <w:right w:val="single" w:sz="8" w:space="0" w:color="666666"/>
            </w:tcBorders>
            <w:vAlign w:val="center"/>
            <w:hideMark/>
          </w:tcPr>
          <w:p w:rsidR="00D21CDB" w:rsidRPr="004530AF" w:rsidRDefault="00D21CDB" w:rsidP="006C5916">
            <w:pPr>
              <w:spacing w:after="0" w:line="240" w:lineRule="auto"/>
              <w:jc w:val="center"/>
              <w:rPr>
                <w:rFonts w:ascii="Times New Roman" w:hAnsi="Times New Roman"/>
                <w:b/>
                <w:bCs/>
                <w:color w:val="000000"/>
                <w:lang w:eastAsia="sk-SK"/>
              </w:rPr>
            </w:pPr>
            <w:r w:rsidRPr="004530AF">
              <w:rPr>
                <w:rFonts w:ascii="Times New Roman" w:hAnsi="Times New Roman"/>
                <w:b/>
                <w:bCs/>
                <w:color w:val="000000"/>
                <w:lang w:eastAsia="sk-SK"/>
              </w:rPr>
              <w:t xml:space="preserve">    Pripomienky k transpozícii pravidla o obmedzení nákladových úrokov (ATAD)</w:t>
            </w:r>
          </w:p>
        </w:tc>
        <w:tc>
          <w:tcPr>
            <w:tcW w:w="2126" w:type="dxa"/>
            <w:tcBorders>
              <w:top w:val="single" w:sz="8" w:space="0" w:color="666666"/>
              <w:left w:val="nil"/>
              <w:bottom w:val="single" w:sz="12" w:space="0" w:color="666666"/>
              <w:right w:val="single" w:sz="8" w:space="0" w:color="666666"/>
            </w:tcBorders>
            <w:vAlign w:val="center"/>
            <w:hideMark/>
          </w:tcPr>
          <w:p w:rsidR="00D21CDB" w:rsidRPr="004530AF" w:rsidRDefault="00D21CDB" w:rsidP="006C5916">
            <w:pPr>
              <w:spacing w:after="0" w:line="240" w:lineRule="auto"/>
              <w:jc w:val="center"/>
              <w:rPr>
                <w:rFonts w:ascii="Times New Roman" w:hAnsi="Times New Roman"/>
                <w:b/>
                <w:bCs/>
                <w:color w:val="000000"/>
                <w:lang w:eastAsia="sk-SK"/>
              </w:rPr>
            </w:pPr>
            <w:r w:rsidRPr="004530AF">
              <w:rPr>
                <w:rFonts w:ascii="Times New Roman" w:hAnsi="Times New Roman"/>
                <w:b/>
                <w:bCs/>
                <w:color w:val="000000"/>
                <w:lang w:eastAsia="sk-SK"/>
              </w:rPr>
              <w:t>Subjekt</w:t>
            </w:r>
          </w:p>
        </w:tc>
      </w:tr>
      <w:tr w:rsidR="00D21CDB" w:rsidRPr="004530AF" w:rsidTr="006C5916">
        <w:trPr>
          <w:trHeight w:val="236"/>
        </w:trPr>
        <w:tc>
          <w:tcPr>
            <w:tcW w:w="960" w:type="dxa"/>
            <w:tcBorders>
              <w:top w:val="nil"/>
              <w:left w:val="single" w:sz="8" w:space="0" w:color="666666"/>
              <w:bottom w:val="nil"/>
              <w:right w:val="single" w:sz="8" w:space="0" w:color="666666"/>
            </w:tcBorders>
            <w:shd w:val="clear" w:color="000000" w:fill="CCCCCC"/>
            <w:vAlign w:val="center"/>
            <w:hideMark/>
          </w:tcPr>
          <w:p w:rsidR="00D21CDB" w:rsidRPr="004530AF" w:rsidRDefault="00D21CDB" w:rsidP="006C5916">
            <w:pPr>
              <w:spacing w:after="0" w:line="240" w:lineRule="auto"/>
              <w:jc w:val="center"/>
              <w:rPr>
                <w:rFonts w:ascii="Times New Roman" w:hAnsi="Times New Roman"/>
                <w:b/>
                <w:bCs/>
                <w:color w:val="000000"/>
                <w:lang w:eastAsia="sk-SK"/>
              </w:rPr>
            </w:pPr>
            <w:r w:rsidRPr="004530AF">
              <w:rPr>
                <w:rFonts w:ascii="Times New Roman" w:hAnsi="Times New Roman"/>
                <w:b/>
                <w:bCs/>
                <w:color w:val="000000"/>
                <w:lang w:eastAsia="sk-SK"/>
              </w:rPr>
              <w:t>1.</w:t>
            </w:r>
          </w:p>
        </w:tc>
        <w:tc>
          <w:tcPr>
            <w:tcW w:w="6553" w:type="dxa"/>
            <w:tcBorders>
              <w:top w:val="nil"/>
              <w:left w:val="nil"/>
              <w:bottom w:val="nil"/>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b/>
                <w:bCs/>
                <w:color w:val="000000"/>
                <w:u w:val="single"/>
                <w:lang w:eastAsia="sk-SK"/>
              </w:rPr>
            </w:pPr>
            <w:r w:rsidRPr="004530AF">
              <w:rPr>
                <w:rFonts w:ascii="Times New Roman" w:hAnsi="Times New Roman"/>
                <w:b/>
                <w:bCs/>
                <w:color w:val="000000"/>
                <w:u w:val="single"/>
                <w:lang w:eastAsia="sk-SK"/>
              </w:rPr>
              <w:t>DE MINIMIS pravidlo:</w:t>
            </w:r>
          </w:p>
        </w:tc>
        <w:tc>
          <w:tcPr>
            <w:tcW w:w="2126" w:type="dxa"/>
            <w:vMerge w:val="restart"/>
            <w:tcBorders>
              <w:top w:val="nil"/>
              <w:left w:val="single" w:sz="8" w:space="0" w:color="666666"/>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center"/>
              <w:rPr>
                <w:rFonts w:ascii="Times New Roman" w:hAnsi="Times New Roman"/>
                <w:color w:val="000000"/>
                <w:lang w:eastAsia="sk-SK"/>
              </w:rPr>
            </w:pPr>
            <w:r w:rsidRPr="004530AF">
              <w:rPr>
                <w:rFonts w:ascii="Times New Roman" w:hAnsi="Times New Roman"/>
                <w:color w:val="000000"/>
                <w:lang w:eastAsia="sk-SK"/>
              </w:rPr>
              <w:t>SKDP, APZD, ZAP, RUZ, SŽZ, SAF, Klub 500</w:t>
            </w:r>
          </w:p>
        </w:tc>
      </w:tr>
      <w:tr w:rsidR="00D21CDB" w:rsidRPr="004530AF" w:rsidTr="006C5916">
        <w:trPr>
          <w:trHeight w:val="854"/>
        </w:trPr>
        <w:tc>
          <w:tcPr>
            <w:tcW w:w="960" w:type="dxa"/>
            <w:tcBorders>
              <w:top w:val="nil"/>
              <w:left w:val="single" w:sz="8" w:space="0" w:color="666666"/>
              <w:bottom w:val="nil"/>
              <w:right w:val="single" w:sz="8" w:space="0" w:color="666666"/>
            </w:tcBorders>
            <w:shd w:val="clear" w:color="000000" w:fill="CCCCCC"/>
            <w:vAlign w:val="center"/>
            <w:hideMark/>
          </w:tcPr>
          <w:p w:rsidR="00D21CDB" w:rsidRPr="004530AF" w:rsidRDefault="00D21CDB" w:rsidP="006C5916">
            <w:pPr>
              <w:spacing w:after="0" w:line="240" w:lineRule="auto"/>
              <w:rPr>
                <w:rFonts w:ascii="Times New Roman" w:hAnsi="Times New Roman"/>
                <w:b/>
                <w:bCs/>
                <w:color w:val="000000"/>
                <w:lang w:eastAsia="sk-SK"/>
              </w:rPr>
            </w:pPr>
            <w:r w:rsidRPr="004530AF">
              <w:rPr>
                <w:rFonts w:ascii="Times New Roman" w:hAnsi="Times New Roman"/>
                <w:b/>
                <w:bCs/>
                <w:color w:val="000000"/>
                <w:lang w:eastAsia="sk-SK"/>
              </w:rPr>
              <w:t> </w:t>
            </w:r>
          </w:p>
        </w:tc>
        <w:tc>
          <w:tcPr>
            <w:tcW w:w="6553" w:type="dxa"/>
            <w:tcBorders>
              <w:top w:val="nil"/>
              <w:left w:val="nil"/>
              <w:bottom w:val="nil"/>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V súlade s čl. 4 smernice ATAD zakomponovať tieto pravidlá do pravidiel v SR v čo najvyššej možnej miere [napr. v bode 3 - max. suma 3 mil. EUR presahujúcich nákladov na prijaté úvery a pôžičky (čisté úrokové náklady), ktorú je možné odpočítať bez obmedzenia],</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1022"/>
        </w:trPr>
        <w:tc>
          <w:tcPr>
            <w:tcW w:w="960" w:type="dxa"/>
            <w:tcBorders>
              <w:top w:val="nil"/>
              <w:left w:val="single" w:sz="8" w:space="0" w:color="666666"/>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rPr>
                <w:rFonts w:ascii="Times New Roman" w:hAnsi="Times New Roman"/>
                <w:b/>
                <w:bCs/>
                <w:color w:val="000000"/>
                <w:lang w:eastAsia="sk-SK"/>
              </w:rPr>
            </w:pPr>
            <w:r w:rsidRPr="004530AF">
              <w:rPr>
                <w:rFonts w:ascii="Times New Roman" w:hAnsi="Times New Roman"/>
                <w:b/>
                <w:bCs/>
                <w:color w:val="000000"/>
                <w:lang w:eastAsia="sk-SK"/>
              </w:rPr>
              <w:t> </w:t>
            </w:r>
          </w:p>
        </w:tc>
        <w:tc>
          <w:tcPr>
            <w:tcW w:w="6553" w:type="dxa"/>
            <w:tcBorders>
              <w:top w:val="nil"/>
              <w:left w:val="nil"/>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príkladom pre transpozíciu pravidiel smernice ATAD do slovenskej legislatívy by mohla byť ČR, ktorá momentálne uplatňuje pravidlo de minimis vo výške 80 mil. CZK (3 mil. EUR), výnimku pre finančné inštitúcie a možnosť uplatnenia neuznaných úrokových nákladov v budúcich zdaňovacích obdobiach.</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593"/>
        </w:trPr>
        <w:tc>
          <w:tcPr>
            <w:tcW w:w="960" w:type="dxa"/>
            <w:vMerge w:val="restart"/>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jc w:val="center"/>
              <w:rPr>
                <w:rFonts w:ascii="Times New Roman" w:hAnsi="Times New Roman"/>
                <w:b/>
                <w:bCs/>
                <w:color w:val="000000"/>
                <w:lang w:eastAsia="sk-SK"/>
              </w:rPr>
            </w:pPr>
            <w:r w:rsidRPr="004530AF">
              <w:rPr>
                <w:rFonts w:ascii="Times New Roman" w:hAnsi="Times New Roman"/>
                <w:b/>
                <w:bCs/>
                <w:color w:val="000000"/>
                <w:lang w:eastAsia="sk-SK"/>
              </w:rPr>
              <w:t>2.  </w:t>
            </w:r>
          </w:p>
        </w:tc>
        <w:tc>
          <w:tcPr>
            <w:tcW w:w="6553" w:type="dxa"/>
            <w:tcBorders>
              <w:top w:val="nil"/>
              <w:left w:val="nil"/>
              <w:bottom w:val="nil"/>
              <w:right w:val="single" w:sz="8" w:space="0" w:color="666666"/>
            </w:tcBorders>
            <w:vAlign w:val="center"/>
            <w:hideMark/>
          </w:tcPr>
          <w:p w:rsidR="00D21CDB" w:rsidRPr="004530AF" w:rsidRDefault="00D21CDB" w:rsidP="006C5916">
            <w:pPr>
              <w:spacing w:after="0" w:line="240" w:lineRule="auto"/>
              <w:jc w:val="both"/>
              <w:rPr>
                <w:rFonts w:ascii="Times New Roman" w:hAnsi="Times New Roman"/>
                <w:b/>
                <w:bCs/>
                <w:color w:val="000000"/>
                <w:u w:val="single"/>
                <w:lang w:eastAsia="sk-SK"/>
              </w:rPr>
            </w:pPr>
            <w:r w:rsidRPr="004530AF">
              <w:rPr>
                <w:rFonts w:ascii="Times New Roman" w:hAnsi="Times New Roman"/>
                <w:b/>
                <w:bCs/>
                <w:color w:val="000000"/>
                <w:u w:val="single"/>
                <w:lang w:eastAsia="sk-SK"/>
              </w:rPr>
              <w:t>Ponechať pravidlá o obmedzení nákladových úrokov iba pre závislé spoločnosti</w:t>
            </w:r>
          </w:p>
        </w:tc>
        <w:tc>
          <w:tcPr>
            <w:tcW w:w="2126" w:type="dxa"/>
            <w:vMerge w:val="restart"/>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jc w:val="center"/>
              <w:rPr>
                <w:rFonts w:ascii="Times New Roman" w:hAnsi="Times New Roman"/>
                <w:color w:val="000000"/>
                <w:lang w:eastAsia="sk-SK"/>
              </w:rPr>
            </w:pPr>
            <w:r w:rsidRPr="004530AF">
              <w:rPr>
                <w:rFonts w:ascii="Times New Roman" w:hAnsi="Times New Roman"/>
                <w:color w:val="000000"/>
                <w:lang w:eastAsia="sk-SK"/>
              </w:rPr>
              <w:t>SKDP, APZD, ZAP, RUZ, SŽZ, SE, SAF, Klub 500</w:t>
            </w:r>
          </w:p>
        </w:tc>
      </w:tr>
      <w:tr w:rsidR="00D21CDB" w:rsidRPr="004530AF" w:rsidTr="006C5916">
        <w:trPr>
          <w:trHeight w:val="204"/>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single" w:sz="8" w:space="0" w:color="666666"/>
              <w:right w:val="single" w:sz="8" w:space="0" w:color="666666"/>
            </w:tcBorders>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v súlade s čl. 4 bod 3 smernice ATAD</w:t>
            </w:r>
            <w:r w:rsidRPr="00787613">
              <w:rPr>
                <w:rFonts w:ascii="Times New Roman" w:hAnsi="Times New Roman"/>
                <w:lang w:eastAsia="sk-SK"/>
              </w:rPr>
              <w:t>,</w:t>
            </w:r>
            <w:r w:rsidRPr="00720D67">
              <w:rPr>
                <w:rFonts w:ascii="Times New Roman" w:hAnsi="Times New Roman"/>
                <w:color w:val="FF0000"/>
                <w:lang w:eastAsia="sk-SK"/>
              </w:rPr>
              <w:t xml:space="preserve"> </w:t>
            </w:r>
            <w:r w:rsidRPr="004530AF">
              <w:rPr>
                <w:rFonts w:ascii="Times New Roman" w:hAnsi="Times New Roman"/>
                <w:color w:val="000000"/>
                <w:lang w:eastAsia="sk-SK"/>
              </w:rPr>
              <w:t>ponechať len súčasný koncept závislých osôb.</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297"/>
        </w:trPr>
        <w:tc>
          <w:tcPr>
            <w:tcW w:w="960" w:type="dxa"/>
            <w:vMerge w:val="restart"/>
            <w:tcBorders>
              <w:top w:val="nil"/>
              <w:left w:val="single" w:sz="8" w:space="0" w:color="666666"/>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center"/>
              <w:rPr>
                <w:rFonts w:ascii="Times New Roman" w:hAnsi="Times New Roman"/>
                <w:b/>
                <w:bCs/>
                <w:color w:val="000000"/>
                <w:lang w:eastAsia="sk-SK"/>
              </w:rPr>
            </w:pPr>
            <w:r w:rsidRPr="004530AF">
              <w:rPr>
                <w:rFonts w:ascii="Times New Roman" w:hAnsi="Times New Roman"/>
                <w:b/>
                <w:bCs/>
                <w:color w:val="000000"/>
                <w:lang w:eastAsia="sk-SK"/>
              </w:rPr>
              <w:t>3.  </w:t>
            </w:r>
          </w:p>
        </w:tc>
        <w:tc>
          <w:tcPr>
            <w:tcW w:w="6553" w:type="dxa"/>
            <w:tcBorders>
              <w:top w:val="nil"/>
              <w:left w:val="nil"/>
              <w:bottom w:val="nil"/>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b/>
                <w:bCs/>
                <w:color w:val="000000"/>
                <w:u w:val="single"/>
                <w:lang w:eastAsia="sk-SK"/>
              </w:rPr>
            </w:pPr>
            <w:r w:rsidRPr="004530AF">
              <w:rPr>
                <w:rFonts w:ascii="Times New Roman" w:hAnsi="Times New Roman"/>
                <w:b/>
                <w:bCs/>
                <w:color w:val="000000"/>
                <w:u w:val="single"/>
                <w:lang w:eastAsia="sk-SK"/>
              </w:rPr>
              <w:t>Vylúčiť úroky z úverových zmlúv uzavretých pred 17. júnom 2016</w:t>
            </w:r>
          </w:p>
        </w:tc>
        <w:tc>
          <w:tcPr>
            <w:tcW w:w="2126" w:type="dxa"/>
            <w:vMerge w:val="restart"/>
            <w:tcBorders>
              <w:top w:val="nil"/>
              <w:left w:val="single" w:sz="8" w:space="0" w:color="666666"/>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center"/>
              <w:rPr>
                <w:rFonts w:ascii="Times New Roman" w:hAnsi="Times New Roman"/>
                <w:color w:val="000000"/>
                <w:lang w:eastAsia="sk-SK"/>
              </w:rPr>
            </w:pPr>
            <w:r w:rsidRPr="004530AF">
              <w:rPr>
                <w:rFonts w:ascii="Times New Roman" w:hAnsi="Times New Roman"/>
                <w:color w:val="000000"/>
                <w:lang w:eastAsia="sk-SK"/>
              </w:rPr>
              <w:t>SKDP, Klub 500</w:t>
            </w:r>
          </w:p>
        </w:tc>
      </w:tr>
      <w:tr w:rsidR="00D21CDB" w:rsidRPr="004530AF" w:rsidTr="006C5916">
        <w:trPr>
          <w:trHeight w:val="129"/>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nil"/>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v súlade s čl. 4 bod 4 smernice ATAD,</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417"/>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alternatívne úroky plynúce po nadobudnutí účinnosti transpozície smernice ATAD.</w:t>
            </w:r>
            <w:r w:rsidRPr="004530AF">
              <w:rPr>
                <w:rFonts w:ascii="Times New Roman" w:hAnsi="Times New Roman"/>
                <w:color w:val="000000"/>
                <w:u w:val="single"/>
                <w:lang w:eastAsia="sk-SK"/>
              </w:rPr>
              <w:t xml:space="preserve"> </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271"/>
        </w:trPr>
        <w:tc>
          <w:tcPr>
            <w:tcW w:w="960" w:type="dxa"/>
            <w:vMerge w:val="restart"/>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jc w:val="center"/>
              <w:rPr>
                <w:rFonts w:ascii="Times New Roman" w:hAnsi="Times New Roman"/>
                <w:b/>
                <w:bCs/>
                <w:color w:val="000000"/>
                <w:lang w:eastAsia="sk-SK"/>
              </w:rPr>
            </w:pPr>
            <w:r w:rsidRPr="004530AF">
              <w:rPr>
                <w:rFonts w:ascii="Times New Roman" w:hAnsi="Times New Roman"/>
                <w:b/>
                <w:bCs/>
                <w:color w:val="000000"/>
                <w:lang w:eastAsia="sk-SK"/>
              </w:rPr>
              <w:t>4.  </w:t>
            </w:r>
          </w:p>
        </w:tc>
        <w:tc>
          <w:tcPr>
            <w:tcW w:w="6553" w:type="dxa"/>
            <w:tcBorders>
              <w:top w:val="nil"/>
              <w:left w:val="nil"/>
              <w:bottom w:val="nil"/>
              <w:right w:val="single" w:sz="8" w:space="0" w:color="666666"/>
            </w:tcBorders>
            <w:vAlign w:val="center"/>
            <w:hideMark/>
          </w:tcPr>
          <w:p w:rsidR="00D21CDB" w:rsidRPr="004530AF" w:rsidRDefault="00D21CDB" w:rsidP="006C5916">
            <w:pPr>
              <w:spacing w:after="0" w:line="240" w:lineRule="auto"/>
              <w:jc w:val="both"/>
              <w:rPr>
                <w:rFonts w:ascii="Times New Roman" w:hAnsi="Times New Roman"/>
                <w:b/>
                <w:bCs/>
                <w:color w:val="000000"/>
                <w:u w:val="single"/>
                <w:lang w:eastAsia="sk-SK"/>
              </w:rPr>
            </w:pPr>
            <w:r w:rsidRPr="004530AF">
              <w:rPr>
                <w:rFonts w:ascii="Times New Roman" w:hAnsi="Times New Roman"/>
                <w:b/>
                <w:bCs/>
                <w:color w:val="000000"/>
                <w:u w:val="single"/>
                <w:lang w:eastAsia="sk-SK"/>
              </w:rPr>
              <w:t>Projekty verejnej infraštruktúry</w:t>
            </w:r>
          </w:p>
        </w:tc>
        <w:tc>
          <w:tcPr>
            <w:tcW w:w="2126" w:type="dxa"/>
            <w:tcBorders>
              <w:top w:val="nil"/>
              <w:left w:val="nil"/>
              <w:bottom w:val="nil"/>
              <w:right w:val="single" w:sz="8" w:space="0" w:color="666666"/>
            </w:tcBorders>
            <w:vAlign w:val="center"/>
            <w:hideMark/>
          </w:tcPr>
          <w:p w:rsidR="00D21CDB" w:rsidRPr="004530AF" w:rsidRDefault="00D21CDB" w:rsidP="006C5916">
            <w:pPr>
              <w:spacing w:after="0" w:line="240" w:lineRule="auto"/>
              <w:jc w:val="center"/>
              <w:rPr>
                <w:rFonts w:ascii="Times New Roman" w:hAnsi="Times New Roman"/>
                <w:color w:val="000000"/>
                <w:lang w:eastAsia="sk-SK"/>
              </w:rPr>
            </w:pPr>
            <w:r w:rsidRPr="004530AF">
              <w:rPr>
                <w:rFonts w:ascii="Times New Roman" w:hAnsi="Times New Roman"/>
                <w:color w:val="000000"/>
                <w:lang w:eastAsia="sk-SK"/>
              </w:rPr>
              <w:t>SKDP, Klub 500,</w:t>
            </w:r>
          </w:p>
        </w:tc>
      </w:tr>
      <w:tr w:rsidR="00D21CDB" w:rsidRPr="004530AF" w:rsidTr="006C5916">
        <w:trPr>
          <w:trHeight w:val="443"/>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nil"/>
              <w:right w:val="single" w:sz="8" w:space="0" w:color="666666"/>
            </w:tcBorders>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v súlade s čl. 4 bod 4 smernice ATAD vylúčiť z pravidiel úroky z úverov na dlhodobé projekty verejnej infraštruktúry,</w:t>
            </w:r>
          </w:p>
        </w:tc>
        <w:tc>
          <w:tcPr>
            <w:tcW w:w="2126" w:type="dxa"/>
            <w:tcBorders>
              <w:top w:val="nil"/>
              <w:left w:val="nil"/>
              <w:bottom w:val="nil"/>
              <w:right w:val="single" w:sz="8" w:space="0" w:color="666666"/>
            </w:tcBorders>
            <w:hideMark/>
          </w:tcPr>
          <w:p w:rsidR="00D21CDB" w:rsidRPr="004530AF" w:rsidRDefault="00D21CDB" w:rsidP="006C5916">
            <w:pPr>
              <w:spacing w:after="0" w:line="240" w:lineRule="auto"/>
              <w:rPr>
                <w:rFonts w:ascii="Times New Roman" w:hAnsi="Times New Roman"/>
                <w:color w:val="000000"/>
                <w:lang w:eastAsia="sk-SK"/>
              </w:rPr>
            </w:pPr>
            <w:r w:rsidRPr="004530AF">
              <w:rPr>
                <w:rFonts w:ascii="Times New Roman" w:hAnsi="Times New Roman"/>
                <w:color w:val="000000"/>
                <w:lang w:eastAsia="sk-SK"/>
              </w:rPr>
              <w:t> </w:t>
            </w:r>
          </w:p>
        </w:tc>
      </w:tr>
      <w:tr w:rsidR="00D21CDB" w:rsidRPr="004530AF" w:rsidTr="006C5916">
        <w:trPr>
          <w:trHeight w:val="305"/>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nil"/>
              <w:right w:val="single" w:sz="8" w:space="0" w:color="666666"/>
            </w:tcBorders>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otázka definície projektov verejnej infraštruktúry v podmienkach SR,</w:t>
            </w:r>
          </w:p>
        </w:tc>
        <w:tc>
          <w:tcPr>
            <w:tcW w:w="2126" w:type="dxa"/>
            <w:tcBorders>
              <w:top w:val="nil"/>
              <w:left w:val="nil"/>
              <w:bottom w:val="nil"/>
              <w:right w:val="single" w:sz="8" w:space="0" w:color="666666"/>
            </w:tcBorders>
            <w:vAlign w:val="center"/>
            <w:hideMark/>
          </w:tcPr>
          <w:p w:rsidR="00D21CDB" w:rsidRPr="004530AF" w:rsidRDefault="00D21CDB" w:rsidP="006C5916">
            <w:pPr>
              <w:spacing w:after="0" w:line="240" w:lineRule="auto"/>
              <w:jc w:val="center"/>
              <w:rPr>
                <w:rFonts w:ascii="Times New Roman" w:hAnsi="Times New Roman"/>
                <w:color w:val="000000"/>
                <w:lang w:eastAsia="sk-SK"/>
              </w:rPr>
            </w:pPr>
            <w:r w:rsidRPr="004530AF">
              <w:rPr>
                <w:rFonts w:ascii="Times New Roman" w:hAnsi="Times New Roman"/>
                <w:color w:val="000000"/>
                <w:lang w:eastAsia="sk-SK"/>
              </w:rPr>
              <w:t> </w:t>
            </w:r>
          </w:p>
        </w:tc>
      </w:tr>
      <w:tr w:rsidR="00D21CDB" w:rsidRPr="004530AF" w:rsidTr="006C5916">
        <w:trPr>
          <w:trHeight w:val="268"/>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nil"/>
              <w:right w:val="single" w:sz="8" w:space="0" w:color="666666"/>
            </w:tcBorders>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rozsiahle investície vo verejnom záujme – budovanie 3. a 4. bloku Mochovce,</w:t>
            </w:r>
          </w:p>
        </w:tc>
        <w:tc>
          <w:tcPr>
            <w:tcW w:w="2126" w:type="dxa"/>
            <w:tcBorders>
              <w:top w:val="nil"/>
              <w:left w:val="nil"/>
              <w:bottom w:val="nil"/>
              <w:right w:val="single" w:sz="8" w:space="0" w:color="666666"/>
            </w:tcBorders>
            <w:hideMark/>
          </w:tcPr>
          <w:p w:rsidR="00D21CDB" w:rsidRPr="004530AF" w:rsidRDefault="00D21CDB" w:rsidP="006C5916">
            <w:pPr>
              <w:spacing w:after="0" w:line="240" w:lineRule="auto"/>
              <w:rPr>
                <w:rFonts w:ascii="Times New Roman" w:hAnsi="Times New Roman"/>
                <w:color w:val="000000"/>
                <w:lang w:eastAsia="sk-SK"/>
              </w:rPr>
            </w:pPr>
            <w:r w:rsidRPr="004530AF">
              <w:rPr>
                <w:rFonts w:ascii="Times New Roman" w:hAnsi="Times New Roman"/>
                <w:color w:val="000000"/>
                <w:lang w:eastAsia="sk-SK"/>
              </w:rPr>
              <w:t> </w:t>
            </w:r>
          </w:p>
        </w:tc>
      </w:tr>
      <w:tr w:rsidR="00D21CDB" w:rsidRPr="004530AF" w:rsidTr="006C5916">
        <w:trPr>
          <w:trHeight w:val="60"/>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nil"/>
              <w:right w:val="single" w:sz="8" w:space="0" w:color="666666"/>
            </w:tcBorders>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zavedenie výnimky na investície tohto druhu.</w:t>
            </w:r>
          </w:p>
        </w:tc>
        <w:tc>
          <w:tcPr>
            <w:tcW w:w="2126" w:type="dxa"/>
            <w:tcBorders>
              <w:top w:val="nil"/>
              <w:left w:val="nil"/>
              <w:bottom w:val="nil"/>
              <w:right w:val="single" w:sz="8" w:space="0" w:color="666666"/>
            </w:tcBorders>
            <w:vAlign w:val="center"/>
            <w:hideMark/>
          </w:tcPr>
          <w:p w:rsidR="00D21CDB" w:rsidRPr="004530AF" w:rsidRDefault="00D21CDB" w:rsidP="006C5916">
            <w:pPr>
              <w:spacing w:after="0" w:line="240" w:lineRule="auto"/>
              <w:jc w:val="center"/>
              <w:rPr>
                <w:rFonts w:ascii="Times New Roman" w:hAnsi="Times New Roman"/>
                <w:color w:val="000000"/>
                <w:lang w:eastAsia="sk-SK"/>
              </w:rPr>
            </w:pPr>
            <w:r w:rsidRPr="004530AF">
              <w:rPr>
                <w:rFonts w:ascii="Times New Roman" w:hAnsi="Times New Roman"/>
                <w:color w:val="000000"/>
                <w:lang w:eastAsia="sk-SK"/>
              </w:rPr>
              <w:t> </w:t>
            </w:r>
          </w:p>
        </w:tc>
      </w:tr>
      <w:tr w:rsidR="00D21CDB" w:rsidRPr="004530AF" w:rsidTr="006C5916">
        <w:trPr>
          <w:trHeight w:val="60"/>
        </w:trPr>
        <w:tc>
          <w:tcPr>
            <w:tcW w:w="960" w:type="dxa"/>
            <w:vMerge w:val="restart"/>
            <w:tcBorders>
              <w:top w:val="nil"/>
              <w:left w:val="single" w:sz="8" w:space="0" w:color="666666"/>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center"/>
              <w:rPr>
                <w:rFonts w:ascii="Times New Roman" w:hAnsi="Times New Roman"/>
                <w:b/>
                <w:bCs/>
                <w:color w:val="000000"/>
                <w:lang w:eastAsia="sk-SK"/>
              </w:rPr>
            </w:pPr>
            <w:r w:rsidRPr="004530AF">
              <w:rPr>
                <w:rFonts w:ascii="Times New Roman" w:hAnsi="Times New Roman"/>
                <w:b/>
                <w:bCs/>
                <w:color w:val="000000"/>
                <w:lang w:eastAsia="sk-SK"/>
              </w:rPr>
              <w:t>5.  </w:t>
            </w:r>
          </w:p>
        </w:tc>
        <w:tc>
          <w:tcPr>
            <w:tcW w:w="6553" w:type="dxa"/>
            <w:tcBorders>
              <w:top w:val="nil"/>
              <w:left w:val="nil"/>
              <w:bottom w:val="nil"/>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b/>
                <w:bCs/>
                <w:color w:val="000000"/>
                <w:u w:val="single"/>
                <w:lang w:eastAsia="sk-SK"/>
              </w:rPr>
            </w:pPr>
            <w:r w:rsidRPr="004530AF">
              <w:rPr>
                <w:rFonts w:ascii="Times New Roman" w:hAnsi="Times New Roman"/>
                <w:b/>
                <w:bCs/>
                <w:color w:val="000000"/>
                <w:u w:val="single"/>
                <w:lang w:eastAsia="sk-SK"/>
              </w:rPr>
              <w:t>Podniky konsolidovaného celku</w:t>
            </w:r>
          </w:p>
        </w:tc>
        <w:tc>
          <w:tcPr>
            <w:tcW w:w="2126" w:type="dxa"/>
            <w:vMerge w:val="restart"/>
            <w:tcBorders>
              <w:top w:val="nil"/>
              <w:left w:val="single" w:sz="8" w:space="0" w:color="666666"/>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center"/>
              <w:rPr>
                <w:rFonts w:ascii="Times New Roman" w:hAnsi="Times New Roman"/>
                <w:color w:val="000000"/>
                <w:lang w:eastAsia="sk-SK"/>
              </w:rPr>
            </w:pPr>
            <w:r w:rsidRPr="004530AF">
              <w:rPr>
                <w:rFonts w:ascii="Times New Roman" w:hAnsi="Times New Roman"/>
                <w:color w:val="000000"/>
                <w:lang w:eastAsia="sk-SK"/>
              </w:rPr>
              <w:t>SKDP, RUZ, SAF</w:t>
            </w:r>
          </w:p>
        </w:tc>
      </w:tr>
      <w:tr w:rsidR="00D21CDB" w:rsidRPr="004530AF" w:rsidTr="006C5916">
        <w:trPr>
          <w:trHeight w:val="635"/>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xml:space="preserve">- v súlade s čl. 4 bod 5 smernice ATAD uznať úrokové náklady na základe kritéria pomeru vlastného imania k majetku alebo skupinového EBITDA testu. </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367"/>
        </w:trPr>
        <w:tc>
          <w:tcPr>
            <w:tcW w:w="960" w:type="dxa"/>
            <w:vMerge w:val="restart"/>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jc w:val="center"/>
              <w:rPr>
                <w:rFonts w:ascii="Times New Roman" w:hAnsi="Times New Roman"/>
                <w:b/>
                <w:bCs/>
                <w:color w:val="000000"/>
                <w:lang w:eastAsia="sk-SK"/>
              </w:rPr>
            </w:pPr>
            <w:r w:rsidRPr="004530AF">
              <w:rPr>
                <w:rFonts w:ascii="Times New Roman" w:hAnsi="Times New Roman"/>
                <w:b/>
                <w:bCs/>
                <w:color w:val="000000"/>
                <w:lang w:eastAsia="sk-SK"/>
              </w:rPr>
              <w:t>6.  </w:t>
            </w:r>
          </w:p>
        </w:tc>
        <w:tc>
          <w:tcPr>
            <w:tcW w:w="6553" w:type="dxa"/>
            <w:tcBorders>
              <w:top w:val="nil"/>
              <w:left w:val="nil"/>
              <w:bottom w:val="nil"/>
              <w:right w:val="single" w:sz="8" w:space="0" w:color="666666"/>
            </w:tcBorders>
            <w:vAlign w:val="center"/>
            <w:hideMark/>
          </w:tcPr>
          <w:p w:rsidR="00D21CDB" w:rsidRPr="004530AF" w:rsidRDefault="00D21CDB" w:rsidP="006C5916">
            <w:pPr>
              <w:spacing w:after="0" w:line="240" w:lineRule="auto"/>
              <w:jc w:val="both"/>
              <w:rPr>
                <w:rFonts w:ascii="Times New Roman" w:hAnsi="Times New Roman"/>
                <w:b/>
                <w:bCs/>
                <w:color w:val="000000"/>
                <w:u w:val="single"/>
                <w:lang w:eastAsia="sk-SK"/>
              </w:rPr>
            </w:pPr>
            <w:r w:rsidRPr="004530AF">
              <w:rPr>
                <w:rFonts w:ascii="Times New Roman" w:hAnsi="Times New Roman"/>
                <w:b/>
                <w:bCs/>
                <w:color w:val="000000"/>
                <w:u w:val="single"/>
                <w:lang w:eastAsia="sk-SK"/>
              </w:rPr>
              <w:t>Prenos neuznaných nákladov na prijaté úvery a pôžičky, nevyužitá úroková kapacita</w:t>
            </w:r>
          </w:p>
        </w:tc>
        <w:tc>
          <w:tcPr>
            <w:tcW w:w="2126" w:type="dxa"/>
            <w:vMerge w:val="restart"/>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jc w:val="center"/>
              <w:rPr>
                <w:rFonts w:ascii="Times New Roman" w:hAnsi="Times New Roman"/>
                <w:color w:val="000000"/>
                <w:lang w:eastAsia="sk-SK"/>
              </w:rPr>
            </w:pPr>
            <w:r w:rsidRPr="004530AF">
              <w:rPr>
                <w:rFonts w:ascii="Times New Roman" w:hAnsi="Times New Roman"/>
                <w:color w:val="000000"/>
                <w:lang w:eastAsia="sk-SK"/>
              </w:rPr>
              <w:t>SKDP, APZD, ZAP, RUZ, SE, SAF, Klub 500</w:t>
            </w:r>
          </w:p>
        </w:tc>
      </w:tr>
      <w:tr w:rsidR="00D21CDB" w:rsidRPr="004530AF" w:rsidTr="006C5916">
        <w:trPr>
          <w:trHeight w:val="641"/>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single" w:sz="8" w:space="0" w:color="666666"/>
              <w:right w:val="single" w:sz="8" w:space="0" w:color="666666"/>
            </w:tcBorders>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v súlade s čl. 4 bod 6 smernice prenos časti daňovo neuznaných úrokových nákladov do budúcich období, prípadne možnosť ich spätného uznania v predchádzajúcich obdobiach.</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351"/>
        </w:trPr>
        <w:tc>
          <w:tcPr>
            <w:tcW w:w="960" w:type="dxa"/>
            <w:vMerge w:val="restart"/>
            <w:tcBorders>
              <w:top w:val="nil"/>
              <w:left w:val="single" w:sz="8" w:space="0" w:color="666666"/>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center"/>
              <w:rPr>
                <w:rFonts w:ascii="Times New Roman" w:hAnsi="Times New Roman"/>
                <w:b/>
                <w:bCs/>
                <w:color w:val="000000"/>
                <w:lang w:eastAsia="sk-SK"/>
              </w:rPr>
            </w:pPr>
            <w:r w:rsidRPr="004530AF">
              <w:rPr>
                <w:rFonts w:ascii="Times New Roman" w:hAnsi="Times New Roman"/>
                <w:b/>
                <w:bCs/>
                <w:color w:val="000000"/>
                <w:lang w:eastAsia="sk-SK"/>
              </w:rPr>
              <w:t>7.  </w:t>
            </w:r>
          </w:p>
        </w:tc>
        <w:tc>
          <w:tcPr>
            <w:tcW w:w="6553" w:type="dxa"/>
            <w:tcBorders>
              <w:top w:val="nil"/>
              <w:left w:val="nil"/>
              <w:bottom w:val="nil"/>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b/>
                <w:bCs/>
                <w:color w:val="000000"/>
                <w:u w:val="single"/>
                <w:lang w:eastAsia="sk-SK"/>
              </w:rPr>
            </w:pPr>
            <w:r w:rsidRPr="004530AF">
              <w:rPr>
                <w:rFonts w:ascii="Times New Roman" w:hAnsi="Times New Roman"/>
                <w:b/>
                <w:bCs/>
                <w:color w:val="000000"/>
                <w:u w:val="single"/>
                <w:lang w:eastAsia="sk-SK"/>
              </w:rPr>
              <w:t>Výnimka pre finančné inštitúcie</w:t>
            </w:r>
          </w:p>
        </w:tc>
        <w:tc>
          <w:tcPr>
            <w:tcW w:w="2126" w:type="dxa"/>
            <w:vMerge w:val="restart"/>
            <w:tcBorders>
              <w:top w:val="nil"/>
              <w:left w:val="single" w:sz="8" w:space="0" w:color="666666"/>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center"/>
              <w:rPr>
                <w:rFonts w:ascii="Times New Roman" w:hAnsi="Times New Roman"/>
                <w:color w:val="000000"/>
                <w:lang w:eastAsia="sk-SK"/>
              </w:rPr>
            </w:pPr>
            <w:r w:rsidRPr="004530AF">
              <w:rPr>
                <w:rFonts w:ascii="Times New Roman" w:hAnsi="Times New Roman"/>
                <w:color w:val="000000"/>
                <w:lang w:eastAsia="sk-SK"/>
              </w:rPr>
              <w:t>SKDP</w:t>
            </w:r>
          </w:p>
        </w:tc>
      </w:tr>
      <w:tr w:rsidR="00D21CDB" w:rsidRPr="004530AF" w:rsidTr="006C5916">
        <w:trPr>
          <w:trHeight w:val="660"/>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nil"/>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v súlade s čl. 4 bod 7 smernice ATAD vylúčiť z pravidiel finančné podniky, pri ktorých ani v súčasnosti nie sú pravidlá nízkej kapitalizácie uplatňované,</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60"/>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otázka ich definície v zmysle smernice ATAD.</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345"/>
        </w:trPr>
        <w:tc>
          <w:tcPr>
            <w:tcW w:w="960" w:type="dxa"/>
            <w:tcBorders>
              <w:top w:val="nil"/>
              <w:left w:val="single" w:sz="8" w:space="0" w:color="666666"/>
              <w:bottom w:val="single" w:sz="4" w:space="0" w:color="auto"/>
              <w:right w:val="single" w:sz="8" w:space="0" w:color="666666"/>
            </w:tcBorders>
            <w:vAlign w:val="center"/>
            <w:hideMark/>
          </w:tcPr>
          <w:p w:rsidR="00D21CDB" w:rsidRPr="004530AF" w:rsidRDefault="00D21CDB" w:rsidP="006C5916">
            <w:pPr>
              <w:spacing w:after="0" w:line="240" w:lineRule="auto"/>
              <w:jc w:val="center"/>
              <w:rPr>
                <w:rFonts w:ascii="Times New Roman" w:hAnsi="Times New Roman"/>
                <w:b/>
                <w:bCs/>
                <w:color w:val="000000"/>
                <w:lang w:eastAsia="sk-SK"/>
              </w:rPr>
            </w:pPr>
            <w:r w:rsidRPr="004530AF">
              <w:rPr>
                <w:rFonts w:ascii="Times New Roman" w:hAnsi="Times New Roman"/>
                <w:b/>
                <w:bCs/>
                <w:color w:val="000000"/>
                <w:lang w:eastAsia="sk-SK"/>
              </w:rPr>
              <w:t>8.  </w:t>
            </w:r>
          </w:p>
        </w:tc>
        <w:tc>
          <w:tcPr>
            <w:tcW w:w="6553" w:type="dxa"/>
            <w:tcBorders>
              <w:top w:val="nil"/>
              <w:left w:val="nil"/>
              <w:bottom w:val="single" w:sz="4" w:space="0" w:color="auto"/>
              <w:right w:val="single" w:sz="8" w:space="0" w:color="666666"/>
            </w:tcBorders>
            <w:vAlign w:val="center"/>
            <w:hideMark/>
          </w:tcPr>
          <w:p w:rsidR="00D21CDB" w:rsidRPr="004530AF" w:rsidRDefault="00D21CDB" w:rsidP="006C5916">
            <w:pPr>
              <w:spacing w:after="0" w:line="240" w:lineRule="auto"/>
              <w:jc w:val="both"/>
              <w:rPr>
                <w:rFonts w:ascii="Times New Roman" w:hAnsi="Times New Roman"/>
                <w:b/>
                <w:bCs/>
                <w:color w:val="000000"/>
                <w:u w:val="single"/>
                <w:lang w:eastAsia="sk-SK"/>
              </w:rPr>
            </w:pPr>
            <w:r w:rsidRPr="004530AF">
              <w:rPr>
                <w:rFonts w:ascii="Times New Roman" w:hAnsi="Times New Roman"/>
                <w:b/>
                <w:bCs/>
                <w:color w:val="000000"/>
                <w:u w:val="single"/>
                <w:lang w:eastAsia="sk-SK"/>
              </w:rPr>
              <w:t>Ponechať v súčasnosti platné pravidlá  nízkej kapitalizácie v § 21a ZDP</w:t>
            </w:r>
          </w:p>
        </w:tc>
        <w:tc>
          <w:tcPr>
            <w:tcW w:w="2126" w:type="dxa"/>
            <w:tcBorders>
              <w:top w:val="nil"/>
              <w:left w:val="nil"/>
              <w:bottom w:val="single" w:sz="4" w:space="0" w:color="auto"/>
              <w:right w:val="single" w:sz="8" w:space="0" w:color="666666"/>
            </w:tcBorders>
            <w:vAlign w:val="center"/>
            <w:hideMark/>
          </w:tcPr>
          <w:p w:rsidR="00D21CDB" w:rsidRPr="004530AF" w:rsidRDefault="00D21CDB" w:rsidP="006C5916">
            <w:pPr>
              <w:spacing w:after="0" w:line="240" w:lineRule="auto"/>
              <w:jc w:val="center"/>
              <w:rPr>
                <w:rFonts w:ascii="Times New Roman" w:hAnsi="Times New Roman"/>
                <w:color w:val="000000"/>
                <w:lang w:eastAsia="sk-SK"/>
              </w:rPr>
            </w:pPr>
            <w:r w:rsidRPr="004530AF">
              <w:rPr>
                <w:rFonts w:ascii="Times New Roman" w:hAnsi="Times New Roman"/>
                <w:color w:val="000000"/>
                <w:lang w:eastAsia="sk-SK"/>
              </w:rPr>
              <w:t>SAF</w:t>
            </w:r>
          </w:p>
        </w:tc>
      </w:tr>
      <w:tr w:rsidR="00D21CDB" w:rsidRPr="004530AF" w:rsidTr="006C5916">
        <w:trPr>
          <w:trHeight w:val="345"/>
        </w:trPr>
        <w:tc>
          <w:tcPr>
            <w:tcW w:w="960" w:type="dxa"/>
            <w:tcBorders>
              <w:top w:val="single" w:sz="4" w:space="0" w:color="auto"/>
              <w:left w:val="single" w:sz="8" w:space="0" w:color="666666"/>
              <w:bottom w:val="single" w:sz="8" w:space="0" w:color="666666"/>
              <w:right w:val="single" w:sz="8" w:space="0" w:color="666666"/>
            </w:tcBorders>
            <w:shd w:val="clear" w:color="000000" w:fill="FFFFFF"/>
            <w:vAlign w:val="center"/>
            <w:hideMark/>
          </w:tcPr>
          <w:p w:rsidR="00D21CDB" w:rsidRPr="004530AF" w:rsidRDefault="00D21CDB" w:rsidP="006C5916">
            <w:pPr>
              <w:spacing w:after="0" w:line="240" w:lineRule="auto"/>
              <w:rPr>
                <w:rFonts w:ascii="Times New Roman" w:hAnsi="Times New Roman"/>
                <w:b/>
                <w:bCs/>
                <w:color w:val="000000"/>
                <w:lang w:eastAsia="sk-SK"/>
              </w:rPr>
            </w:pPr>
            <w:r w:rsidRPr="004530AF">
              <w:rPr>
                <w:rFonts w:ascii="Times New Roman" w:hAnsi="Times New Roman"/>
                <w:b/>
                <w:bCs/>
                <w:color w:val="000000"/>
                <w:lang w:eastAsia="sk-SK"/>
              </w:rPr>
              <w:t> </w:t>
            </w:r>
          </w:p>
        </w:tc>
        <w:tc>
          <w:tcPr>
            <w:tcW w:w="6553" w:type="dxa"/>
            <w:tcBorders>
              <w:top w:val="single" w:sz="4" w:space="0" w:color="auto"/>
              <w:left w:val="nil"/>
              <w:bottom w:val="single" w:sz="8" w:space="0" w:color="666666"/>
              <w:right w:val="single" w:sz="8" w:space="0" w:color="666666"/>
            </w:tcBorders>
            <w:shd w:val="clear" w:color="000000" w:fill="FFFFFF"/>
            <w:vAlign w:val="center"/>
            <w:hideMark/>
          </w:tcPr>
          <w:p w:rsidR="00D21CDB" w:rsidRPr="004530AF" w:rsidRDefault="00D21CDB" w:rsidP="006C5916">
            <w:pPr>
              <w:spacing w:after="0" w:line="240" w:lineRule="auto"/>
              <w:jc w:val="center"/>
              <w:rPr>
                <w:rFonts w:ascii="Times New Roman" w:hAnsi="Times New Roman"/>
                <w:b/>
                <w:bCs/>
                <w:color w:val="000000"/>
                <w:lang w:eastAsia="sk-SK"/>
              </w:rPr>
            </w:pPr>
            <w:r w:rsidRPr="004530AF">
              <w:rPr>
                <w:rFonts w:ascii="Times New Roman" w:hAnsi="Times New Roman"/>
                <w:b/>
                <w:bCs/>
                <w:color w:val="000000"/>
                <w:lang w:eastAsia="sk-SK"/>
              </w:rPr>
              <w:t>Nad rámec konzultácie k zákonu o dani z príjmov</w:t>
            </w:r>
          </w:p>
        </w:tc>
        <w:tc>
          <w:tcPr>
            <w:tcW w:w="2126" w:type="dxa"/>
            <w:tcBorders>
              <w:top w:val="single" w:sz="4" w:space="0" w:color="auto"/>
              <w:left w:val="nil"/>
              <w:bottom w:val="single" w:sz="8" w:space="0" w:color="666666"/>
              <w:right w:val="single" w:sz="8" w:space="0" w:color="666666"/>
            </w:tcBorders>
            <w:shd w:val="clear" w:color="000000" w:fill="FFFFFF"/>
            <w:vAlign w:val="center"/>
            <w:hideMark/>
          </w:tcPr>
          <w:p w:rsidR="00D21CDB" w:rsidRPr="004530AF" w:rsidRDefault="00D21CDB" w:rsidP="006C5916">
            <w:pPr>
              <w:spacing w:after="0" w:line="240" w:lineRule="auto"/>
              <w:jc w:val="center"/>
              <w:rPr>
                <w:rFonts w:ascii="Times New Roman" w:hAnsi="Times New Roman"/>
                <w:color w:val="000000"/>
                <w:lang w:eastAsia="sk-SK"/>
              </w:rPr>
            </w:pPr>
            <w:r w:rsidRPr="004530AF">
              <w:rPr>
                <w:rFonts w:ascii="Times New Roman" w:hAnsi="Times New Roman"/>
                <w:color w:val="000000"/>
                <w:lang w:eastAsia="sk-SK"/>
              </w:rPr>
              <w:t> </w:t>
            </w:r>
          </w:p>
        </w:tc>
      </w:tr>
      <w:tr w:rsidR="00D21CDB" w:rsidRPr="004530AF" w:rsidTr="006C5916">
        <w:trPr>
          <w:trHeight w:val="660"/>
        </w:trPr>
        <w:tc>
          <w:tcPr>
            <w:tcW w:w="960" w:type="dxa"/>
            <w:vMerge w:val="restart"/>
            <w:tcBorders>
              <w:top w:val="nil"/>
              <w:left w:val="single" w:sz="8" w:space="0" w:color="666666"/>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center"/>
              <w:rPr>
                <w:rFonts w:ascii="Times New Roman" w:hAnsi="Times New Roman"/>
                <w:b/>
                <w:bCs/>
                <w:color w:val="000000"/>
                <w:lang w:eastAsia="sk-SK"/>
              </w:rPr>
            </w:pPr>
            <w:r w:rsidRPr="004530AF">
              <w:rPr>
                <w:rFonts w:ascii="Times New Roman" w:hAnsi="Times New Roman"/>
                <w:b/>
                <w:bCs/>
                <w:color w:val="000000"/>
                <w:lang w:eastAsia="sk-SK"/>
              </w:rPr>
              <w:lastRenderedPageBreak/>
              <w:t>9.  </w:t>
            </w:r>
          </w:p>
        </w:tc>
        <w:tc>
          <w:tcPr>
            <w:tcW w:w="6553" w:type="dxa"/>
            <w:tcBorders>
              <w:top w:val="nil"/>
              <w:left w:val="nil"/>
              <w:bottom w:val="nil"/>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b/>
                <w:bCs/>
                <w:color w:val="000000"/>
                <w:u w:val="single"/>
                <w:lang w:eastAsia="sk-SK"/>
              </w:rPr>
            </w:pPr>
            <w:r w:rsidRPr="004530AF">
              <w:rPr>
                <w:rFonts w:ascii="Times New Roman" w:hAnsi="Times New Roman"/>
                <w:b/>
                <w:bCs/>
                <w:color w:val="000000"/>
                <w:u w:val="single"/>
                <w:lang w:eastAsia="sk-SK"/>
              </w:rPr>
              <w:t>Implementácia medzinárodného účtovného štandardu IFRS 17 u poisťovní – technické rezervy v poisťovníctve</w:t>
            </w:r>
          </w:p>
        </w:tc>
        <w:tc>
          <w:tcPr>
            <w:tcW w:w="2126" w:type="dxa"/>
            <w:vMerge w:val="restart"/>
            <w:tcBorders>
              <w:top w:val="nil"/>
              <w:left w:val="single" w:sz="8" w:space="0" w:color="666666"/>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center"/>
              <w:rPr>
                <w:rFonts w:ascii="Times New Roman" w:hAnsi="Times New Roman"/>
                <w:color w:val="000000"/>
                <w:lang w:eastAsia="sk-SK"/>
              </w:rPr>
            </w:pPr>
            <w:r w:rsidRPr="004530AF">
              <w:rPr>
                <w:rFonts w:ascii="Times New Roman" w:hAnsi="Times New Roman"/>
                <w:color w:val="000000"/>
                <w:lang w:eastAsia="sk-SK"/>
              </w:rPr>
              <w:t>SLASPO</w:t>
            </w:r>
          </w:p>
        </w:tc>
      </w:tr>
      <w:tr w:rsidR="00D21CDB" w:rsidRPr="004530AF" w:rsidTr="006C5916">
        <w:trPr>
          <w:trHeight w:val="60"/>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nil"/>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implementácia IFRS 17 už do pripravovanej novely,</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330"/>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nil"/>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úprava tvorby technických rezerv,</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60"/>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nil"/>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vypracovanie metodického pokynu (FR SR, MF SR),</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60"/>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jednoduchá úprava hospodárskeho výsledku vykázaného v súlade s IFRS na daňový základ.</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330"/>
        </w:trPr>
        <w:tc>
          <w:tcPr>
            <w:tcW w:w="960" w:type="dxa"/>
            <w:vMerge w:val="restart"/>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jc w:val="center"/>
              <w:rPr>
                <w:rFonts w:ascii="Times New Roman" w:hAnsi="Times New Roman"/>
                <w:b/>
                <w:bCs/>
                <w:color w:val="000000"/>
                <w:lang w:eastAsia="sk-SK"/>
              </w:rPr>
            </w:pPr>
            <w:r w:rsidRPr="004530AF">
              <w:rPr>
                <w:rFonts w:ascii="Times New Roman" w:hAnsi="Times New Roman"/>
                <w:b/>
                <w:bCs/>
                <w:color w:val="000000"/>
                <w:lang w:eastAsia="sk-SK"/>
              </w:rPr>
              <w:t>10.  </w:t>
            </w:r>
          </w:p>
        </w:tc>
        <w:tc>
          <w:tcPr>
            <w:tcW w:w="6553" w:type="dxa"/>
            <w:tcBorders>
              <w:top w:val="nil"/>
              <w:left w:val="nil"/>
              <w:bottom w:val="nil"/>
              <w:right w:val="single" w:sz="8" w:space="0" w:color="666666"/>
            </w:tcBorders>
            <w:vAlign w:val="center"/>
            <w:hideMark/>
          </w:tcPr>
          <w:p w:rsidR="00D21CDB" w:rsidRPr="004530AF" w:rsidRDefault="00D21CDB" w:rsidP="006C5916">
            <w:pPr>
              <w:spacing w:after="0" w:line="240" w:lineRule="auto"/>
              <w:jc w:val="both"/>
              <w:rPr>
                <w:rFonts w:ascii="Times New Roman" w:hAnsi="Times New Roman"/>
                <w:b/>
                <w:bCs/>
                <w:color w:val="000000"/>
                <w:u w:val="single"/>
                <w:lang w:eastAsia="sk-SK"/>
              </w:rPr>
            </w:pPr>
            <w:r w:rsidRPr="004530AF">
              <w:rPr>
                <w:rFonts w:ascii="Times New Roman" w:hAnsi="Times New Roman"/>
                <w:b/>
                <w:bCs/>
                <w:color w:val="000000"/>
                <w:u w:val="single"/>
                <w:lang w:eastAsia="sk-SK"/>
              </w:rPr>
              <w:t>Transferová dokumentácia</w:t>
            </w:r>
          </w:p>
        </w:tc>
        <w:tc>
          <w:tcPr>
            <w:tcW w:w="2126" w:type="dxa"/>
            <w:vMerge w:val="restart"/>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jc w:val="center"/>
              <w:rPr>
                <w:rFonts w:ascii="Times New Roman" w:hAnsi="Times New Roman"/>
                <w:color w:val="000000"/>
                <w:lang w:eastAsia="sk-SK"/>
              </w:rPr>
            </w:pPr>
            <w:r w:rsidRPr="004530AF">
              <w:rPr>
                <w:rFonts w:ascii="Times New Roman" w:hAnsi="Times New Roman"/>
                <w:color w:val="000000"/>
                <w:lang w:eastAsia="sk-SK"/>
              </w:rPr>
              <w:t>SAF</w:t>
            </w:r>
          </w:p>
        </w:tc>
      </w:tr>
      <w:tr w:rsidR="00D21CDB" w:rsidRPr="004530AF" w:rsidTr="006C5916">
        <w:trPr>
          <w:trHeight w:val="330"/>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nil"/>
              <w:right w:val="single" w:sz="8" w:space="0" w:color="666666"/>
            </w:tcBorders>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zrušiť povinnosť viesť transferovú dokumentáciu pre tuzemské závislé osoby,</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60"/>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single" w:sz="8" w:space="0" w:color="666666"/>
              <w:right w:val="single" w:sz="8" w:space="0" w:color="666666"/>
            </w:tcBorders>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úprava administratívnej záťaže prostredníctvom transpozície smernice OECD o transferovom oceňovaní.</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330"/>
        </w:trPr>
        <w:tc>
          <w:tcPr>
            <w:tcW w:w="960" w:type="dxa"/>
            <w:vMerge w:val="restart"/>
            <w:tcBorders>
              <w:top w:val="nil"/>
              <w:left w:val="single" w:sz="8" w:space="0" w:color="666666"/>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center"/>
              <w:rPr>
                <w:rFonts w:ascii="Times New Roman" w:hAnsi="Times New Roman"/>
                <w:b/>
                <w:bCs/>
                <w:color w:val="000000"/>
                <w:lang w:eastAsia="sk-SK"/>
              </w:rPr>
            </w:pPr>
            <w:r w:rsidRPr="004530AF">
              <w:rPr>
                <w:rFonts w:ascii="Times New Roman" w:hAnsi="Times New Roman"/>
                <w:b/>
                <w:bCs/>
                <w:color w:val="000000"/>
                <w:lang w:eastAsia="sk-SK"/>
              </w:rPr>
              <w:t>11.  </w:t>
            </w:r>
          </w:p>
        </w:tc>
        <w:tc>
          <w:tcPr>
            <w:tcW w:w="6553" w:type="dxa"/>
            <w:tcBorders>
              <w:top w:val="nil"/>
              <w:left w:val="nil"/>
              <w:bottom w:val="nil"/>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b/>
                <w:bCs/>
                <w:color w:val="000000"/>
                <w:u w:val="single"/>
                <w:lang w:eastAsia="sk-SK"/>
              </w:rPr>
            </w:pPr>
            <w:r w:rsidRPr="004530AF">
              <w:rPr>
                <w:rFonts w:ascii="Times New Roman" w:hAnsi="Times New Roman"/>
                <w:b/>
                <w:bCs/>
                <w:color w:val="000000"/>
                <w:u w:val="single"/>
                <w:lang w:eastAsia="sk-SK"/>
              </w:rPr>
              <w:t>Zjednotiť zdaňovanie investičných nástrojov</w:t>
            </w:r>
          </w:p>
        </w:tc>
        <w:tc>
          <w:tcPr>
            <w:tcW w:w="2126" w:type="dxa"/>
            <w:vMerge w:val="restart"/>
            <w:tcBorders>
              <w:top w:val="nil"/>
              <w:left w:val="single" w:sz="8" w:space="0" w:color="666666"/>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center"/>
              <w:rPr>
                <w:rFonts w:ascii="Times New Roman" w:hAnsi="Times New Roman"/>
                <w:color w:val="000000"/>
                <w:lang w:eastAsia="sk-SK"/>
              </w:rPr>
            </w:pPr>
            <w:r w:rsidRPr="004530AF">
              <w:rPr>
                <w:rFonts w:ascii="Times New Roman" w:hAnsi="Times New Roman"/>
                <w:color w:val="000000"/>
                <w:lang w:eastAsia="sk-SK"/>
              </w:rPr>
              <w:t>SASS</w:t>
            </w:r>
          </w:p>
        </w:tc>
      </w:tr>
      <w:tr w:rsidR="00D21CDB" w:rsidRPr="004530AF" w:rsidTr="006C5916">
        <w:trPr>
          <w:trHeight w:val="330"/>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nil"/>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w:t>
            </w:r>
            <w:r w:rsidRPr="004530AF">
              <w:rPr>
                <w:rFonts w:ascii="Times New Roman" w:hAnsi="Times New Roman"/>
                <w:b/>
                <w:bCs/>
                <w:color w:val="000000"/>
                <w:lang w:eastAsia="sk-SK"/>
              </w:rPr>
              <w:t xml:space="preserve"> </w:t>
            </w:r>
            <w:r w:rsidRPr="004530AF">
              <w:rPr>
                <w:rFonts w:ascii="Times New Roman" w:hAnsi="Times New Roman"/>
                <w:color w:val="000000"/>
                <w:lang w:eastAsia="sk-SK"/>
              </w:rPr>
              <w:t>oslobodiť od dane z príjmov redemáciu podielových listov,</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163"/>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nil"/>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do § 9 zaradiť podielové listy, časový test 3 roky pre oslobodenie príjmov z predaja (redemácie) podielových listov,</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202"/>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nil"/>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uplatniť zrážkovú daň aj na príjmy z redemácií podielových listov zo zahraničných správcovských spoločností (napr. z belgických fondov),</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675"/>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SASS navrhla zriadiť pracovnú skupinu zloženú z členov viacerých organizácií a združení, ktorá by pracovala na úprave problematiky zdaňovania ETF fondov.</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253"/>
        </w:trPr>
        <w:tc>
          <w:tcPr>
            <w:tcW w:w="960" w:type="dxa"/>
            <w:vMerge w:val="restart"/>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jc w:val="center"/>
              <w:rPr>
                <w:rFonts w:ascii="Times New Roman" w:hAnsi="Times New Roman"/>
                <w:b/>
                <w:bCs/>
                <w:color w:val="000000"/>
                <w:lang w:eastAsia="sk-SK"/>
              </w:rPr>
            </w:pPr>
            <w:r w:rsidRPr="004530AF">
              <w:rPr>
                <w:rFonts w:ascii="Times New Roman" w:hAnsi="Times New Roman"/>
                <w:b/>
                <w:bCs/>
                <w:color w:val="000000"/>
                <w:lang w:eastAsia="sk-SK"/>
              </w:rPr>
              <w:t>12.  </w:t>
            </w:r>
          </w:p>
        </w:tc>
        <w:tc>
          <w:tcPr>
            <w:tcW w:w="6553" w:type="dxa"/>
            <w:vMerge w:val="restart"/>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u w:val="single"/>
                <w:lang w:eastAsia="sk-SK"/>
              </w:rPr>
            </w:pPr>
            <w:r w:rsidRPr="004530AF">
              <w:rPr>
                <w:rFonts w:ascii="Times New Roman" w:hAnsi="Times New Roman"/>
                <w:b/>
                <w:bCs/>
                <w:color w:val="000000"/>
                <w:u w:val="single"/>
                <w:lang w:eastAsia="sk-SK"/>
              </w:rPr>
              <w:t>Zrušiť limitáciu odpisov do výšky príjmov (výnosov) z prenájmu v § 19 ods. 3 písm. a ZDP</w:t>
            </w:r>
          </w:p>
        </w:tc>
        <w:tc>
          <w:tcPr>
            <w:tcW w:w="2126" w:type="dxa"/>
            <w:vMerge w:val="restart"/>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jc w:val="center"/>
              <w:rPr>
                <w:rFonts w:ascii="Times New Roman" w:hAnsi="Times New Roman"/>
                <w:color w:val="000000"/>
                <w:lang w:eastAsia="sk-SK"/>
              </w:rPr>
            </w:pPr>
            <w:r w:rsidRPr="004530AF">
              <w:rPr>
                <w:rFonts w:ascii="Times New Roman" w:hAnsi="Times New Roman"/>
                <w:color w:val="000000"/>
                <w:lang w:eastAsia="sk-SK"/>
              </w:rPr>
              <w:t>SŽZ</w:t>
            </w:r>
          </w:p>
        </w:tc>
      </w:tr>
      <w:tr w:rsidR="00D21CDB" w:rsidRPr="004530AF" w:rsidTr="006C5916">
        <w:trPr>
          <w:trHeight w:val="450"/>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u w:val="single"/>
                <w:lang w:eastAsia="sk-SK"/>
              </w:rPr>
            </w:pP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450"/>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u w:val="single"/>
                <w:lang w:eastAsia="sk-SK"/>
              </w:rPr>
            </w:pP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60"/>
        </w:trPr>
        <w:tc>
          <w:tcPr>
            <w:tcW w:w="960" w:type="dxa"/>
            <w:vMerge w:val="restart"/>
            <w:tcBorders>
              <w:top w:val="nil"/>
              <w:left w:val="single" w:sz="8" w:space="0" w:color="666666"/>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center"/>
              <w:rPr>
                <w:rFonts w:ascii="Times New Roman" w:hAnsi="Times New Roman"/>
                <w:b/>
                <w:bCs/>
                <w:color w:val="000000"/>
                <w:lang w:eastAsia="sk-SK"/>
              </w:rPr>
            </w:pPr>
            <w:r w:rsidRPr="004530AF">
              <w:rPr>
                <w:rFonts w:ascii="Times New Roman" w:hAnsi="Times New Roman"/>
                <w:b/>
                <w:bCs/>
                <w:color w:val="000000"/>
                <w:lang w:eastAsia="sk-SK"/>
              </w:rPr>
              <w:t>13.  </w:t>
            </w:r>
          </w:p>
        </w:tc>
        <w:tc>
          <w:tcPr>
            <w:tcW w:w="6553" w:type="dxa"/>
            <w:tcBorders>
              <w:top w:val="nil"/>
              <w:left w:val="nil"/>
              <w:bottom w:val="nil"/>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b/>
                <w:bCs/>
                <w:color w:val="000000"/>
                <w:u w:val="single"/>
                <w:lang w:eastAsia="sk-SK"/>
              </w:rPr>
            </w:pPr>
            <w:r w:rsidRPr="004530AF">
              <w:rPr>
                <w:rFonts w:ascii="Times New Roman" w:hAnsi="Times New Roman"/>
                <w:b/>
                <w:bCs/>
                <w:color w:val="000000"/>
                <w:u w:val="single"/>
                <w:lang w:eastAsia="sk-SK"/>
              </w:rPr>
              <w:t>Zrýchlenie zahrnovania tvorby OP k nepremlčaným pohľadávkam do DV</w:t>
            </w:r>
          </w:p>
        </w:tc>
        <w:tc>
          <w:tcPr>
            <w:tcW w:w="2126" w:type="dxa"/>
            <w:vMerge w:val="restart"/>
            <w:tcBorders>
              <w:top w:val="nil"/>
              <w:left w:val="single" w:sz="8" w:space="0" w:color="666666"/>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center"/>
              <w:rPr>
                <w:rFonts w:ascii="Times New Roman" w:hAnsi="Times New Roman"/>
                <w:color w:val="000000"/>
                <w:lang w:eastAsia="sk-SK"/>
              </w:rPr>
            </w:pPr>
            <w:r w:rsidRPr="004530AF">
              <w:rPr>
                <w:rFonts w:ascii="Times New Roman" w:hAnsi="Times New Roman"/>
                <w:color w:val="000000"/>
                <w:lang w:eastAsia="sk-SK"/>
              </w:rPr>
              <w:t>SŽZ</w:t>
            </w:r>
          </w:p>
        </w:tc>
      </w:tr>
      <w:tr w:rsidR="00D21CDB" w:rsidRPr="004530AF" w:rsidTr="006C5916">
        <w:trPr>
          <w:trHeight w:val="60"/>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nil"/>
              <w:right w:val="single" w:sz="8" w:space="0" w:color="666666"/>
            </w:tcBorders>
            <w:shd w:val="clear" w:color="000000" w:fill="CCCCCC"/>
            <w:vAlign w:val="center"/>
            <w:hideMark/>
          </w:tcPr>
          <w:p w:rsidR="00D21CDB" w:rsidRPr="004530AF" w:rsidRDefault="00D21CDB" w:rsidP="006C5916">
            <w:pPr>
              <w:spacing w:after="0" w:line="240" w:lineRule="auto"/>
              <w:rPr>
                <w:rFonts w:ascii="Times New Roman" w:hAnsi="Times New Roman"/>
                <w:color w:val="000000"/>
                <w:lang w:eastAsia="sk-SK"/>
              </w:rPr>
            </w:pPr>
            <w:r w:rsidRPr="004530AF">
              <w:rPr>
                <w:rFonts w:ascii="Times New Roman" w:hAnsi="Times New Roman"/>
                <w:color w:val="000000"/>
                <w:lang w:eastAsia="sk-SK"/>
              </w:rPr>
              <w:t>- zrušiť limit 1 080 dní,</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89"/>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rPr>
                <w:rFonts w:ascii="Times New Roman" w:hAnsi="Times New Roman"/>
                <w:color w:val="000000"/>
                <w:lang w:eastAsia="sk-SK"/>
              </w:rPr>
            </w:pPr>
            <w:r w:rsidRPr="004530AF">
              <w:rPr>
                <w:rFonts w:ascii="Times New Roman" w:hAnsi="Times New Roman"/>
                <w:color w:val="000000"/>
                <w:lang w:eastAsia="sk-SK"/>
              </w:rPr>
              <w:t>- zahrnutie OP do výšky 100</w:t>
            </w:r>
            <w:r>
              <w:rPr>
                <w:rFonts w:ascii="Times New Roman" w:hAnsi="Times New Roman"/>
                <w:color w:val="000000"/>
                <w:lang w:eastAsia="sk-SK"/>
              </w:rPr>
              <w:t xml:space="preserve"> </w:t>
            </w:r>
            <w:r w:rsidRPr="004530AF">
              <w:rPr>
                <w:rFonts w:ascii="Times New Roman" w:hAnsi="Times New Roman"/>
                <w:color w:val="000000"/>
                <w:lang w:eastAsia="sk-SK"/>
              </w:rPr>
              <w:t>% do DV po uplynutí 720 dní od splatnosti pohľadávky.</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660"/>
        </w:trPr>
        <w:tc>
          <w:tcPr>
            <w:tcW w:w="960" w:type="dxa"/>
            <w:vMerge w:val="restart"/>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jc w:val="center"/>
              <w:rPr>
                <w:rFonts w:ascii="Times New Roman" w:hAnsi="Times New Roman"/>
                <w:b/>
                <w:bCs/>
                <w:color w:val="000000"/>
                <w:lang w:eastAsia="sk-SK"/>
              </w:rPr>
            </w:pPr>
            <w:r w:rsidRPr="004530AF">
              <w:rPr>
                <w:rFonts w:ascii="Times New Roman" w:hAnsi="Times New Roman"/>
                <w:b/>
                <w:bCs/>
                <w:color w:val="000000"/>
                <w:lang w:eastAsia="sk-SK"/>
              </w:rPr>
              <w:t>14.  </w:t>
            </w:r>
          </w:p>
        </w:tc>
        <w:tc>
          <w:tcPr>
            <w:tcW w:w="6553" w:type="dxa"/>
            <w:tcBorders>
              <w:top w:val="nil"/>
              <w:left w:val="nil"/>
              <w:bottom w:val="nil"/>
              <w:right w:val="single" w:sz="8" w:space="0" w:color="666666"/>
            </w:tcBorders>
            <w:vAlign w:val="center"/>
            <w:hideMark/>
          </w:tcPr>
          <w:p w:rsidR="00D21CDB" w:rsidRPr="004530AF" w:rsidRDefault="00D21CDB" w:rsidP="006C5916">
            <w:pPr>
              <w:spacing w:after="0" w:line="240" w:lineRule="auto"/>
              <w:jc w:val="both"/>
              <w:rPr>
                <w:rFonts w:ascii="Times New Roman" w:hAnsi="Times New Roman"/>
                <w:b/>
                <w:bCs/>
                <w:color w:val="000000"/>
                <w:u w:val="single"/>
                <w:lang w:eastAsia="sk-SK"/>
              </w:rPr>
            </w:pPr>
            <w:r w:rsidRPr="004530AF">
              <w:rPr>
                <w:rFonts w:ascii="Times New Roman" w:hAnsi="Times New Roman"/>
                <w:b/>
                <w:bCs/>
                <w:color w:val="000000"/>
                <w:u w:val="single"/>
                <w:lang w:eastAsia="sk-SK"/>
              </w:rPr>
              <w:t>Zavedenie daňovo-odvodového zvýhodnenia v súvislosti so situáciou na Ukrajine</w:t>
            </w:r>
          </w:p>
        </w:tc>
        <w:tc>
          <w:tcPr>
            <w:tcW w:w="2126" w:type="dxa"/>
            <w:vMerge w:val="restart"/>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jc w:val="center"/>
              <w:rPr>
                <w:rFonts w:ascii="Times New Roman" w:hAnsi="Times New Roman"/>
                <w:color w:val="000000"/>
                <w:lang w:eastAsia="sk-SK"/>
              </w:rPr>
            </w:pPr>
            <w:r w:rsidRPr="004530AF">
              <w:rPr>
                <w:rFonts w:ascii="Times New Roman" w:hAnsi="Times New Roman"/>
                <w:color w:val="000000"/>
                <w:lang w:eastAsia="sk-SK"/>
              </w:rPr>
              <w:t>SŽZ</w:t>
            </w:r>
          </w:p>
        </w:tc>
      </w:tr>
      <w:tr w:rsidR="00D21CDB" w:rsidRPr="004530AF" w:rsidTr="006C5916">
        <w:trPr>
          <w:trHeight w:val="60"/>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single" w:sz="8" w:space="0" w:color="666666"/>
              <w:right w:val="single" w:sz="8" w:space="0" w:color="666666"/>
            </w:tcBorders>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zahrnovanie darov na humanitárne účely do daňových výdavkov.</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330"/>
        </w:trPr>
        <w:tc>
          <w:tcPr>
            <w:tcW w:w="960" w:type="dxa"/>
            <w:vMerge w:val="restart"/>
            <w:tcBorders>
              <w:top w:val="nil"/>
              <w:left w:val="single" w:sz="8" w:space="0" w:color="666666"/>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center"/>
              <w:rPr>
                <w:rFonts w:ascii="Times New Roman" w:hAnsi="Times New Roman"/>
                <w:b/>
                <w:bCs/>
                <w:color w:val="000000"/>
                <w:lang w:eastAsia="sk-SK"/>
              </w:rPr>
            </w:pPr>
            <w:r w:rsidRPr="004530AF">
              <w:rPr>
                <w:rFonts w:ascii="Times New Roman" w:hAnsi="Times New Roman"/>
                <w:b/>
                <w:bCs/>
                <w:color w:val="000000"/>
                <w:lang w:eastAsia="sk-SK"/>
              </w:rPr>
              <w:t>15.  </w:t>
            </w:r>
          </w:p>
        </w:tc>
        <w:tc>
          <w:tcPr>
            <w:tcW w:w="6553" w:type="dxa"/>
            <w:tcBorders>
              <w:top w:val="nil"/>
              <w:left w:val="nil"/>
              <w:bottom w:val="nil"/>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b/>
                <w:bCs/>
                <w:color w:val="000000"/>
                <w:u w:val="single"/>
                <w:lang w:eastAsia="sk-SK"/>
              </w:rPr>
            </w:pPr>
            <w:r w:rsidRPr="004530AF">
              <w:rPr>
                <w:rFonts w:ascii="Times New Roman" w:hAnsi="Times New Roman"/>
                <w:b/>
                <w:bCs/>
                <w:color w:val="000000"/>
                <w:u w:val="single"/>
                <w:lang w:eastAsia="sk-SK"/>
              </w:rPr>
              <w:t>Stravovanie zamestnancov</w:t>
            </w:r>
            <w:r w:rsidRPr="004530AF">
              <w:rPr>
                <w:rFonts w:ascii="Times New Roman" w:hAnsi="Times New Roman"/>
                <w:color w:val="000000"/>
                <w:u w:val="single"/>
                <w:lang w:eastAsia="sk-SK"/>
              </w:rPr>
              <w:t xml:space="preserve">: </w:t>
            </w:r>
          </w:p>
        </w:tc>
        <w:tc>
          <w:tcPr>
            <w:tcW w:w="2126" w:type="dxa"/>
            <w:vMerge w:val="restart"/>
            <w:tcBorders>
              <w:top w:val="nil"/>
              <w:left w:val="single" w:sz="8" w:space="0" w:color="666666"/>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center"/>
              <w:rPr>
                <w:rFonts w:ascii="Times New Roman" w:hAnsi="Times New Roman"/>
                <w:color w:val="000000"/>
                <w:lang w:eastAsia="sk-SK"/>
              </w:rPr>
            </w:pPr>
            <w:r w:rsidRPr="004530AF">
              <w:rPr>
                <w:rFonts w:ascii="Times New Roman" w:hAnsi="Times New Roman"/>
                <w:color w:val="000000"/>
                <w:lang w:eastAsia="sk-SK"/>
              </w:rPr>
              <w:t>APZD, ZAP, SŽZ</w:t>
            </w:r>
          </w:p>
        </w:tc>
      </w:tr>
      <w:tr w:rsidR="00D21CDB" w:rsidRPr="004530AF" w:rsidTr="006C5916">
        <w:trPr>
          <w:trHeight w:val="1402"/>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nil"/>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súčasná úprava má negatívny vplyv na zamestnancov aj zamestnávateľov, na kantíny vo väčších spoločnostiach, v ktorých sa hodnota stravy kalkuluje z počtu stravníkov. Náklad netvorí iba cena jedla</w:t>
            </w:r>
            <w:r>
              <w:rPr>
                <w:rFonts w:ascii="Times New Roman" w:hAnsi="Times New Roman"/>
                <w:color w:val="000000"/>
                <w:lang w:eastAsia="sk-SK"/>
              </w:rPr>
              <w:t>,</w:t>
            </w:r>
            <w:r w:rsidRPr="004530AF">
              <w:rPr>
                <w:rFonts w:ascii="Times New Roman" w:hAnsi="Times New Roman"/>
                <w:color w:val="000000"/>
                <w:lang w:eastAsia="sk-SK"/>
              </w:rPr>
              <w:t xml:space="preserve"> ale aj doprava jedla do kantíny a pod., ktoré predražujú stravu. Cieľom je pozitívne ovplyvniť stravovanie svojich zamestnancov, </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100"/>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nil"/>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zvýhodniť kantíny pred poskytovaním stravných lístkov alebo finančného príspevku,</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575"/>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nil"/>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xml:space="preserve">- zmena § 19 – všetky náklady vynaložené na zabezpečenie stravovania zamestnancov zahrnovať do daňových výdavkov, </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60"/>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MH SR – súhlasí s doplnením návrhu do balíčka 3.</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330"/>
        </w:trPr>
        <w:tc>
          <w:tcPr>
            <w:tcW w:w="960" w:type="dxa"/>
            <w:vMerge w:val="restart"/>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jc w:val="center"/>
              <w:rPr>
                <w:rFonts w:ascii="Times New Roman" w:hAnsi="Times New Roman"/>
                <w:b/>
                <w:bCs/>
                <w:color w:val="000000"/>
                <w:lang w:eastAsia="sk-SK"/>
              </w:rPr>
            </w:pPr>
            <w:r w:rsidRPr="004530AF">
              <w:rPr>
                <w:rFonts w:ascii="Times New Roman" w:hAnsi="Times New Roman"/>
                <w:b/>
                <w:bCs/>
                <w:color w:val="000000"/>
                <w:lang w:eastAsia="sk-SK"/>
              </w:rPr>
              <w:t>16.  </w:t>
            </w:r>
          </w:p>
        </w:tc>
        <w:tc>
          <w:tcPr>
            <w:tcW w:w="6553" w:type="dxa"/>
            <w:tcBorders>
              <w:top w:val="nil"/>
              <w:left w:val="nil"/>
              <w:bottom w:val="nil"/>
              <w:right w:val="single" w:sz="8" w:space="0" w:color="666666"/>
            </w:tcBorders>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xml:space="preserve"> </w:t>
            </w:r>
            <w:r w:rsidRPr="004530AF">
              <w:rPr>
                <w:rFonts w:ascii="Times New Roman" w:hAnsi="Times New Roman"/>
                <w:b/>
                <w:bCs/>
                <w:color w:val="000000"/>
                <w:u w:val="single"/>
                <w:lang w:eastAsia="sk-SK"/>
              </w:rPr>
              <w:t>Príspevok na dopravu</w:t>
            </w:r>
            <w:r w:rsidRPr="004530AF">
              <w:rPr>
                <w:rFonts w:ascii="Times New Roman" w:hAnsi="Times New Roman"/>
                <w:color w:val="000000"/>
                <w:u w:val="single"/>
                <w:lang w:eastAsia="sk-SK"/>
              </w:rPr>
              <w:t>:</w:t>
            </w:r>
          </w:p>
        </w:tc>
        <w:tc>
          <w:tcPr>
            <w:tcW w:w="2126" w:type="dxa"/>
            <w:vMerge w:val="restart"/>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jc w:val="center"/>
              <w:rPr>
                <w:rFonts w:ascii="Times New Roman" w:hAnsi="Times New Roman"/>
                <w:color w:val="000000"/>
                <w:lang w:eastAsia="sk-SK"/>
              </w:rPr>
            </w:pPr>
            <w:r w:rsidRPr="004530AF">
              <w:rPr>
                <w:rFonts w:ascii="Times New Roman" w:hAnsi="Times New Roman"/>
                <w:color w:val="000000"/>
                <w:lang w:eastAsia="sk-SK"/>
              </w:rPr>
              <w:t>APZD, ZAP, SŽZ</w:t>
            </w:r>
          </w:p>
        </w:tc>
      </w:tr>
      <w:tr w:rsidR="00D21CDB" w:rsidRPr="004530AF" w:rsidTr="006C5916">
        <w:trPr>
          <w:trHeight w:val="386"/>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nil"/>
              <w:right w:val="single" w:sz="8" w:space="0" w:color="666666"/>
            </w:tcBorders>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súčasná výška príspevku 60 eur sa javí ako nedostatočná pri aktuálnom náraste cien,</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330"/>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nil"/>
              <w:right w:val="single" w:sz="8" w:space="0" w:color="666666"/>
            </w:tcBorders>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xml:space="preserve">- požiadavka na zvýšenie príspevku na dopravu z aktuálnych 60 eur na 120 eur, </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60"/>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single" w:sz="8" w:space="0" w:color="666666"/>
              <w:right w:val="single" w:sz="8" w:space="0" w:color="666666"/>
            </w:tcBorders>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podpora bezemisnej a nízkoemisnej dopravy.</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330"/>
        </w:trPr>
        <w:tc>
          <w:tcPr>
            <w:tcW w:w="960" w:type="dxa"/>
            <w:vMerge w:val="restart"/>
            <w:tcBorders>
              <w:top w:val="nil"/>
              <w:left w:val="single" w:sz="8" w:space="0" w:color="666666"/>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center"/>
              <w:rPr>
                <w:rFonts w:ascii="Times New Roman" w:hAnsi="Times New Roman"/>
                <w:b/>
                <w:bCs/>
                <w:color w:val="000000"/>
                <w:lang w:eastAsia="sk-SK"/>
              </w:rPr>
            </w:pPr>
            <w:r w:rsidRPr="004530AF">
              <w:rPr>
                <w:rFonts w:ascii="Times New Roman" w:hAnsi="Times New Roman"/>
                <w:b/>
                <w:bCs/>
                <w:color w:val="000000"/>
                <w:lang w:eastAsia="sk-SK"/>
              </w:rPr>
              <w:t>17.  </w:t>
            </w:r>
          </w:p>
        </w:tc>
        <w:tc>
          <w:tcPr>
            <w:tcW w:w="6553" w:type="dxa"/>
            <w:tcBorders>
              <w:top w:val="nil"/>
              <w:left w:val="nil"/>
              <w:bottom w:val="nil"/>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b/>
                <w:bCs/>
                <w:color w:val="000000"/>
                <w:u w:val="single"/>
                <w:lang w:eastAsia="sk-SK"/>
              </w:rPr>
            </w:pPr>
            <w:r w:rsidRPr="004530AF">
              <w:rPr>
                <w:rFonts w:ascii="Times New Roman" w:hAnsi="Times New Roman"/>
                <w:b/>
                <w:bCs/>
                <w:color w:val="000000"/>
                <w:u w:val="single"/>
                <w:lang w:eastAsia="sk-SK"/>
              </w:rPr>
              <w:t>Príspevok a ubytovanie</w:t>
            </w:r>
            <w:r w:rsidRPr="004530AF">
              <w:rPr>
                <w:rFonts w:ascii="Times New Roman" w:hAnsi="Times New Roman"/>
                <w:color w:val="000000"/>
                <w:u w:val="single"/>
                <w:lang w:eastAsia="sk-SK"/>
              </w:rPr>
              <w:t xml:space="preserve">: </w:t>
            </w:r>
          </w:p>
        </w:tc>
        <w:tc>
          <w:tcPr>
            <w:tcW w:w="2126" w:type="dxa"/>
            <w:vMerge w:val="restart"/>
            <w:tcBorders>
              <w:top w:val="nil"/>
              <w:left w:val="single" w:sz="8" w:space="0" w:color="666666"/>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center"/>
              <w:rPr>
                <w:rFonts w:ascii="Times New Roman" w:hAnsi="Times New Roman"/>
                <w:color w:val="000000"/>
                <w:lang w:eastAsia="sk-SK"/>
              </w:rPr>
            </w:pPr>
            <w:r w:rsidRPr="004530AF">
              <w:rPr>
                <w:rFonts w:ascii="Times New Roman" w:hAnsi="Times New Roman"/>
                <w:color w:val="000000"/>
                <w:lang w:eastAsia="sk-SK"/>
              </w:rPr>
              <w:t>APZD, ZAP, SŽZ</w:t>
            </w:r>
          </w:p>
        </w:tc>
      </w:tr>
      <w:tr w:rsidR="00D21CDB" w:rsidRPr="004530AF" w:rsidTr="006C5916">
        <w:trPr>
          <w:trHeight w:val="660"/>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nil"/>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xml:space="preserve">- požiadavka na zvýšenie príspevku na ubytovanie zo súčasných 100 eur na 200 eur, v úhrnnej sume najviac 450 eur mesačne, </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345"/>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single" w:sz="8" w:space="0" w:color="666666"/>
              <w:right w:val="single" w:sz="8" w:space="0" w:color="666666"/>
            </w:tcBorders>
            <w:shd w:val="clear" w:color="000000" w:fill="CCCCCC"/>
            <w:vAlign w:val="center"/>
            <w:hideMark/>
          </w:tcPr>
          <w:p w:rsidR="00D21CDB" w:rsidRPr="009D3504" w:rsidRDefault="00D21CDB" w:rsidP="00D21CDB">
            <w:pPr>
              <w:pStyle w:val="Odsekzoznamu"/>
              <w:numPr>
                <w:ilvl w:val="0"/>
                <w:numId w:val="9"/>
              </w:numPr>
              <w:spacing w:after="0" w:line="240" w:lineRule="auto"/>
              <w:ind w:left="246" w:hanging="186"/>
              <w:jc w:val="both"/>
              <w:rPr>
                <w:rFonts w:ascii="Times New Roman" w:hAnsi="Times New Roman"/>
                <w:color w:val="000000"/>
                <w:lang w:eastAsia="sk-SK"/>
              </w:rPr>
            </w:pPr>
            <w:r w:rsidRPr="009D3504">
              <w:rPr>
                <w:rFonts w:ascii="Times New Roman" w:hAnsi="Times New Roman"/>
                <w:color w:val="000000"/>
                <w:lang w:eastAsia="sk-SK"/>
              </w:rPr>
              <w:t>zjednotiť postup s okolitými štátmi.</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330"/>
        </w:trPr>
        <w:tc>
          <w:tcPr>
            <w:tcW w:w="960" w:type="dxa"/>
            <w:vMerge w:val="restart"/>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jc w:val="center"/>
              <w:rPr>
                <w:rFonts w:ascii="Times New Roman" w:hAnsi="Times New Roman"/>
                <w:b/>
                <w:bCs/>
                <w:color w:val="000000"/>
                <w:lang w:eastAsia="sk-SK"/>
              </w:rPr>
            </w:pPr>
            <w:r w:rsidRPr="004530AF">
              <w:rPr>
                <w:rFonts w:ascii="Times New Roman" w:hAnsi="Times New Roman"/>
                <w:b/>
                <w:bCs/>
                <w:color w:val="000000"/>
                <w:lang w:eastAsia="sk-SK"/>
              </w:rPr>
              <w:t>18.  </w:t>
            </w:r>
          </w:p>
        </w:tc>
        <w:tc>
          <w:tcPr>
            <w:tcW w:w="6553" w:type="dxa"/>
            <w:tcBorders>
              <w:top w:val="nil"/>
              <w:left w:val="nil"/>
              <w:bottom w:val="nil"/>
              <w:right w:val="single" w:sz="8" w:space="0" w:color="666666"/>
            </w:tcBorders>
            <w:vAlign w:val="center"/>
            <w:hideMark/>
          </w:tcPr>
          <w:p w:rsidR="00D21CDB" w:rsidRPr="004530AF" w:rsidRDefault="00D21CDB" w:rsidP="006C5916">
            <w:pPr>
              <w:spacing w:after="0" w:line="240" w:lineRule="auto"/>
              <w:jc w:val="both"/>
              <w:rPr>
                <w:rFonts w:ascii="Times New Roman" w:hAnsi="Times New Roman"/>
                <w:b/>
                <w:bCs/>
                <w:color w:val="000000"/>
                <w:u w:val="single"/>
                <w:lang w:eastAsia="sk-SK"/>
              </w:rPr>
            </w:pPr>
            <w:r w:rsidRPr="004530AF">
              <w:rPr>
                <w:rFonts w:ascii="Times New Roman" w:hAnsi="Times New Roman"/>
                <w:b/>
                <w:bCs/>
                <w:color w:val="000000"/>
                <w:u w:val="single"/>
                <w:lang w:eastAsia="sk-SK"/>
              </w:rPr>
              <w:t>Príspevok na doplnkové dôchodkové sporenie</w:t>
            </w:r>
            <w:r w:rsidRPr="004530AF">
              <w:rPr>
                <w:rFonts w:ascii="Times New Roman" w:hAnsi="Times New Roman"/>
                <w:color w:val="000000"/>
                <w:u w:val="single"/>
                <w:lang w:eastAsia="sk-SK"/>
              </w:rPr>
              <w:t>:</w:t>
            </w:r>
          </w:p>
        </w:tc>
        <w:tc>
          <w:tcPr>
            <w:tcW w:w="2126" w:type="dxa"/>
            <w:vMerge w:val="restart"/>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jc w:val="center"/>
              <w:rPr>
                <w:rFonts w:ascii="Times New Roman" w:hAnsi="Times New Roman"/>
                <w:color w:val="000000"/>
                <w:lang w:eastAsia="sk-SK"/>
              </w:rPr>
            </w:pPr>
            <w:r w:rsidRPr="004530AF">
              <w:rPr>
                <w:rFonts w:ascii="Times New Roman" w:hAnsi="Times New Roman"/>
                <w:color w:val="000000"/>
                <w:lang w:eastAsia="sk-SK"/>
              </w:rPr>
              <w:t>APZD, ZAP, SŽZ</w:t>
            </w:r>
          </w:p>
        </w:tc>
      </w:tr>
      <w:tr w:rsidR="00D21CDB" w:rsidRPr="004530AF" w:rsidTr="006C5916">
        <w:trPr>
          <w:trHeight w:val="330"/>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nil"/>
              <w:right w:val="single" w:sz="8" w:space="0" w:color="666666"/>
            </w:tcBorders>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oslobodenie od zdravotných odvodov,</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503"/>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single" w:sz="8" w:space="0" w:color="666666"/>
              <w:right w:val="single" w:sz="8" w:space="0" w:color="666666"/>
            </w:tcBorders>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zvýšiť maximálnu hranicu príspevkov považovaných za daňovo uznateľné výdavky (náklady) zamestnávateľa z pôvodných 6 % na 15 % (motivácia zamestnávateľov prispievať zamestnancom na DDS).</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330"/>
        </w:trPr>
        <w:tc>
          <w:tcPr>
            <w:tcW w:w="960" w:type="dxa"/>
            <w:vMerge w:val="restart"/>
            <w:tcBorders>
              <w:top w:val="nil"/>
              <w:left w:val="single" w:sz="8" w:space="0" w:color="666666"/>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center"/>
              <w:rPr>
                <w:rFonts w:ascii="Times New Roman" w:hAnsi="Times New Roman"/>
                <w:b/>
                <w:bCs/>
                <w:color w:val="000000"/>
                <w:lang w:eastAsia="sk-SK"/>
              </w:rPr>
            </w:pPr>
            <w:r w:rsidRPr="004530AF">
              <w:rPr>
                <w:rFonts w:ascii="Times New Roman" w:hAnsi="Times New Roman"/>
                <w:b/>
                <w:bCs/>
                <w:color w:val="000000"/>
                <w:lang w:eastAsia="sk-SK"/>
              </w:rPr>
              <w:t>19.  </w:t>
            </w:r>
          </w:p>
        </w:tc>
        <w:tc>
          <w:tcPr>
            <w:tcW w:w="6553" w:type="dxa"/>
            <w:tcBorders>
              <w:top w:val="nil"/>
              <w:left w:val="nil"/>
              <w:bottom w:val="nil"/>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b/>
                <w:bCs/>
                <w:color w:val="000000"/>
                <w:u w:val="single"/>
                <w:lang w:eastAsia="sk-SK"/>
              </w:rPr>
            </w:pPr>
            <w:r w:rsidRPr="004530AF">
              <w:rPr>
                <w:rFonts w:ascii="Times New Roman" w:hAnsi="Times New Roman"/>
                <w:b/>
                <w:bCs/>
                <w:color w:val="000000"/>
                <w:u w:val="single"/>
                <w:lang w:eastAsia="sk-SK"/>
              </w:rPr>
              <w:t>13. a 14. mzda:</w:t>
            </w:r>
          </w:p>
        </w:tc>
        <w:tc>
          <w:tcPr>
            <w:tcW w:w="2126" w:type="dxa"/>
            <w:vMerge w:val="restart"/>
            <w:tcBorders>
              <w:top w:val="nil"/>
              <w:left w:val="single" w:sz="8" w:space="0" w:color="666666"/>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center"/>
              <w:rPr>
                <w:rFonts w:ascii="Times New Roman" w:hAnsi="Times New Roman"/>
                <w:color w:val="000000"/>
                <w:lang w:eastAsia="sk-SK"/>
              </w:rPr>
            </w:pPr>
            <w:r w:rsidRPr="004530AF">
              <w:rPr>
                <w:rFonts w:ascii="Times New Roman" w:hAnsi="Times New Roman"/>
                <w:color w:val="000000"/>
                <w:lang w:eastAsia="sk-SK"/>
              </w:rPr>
              <w:t>APZD, ZAP, SŽZ</w:t>
            </w:r>
          </w:p>
        </w:tc>
      </w:tr>
      <w:tr w:rsidR="00D21CDB" w:rsidRPr="004530AF" w:rsidTr="006C5916">
        <w:trPr>
          <w:trHeight w:val="736"/>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požiadavka na opätovné daňové a odvodové oslobodenie do výšky priemernej mzdy zamestnanca. V súčasnosti 13. a 14. mzda funguje ako benefit. Nezrušenie oslobodenia od 01.01.2021 viedlo zamestnávateľov k prehodnoteniu výšky týchto miezd</w:t>
            </w:r>
            <w:r>
              <w:rPr>
                <w:rFonts w:ascii="Times New Roman" w:hAnsi="Times New Roman"/>
                <w:color w:val="000000"/>
                <w:lang w:eastAsia="sk-SK"/>
              </w:rPr>
              <w:t>,</w:t>
            </w:r>
            <w:r w:rsidRPr="004530AF">
              <w:rPr>
                <w:rFonts w:ascii="Times New Roman" w:hAnsi="Times New Roman"/>
                <w:color w:val="000000"/>
                <w:lang w:eastAsia="sk-SK"/>
              </w:rPr>
              <w:t xml:space="preserve"> resp. k ich zrušeniu. </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330"/>
        </w:trPr>
        <w:tc>
          <w:tcPr>
            <w:tcW w:w="960" w:type="dxa"/>
            <w:vMerge w:val="restart"/>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jc w:val="center"/>
              <w:rPr>
                <w:rFonts w:ascii="Times New Roman" w:hAnsi="Times New Roman"/>
                <w:b/>
                <w:bCs/>
                <w:color w:val="000000"/>
                <w:lang w:eastAsia="sk-SK"/>
              </w:rPr>
            </w:pPr>
            <w:r w:rsidRPr="004530AF">
              <w:rPr>
                <w:rFonts w:ascii="Times New Roman" w:hAnsi="Times New Roman"/>
                <w:b/>
                <w:bCs/>
                <w:color w:val="000000"/>
                <w:lang w:eastAsia="sk-SK"/>
              </w:rPr>
              <w:t>20.  </w:t>
            </w:r>
          </w:p>
        </w:tc>
        <w:tc>
          <w:tcPr>
            <w:tcW w:w="6553" w:type="dxa"/>
            <w:tcBorders>
              <w:top w:val="nil"/>
              <w:left w:val="nil"/>
              <w:bottom w:val="nil"/>
              <w:right w:val="single" w:sz="8" w:space="0" w:color="666666"/>
            </w:tcBorders>
            <w:vAlign w:val="center"/>
            <w:hideMark/>
          </w:tcPr>
          <w:p w:rsidR="00D21CDB" w:rsidRPr="004530AF" w:rsidRDefault="00D21CDB" w:rsidP="006C5916">
            <w:pPr>
              <w:spacing w:after="0" w:line="240" w:lineRule="auto"/>
              <w:jc w:val="both"/>
              <w:rPr>
                <w:rFonts w:ascii="Times New Roman" w:hAnsi="Times New Roman"/>
                <w:b/>
                <w:bCs/>
                <w:color w:val="000000"/>
                <w:u w:val="single"/>
                <w:lang w:eastAsia="sk-SK"/>
              </w:rPr>
            </w:pPr>
            <w:r w:rsidRPr="004530AF">
              <w:rPr>
                <w:rFonts w:ascii="Times New Roman" w:hAnsi="Times New Roman"/>
                <w:b/>
                <w:bCs/>
                <w:color w:val="000000"/>
                <w:u w:val="single"/>
                <w:lang w:eastAsia="sk-SK"/>
              </w:rPr>
              <w:t xml:space="preserve">Nadštandardné zdravotná starostlivosť: </w:t>
            </w:r>
          </w:p>
        </w:tc>
        <w:tc>
          <w:tcPr>
            <w:tcW w:w="2126" w:type="dxa"/>
            <w:vMerge w:val="restart"/>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jc w:val="center"/>
              <w:rPr>
                <w:rFonts w:ascii="Times New Roman" w:hAnsi="Times New Roman"/>
                <w:color w:val="000000"/>
                <w:lang w:eastAsia="sk-SK"/>
              </w:rPr>
            </w:pPr>
            <w:r w:rsidRPr="004530AF">
              <w:rPr>
                <w:rFonts w:ascii="Times New Roman" w:hAnsi="Times New Roman"/>
                <w:color w:val="000000"/>
                <w:lang w:eastAsia="sk-SK"/>
              </w:rPr>
              <w:t>APZD, ZAP, SŽZ</w:t>
            </w:r>
          </w:p>
        </w:tc>
      </w:tr>
      <w:tr w:rsidR="00D21CDB" w:rsidRPr="004530AF" w:rsidTr="006C5916">
        <w:trPr>
          <w:trHeight w:val="383"/>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nil"/>
              <w:right w:val="single" w:sz="8" w:space="0" w:color="666666"/>
            </w:tcBorders>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xml:space="preserve">- požiadavka oslobodiť od dane a odvodov všeobecne, nielen hradených zo sociálneho fondu, </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157"/>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single" w:sz="8" w:space="0" w:color="666666"/>
              <w:right w:val="single" w:sz="8" w:space="0" w:color="666666"/>
            </w:tcBorders>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požadujú vyňať z predmetu dane náklady za akúkoľvek zdravotnú starostlivosť (ide o zvyšovanie zdravotnej úrovne ako prevenciu civilizačných chorôb).</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330"/>
        </w:trPr>
        <w:tc>
          <w:tcPr>
            <w:tcW w:w="960" w:type="dxa"/>
            <w:vMerge w:val="restart"/>
            <w:tcBorders>
              <w:top w:val="nil"/>
              <w:left w:val="single" w:sz="8" w:space="0" w:color="666666"/>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center"/>
              <w:rPr>
                <w:rFonts w:ascii="Times New Roman" w:hAnsi="Times New Roman"/>
                <w:b/>
                <w:bCs/>
                <w:color w:val="000000"/>
                <w:lang w:eastAsia="sk-SK"/>
              </w:rPr>
            </w:pPr>
            <w:r w:rsidRPr="004530AF">
              <w:rPr>
                <w:rFonts w:ascii="Times New Roman" w:hAnsi="Times New Roman"/>
                <w:b/>
                <w:bCs/>
                <w:color w:val="000000"/>
                <w:lang w:eastAsia="sk-SK"/>
              </w:rPr>
              <w:t>21.  </w:t>
            </w:r>
          </w:p>
        </w:tc>
        <w:tc>
          <w:tcPr>
            <w:tcW w:w="6553" w:type="dxa"/>
            <w:tcBorders>
              <w:top w:val="nil"/>
              <w:left w:val="nil"/>
              <w:bottom w:val="nil"/>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b/>
                <w:bCs/>
                <w:color w:val="000000"/>
                <w:u w:val="single"/>
                <w:lang w:eastAsia="sk-SK"/>
              </w:rPr>
            </w:pPr>
            <w:r w:rsidRPr="004530AF">
              <w:rPr>
                <w:rFonts w:ascii="Times New Roman" w:hAnsi="Times New Roman"/>
                <w:b/>
                <w:bCs/>
                <w:color w:val="000000"/>
                <w:u w:val="single"/>
                <w:lang w:eastAsia="sk-SK"/>
              </w:rPr>
              <w:t>Veda a výskum</w:t>
            </w:r>
            <w:r w:rsidRPr="004530AF">
              <w:rPr>
                <w:rFonts w:ascii="Times New Roman" w:hAnsi="Times New Roman"/>
                <w:color w:val="000000"/>
                <w:u w:val="single"/>
                <w:lang w:eastAsia="sk-SK"/>
              </w:rPr>
              <w:t xml:space="preserve">: </w:t>
            </w:r>
          </w:p>
        </w:tc>
        <w:tc>
          <w:tcPr>
            <w:tcW w:w="2126" w:type="dxa"/>
            <w:vMerge w:val="restart"/>
            <w:tcBorders>
              <w:top w:val="nil"/>
              <w:left w:val="single" w:sz="8" w:space="0" w:color="666666"/>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center"/>
              <w:rPr>
                <w:rFonts w:ascii="Times New Roman" w:hAnsi="Times New Roman"/>
                <w:color w:val="000000"/>
                <w:lang w:eastAsia="sk-SK"/>
              </w:rPr>
            </w:pPr>
            <w:r w:rsidRPr="004530AF">
              <w:rPr>
                <w:rFonts w:ascii="Times New Roman" w:hAnsi="Times New Roman"/>
                <w:color w:val="000000"/>
                <w:lang w:eastAsia="sk-SK"/>
              </w:rPr>
              <w:t>APZD, ZAP, SŽZ</w:t>
            </w:r>
          </w:p>
        </w:tc>
      </w:tr>
      <w:tr w:rsidR="00D21CDB" w:rsidRPr="004530AF" w:rsidTr="006C5916">
        <w:trPr>
          <w:trHeight w:val="495"/>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nil"/>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xml:space="preserve">- zaviesť možnosť paušálnych výdavkov (nákladov) súvisiacich s realizáciou projektu výskumu a vývoja len z časti – dôvodom je vysoká  administratívna záťaž, </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r w:rsidR="00D21CDB" w:rsidRPr="004530AF" w:rsidTr="006C5916">
        <w:trPr>
          <w:trHeight w:val="215"/>
        </w:trPr>
        <w:tc>
          <w:tcPr>
            <w:tcW w:w="960"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b/>
                <w:bCs/>
                <w:color w:val="000000"/>
                <w:lang w:eastAsia="sk-SK"/>
              </w:rPr>
            </w:pPr>
          </w:p>
        </w:tc>
        <w:tc>
          <w:tcPr>
            <w:tcW w:w="6553" w:type="dxa"/>
            <w:tcBorders>
              <w:top w:val="nil"/>
              <w:left w:val="nil"/>
              <w:bottom w:val="single" w:sz="8" w:space="0" w:color="666666"/>
              <w:right w:val="single" w:sz="8" w:space="0" w:color="666666"/>
            </w:tcBorders>
            <w:shd w:val="clear" w:color="000000" w:fill="CCCCCC"/>
            <w:vAlign w:val="center"/>
            <w:hideMark/>
          </w:tcPr>
          <w:p w:rsidR="00D21CDB" w:rsidRPr="004530AF" w:rsidRDefault="00D21CDB" w:rsidP="006C5916">
            <w:pPr>
              <w:spacing w:after="0" w:line="240" w:lineRule="auto"/>
              <w:jc w:val="both"/>
              <w:rPr>
                <w:rFonts w:ascii="Times New Roman" w:hAnsi="Times New Roman"/>
                <w:color w:val="000000"/>
                <w:lang w:eastAsia="sk-SK"/>
              </w:rPr>
            </w:pPr>
            <w:r w:rsidRPr="004530AF">
              <w:rPr>
                <w:rFonts w:ascii="Times New Roman" w:hAnsi="Times New Roman"/>
                <w:color w:val="000000"/>
                <w:lang w:eastAsia="sk-SK"/>
              </w:rPr>
              <w:t>- podpora zamestnávania mladých výskumno-vývojových pracovníkov do 35 r. formou superodpočtu vo výške 250 % mzdových nákladov.</w:t>
            </w:r>
          </w:p>
        </w:tc>
        <w:tc>
          <w:tcPr>
            <w:tcW w:w="2126" w:type="dxa"/>
            <w:vMerge/>
            <w:tcBorders>
              <w:top w:val="nil"/>
              <w:left w:val="single" w:sz="8" w:space="0" w:color="666666"/>
              <w:bottom w:val="single" w:sz="8" w:space="0" w:color="666666"/>
              <w:right w:val="single" w:sz="8" w:space="0" w:color="666666"/>
            </w:tcBorders>
            <w:vAlign w:val="center"/>
            <w:hideMark/>
          </w:tcPr>
          <w:p w:rsidR="00D21CDB" w:rsidRPr="004530AF" w:rsidRDefault="00D21CDB" w:rsidP="006C5916">
            <w:pPr>
              <w:spacing w:after="0" w:line="240" w:lineRule="auto"/>
              <w:rPr>
                <w:rFonts w:ascii="Times New Roman" w:hAnsi="Times New Roman"/>
                <w:color w:val="000000"/>
                <w:lang w:eastAsia="sk-SK"/>
              </w:rPr>
            </w:pPr>
          </w:p>
        </w:tc>
      </w:tr>
    </w:tbl>
    <w:p w:rsidR="00D21CDB" w:rsidRPr="004530AF" w:rsidRDefault="00D21CDB" w:rsidP="00D21CDB">
      <w:pPr>
        <w:spacing w:after="0"/>
        <w:jc w:val="both"/>
        <w:rPr>
          <w:rFonts w:ascii="Times New Roman" w:hAnsi="Times New Roman"/>
          <w:i/>
          <w:color w:val="0070C0"/>
        </w:rPr>
      </w:pPr>
    </w:p>
    <w:p w:rsidR="00D21CDB" w:rsidRPr="00D8247C" w:rsidRDefault="00D21CDB" w:rsidP="00D21CDB">
      <w:pPr>
        <w:spacing w:after="0"/>
        <w:jc w:val="both"/>
        <w:rPr>
          <w:rFonts w:ascii="Times New Roman" w:hAnsi="Times New Roman"/>
          <w:i/>
          <w:sz w:val="24"/>
          <w:szCs w:val="24"/>
        </w:rPr>
      </w:pPr>
    </w:p>
    <w:p w:rsidR="00D21CDB" w:rsidRPr="001F1B43" w:rsidRDefault="00D21CDB" w:rsidP="00D21CDB">
      <w:pPr>
        <w:jc w:val="both"/>
        <w:rPr>
          <w:rFonts w:ascii="Times New Roman" w:hAnsi="Times New Roman"/>
          <w:b/>
          <w:sz w:val="24"/>
          <w:szCs w:val="24"/>
        </w:rPr>
      </w:pPr>
      <w:bookmarkStart w:id="1" w:name="_Hlk47698091"/>
      <w:r w:rsidRPr="001F1B43">
        <w:rPr>
          <w:rFonts w:ascii="Times New Roman" w:hAnsi="Times New Roman"/>
          <w:b/>
          <w:sz w:val="24"/>
          <w:szCs w:val="24"/>
        </w:rPr>
        <w:t>3.3 Vplyvy na konkurencieschopnosť a produktivitu</w:t>
      </w:r>
    </w:p>
    <w:bookmarkEnd w:id="1"/>
    <w:p w:rsidR="00D21CDB" w:rsidRDefault="00D21CDB" w:rsidP="00D21CDB">
      <w:pPr>
        <w:spacing w:after="0"/>
        <w:jc w:val="both"/>
        <w:rPr>
          <w:rFonts w:ascii="Times New Roman" w:hAnsi="Times New Roman"/>
          <w:i/>
          <w:sz w:val="24"/>
          <w:szCs w:val="24"/>
        </w:rPr>
      </w:pPr>
      <w:r>
        <w:rPr>
          <w:rFonts w:ascii="Times New Roman" w:hAnsi="Times New Roman"/>
          <w:i/>
          <w:sz w:val="24"/>
          <w:szCs w:val="24"/>
        </w:rPr>
        <w:t>Bez vplyvu na konkurencieschopnosť a produktivitu.</w:t>
      </w:r>
    </w:p>
    <w:p w:rsidR="00D21CDB" w:rsidRPr="00D8247C" w:rsidRDefault="00D21CDB" w:rsidP="00D21CDB">
      <w:pPr>
        <w:spacing w:after="0"/>
        <w:jc w:val="both"/>
        <w:rPr>
          <w:rFonts w:ascii="Times New Roman" w:hAnsi="Times New Roman"/>
          <w:i/>
          <w:sz w:val="24"/>
          <w:szCs w:val="24"/>
        </w:rPr>
      </w:pPr>
    </w:p>
    <w:p w:rsidR="00D21CDB" w:rsidRPr="00D8247C" w:rsidRDefault="00D21CDB" w:rsidP="00D21CDB">
      <w:pPr>
        <w:spacing w:after="0"/>
        <w:jc w:val="both"/>
        <w:rPr>
          <w:rFonts w:ascii="Times New Roman" w:hAnsi="Times New Roman"/>
          <w:b/>
          <w:i/>
          <w:sz w:val="24"/>
          <w:szCs w:val="24"/>
        </w:rPr>
      </w:pPr>
      <w:r w:rsidRPr="00D8247C">
        <w:rPr>
          <w:rFonts w:ascii="Times New Roman" w:hAnsi="Times New Roman"/>
          <w:b/>
          <w:i/>
          <w:sz w:val="24"/>
          <w:szCs w:val="24"/>
        </w:rPr>
        <w:t>Konkurencieschopnosť:</w:t>
      </w:r>
    </w:p>
    <w:p w:rsidR="00D21CDB" w:rsidRPr="00D8247C" w:rsidRDefault="00D21CDB" w:rsidP="00D21CDB">
      <w:pPr>
        <w:spacing w:after="0"/>
        <w:jc w:val="both"/>
        <w:rPr>
          <w:rFonts w:ascii="Times New Roman" w:hAnsi="Times New Roman"/>
          <w:i/>
          <w:sz w:val="24"/>
          <w:szCs w:val="24"/>
        </w:rPr>
      </w:pPr>
      <w:r w:rsidRPr="00D8247C">
        <w:rPr>
          <w:rFonts w:ascii="Segoe UI Symbol" w:hAnsi="Segoe UI Symbol" w:cs="Segoe UI Symbol"/>
          <w:i/>
          <w:sz w:val="24"/>
          <w:szCs w:val="24"/>
        </w:rPr>
        <w:t>☐</w:t>
      </w:r>
      <w:r w:rsidRPr="00D8247C">
        <w:rPr>
          <w:rFonts w:ascii="Times New Roman" w:hAnsi="Times New Roman"/>
          <w:i/>
          <w:sz w:val="24"/>
          <w:szCs w:val="24"/>
        </w:rPr>
        <w:t xml:space="preserve"> zvyšuje  </w:t>
      </w:r>
      <w:r w:rsidRPr="00D8247C">
        <w:rPr>
          <w:rFonts w:ascii="Times New Roman" w:hAnsi="Times New Roman"/>
          <w:i/>
          <w:sz w:val="24"/>
          <w:szCs w:val="24"/>
        </w:rPr>
        <w:tab/>
      </w:r>
      <w:r w:rsidRPr="00B93D71">
        <w:rPr>
          <w:rFonts w:ascii="Segoe UI Symbol" w:hAnsi="Segoe UI Symbol" w:cs="Segoe UI Symbol"/>
          <w:b/>
          <w:i/>
          <w:sz w:val="24"/>
          <w:szCs w:val="24"/>
        </w:rPr>
        <w:t>x</w:t>
      </w:r>
      <w:r w:rsidRPr="00D8247C">
        <w:rPr>
          <w:rFonts w:ascii="Times New Roman" w:hAnsi="Times New Roman"/>
          <w:i/>
          <w:sz w:val="24"/>
          <w:szCs w:val="24"/>
        </w:rPr>
        <w:t xml:space="preserve"> nemení</w:t>
      </w:r>
      <w:r w:rsidRPr="00D8247C">
        <w:rPr>
          <w:rFonts w:ascii="Times New Roman" w:hAnsi="Times New Roman"/>
          <w:i/>
          <w:sz w:val="24"/>
          <w:szCs w:val="24"/>
        </w:rPr>
        <w:tab/>
      </w:r>
      <w:r w:rsidRPr="00D8247C">
        <w:rPr>
          <w:rFonts w:ascii="Segoe UI Symbol" w:hAnsi="Segoe UI Symbol" w:cs="Segoe UI Symbol"/>
          <w:i/>
          <w:sz w:val="24"/>
          <w:szCs w:val="24"/>
        </w:rPr>
        <w:t>☐</w:t>
      </w:r>
      <w:r w:rsidRPr="00D8247C">
        <w:rPr>
          <w:rFonts w:ascii="Times New Roman" w:hAnsi="Times New Roman"/>
          <w:i/>
          <w:sz w:val="24"/>
          <w:szCs w:val="24"/>
        </w:rPr>
        <w:t xml:space="preserve"> znižuje</w:t>
      </w:r>
    </w:p>
    <w:p w:rsidR="00D21CDB" w:rsidRPr="00D8247C" w:rsidRDefault="00D21CDB" w:rsidP="00D21CDB">
      <w:pPr>
        <w:spacing w:after="0"/>
        <w:jc w:val="both"/>
        <w:rPr>
          <w:rFonts w:ascii="Times New Roman" w:hAnsi="Times New Roman"/>
          <w:i/>
          <w:sz w:val="24"/>
          <w:szCs w:val="24"/>
        </w:rPr>
      </w:pPr>
    </w:p>
    <w:p w:rsidR="00D21CDB" w:rsidRPr="00D8247C" w:rsidRDefault="00D21CDB" w:rsidP="00D21CDB">
      <w:pPr>
        <w:spacing w:after="0"/>
        <w:jc w:val="both"/>
        <w:rPr>
          <w:rFonts w:ascii="Times New Roman" w:hAnsi="Times New Roman"/>
          <w:b/>
          <w:i/>
          <w:sz w:val="24"/>
          <w:szCs w:val="24"/>
        </w:rPr>
      </w:pPr>
      <w:r w:rsidRPr="00D8247C">
        <w:rPr>
          <w:rFonts w:ascii="Times New Roman" w:hAnsi="Times New Roman"/>
          <w:b/>
          <w:i/>
          <w:sz w:val="24"/>
          <w:szCs w:val="24"/>
        </w:rPr>
        <w:t>Produktivita:</w:t>
      </w:r>
    </w:p>
    <w:p w:rsidR="00D21CDB" w:rsidRPr="00D8247C" w:rsidRDefault="00D21CDB" w:rsidP="00D21CDB">
      <w:pPr>
        <w:spacing w:after="0"/>
        <w:jc w:val="both"/>
        <w:rPr>
          <w:rFonts w:ascii="Times New Roman" w:hAnsi="Times New Roman"/>
          <w:i/>
          <w:sz w:val="24"/>
          <w:szCs w:val="24"/>
        </w:rPr>
      </w:pPr>
      <w:r w:rsidRPr="00D8247C">
        <w:rPr>
          <w:rFonts w:ascii="Times New Roman" w:hAnsi="Times New Roman"/>
          <w:i/>
          <w:sz w:val="24"/>
          <w:szCs w:val="24"/>
        </w:rPr>
        <w:t xml:space="preserve">Aký má materiál vplyv na zmenu pomeru medzi produkciou podnikov a ich nákladmi? </w:t>
      </w:r>
    </w:p>
    <w:p w:rsidR="00D21CDB" w:rsidRPr="00D8247C" w:rsidRDefault="00D21CDB" w:rsidP="00D21CDB">
      <w:pPr>
        <w:spacing w:after="0"/>
        <w:jc w:val="both"/>
        <w:rPr>
          <w:rFonts w:ascii="Times New Roman" w:hAnsi="Times New Roman"/>
          <w:i/>
          <w:sz w:val="24"/>
          <w:szCs w:val="24"/>
        </w:rPr>
      </w:pPr>
      <w:r w:rsidRPr="00D8247C">
        <w:rPr>
          <w:rFonts w:ascii="Segoe UI Symbol" w:hAnsi="Segoe UI Symbol" w:cs="Segoe UI Symbol"/>
          <w:i/>
          <w:sz w:val="24"/>
          <w:szCs w:val="24"/>
        </w:rPr>
        <w:t>☐</w:t>
      </w:r>
      <w:r w:rsidRPr="00D8247C">
        <w:rPr>
          <w:rFonts w:ascii="Times New Roman" w:hAnsi="Times New Roman"/>
          <w:i/>
          <w:sz w:val="24"/>
          <w:szCs w:val="24"/>
        </w:rPr>
        <w:t xml:space="preserve"> zvyšuje  </w:t>
      </w:r>
      <w:r w:rsidRPr="00D8247C">
        <w:rPr>
          <w:rFonts w:ascii="Times New Roman" w:hAnsi="Times New Roman"/>
          <w:i/>
          <w:sz w:val="24"/>
          <w:szCs w:val="24"/>
        </w:rPr>
        <w:tab/>
      </w:r>
      <w:r w:rsidRPr="00B93D71">
        <w:rPr>
          <w:rFonts w:ascii="Segoe UI Symbol" w:hAnsi="Segoe UI Symbol" w:cs="Segoe UI Symbol"/>
          <w:b/>
          <w:i/>
          <w:sz w:val="24"/>
          <w:szCs w:val="24"/>
        </w:rPr>
        <w:t>x</w:t>
      </w:r>
      <w:r w:rsidRPr="00D8247C">
        <w:rPr>
          <w:rFonts w:ascii="Times New Roman" w:hAnsi="Times New Roman"/>
          <w:i/>
          <w:sz w:val="24"/>
          <w:szCs w:val="24"/>
        </w:rPr>
        <w:t xml:space="preserve"> nemení</w:t>
      </w:r>
      <w:r w:rsidRPr="00D8247C">
        <w:rPr>
          <w:rFonts w:ascii="Times New Roman" w:hAnsi="Times New Roman"/>
          <w:i/>
          <w:sz w:val="24"/>
          <w:szCs w:val="24"/>
        </w:rPr>
        <w:tab/>
      </w:r>
      <w:r w:rsidRPr="00D8247C">
        <w:rPr>
          <w:rFonts w:ascii="Segoe UI Symbol" w:hAnsi="Segoe UI Symbol" w:cs="Segoe UI Symbol"/>
          <w:i/>
          <w:sz w:val="24"/>
          <w:szCs w:val="24"/>
        </w:rPr>
        <w:t>☐</w:t>
      </w:r>
      <w:r w:rsidRPr="00D8247C">
        <w:rPr>
          <w:rFonts w:ascii="Times New Roman" w:hAnsi="Times New Roman"/>
          <w:i/>
          <w:sz w:val="24"/>
          <w:szCs w:val="24"/>
        </w:rPr>
        <w:t xml:space="preserve"> znižuje</w:t>
      </w:r>
    </w:p>
    <w:p w:rsidR="00D21CDB" w:rsidRPr="00D8247C" w:rsidRDefault="00D21CDB" w:rsidP="00D21CDB">
      <w:pPr>
        <w:spacing w:after="0"/>
        <w:jc w:val="both"/>
        <w:rPr>
          <w:rFonts w:ascii="Times New Roman" w:hAnsi="Times New Roman"/>
          <w:i/>
          <w:sz w:val="24"/>
          <w:szCs w:val="24"/>
        </w:rPr>
      </w:pPr>
    </w:p>
    <w:p w:rsidR="00D21CDB" w:rsidRPr="001F1B43" w:rsidRDefault="00D21CDB" w:rsidP="00D21CDB">
      <w:pPr>
        <w:jc w:val="both"/>
        <w:rPr>
          <w:rFonts w:ascii="Times New Roman" w:hAnsi="Times New Roman"/>
          <w:b/>
          <w:sz w:val="24"/>
          <w:szCs w:val="24"/>
        </w:rPr>
      </w:pPr>
      <w:r w:rsidRPr="001F1B43">
        <w:rPr>
          <w:rFonts w:ascii="Times New Roman" w:hAnsi="Times New Roman"/>
          <w:b/>
          <w:sz w:val="24"/>
          <w:szCs w:val="24"/>
        </w:rPr>
        <w:t xml:space="preserve">3.4  Iné vplyvy na podnikateľské prostredie </w:t>
      </w:r>
    </w:p>
    <w:p w:rsidR="00D21CDB" w:rsidRPr="00B648DC" w:rsidRDefault="00D21CDB" w:rsidP="00D21CDB">
      <w:pPr>
        <w:jc w:val="both"/>
        <w:rPr>
          <w:rStyle w:val="awspan"/>
          <w:b/>
          <w:color w:val="000000"/>
          <w:sz w:val="24"/>
          <w:szCs w:val="24"/>
        </w:rPr>
      </w:pPr>
      <w:r w:rsidRPr="00B648DC">
        <w:rPr>
          <w:rStyle w:val="awspan"/>
          <w:color w:val="000000"/>
          <w:sz w:val="24"/>
          <w:szCs w:val="24"/>
        </w:rPr>
        <w:t>K novele zákona o dani z príjmov:</w:t>
      </w:r>
    </w:p>
    <w:p w:rsidR="00D21CDB" w:rsidRPr="004263D9" w:rsidRDefault="00D21CDB" w:rsidP="00D21CDB">
      <w:pPr>
        <w:spacing w:after="60"/>
        <w:jc w:val="both"/>
        <w:rPr>
          <w:rFonts w:ascii="Times New Roman" w:eastAsiaTheme="minorEastAsia" w:hAnsi="Times New Roman"/>
          <w:sz w:val="24"/>
          <w:szCs w:val="24"/>
          <w:lang w:eastAsia="sk-SK"/>
        </w:rPr>
      </w:pPr>
      <w:r w:rsidRPr="004263D9">
        <w:rPr>
          <w:rFonts w:ascii="Times New Roman" w:eastAsiaTheme="minorEastAsia" w:hAnsi="Times New Roman"/>
          <w:sz w:val="24"/>
          <w:szCs w:val="24"/>
          <w:lang w:eastAsia="sk-SK"/>
        </w:rPr>
        <w:t>Úprava a spresnenie pravidiel transferového oceňovania v návrhu zákona má pozitívny vplyv na podnikateľské prostredie, nakoľko dochádza k zníženiu administratívnej náročnosti a zvýšeniu právnej istoty daňovníkov.</w:t>
      </w:r>
    </w:p>
    <w:p w:rsidR="00D21CDB" w:rsidRPr="004263D9" w:rsidRDefault="00D21CDB" w:rsidP="00D21CDB">
      <w:pPr>
        <w:spacing w:after="60"/>
        <w:jc w:val="both"/>
        <w:rPr>
          <w:rFonts w:ascii="Times New Roman" w:eastAsiaTheme="minorEastAsia" w:hAnsi="Times New Roman"/>
          <w:sz w:val="24"/>
          <w:szCs w:val="24"/>
          <w:lang w:eastAsia="sk-SK"/>
        </w:rPr>
      </w:pPr>
      <w:r w:rsidRPr="004263D9">
        <w:rPr>
          <w:rFonts w:ascii="Times New Roman" w:eastAsiaTheme="minorEastAsia" w:hAnsi="Times New Roman"/>
          <w:sz w:val="24"/>
          <w:szCs w:val="24"/>
          <w:lang w:eastAsia="sk-SK"/>
        </w:rPr>
        <w:lastRenderedPageBreak/>
        <w:t>Zavedením pravidla o obmedzení úrokových nákladov sa zamedzí proti praktikám cieleným na umelé znižovanie základu dane z príjmov prostredníctvom dlhového financovania, čo bude mať pozitívny vplyv na štátny rozpočet.</w:t>
      </w:r>
    </w:p>
    <w:p w:rsidR="00D21CDB" w:rsidRDefault="00D21CDB" w:rsidP="00D21CDB">
      <w:pPr>
        <w:spacing w:after="60"/>
        <w:jc w:val="both"/>
        <w:rPr>
          <w:rFonts w:ascii="Times New Roman" w:eastAsiaTheme="minorEastAsia" w:hAnsi="Times New Roman"/>
          <w:sz w:val="24"/>
          <w:szCs w:val="24"/>
          <w:lang w:eastAsia="sk-SK"/>
        </w:rPr>
      </w:pPr>
      <w:r w:rsidRPr="004263D9">
        <w:rPr>
          <w:rFonts w:ascii="Times New Roman" w:eastAsiaTheme="minorEastAsia" w:hAnsi="Times New Roman"/>
          <w:sz w:val="24"/>
          <w:szCs w:val="24"/>
          <w:lang w:eastAsia="sk-SK"/>
        </w:rPr>
        <w:t xml:space="preserve">Legislatívna úprava vykazovania technických rezerv v poisťovníctve premietnutá do návrhu zákona v nadväznosti na nový medzinárodný štandard finančného výkazníctva IFRS 17 zníži administratívnu náročnosť </w:t>
      </w:r>
      <w:r>
        <w:rPr>
          <w:rFonts w:ascii="Times New Roman" w:eastAsiaTheme="minorEastAsia" w:hAnsi="Times New Roman"/>
          <w:sz w:val="24"/>
          <w:szCs w:val="24"/>
          <w:lang w:eastAsia="sk-SK"/>
        </w:rPr>
        <w:t xml:space="preserve">vykazovania </w:t>
      </w:r>
      <w:r w:rsidRPr="004263D9">
        <w:rPr>
          <w:rFonts w:ascii="Times New Roman" w:eastAsiaTheme="minorEastAsia" w:hAnsi="Times New Roman"/>
          <w:sz w:val="24"/>
          <w:szCs w:val="24"/>
          <w:lang w:eastAsia="sk-SK"/>
        </w:rPr>
        <w:t>pre poisťovne.</w:t>
      </w:r>
    </w:p>
    <w:p w:rsidR="00D21CDB" w:rsidRPr="00126DC3" w:rsidRDefault="00D21CDB" w:rsidP="00D21CDB">
      <w:pPr>
        <w:spacing w:after="60"/>
        <w:jc w:val="both"/>
        <w:rPr>
          <w:rFonts w:ascii="Times New Roman" w:eastAsiaTheme="minorEastAsia" w:hAnsi="Times New Roman"/>
          <w:sz w:val="24"/>
          <w:szCs w:val="24"/>
          <w:lang w:eastAsia="sk-SK"/>
        </w:rPr>
      </w:pPr>
      <w:r w:rsidRPr="00126DC3">
        <w:rPr>
          <w:rFonts w:ascii="Times New Roman" w:eastAsiaTheme="minorEastAsia" w:hAnsi="Times New Roman"/>
          <w:sz w:val="24"/>
          <w:szCs w:val="24"/>
          <w:lang w:eastAsia="sk-SK"/>
        </w:rPr>
        <w:t xml:space="preserve">Navrhované opatrenie dopĺňa situácia zániku pohľadávky v dôsledku jej odpustenia pri tzv. preventívnej reštrukturalizácii podľa zákona č. 111/2022 Z. z. o riešení hroziaceho úpadku a o zmene a doplnení niektorých zákonov. Ide o implementáciu smerníc EÚ, ktoré riešia hroziaci úpadok v preventívnom konaní prostredníctvom súboru reštrukturalizačných opatrení. Jedným z reštrukturalizačných opatrení je aj odpustenie, resp. čiastočné odpustenie záväzku (pohľadávky). Ide o zosúladenie pravidiel v prípade preventívnej reštrukturalizácie so súčasnými pravidlami pre reštrukturalizáciu. </w:t>
      </w:r>
    </w:p>
    <w:p w:rsidR="00D21CDB" w:rsidRDefault="00D21CDB" w:rsidP="00D21CDB">
      <w:pPr>
        <w:spacing w:after="0" w:line="240" w:lineRule="auto"/>
        <w:jc w:val="both"/>
        <w:rPr>
          <w:rFonts w:ascii="Times New Roman" w:eastAsiaTheme="minorEastAsia" w:hAnsi="Times New Roman"/>
          <w:sz w:val="24"/>
          <w:szCs w:val="24"/>
          <w:lang w:eastAsia="sk-SK"/>
        </w:rPr>
      </w:pPr>
      <w:r>
        <w:rPr>
          <w:rFonts w:ascii="Times New Roman" w:eastAsiaTheme="minorEastAsia" w:hAnsi="Times New Roman"/>
          <w:sz w:val="24"/>
          <w:szCs w:val="24"/>
          <w:lang w:eastAsia="sk-SK"/>
        </w:rPr>
        <w:t>Novelou zákona sa zavádza zjednodušenie spôsobu registrácie podnikateľských subjektov a verejnej správy, ide o antibyrokratické opatrenie.</w:t>
      </w:r>
    </w:p>
    <w:p w:rsidR="00D21CDB" w:rsidRDefault="00D21CDB" w:rsidP="00D21CDB">
      <w:pPr>
        <w:spacing w:after="0" w:line="240" w:lineRule="auto"/>
        <w:jc w:val="both"/>
        <w:rPr>
          <w:rFonts w:ascii="Times New Roman" w:eastAsiaTheme="minorEastAsia" w:hAnsi="Times New Roman"/>
          <w:sz w:val="24"/>
          <w:szCs w:val="24"/>
          <w:lang w:eastAsia="sk-SK"/>
        </w:rPr>
      </w:pPr>
    </w:p>
    <w:p w:rsidR="00D21CDB" w:rsidRDefault="00D21CDB" w:rsidP="00D21CDB">
      <w:pPr>
        <w:spacing w:after="60"/>
        <w:jc w:val="both"/>
        <w:rPr>
          <w:rFonts w:ascii="Times New Roman" w:hAnsi="Times New Roman"/>
          <w:b/>
          <w:bCs/>
          <w:sz w:val="24"/>
          <w:szCs w:val="24"/>
          <w:lang w:eastAsia="sk-SK"/>
        </w:rPr>
      </w:pPr>
      <w:r>
        <w:rPr>
          <w:rFonts w:ascii="Times New Roman" w:hAnsi="Times New Roman"/>
          <w:b/>
          <w:bCs/>
          <w:sz w:val="24"/>
          <w:szCs w:val="24"/>
          <w:lang w:eastAsia="sk-SK"/>
        </w:rPr>
        <w:t>K novele Daňového poriadku:</w:t>
      </w:r>
    </w:p>
    <w:p w:rsidR="00D21CDB" w:rsidRPr="00942346" w:rsidRDefault="00D21CDB" w:rsidP="00D21CDB">
      <w:pPr>
        <w:spacing w:after="60"/>
        <w:jc w:val="both"/>
        <w:rPr>
          <w:rFonts w:ascii="Times New Roman" w:eastAsiaTheme="minorEastAsia" w:hAnsi="Times New Roman"/>
          <w:sz w:val="24"/>
          <w:szCs w:val="24"/>
          <w:lang w:eastAsia="sk-SK"/>
        </w:rPr>
      </w:pPr>
      <w:r w:rsidRPr="00942346">
        <w:rPr>
          <w:rFonts w:ascii="Times New Roman" w:eastAsiaTheme="minorEastAsia" w:hAnsi="Times New Roman"/>
          <w:sz w:val="24"/>
          <w:szCs w:val="24"/>
          <w:lang w:eastAsia="sk-SK"/>
        </w:rPr>
        <w:t>Zavádza sa systém tzv. „druhej šance“, čo znamená, že  daňový úrad a colný úrad pri prvom zistení porušenia zákona pokutu, ktorú je možné určiť v rámci intervalového rozpätia, neuloží, ale vyzve na splnenie povinnosti, a ak bola povinnosť splnená oneskorene, upozorní daňový subjekt, že pri ďalšom porušení mu už bude uložená pokuta. Porušenie bude posudzované podľa skutkovej podstaty správneho deliktu a to osobitne voči daňovým úradom a colným úradom.</w:t>
      </w:r>
    </w:p>
    <w:p w:rsidR="00D21CDB" w:rsidRPr="00942346" w:rsidRDefault="00D21CDB" w:rsidP="00D21CDB">
      <w:pPr>
        <w:spacing w:after="60"/>
        <w:jc w:val="both"/>
        <w:rPr>
          <w:rFonts w:ascii="Times New Roman" w:eastAsiaTheme="minorEastAsia" w:hAnsi="Times New Roman"/>
          <w:sz w:val="24"/>
          <w:szCs w:val="24"/>
          <w:lang w:eastAsia="sk-SK"/>
        </w:rPr>
      </w:pPr>
      <w:r w:rsidRPr="00942346">
        <w:rPr>
          <w:rFonts w:ascii="Times New Roman" w:eastAsiaTheme="minorEastAsia" w:hAnsi="Times New Roman"/>
          <w:sz w:val="24"/>
          <w:szCs w:val="24"/>
          <w:lang w:eastAsia="sk-SK"/>
        </w:rPr>
        <w:t xml:space="preserve">Skracuje sa prekluzívna lehota na vyrubenie úroku z omeškania v prípade úplnej úhrady nedoplatku. </w:t>
      </w:r>
    </w:p>
    <w:p w:rsidR="002B3AE8" w:rsidRDefault="002B3AE8" w:rsidP="0004402F"/>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62"/>
        <w:gridCol w:w="175"/>
        <w:gridCol w:w="25"/>
        <w:gridCol w:w="40"/>
        <w:gridCol w:w="34"/>
        <w:gridCol w:w="3021"/>
        <w:gridCol w:w="492"/>
        <w:gridCol w:w="84"/>
        <w:gridCol w:w="883"/>
        <w:gridCol w:w="4432"/>
        <w:gridCol w:w="46"/>
        <w:gridCol w:w="205"/>
      </w:tblGrid>
      <w:tr w:rsidR="002B3AE8" w:rsidRPr="002644DE" w:rsidTr="00B95D14">
        <w:trPr>
          <w:trHeight w:val="534"/>
          <w:jc w:val="center"/>
        </w:trPr>
        <w:tc>
          <w:tcPr>
            <w:tcW w:w="5000" w:type="pct"/>
            <w:gridSpan w:val="12"/>
            <w:shd w:val="clear" w:color="auto" w:fill="808080" w:themeFill="background1" w:themeFillShade="80"/>
          </w:tcPr>
          <w:p w:rsidR="002B3AE8" w:rsidRPr="002644DE" w:rsidRDefault="002B3AE8" w:rsidP="00EC4D63">
            <w:pPr>
              <w:spacing w:after="0" w:line="240" w:lineRule="auto"/>
              <w:ind w:left="-284" w:firstLine="284"/>
              <w:jc w:val="center"/>
              <w:rPr>
                <w:rFonts w:ascii="Times New Roman" w:hAnsi="Times New Roman"/>
                <w:b/>
                <w:lang w:eastAsia="sk-SK"/>
              </w:rPr>
            </w:pPr>
            <w:r w:rsidRPr="002644DE">
              <w:rPr>
                <w:rFonts w:ascii="Times New Roman" w:hAnsi="Times New Roman"/>
                <w:b/>
                <w:sz w:val="28"/>
                <w:lang w:eastAsia="sk-SK"/>
              </w:rPr>
              <w:t>Analýza sociálnych vplyvov</w:t>
            </w:r>
          </w:p>
          <w:p w:rsidR="002B3AE8" w:rsidRPr="002644DE" w:rsidRDefault="002B3AE8" w:rsidP="00EC4D63">
            <w:pPr>
              <w:spacing w:after="0" w:line="240" w:lineRule="auto"/>
              <w:jc w:val="center"/>
              <w:rPr>
                <w:rFonts w:ascii="Times New Roman" w:hAnsi="Times New Roman"/>
                <w:b/>
                <w:sz w:val="24"/>
                <w:lang w:eastAsia="sk-SK"/>
              </w:rPr>
            </w:pPr>
            <w:r w:rsidRPr="002644DE">
              <w:rPr>
                <w:rFonts w:ascii="Times New Roman" w:hAnsi="Times New Roman"/>
                <w:b/>
                <w:sz w:val="24"/>
                <w:lang w:eastAsia="sk-SK"/>
              </w:rPr>
              <w:t>Vplyvy na hospodárenie domácností, prístup k zdrojom, právam, tovarom a službám, sociálnu inklúziu, rovnosť príležitostí a rovnosť žien a mužov a vplyvy na zamestnanosť</w:t>
            </w:r>
          </w:p>
          <w:p w:rsidR="002B3AE8" w:rsidRPr="002644DE" w:rsidRDefault="002B3AE8" w:rsidP="00EC4D63">
            <w:pPr>
              <w:spacing w:after="0" w:line="240" w:lineRule="auto"/>
              <w:jc w:val="both"/>
              <w:rPr>
                <w:rFonts w:ascii="Times New Roman" w:hAnsi="Times New Roman"/>
                <w:b/>
                <w:lang w:eastAsia="sk-SK"/>
              </w:rPr>
            </w:pPr>
            <w:r w:rsidRPr="002644DE">
              <w:rPr>
                <w:rFonts w:ascii="Times New Roman" w:hAnsi="Times New Roman"/>
                <w:b/>
                <w:sz w:val="18"/>
                <w:lang w:eastAsia="sk-SK"/>
              </w:rPr>
              <w:t>(</w:t>
            </w:r>
            <w:r w:rsidRPr="002644DE">
              <w:rPr>
                <w:rFonts w:ascii="Times New Roman" w:hAnsi="Times New Roman"/>
                <w:sz w:val="18"/>
                <w:lang w:eastAsia="sk-SK"/>
              </w:rPr>
              <w:t>Ak v niektorej z hodnotených oblastí sociálnych vplyvov (bodov 4.1 až 4.4) nebol identifikovaný vplyv, uveďte v príslušnom riadku analýzy poznámku „Bez vplyvu.“.)</w:t>
            </w:r>
          </w:p>
        </w:tc>
      </w:tr>
      <w:tr w:rsidR="002B3AE8" w:rsidRPr="002644DE" w:rsidTr="00B95D14">
        <w:trPr>
          <w:jc w:val="center"/>
        </w:trPr>
        <w:tc>
          <w:tcPr>
            <w:tcW w:w="5000" w:type="pct"/>
            <w:gridSpan w:val="12"/>
            <w:shd w:val="clear" w:color="auto" w:fill="A6A6A6" w:themeFill="background1" w:themeFillShade="A6"/>
          </w:tcPr>
          <w:p w:rsidR="002B3AE8" w:rsidRPr="002644DE" w:rsidRDefault="002B3AE8" w:rsidP="00EC4D63">
            <w:pPr>
              <w:spacing w:after="0" w:line="240" w:lineRule="auto"/>
              <w:rPr>
                <w:rFonts w:ascii="Times New Roman" w:hAnsi="Times New Roman"/>
                <w:b/>
                <w:sz w:val="24"/>
                <w:lang w:eastAsia="sk-SK"/>
              </w:rPr>
            </w:pPr>
            <w:r w:rsidRPr="002644DE">
              <w:rPr>
                <w:rFonts w:ascii="Times New Roman" w:hAnsi="Times New Roman"/>
                <w:b/>
                <w:lang w:eastAsia="sk-SK"/>
              </w:rPr>
              <w:t xml:space="preserve">4.1 </w:t>
            </w:r>
            <w:r w:rsidRPr="002644DE">
              <w:rPr>
                <w:rFonts w:ascii="Times New Roman" w:hAnsi="Times New Roman"/>
                <w:b/>
                <w:sz w:val="24"/>
                <w:lang w:eastAsia="sk-SK"/>
              </w:rPr>
              <w:t>Identifikujte, popíšte a kvantifikujte vplyv na hospodárenie domácností a špecifikujte ovplyvnené skupiny domácností, ktoré budú pozitívne/negatívne ovplyvnené.</w:t>
            </w:r>
          </w:p>
        </w:tc>
      </w:tr>
      <w:tr w:rsidR="002B3AE8" w:rsidRPr="002644DE" w:rsidTr="00B95D14">
        <w:trPr>
          <w:jc w:val="center"/>
        </w:trPr>
        <w:tc>
          <w:tcPr>
            <w:tcW w:w="5000" w:type="pct"/>
            <w:gridSpan w:val="12"/>
            <w:shd w:val="clear" w:color="auto" w:fill="F2F2F2"/>
          </w:tcPr>
          <w:p w:rsidR="002B3AE8" w:rsidRPr="002644DE" w:rsidRDefault="002B3AE8" w:rsidP="00EC4D63">
            <w:pPr>
              <w:spacing w:after="0" w:line="240" w:lineRule="auto"/>
              <w:rPr>
                <w:rFonts w:ascii="Times New Roman" w:hAnsi="Times New Roman"/>
                <w:i/>
                <w:sz w:val="20"/>
                <w:lang w:eastAsia="sk-SK"/>
              </w:rPr>
            </w:pPr>
            <w:r w:rsidRPr="002644DE">
              <w:rPr>
                <w:rFonts w:ascii="Times New Roman" w:hAnsi="Times New Roman"/>
                <w:i/>
                <w:sz w:val="20"/>
                <w:lang w:eastAsia="sk-SK"/>
              </w:rPr>
              <w:t xml:space="preserve">Vedie návrh k zvýšeniu alebo zníženiu príjmov alebo výdavkov domácností? </w:t>
            </w:r>
          </w:p>
          <w:p w:rsidR="002B3AE8" w:rsidRPr="002644DE" w:rsidRDefault="002B3AE8" w:rsidP="00EC4D63">
            <w:pPr>
              <w:spacing w:after="0" w:line="240" w:lineRule="auto"/>
              <w:rPr>
                <w:rFonts w:ascii="Times New Roman" w:hAnsi="Times New Roman"/>
                <w:i/>
                <w:sz w:val="20"/>
                <w:lang w:eastAsia="sk-SK"/>
              </w:rPr>
            </w:pPr>
            <w:r w:rsidRPr="002644DE">
              <w:rPr>
                <w:rFonts w:ascii="Times New Roman" w:hAnsi="Times New Roman"/>
                <w:i/>
                <w:sz w:val="20"/>
                <w:lang w:eastAsia="sk-SK"/>
              </w:rPr>
              <w:t xml:space="preserve">Ktoré skupiny domácností/obyvateľstva sú takto ovplyvnené a akým spôsobom? </w:t>
            </w:r>
          </w:p>
          <w:p w:rsidR="002B3AE8" w:rsidRPr="002644DE" w:rsidRDefault="002B3AE8" w:rsidP="00EC4D63">
            <w:pPr>
              <w:spacing w:after="0" w:line="240" w:lineRule="auto"/>
              <w:rPr>
                <w:rFonts w:ascii="Times New Roman" w:hAnsi="Times New Roman"/>
                <w:i/>
                <w:sz w:val="20"/>
                <w:lang w:eastAsia="sk-SK"/>
              </w:rPr>
            </w:pPr>
            <w:r w:rsidRPr="002644DE">
              <w:rPr>
                <w:rFonts w:ascii="Times New Roman" w:hAnsi="Times New Roman"/>
                <w:i/>
                <w:sz w:val="20"/>
                <w:lang w:eastAsia="sk-SK"/>
              </w:rPr>
              <w:t>Sú medzi potenciálne ovplyvnenými skupinami skupiny v riziku chudoby alebo sociálneho vylúčenia?</w:t>
            </w:r>
          </w:p>
          <w:p w:rsidR="002B3AE8" w:rsidRPr="002644DE" w:rsidRDefault="002B3AE8" w:rsidP="00EC4D63">
            <w:pPr>
              <w:spacing w:after="0" w:line="240" w:lineRule="auto"/>
              <w:rPr>
                <w:rFonts w:ascii="Times New Roman" w:hAnsi="Times New Roman"/>
                <w:b/>
                <w:sz w:val="18"/>
                <w:lang w:eastAsia="sk-SK"/>
              </w:rPr>
            </w:pPr>
            <w:r w:rsidRPr="002644DE">
              <w:rPr>
                <w:rFonts w:ascii="Times New Roman" w:hAnsi="Times New Roman"/>
                <w:b/>
                <w:sz w:val="18"/>
                <w:lang w:eastAsia="sk-SK"/>
              </w:rPr>
              <w:t>(V prípade vyššieho počtu hodnotených opatrení doplňte podľa potreby do tabuľky pred bod 4.2 ďalšie sekcie - 4.1.1 Pozitívny vplyv/4.1.2 Negatívny vplyv).</w:t>
            </w:r>
          </w:p>
        </w:tc>
      </w:tr>
      <w:tr w:rsidR="002B3AE8" w:rsidRPr="002644DE" w:rsidTr="00700096">
        <w:trPr>
          <w:trHeight w:val="170"/>
          <w:jc w:val="center"/>
        </w:trPr>
        <w:tc>
          <w:tcPr>
            <w:tcW w:w="125" w:type="pct"/>
            <w:gridSpan w:val="2"/>
            <w:shd w:val="clear" w:color="auto" w:fill="DDDDDD"/>
            <w:vAlign w:val="center"/>
          </w:tcPr>
          <w:p w:rsidR="002B3AE8" w:rsidRPr="002644DE" w:rsidRDefault="002B3AE8" w:rsidP="00EC4D6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a)</w:t>
            </w:r>
          </w:p>
        </w:tc>
        <w:tc>
          <w:tcPr>
            <w:tcW w:w="4875" w:type="pct"/>
            <w:gridSpan w:val="10"/>
            <w:shd w:val="clear" w:color="auto" w:fill="DDDDDD"/>
            <w:vAlign w:val="center"/>
          </w:tcPr>
          <w:p w:rsidR="002B3AE8" w:rsidRPr="002644DE" w:rsidRDefault="002B3AE8" w:rsidP="00EC4D63">
            <w:pPr>
              <w:spacing w:after="0" w:line="240" w:lineRule="auto"/>
              <w:jc w:val="center"/>
              <w:rPr>
                <w:rFonts w:ascii="Times New Roman" w:hAnsi="Times New Roman"/>
                <w:b/>
                <w:sz w:val="20"/>
                <w:szCs w:val="20"/>
                <w:lang w:eastAsia="sk-SK"/>
              </w:rPr>
            </w:pPr>
            <w:r w:rsidRPr="002644DE">
              <w:rPr>
                <w:rFonts w:ascii="Times New Roman" w:hAnsi="Times New Roman"/>
                <w:b/>
                <w:i/>
                <w:sz w:val="20"/>
                <w:szCs w:val="20"/>
                <w:lang w:eastAsia="sk-SK"/>
              </w:rPr>
              <w:t>4.1.1 Pozitívny vplyv</w:t>
            </w:r>
          </w:p>
        </w:tc>
      </w:tr>
      <w:tr w:rsidR="002B3AE8" w:rsidRPr="002644DE" w:rsidTr="00700096">
        <w:trPr>
          <w:trHeight w:val="759"/>
          <w:jc w:val="center"/>
        </w:trPr>
        <w:tc>
          <w:tcPr>
            <w:tcW w:w="125" w:type="pct"/>
            <w:gridSpan w:val="2"/>
            <w:vAlign w:val="center"/>
          </w:tcPr>
          <w:p w:rsidR="002B3AE8" w:rsidRPr="002644DE" w:rsidRDefault="002B3AE8" w:rsidP="00EC4D63">
            <w:pPr>
              <w:spacing w:after="0" w:line="240" w:lineRule="auto"/>
              <w:contextualSpacing/>
              <w:jc w:val="center"/>
              <w:rPr>
                <w:rFonts w:ascii="Times New Roman" w:hAnsi="Times New Roman"/>
                <w:i/>
                <w:sz w:val="18"/>
                <w:szCs w:val="18"/>
                <w:lang w:eastAsia="sk-SK"/>
              </w:rPr>
            </w:pPr>
            <w:r w:rsidRPr="002644DE">
              <w:rPr>
                <w:rFonts w:ascii="Times New Roman" w:hAnsi="Times New Roman"/>
                <w:i/>
                <w:sz w:val="18"/>
                <w:szCs w:val="18"/>
                <w:lang w:eastAsia="sk-SK"/>
              </w:rPr>
              <w:t>b)</w:t>
            </w:r>
          </w:p>
        </w:tc>
        <w:tc>
          <w:tcPr>
            <w:tcW w:w="1642" w:type="pct"/>
            <w:gridSpan w:val="4"/>
            <w:vAlign w:val="center"/>
          </w:tcPr>
          <w:p w:rsidR="002B3AE8" w:rsidRPr="002644DE" w:rsidRDefault="002B3AE8" w:rsidP="00EC4D63">
            <w:pPr>
              <w:spacing w:after="0" w:line="240" w:lineRule="auto"/>
              <w:jc w:val="both"/>
              <w:rPr>
                <w:rFonts w:ascii="Times New Roman" w:hAnsi="Times New Roman"/>
                <w:i/>
                <w:sz w:val="20"/>
                <w:szCs w:val="20"/>
                <w:lang w:eastAsia="sk-SK"/>
              </w:rPr>
            </w:pPr>
            <w:r w:rsidRPr="002644DE">
              <w:rPr>
                <w:rFonts w:ascii="Times New Roman" w:hAnsi="Times New Roman"/>
                <w:b/>
                <w:i/>
                <w:sz w:val="20"/>
                <w:szCs w:val="20"/>
                <w:lang w:eastAsia="sk-SK"/>
              </w:rPr>
              <w:t xml:space="preserve">Popíšte </w:t>
            </w:r>
            <w:r w:rsidRPr="002644DE">
              <w:rPr>
                <w:rFonts w:ascii="Times New Roman" w:hAnsi="Times New Roman"/>
                <w:i/>
                <w:sz w:val="20"/>
                <w:szCs w:val="20"/>
                <w:lang w:eastAsia="sk-SK"/>
              </w:rPr>
              <w:t>opatrenie a jeho vplyv na hospodárenie domácností s uvedením, či ide o zvýšenie príjmov alebo zníženie výdavkov:</w:t>
            </w:r>
          </w:p>
        </w:tc>
        <w:tc>
          <w:tcPr>
            <w:tcW w:w="3233" w:type="pct"/>
            <w:gridSpan w:val="6"/>
          </w:tcPr>
          <w:p w:rsidR="002B3AE8" w:rsidRDefault="002B3AE8" w:rsidP="00EC4D63">
            <w:pPr>
              <w:spacing w:after="0" w:line="240" w:lineRule="auto"/>
              <w:contextualSpacing/>
              <w:rPr>
                <w:rFonts w:ascii="Times New Roman" w:hAnsi="Times New Roman"/>
                <w:sz w:val="20"/>
                <w:szCs w:val="20"/>
              </w:rPr>
            </w:pPr>
            <w:r w:rsidRPr="00184CE8">
              <w:rPr>
                <w:rFonts w:ascii="Times New Roman" w:hAnsi="Times New Roman"/>
                <w:sz w:val="20"/>
                <w:szCs w:val="20"/>
              </w:rPr>
              <w:t>Navrhovan</w:t>
            </w:r>
            <w:r>
              <w:rPr>
                <w:rFonts w:ascii="Times New Roman" w:hAnsi="Times New Roman"/>
                <w:sz w:val="20"/>
                <w:szCs w:val="20"/>
              </w:rPr>
              <w:t>é opatrenie upravuje spôsob „dopočítania“ sumy d</w:t>
            </w:r>
            <w:r w:rsidRPr="00184CE8">
              <w:rPr>
                <w:rFonts w:ascii="Times New Roman" w:hAnsi="Times New Roman"/>
                <w:sz w:val="20"/>
                <w:szCs w:val="20"/>
              </w:rPr>
              <w:t>aňového bonusu</w:t>
            </w:r>
            <w:r>
              <w:rPr>
                <w:rFonts w:ascii="Times New Roman" w:hAnsi="Times New Roman"/>
                <w:sz w:val="20"/>
                <w:szCs w:val="20"/>
              </w:rPr>
              <w:t xml:space="preserve"> tak, že p</w:t>
            </w:r>
            <w:r w:rsidRPr="00184CE8">
              <w:rPr>
                <w:rFonts w:ascii="Times New Roman" w:hAnsi="Times New Roman"/>
                <w:sz w:val="20"/>
                <w:szCs w:val="20"/>
              </w:rPr>
              <w:t>ri</w:t>
            </w:r>
            <w:r>
              <w:rPr>
                <w:rFonts w:ascii="Times New Roman" w:hAnsi="Times New Roman"/>
                <w:sz w:val="20"/>
                <w:szCs w:val="20"/>
              </w:rPr>
              <w:t xml:space="preserve"> uplatnení nároku a výpočte sumy daňového bonusu </w:t>
            </w:r>
            <w:r w:rsidRPr="00A301D2">
              <w:rPr>
                <w:rFonts w:ascii="Times New Roman" w:hAnsi="Times New Roman"/>
                <w:sz w:val="20"/>
                <w:szCs w:val="20"/>
              </w:rPr>
              <w:t xml:space="preserve">na dieťa (deti) </w:t>
            </w:r>
            <w:r>
              <w:rPr>
                <w:rFonts w:ascii="Times New Roman" w:hAnsi="Times New Roman"/>
                <w:sz w:val="20"/>
                <w:szCs w:val="20"/>
              </w:rPr>
              <w:t>za celé zdaňovacie obdobie (kalendárny rok),</w:t>
            </w:r>
            <w:r w:rsidRPr="00184CE8">
              <w:rPr>
                <w:rFonts w:ascii="Times New Roman" w:hAnsi="Times New Roman"/>
                <w:sz w:val="20"/>
                <w:szCs w:val="20"/>
              </w:rPr>
              <w:t xml:space="preserve"> </w:t>
            </w:r>
            <w:r>
              <w:rPr>
                <w:rFonts w:ascii="Times New Roman" w:hAnsi="Times New Roman"/>
                <w:sz w:val="20"/>
                <w:szCs w:val="20"/>
              </w:rPr>
              <w:t xml:space="preserve">pri podaní daňového priznania môže </w:t>
            </w:r>
            <w:r w:rsidRPr="00184CE8">
              <w:rPr>
                <w:rFonts w:ascii="Times New Roman" w:hAnsi="Times New Roman"/>
                <w:sz w:val="20"/>
                <w:szCs w:val="20"/>
              </w:rPr>
              <w:t>daňovník</w:t>
            </w:r>
            <w:r>
              <w:rPr>
                <w:rFonts w:ascii="Times New Roman" w:hAnsi="Times New Roman"/>
                <w:sz w:val="20"/>
                <w:szCs w:val="20"/>
              </w:rPr>
              <w:t xml:space="preserve"> </w:t>
            </w:r>
            <w:r w:rsidRPr="00184CE8">
              <w:rPr>
                <w:rFonts w:ascii="Times New Roman" w:hAnsi="Times New Roman"/>
                <w:sz w:val="20"/>
                <w:szCs w:val="20"/>
              </w:rPr>
              <w:t>zohľadniť aj príjem, resp. čiastkový základ dane z</w:t>
            </w:r>
            <w:r>
              <w:rPr>
                <w:rFonts w:ascii="Times New Roman" w:hAnsi="Times New Roman"/>
                <w:sz w:val="20"/>
                <w:szCs w:val="20"/>
              </w:rPr>
              <w:t> </w:t>
            </w:r>
            <w:r w:rsidRPr="00184CE8">
              <w:rPr>
                <w:rFonts w:ascii="Times New Roman" w:hAnsi="Times New Roman"/>
                <w:sz w:val="20"/>
                <w:szCs w:val="20"/>
              </w:rPr>
              <w:t>príjmu</w:t>
            </w:r>
            <w:r>
              <w:rPr>
                <w:rFonts w:ascii="Times New Roman" w:hAnsi="Times New Roman"/>
                <w:sz w:val="20"/>
                <w:szCs w:val="20"/>
              </w:rPr>
              <w:t>,</w:t>
            </w:r>
            <w:r w:rsidRPr="00184CE8">
              <w:rPr>
                <w:rFonts w:ascii="Times New Roman" w:hAnsi="Times New Roman"/>
                <w:sz w:val="20"/>
                <w:szCs w:val="20"/>
              </w:rPr>
              <w:t xml:space="preserve"> </w:t>
            </w:r>
            <w:r>
              <w:rPr>
                <w:rFonts w:ascii="Times New Roman" w:hAnsi="Times New Roman"/>
                <w:sz w:val="20"/>
                <w:szCs w:val="20"/>
              </w:rPr>
              <w:t>dosiahnutý</w:t>
            </w:r>
            <w:r w:rsidRPr="00184CE8">
              <w:rPr>
                <w:rFonts w:ascii="Times New Roman" w:hAnsi="Times New Roman"/>
                <w:sz w:val="20"/>
                <w:szCs w:val="20"/>
              </w:rPr>
              <w:t xml:space="preserve"> u ďalšej osoby oprávnenej na uplatnenie nároku na daňový bonus</w:t>
            </w:r>
            <w:r>
              <w:rPr>
                <w:rFonts w:ascii="Times New Roman" w:hAnsi="Times New Roman"/>
                <w:sz w:val="20"/>
                <w:szCs w:val="20"/>
              </w:rPr>
              <w:t xml:space="preserve"> </w:t>
            </w:r>
            <w:r w:rsidRPr="003777C6">
              <w:rPr>
                <w:rFonts w:ascii="Times New Roman" w:hAnsi="Times New Roman"/>
                <w:sz w:val="20"/>
                <w:szCs w:val="20"/>
              </w:rPr>
              <w:t>(napr. druhého z rodičov)</w:t>
            </w:r>
            <w:r w:rsidRPr="00184CE8">
              <w:rPr>
                <w:rFonts w:ascii="Times New Roman" w:hAnsi="Times New Roman"/>
                <w:sz w:val="20"/>
                <w:szCs w:val="20"/>
              </w:rPr>
              <w:t xml:space="preserve">. </w:t>
            </w:r>
          </w:p>
          <w:p w:rsidR="002B3AE8" w:rsidRDefault="002B3AE8" w:rsidP="00EC4D63">
            <w:pPr>
              <w:spacing w:after="0" w:line="240" w:lineRule="auto"/>
              <w:contextualSpacing/>
              <w:rPr>
                <w:rFonts w:ascii="Times New Roman" w:hAnsi="Times New Roman"/>
                <w:sz w:val="20"/>
                <w:szCs w:val="20"/>
              </w:rPr>
            </w:pPr>
            <w:r>
              <w:rPr>
                <w:rFonts w:ascii="Times New Roman" w:hAnsi="Times New Roman"/>
                <w:sz w:val="20"/>
                <w:szCs w:val="20"/>
              </w:rPr>
              <w:t>Navrhovaným</w:t>
            </w:r>
            <w:r w:rsidRPr="00184CE8">
              <w:rPr>
                <w:rFonts w:ascii="Times New Roman" w:hAnsi="Times New Roman"/>
                <w:sz w:val="20"/>
                <w:szCs w:val="20"/>
              </w:rPr>
              <w:t xml:space="preserve"> spôsobom si môže daňovník po skončení zdaňovacieho obdobia</w:t>
            </w:r>
            <w:r>
              <w:rPr>
                <w:rFonts w:ascii="Times New Roman" w:hAnsi="Times New Roman"/>
                <w:sz w:val="20"/>
                <w:szCs w:val="20"/>
              </w:rPr>
              <w:t xml:space="preserve"> </w:t>
            </w:r>
            <w:r w:rsidRPr="00184CE8">
              <w:rPr>
                <w:rFonts w:ascii="Times New Roman" w:hAnsi="Times New Roman"/>
                <w:sz w:val="20"/>
                <w:szCs w:val="20"/>
              </w:rPr>
              <w:t>podaní</w:t>
            </w:r>
            <w:r>
              <w:rPr>
                <w:rFonts w:ascii="Times New Roman" w:hAnsi="Times New Roman"/>
                <w:sz w:val="20"/>
                <w:szCs w:val="20"/>
              </w:rPr>
              <w:t>m</w:t>
            </w:r>
            <w:r w:rsidRPr="00184CE8">
              <w:rPr>
                <w:rFonts w:ascii="Times New Roman" w:hAnsi="Times New Roman"/>
                <w:sz w:val="20"/>
                <w:szCs w:val="20"/>
              </w:rPr>
              <w:t xml:space="preserve"> daňového priznania, uplatniť vyššiu sumu</w:t>
            </w:r>
            <w:r>
              <w:rPr>
                <w:rFonts w:ascii="Times New Roman" w:hAnsi="Times New Roman"/>
                <w:sz w:val="20"/>
                <w:szCs w:val="20"/>
              </w:rPr>
              <w:t xml:space="preserve"> daňového bonusu na dieťa (maximálne 100 eur, ak vyživované dieťa nedovŕšilo 15 rokov a maximálne 50 eur, ak vyživované dieťa dovŕšilo 15 rokov veku)</w:t>
            </w:r>
            <w:r w:rsidRPr="00184CE8">
              <w:rPr>
                <w:rFonts w:ascii="Times New Roman" w:hAnsi="Times New Roman"/>
                <w:sz w:val="20"/>
                <w:szCs w:val="20"/>
              </w:rPr>
              <w:t xml:space="preserve">, </w:t>
            </w:r>
            <w:r>
              <w:rPr>
                <w:rFonts w:ascii="Times New Roman" w:hAnsi="Times New Roman"/>
                <w:sz w:val="20"/>
                <w:szCs w:val="20"/>
              </w:rPr>
              <w:t>v porovnaní so sumou daňového bonusu</w:t>
            </w:r>
            <w:r w:rsidRPr="00184CE8">
              <w:rPr>
                <w:rFonts w:ascii="Times New Roman" w:hAnsi="Times New Roman"/>
                <w:sz w:val="20"/>
                <w:szCs w:val="20"/>
              </w:rPr>
              <w:t xml:space="preserve">, </w:t>
            </w:r>
            <w:r>
              <w:rPr>
                <w:rFonts w:ascii="Times New Roman" w:hAnsi="Times New Roman"/>
                <w:sz w:val="20"/>
                <w:szCs w:val="20"/>
              </w:rPr>
              <w:t xml:space="preserve">na akú by mal nárok, </w:t>
            </w:r>
            <w:r w:rsidRPr="00184CE8">
              <w:rPr>
                <w:rFonts w:ascii="Times New Roman" w:hAnsi="Times New Roman"/>
                <w:sz w:val="20"/>
                <w:szCs w:val="20"/>
              </w:rPr>
              <w:t>ak by pri</w:t>
            </w:r>
            <w:r>
              <w:rPr>
                <w:rFonts w:ascii="Times New Roman" w:hAnsi="Times New Roman"/>
                <w:sz w:val="20"/>
                <w:szCs w:val="20"/>
              </w:rPr>
              <w:t xml:space="preserve"> jej</w:t>
            </w:r>
            <w:r w:rsidRPr="00184CE8">
              <w:rPr>
                <w:rFonts w:ascii="Times New Roman" w:hAnsi="Times New Roman"/>
                <w:sz w:val="20"/>
                <w:szCs w:val="20"/>
              </w:rPr>
              <w:t xml:space="preserve"> </w:t>
            </w:r>
            <w:r w:rsidRPr="00184CE8">
              <w:rPr>
                <w:rFonts w:ascii="Times New Roman" w:hAnsi="Times New Roman"/>
                <w:sz w:val="20"/>
                <w:szCs w:val="20"/>
              </w:rPr>
              <w:lastRenderedPageBreak/>
              <w:t>výpočte vychádzal z percentuálneho limitu čiastkového základu dane len jednej posudzovanej osoby</w:t>
            </w:r>
            <w:r>
              <w:rPr>
                <w:rFonts w:ascii="Times New Roman" w:hAnsi="Times New Roman"/>
                <w:sz w:val="20"/>
                <w:szCs w:val="20"/>
              </w:rPr>
              <w:t xml:space="preserve">. </w:t>
            </w:r>
          </w:p>
          <w:p w:rsidR="002B3AE8" w:rsidRDefault="002B3AE8" w:rsidP="00EC4D63">
            <w:pPr>
              <w:spacing w:after="0" w:line="240" w:lineRule="auto"/>
              <w:ind w:left="720"/>
              <w:contextualSpacing/>
              <w:rPr>
                <w:rFonts w:ascii="Times New Roman" w:hAnsi="Times New Roman"/>
                <w:sz w:val="20"/>
                <w:szCs w:val="20"/>
              </w:rPr>
            </w:pPr>
          </w:p>
          <w:p w:rsidR="002B3AE8" w:rsidRPr="002644DE" w:rsidRDefault="002B3AE8" w:rsidP="00EC4D63">
            <w:pPr>
              <w:spacing w:after="0" w:line="240" w:lineRule="auto"/>
              <w:contextualSpacing/>
              <w:rPr>
                <w:rFonts w:ascii="Times New Roman" w:hAnsi="Times New Roman"/>
                <w:sz w:val="20"/>
                <w:szCs w:val="20"/>
                <w:lang w:eastAsia="sk-SK"/>
              </w:rPr>
            </w:pPr>
            <w:r>
              <w:rPr>
                <w:rFonts w:ascii="Times New Roman" w:hAnsi="Times New Roman"/>
                <w:sz w:val="20"/>
                <w:szCs w:val="20"/>
              </w:rPr>
              <w:t>Navrhovaným opatrením ide o zvýšenie čistého disponibilného príjmu domácností rodín s vyživovanými deťmi.</w:t>
            </w:r>
          </w:p>
        </w:tc>
      </w:tr>
      <w:tr w:rsidR="002B3AE8" w:rsidRPr="002644DE" w:rsidTr="00700096">
        <w:trPr>
          <w:trHeight w:val="397"/>
          <w:jc w:val="center"/>
        </w:trPr>
        <w:tc>
          <w:tcPr>
            <w:tcW w:w="125" w:type="pct"/>
            <w:gridSpan w:val="2"/>
            <w:vMerge w:val="restart"/>
            <w:vAlign w:val="center"/>
          </w:tcPr>
          <w:p w:rsidR="002B3AE8" w:rsidRPr="002644DE" w:rsidRDefault="002B3AE8" w:rsidP="00EC4D6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lastRenderedPageBreak/>
              <w:t>c)</w:t>
            </w:r>
          </w:p>
        </w:tc>
        <w:tc>
          <w:tcPr>
            <w:tcW w:w="1642" w:type="pct"/>
            <w:gridSpan w:val="4"/>
          </w:tcPr>
          <w:p w:rsidR="002B3AE8" w:rsidRPr="002644DE" w:rsidRDefault="002B3AE8" w:rsidP="00EC4D63">
            <w:pPr>
              <w:spacing w:after="0" w:line="240" w:lineRule="auto"/>
              <w:rPr>
                <w:rFonts w:ascii="Times New Roman" w:hAnsi="Times New Roman"/>
                <w:i/>
                <w:sz w:val="20"/>
                <w:szCs w:val="20"/>
                <w:lang w:eastAsia="sk-SK"/>
              </w:rPr>
            </w:pPr>
            <w:r w:rsidRPr="002644DE">
              <w:rPr>
                <w:rFonts w:ascii="Times New Roman" w:hAnsi="Times New Roman"/>
                <w:b/>
                <w:i/>
                <w:sz w:val="20"/>
                <w:szCs w:val="20"/>
                <w:lang w:eastAsia="sk-SK"/>
              </w:rPr>
              <w:t xml:space="preserve">Špecifikujte </w:t>
            </w:r>
            <w:r w:rsidRPr="002644DE">
              <w:rPr>
                <w:rFonts w:ascii="Times New Roman" w:hAnsi="Times New Roman"/>
                <w:i/>
                <w:sz w:val="20"/>
                <w:szCs w:val="20"/>
                <w:lang w:eastAsia="sk-SK"/>
              </w:rPr>
              <w:t>ovplyvnené skupiny:</w:t>
            </w:r>
          </w:p>
        </w:tc>
        <w:tc>
          <w:tcPr>
            <w:tcW w:w="3233" w:type="pct"/>
            <w:gridSpan w:val="6"/>
          </w:tcPr>
          <w:p w:rsidR="002B3AE8" w:rsidRDefault="002B3AE8" w:rsidP="00EC4D63">
            <w:pPr>
              <w:spacing w:after="0" w:line="240" w:lineRule="auto"/>
              <w:rPr>
                <w:rFonts w:ascii="Times New Roman" w:hAnsi="Times New Roman"/>
                <w:i/>
                <w:sz w:val="18"/>
                <w:szCs w:val="20"/>
                <w:lang w:eastAsia="sk-SK"/>
              </w:rPr>
            </w:pPr>
            <w:r>
              <w:rPr>
                <w:rFonts w:ascii="Times New Roman" w:hAnsi="Times New Roman"/>
                <w:i/>
                <w:sz w:val="18"/>
                <w:szCs w:val="20"/>
                <w:lang w:eastAsia="sk-SK"/>
              </w:rPr>
              <w:t>Ovplyvnená skupina č. 1</w:t>
            </w:r>
          </w:p>
          <w:p w:rsidR="002B3AE8" w:rsidRPr="006E6632" w:rsidRDefault="002B3AE8" w:rsidP="00EC4D63">
            <w:pPr>
              <w:spacing w:after="0" w:line="240" w:lineRule="auto"/>
              <w:rPr>
                <w:rFonts w:ascii="Times New Roman" w:hAnsi="Times New Roman"/>
                <w:sz w:val="20"/>
                <w:szCs w:val="20"/>
                <w:lang w:eastAsia="sk-SK"/>
              </w:rPr>
            </w:pPr>
            <w:r w:rsidRPr="006E6632">
              <w:rPr>
                <w:rFonts w:ascii="Times New Roman" w:hAnsi="Times New Roman"/>
                <w:sz w:val="18"/>
                <w:szCs w:val="20"/>
                <w:lang w:eastAsia="sk-SK"/>
              </w:rPr>
              <w:t xml:space="preserve">Domácnosť, </w:t>
            </w:r>
            <w:r w:rsidRPr="0036036D">
              <w:rPr>
                <w:rFonts w:ascii="Times New Roman" w:hAnsi="Times New Roman"/>
                <w:sz w:val="18"/>
                <w:szCs w:val="20"/>
                <w:lang w:eastAsia="sk-SK"/>
              </w:rPr>
              <w:t>ktorú tvorí rodina, kde sú dve oprávnené osoby na poberanie daňového bonusu v zmysle platnej legislatívy, t.j. obidve oprávnené osoby žijú v domácnosti s vyživovaným dieťaťom (deťmi</w:t>
            </w:r>
            <w:r>
              <w:rPr>
                <w:rFonts w:ascii="Times New Roman" w:hAnsi="Times New Roman"/>
                <w:sz w:val="18"/>
                <w:szCs w:val="20"/>
                <w:lang w:eastAsia="sk-SK"/>
              </w:rPr>
              <w:t>), na ktoré je uplatňovaný daňový bonus.</w:t>
            </w:r>
          </w:p>
        </w:tc>
      </w:tr>
      <w:tr w:rsidR="002B3AE8" w:rsidRPr="002644DE" w:rsidTr="00700096">
        <w:trPr>
          <w:trHeight w:val="397"/>
          <w:jc w:val="center"/>
        </w:trPr>
        <w:tc>
          <w:tcPr>
            <w:tcW w:w="125" w:type="pct"/>
            <w:gridSpan w:val="2"/>
            <w:vMerge/>
            <w:vAlign w:val="center"/>
          </w:tcPr>
          <w:p w:rsidR="002B3AE8" w:rsidRPr="002644DE" w:rsidRDefault="002B3AE8" w:rsidP="00EC4D63">
            <w:pPr>
              <w:spacing w:after="0" w:line="240" w:lineRule="auto"/>
              <w:jc w:val="center"/>
              <w:rPr>
                <w:rFonts w:ascii="Times New Roman" w:hAnsi="Times New Roman"/>
                <w:i/>
                <w:sz w:val="18"/>
                <w:szCs w:val="18"/>
                <w:lang w:eastAsia="sk-SK"/>
              </w:rPr>
            </w:pPr>
          </w:p>
        </w:tc>
        <w:tc>
          <w:tcPr>
            <w:tcW w:w="1642" w:type="pct"/>
            <w:gridSpan w:val="4"/>
          </w:tcPr>
          <w:p w:rsidR="002B3AE8" w:rsidRPr="002644DE" w:rsidRDefault="002B3AE8" w:rsidP="00EC4D63">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33" w:type="pct"/>
            <w:gridSpan w:val="6"/>
            <w:tcBorders>
              <w:top w:val="dotted" w:sz="4" w:space="0" w:color="auto"/>
            </w:tcBorders>
          </w:tcPr>
          <w:p w:rsidR="002B3AE8" w:rsidRPr="002644DE" w:rsidRDefault="002B3AE8" w:rsidP="00EC4D6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2B3AE8" w:rsidRPr="002644DE" w:rsidTr="00700096">
        <w:trPr>
          <w:trHeight w:val="454"/>
          <w:jc w:val="center"/>
        </w:trPr>
        <w:tc>
          <w:tcPr>
            <w:tcW w:w="125" w:type="pct"/>
            <w:gridSpan w:val="2"/>
            <w:tcBorders>
              <w:top w:val="dotted" w:sz="4" w:space="0" w:color="auto"/>
            </w:tcBorders>
            <w:shd w:val="clear" w:color="auto" w:fill="F2F2F2"/>
            <w:vAlign w:val="center"/>
          </w:tcPr>
          <w:p w:rsidR="002B3AE8" w:rsidRPr="002644DE" w:rsidRDefault="002B3AE8" w:rsidP="00EC4D6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d)</w:t>
            </w:r>
          </w:p>
        </w:tc>
        <w:tc>
          <w:tcPr>
            <w:tcW w:w="4875" w:type="pct"/>
            <w:gridSpan w:val="10"/>
            <w:tcBorders>
              <w:top w:val="dotted" w:sz="4" w:space="0" w:color="auto"/>
            </w:tcBorders>
            <w:shd w:val="clear" w:color="auto" w:fill="F2F2F2"/>
            <w:vAlign w:val="center"/>
          </w:tcPr>
          <w:p w:rsidR="002B3AE8" w:rsidRPr="002644DE" w:rsidRDefault="002B3AE8" w:rsidP="00EC4D63">
            <w:pPr>
              <w:spacing w:after="0" w:line="240" w:lineRule="auto"/>
              <w:rPr>
                <w:rFonts w:ascii="Times New Roman" w:hAnsi="Times New Roman"/>
                <w:sz w:val="20"/>
                <w:szCs w:val="20"/>
                <w:lang w:eastAsia="sk-SK"/>
              </w:rPr>
            </w:pPr>
            <w:r w:rsidRPr="002644DE">
              <w:rPr>
                <w:rFonts w:ascii="Times New Roman" w:hAnsi="Times New Roman"/>
                <w:b/>
                <w:i/>
                <w:sz w:val="20"/>
                <w:szCs w:val="20"/>
                <w:lang w:eastAsia="sk-SK"/>
              </w:rPr>
              <w:t>Kvantifikujte</w:t>
            </w:r>
            <w:r w:rsidRPr="002644DE">
              <w:rPr>
                <w:rFonts w:ascii="Times New Roman" w:hAnsi="Times New Roman"/>
                <w:i/>
                <w:sz w:val="20"/>
                <w:szCs w:val="20"/>
                <w:lang w:eastAsia="sk-SK"/>
              </w:rPr>
              <w:t xml:space="preserve"> rast príjmov alebo pokles výdavkov </w:t>
            </w:r>
            <w:r w:rsidRPr="002644DE">
              <w:rPr>
                <w:rFonts w:ascii="Times New Roman" w:hAnsi="Times New Roman"/>
                <w:b/>
                <w:i/>
                <w:sz w:val="20"/>
                <w:szCs w:val="20"/>
                <w:lang w:eastAsia="sk-SK"/>
              </w:rPr>
              <w:t>za jednotlivé</w:t>
            </w:r>
            <w:r w:rsidRPr="002644DE">
              <w:rPr>
                <w:rFonts w:ascii="Times New Roman" w:hAnsi="Times New Roman"/>
                <w:i/>
                <w:sz w:val="20"/>
                <w:szCs w:val="20"/>
                <w:lang w:eastAsia="sk-SK"/>
              </w:rPr>
              <w:t xml:space="preserve"> </w:t>
            </w:r>
            <w:r w:rsidRPr="002644DE">
              <w:rPr>
                <w:rFonts w:ascii="Times New Roman" w:hAnsi="Times New Roman"/>
                <w:b/>
                <w:i/>
                <w:sz w:val="20"/>
                <w:szCs w:val="20"/>
                <w:lang w:eastAsia="sk-SK"/>
              </w:rPr>
              <w:t>ovplyvnené</w:t>
            </w:r>
            <w:r w:rsidRPr="002644DE">
              <w:rPr>
                <w:rFonts w:ascii="Times New Roman" w:hAnsi="Times New Roman"/>
                <w:i/>
                <w:sz w:val="20"/>
                <w:szCs w:val="20"/>
                <w:lang w:eastAsia="sk-SK"/>
              </w:rPr>
              <w:t xml:space="preserve"> </w:t>
            </w:r>
            <w:r w:rsidRPr="002644DE">
              <w:rPr>
                <w:rFonts w:ascii="Times New Roman" w:hAnsi="Times New Roman"/>
                <w:b/>
                <w:i/>
                <w:sz w:val="20"/>
                <w:szCs w:val="20"/>
                <w:lang w:eastAsia="sk-SK"/>
              </w:rPr>
              <w:t>skupiny</w:t>
            </w:r>
            <w:r w:rsidRPr="002644DE">
              <w:rPr>
                <w:rFonts w:ascii="Times New Roman" w:hAnsi="Times New Roman"/>
                <w:i/>
                <w:sz w:val="20"/>
                <w:szCs w:val="20"/>
                <w:lang w:eastAsia="sk-SK"/>
              </w:rPr>
              <w:t xml:space="preserve"> domácností / skupiny jednotlivcov a počet obyvateľstva/domácností ovplyvnených predkladaným návrhom.</w:t>
            </w:r>
          </w:p>
        </w:tc>
      </w:tr>
      <w:tr w:rsidR="002B3AE8" w:rsidRPr="002644DE" w:rsidTr="00700096">
        <w:trPr>
          <w:trHeight w:val="680"/>
          <w:jc w:val="center"/>
        </w:trPr>
        <w:tc>
          <w:tcPr>
            <w:tcW w:w="125" w:type="pct"/>
            <w:gridSpan w:val="2"/>
            <w:vMerge w:val="restart"/>
            <w:tcBorders>
              <w:top w:val="dotted" w:sz="4" w:space="0" w:color="auto"/>
            </w:tcBorders>
            <w:vAlign w:val="center"/>
          </w:tcPr>
          <w:p w:rsidR="002B3AE8" w:rsidRPr="002644DE" w:rsidRDefault="002B3AE8" w:rsidP="00EC4D6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e)</w:t>
            </w:r>
          </w:p>
        </w:tc>
        <w:tc>
          <w:tcPr>
            <w:tcW w:w="1642" w:type="pct"/>
            <w:gridSpan w:val="4"/>
            <w:tcBorders>
              <w:top w:val="dotted" w:sz="4" w:space="0" w:color="auto"/>
            </w:tcBorders>
          </w:tcPr>
          <w:p w:rsidR="002B3AE8" w:rsidRPr="002644DE" w:rsidRDefault="002B3AE8" w:rsidP="002B3AE8">
            <w:pPr>
              <w:numPr>
                <w:ilvl w:val="0"/>
                <w:numId w:val="11"/>
              </w:numPr>
              <w:spacing w:after="0" w:line="240" w:lineRule="auto"/>
              <w:contextualSpacing/>
              <w:jc w:val="both"/>
              <w:rPr>
                <w:rFonts w:ascii="Times New Roman" w:hAnsi="Times New Roman"/>
                <w:i/>
                <w:sz w:val="18"/>
                <w:szCs w:val="20"/>
                <w:lang w:eastAsia="sk-SK"/>
              </w:rPr>
            </w:pPr>
            <w:r w:rsidRPr="002644DE">
              <w:rPr>
                <w:rFonts w:ascii="Times New Roman" w:hAnsi="Times New Roman"/>
                <w:i/>
                <w:sz w:val="18"/>
                <w:szCs w:val="20"/>
                <w:lang w:eastAsia="sk-SK"/>
              </w:rPr>
              <w:t>priemerný rast príjmov/ pokles výdavkov v skupine v eurách a/alebo v % / obdobie:</w:t>
            </w:r>
          </w:p>
          <w:p w:rsidR="002B3AE8" w:rsidRPr="002644DE" w:rsidRDefault="002B3AE8" w:rsidP="002B3AE8">
            <w:pPr>
              <w:numPr>
                <w:ilvl w:val="0"/>
                <w:numId w:val="11"/>
              </w:numPr>
              <w:spacing w:after="0" w:line="240" w:lineRule="auto"/>
              <w:contextualSpacing/>
              <w:jc w:val="both"/>
              <w:rPr>
                <w:rFonts w:ascii="Times New Roman" w:hAnsi="Times New Roman"/>
                <w:i/>
                <w:sz w:val="20"/>
                <w:szCs w:val="20"/>
                <w:lang w:eastAsia="sk-SK"/>
              </w:rPr>
            </w:pPr>
            <w:r w:rsidRPr="002644DE">
              <w:rPr>
                <w:rFonts w:ascii="Times New Roman" w:hAnsi="Times New Roman"/>
                <w:i/>
                <w:sz w:val="18"/>
                <w:szCs w:val="20"/>
                <w:lang w:eastAsia="sk-SK"/>
              </w:rPr>
              <w:t>veľkosť skupiny (počet obyvateľov):</w:t>
            </w:r>
          </w:p>
        </w:tc>
        <w:tc>
          <w:tcPr>
            <w:tcW w:w="3233" w:type="pct"/>
            <w:gridSpan w:val="6"/>
            <w:tcBorders>
              <w:top w:val="dotted" w:sz="4" w:space="0" w:color="auto"/>
            </w:tcBorders>
          </w:tcPr>
          <w:p w:rsidR="002B3AE8" w:rsidRDefault="002B3AE8" w:rsidP="00EC4D6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1</w:t>
            </w:r>
          </w:p>
          <w:p w:rsidR="002B3AE8" w:rsidRDefault="002B3AE8" w:rsidP="00EC4D63">
            <w:pPr>
              <w:rPr>
                <w:rFonts w:ascii="Times New Roman" w:hAnsi="Times New Roman"/>
                <w:sz w:val="20"/>
                <w:szCs w:val="20"/>
                <w:lang w:eastAsia="sk-SK"/>
              </w:rPr>
            </w:pPr>
            <w:r w:rsidRPr="006F0546">
              <w:rPr>
                <w:rFonts w:ascii="Times New Roman" w:hAnsi="Times New Roman"/>
                <w:sz w:val="20"/>
                <w:szCs w:val="20"/>
                <w:lang w:eastAsia="sk-SK"/>
              </w:rPr>
              <w:t xml:space="preserve">Odhadovaný počet rodín, ktoré požiadajú o doplatok daňového bonusu za rok 2023 je 26 803, </w:t>
            </w:r>
            <w:r>
              <w:rPr>
                <w:rFonts w:ascii="Times New Roman" w:hAnsi="Times New Roman"/>
                <w:sz w:val="20"/>
                <w:szCs w:val="20"/>
                <w:lang w:eastAsia="sk-SK"/>
              </w:rPr>
              <w:t>za rok</w:t>
            </w:r>
            <w:r w:rsidRPr="006F0546">
              <w:rPr>
                <w:rFonts w:ascii="Times New Roman" w:hAnsi="Times New Roman"/>
                <w:sz w:val="20"/>
                <w:szCs w:val="20"/>
                <w:lang w:eastAsia="sk-SK"/>
              </w:rPr>
              <w:t xml:space="preserve"> 2024 je 24 404 a</w:t>
            </w:r>
            <w:r>
              <w:rPr>
                <w:rFonts w:ascii="Times New Roman" w:hAnsi="Times New Roman"/>
                <w:sz w:val="20"/>
                <w:szCs w:val="20"/>
                <w:lang w:eastAsia="sk-SK"/>
              </w:rPr>
              <w:t> za rok</w:t>
            </w:r>
            <w:r w:rsidRPr="006F0546">
              <w:rPr>
                <w:rFonts w:ascii="Times New Roman" w:hAnsi="Times New Roman"/>
                <w:sz w:val="20"/>
                <w:szCs w:val="20"/>
                <w:lang w:eastAsia="sk-SK"/>
              </w:rPr>
              <w:t xml:space="preserve"> 2025 je to 22 256 rodín.</w:t>
            </w:r>
            <w:r>
              <w:rPr>
                <w:rFonts w:ascii="Times New Roman" w:hAnsi="Times New Roman"/>
                <w:sz w:val="20"/>
                <w:szCs w:val="20"/>
                <w:lang w:eastAsia="sk-SK"/>
              </w:rPr>
              <w:t xml:space="preserve"> </w:t>
            </w:r>
            <w:r w:rsidRPr="006F0546">
              <w:rPr>
                <w:rFonts w:ascii="Times New Roman" w:hAnsi="Times New Roman"/>
                <w:sz w:val="20"/>
                <w:szCs w:val="20"/>
                <w:lang w:eastAsia="sk-SK"/>
              </w:rPr>
              <w:t>Nakoľko sa nedá odhadnúť výška dosiahnutého príjmu, resp. čiastkového základu dane z príjmu zo závislej činnosti a z podnikania resp. samostatnej zá</w:t>
            </w:r>
            <w:r>
              <w:rPr>
                <w:rFonts w:ascii="Times New Roman" w:hAnsi="Times New Roman"/>
                <w:sz w:val="20"/>
                <w:szCs w:val="20"/>
                <w:lang w:eastAsia="sk-SK"/>
              </w:rPr>
              <w:t xml:space="preserve">robkovej činnosti v rodine (spoločne </w:t>
            </w:r>
            <w:r w:rsidRPr="006F0546">
              <w:rPr>
                <w:rFonts w:ascii="Times New Roman" w:hAnsi="Times New Roman"/>
                <w:sz w:val="20"/>
                <w:szCs w:val="20"/>
                <w:lang w:eastAsia="sk-SK"/>
              </w:rPr>
              <w:t>za obidve posudzované oprávnené osoby), nie je možné posúdiť a kvantifikovať finančný vplyv na rodinu a rodinné prostredie. S určitosťou však pôjde o pozitívny vplyv na disponibilný príjem v</w:t>
            </w:r>
            <w:r>
              <w:rPr>
                <w:rFonts w:ascii="Times New Roman" w:hAnsi="Times New Roman"/>
                <w:sz w:val="20"/>
                <w:szCs w:val="20"/>
                <w:lang w:eastAsia="sk-SK"/>
              </w:rPr>
              <w:t> </w:t>
            </w:r>
            <w:r w:rsidRPr="006F0546">
              <w:rPr>
                <w:rFonts w:ascii="Times New Roman" w:hAnsi="Times New Roman"/>
                <w:sz w:val="20"/>
                <w:szCs w:val="20"/>
                <w:lang w:eastAsia="sk-SK"/>
              </w:rPr>
              <w:t>rodinách</w:t>
            </w:r>
            <w:r>
              <w:rPr>
                <w:rFonts w:ascii="Times New Roman" w:hAnsi="Times New Roman"/>
                <w:sz w:val="20"/>
                <w:szCs w:val="20"/>
                <w:lang w:eastAsia="sk-SK"/>
              </w:rPr>
              <w:t xml:space="preserve"> s deťmi</w:t>
            </w:r>
            <w:r w:rsidRPr="006F0546">
              <w:rPr>
                <w:rFonts w:ascii="Times New Roman" w:hAnsi="Times New Roman"/>
                <w:sz w:val="20"/>
                <w:szCs w:val="20"/>
                <w:lang w:eastAsia="sk-SK"/>
              </w:rPr>
              <w:t>.</w:t>
            </w:r>
          </w:p>
          <w:p w:rsidR="002B3AE8" w:rsidRPr="0036036D" w:rsidRDefault="002B3AE8" w:rsidP="00EC4D63">
            <w:pPr>
              <w:jc w:val="both"/>
              <w:rPr>
                <w:rFonts w:ascii="Times New Roman" w:hAnsi="Times New Roman"/>
                <w:sz w:val="20"/>
                <w:szCs w:val="20"/>
                <w:lang w:eastAsia="sk-SK"/>
              </w:rPr>
            </w:pPr>
            <w:r w:rsidRPr="0036036D">
              <w:rPr>
                <w:rFonts w:ascii="Times New Roman" w:hAnsi="Times New Roman"/>
                <w:sz w:val="20"/>
                <w:szCs w:val="20"/>
                <w:lang w:eastAsia="sk-SK"/>
              </w:rPr>
              <w:t xml:space="preserve">Pri odhadoch sa vychádzalo zo Zisťovania o príjmoch a životných podmienkach domácností v SR (SILC) 2020, ktorý obsahuje údaje o príjme aj rodinných väzbách. </w:t>
            </w:r>
          </w:p>
          <w:p w:rsidR="002B3AE8" w:rsidRPr="0036036D" w:rsidRDefault="002B3AE8" w:rsidP="00EC4D63">
            <w:pPr>
              <w:jc w:val="both"/>
              <w:rPr>
                <w:rFonts w:ascii="Times New Roman" w:hAnsi="Times New Roman"/>
                <w:sz w:val="20"/>
                <w:szCs w:val="20"/>
                <w:lang w:eastAsia="sk-SK"/>
              </w:rPr>
            </w:pPr>
            <w:r w:rsidRPr="0036036D">
              <w:rPr>
                <w:rFonts w:ascii="Times New Roman" w:hAnsi="Times New Roman"/>
                <w:sz w:val="20"/>
                <w:szCs w:val="20"/>
                <w:lang w:eastAsia="sk-SK"/>
              </w:rPr>
              <w:t>Nároky na daňový bonus boli pripravené v mikrosimulačnom modely EUROMOD, ktorý je verejne dostupný.</w:t>
            </w:r>
          </w:p>
          <w:p w:rsidR="002B3AE8" w:rsidRPr="006F0546" w:rsidRDefault="002B3AE8" w:rsidP="00EC4D63">
            <w:pPr>
              <w:jc w:val="both"/>
              <w:rPr>
                <w:rFonts w:ascii="Times New Roman" w:hAnsi="Times New Roman"/>
                <w:sz w:val="20"/>
                <w:szCs w:val="20"/>
                <w:lang w:eastAsia="sk-SK"/>
              </w:rPr>
            </w:pPr>
            <w:r w:rsidRPr="0036036D">
              <w:rPr>
                <w:rFonts w:ascii="Times New Roman" w:hAnsi="Times New Roman"/>
                <w:sz w:val="20"/>
                <w:szCs w:val="20"/>
                <w:lang w:eastAsia="sk-SK"/>
              </w:rPr>
              <w:t>Vplyv predstavuje rozdiel medzi nárokom na daňový bonus pri použití príjmu oboch rodičov a pri použití príjmu iba tzv. hlavy rodiny.</w:t>
            </w:r>
          </w:p>
        </w:tc>
      </w:tr>
      <w:tr w:rsidR="002B3AE8" w:rsidRPr="002644DE" w:rsidTr="00700096">
        <w:trPr>
          <w:trHeight w:val="680"/>
          <w:jc w:val="center"/>
        </w:trPr>
        <w:tc>
          <w:tcPr>
            <w:tcW w:w="125" w:type="pct"/>
            <w:gridSpan w:val="2"/>
            <w:vMerge/>
            <w:vAlign w:val="center"/>
          </w:tcPr>
          <w:p w:rsidR="002B3AE8" w:rsidRPr="002644DE" w:rsidRDefault="002B3AE8" w:rsidP="00EC4D63">
            <w:pPr>
              <w:spacing w:after="0" w:line="240" w:lineRule="auto"/>
              <w:jc w:val="center"/>
              <w:rPr>
                <w:rFonts w:ascii="Times New Roman" w:hAnsi="Times New Roman"/>
                <w:i/>
                <w:sz w:val="18"/>
                <w:szCs w:val="18"/>
                <w:lang w:eastAsia="sk-SK"/>
              </w:rPr>
            </w:pPr>
          </w:p>
        </w:tc>
        <w:tc>
          <w:tcPr>
            <w:tcW w:w="1642" w:type="pct"/>
            <w:gridSpan w:val="4"/>
          </w:tcPr>
          <w:p w:rsidR="002B3AE8" w:rsidRPr="002644DE" w:rsidRDefault="002B3AE8" w:rsidP="00EC4D63">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33" w:type="pct"/>
            <w:gridSpan w:val="6"/>
            <w:tcBorders>
              <w:top w:val="dotted" w:sz="4" w:space="0" w:color="auto"/>
            </w:tcBorders>
          </w:tcPr>
          <w:p w:rsidR="002B3AE8" w:rsidRPr="002644DE" w:rsidRDefault="002B3AE8" w:rsidP="00EC4D6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2B3AE8" w:rsidRPr="002644DE" w:rsidTr="00700096">
        <w:trPr>
          <w:trHeight w:val="397"/>
          <w:jc w:val="center"/>
        </w:trPr>
        <w:tc>
          <w:tcPr>
            <w:tcW w:w="125" w:type="pct"/>
            <w:gridSpan w:val="2"/>
            <w:tcBorders>
              <w:top w:val="dotted" w:sz="4" w:space="0" w:color="auto"/>
            </w:tcBorders>
            <w:vAlign w:val="center"/>
          </w:tcPr>
          <w:p w:rsidR="002B3AE8" w:rsidRPr="002644DE" w:rsidRDefault="002B3AE8" w:rsidP="00EC4D6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f)</w:t>
            </w:r>
          </w:p>
        </w:tc>
        <w:tc>
          <w:tcPr>
            <w:tcW w:w="1642" w:type="pct"/>
            <w:gridSpan w:val="4"/>
          </w:tcPr>
          <w:p w:rsidR="002B3AE8" w:rsidRPr="002644DE" w:rsidRDefault="002B3AE8" w:rsidP="00EC4D63">
            <w:pPr>
              <w:spacing w:after="0" w:line="240" w:lineRule="auto"/>
              <w:rPr>
                <w:rFonts w:ascii="Times New Roman" w:hAnsi="Times New Roman"/>
                <w:i/>
                <w:sz w:val="20"/>
                <w:szCs w:val="20"/>
                <w:lang w:eastAsia="sk-SK"/>
              </w:rPr>
            </w:pPr>
            <w:r w:rsidRPr="002644DE">
              <w:rPr>
                <w:rFonts w:ascii="Times New Roman" w:hAnsi="Times New Roman"/>
                <w:i/>
                <w:sz w:val="20"/>
                <w:szCs w:val="20"/>
                <w:lang w:eastAsia="sk-SK"/>
              </w:rPr>
              <w:t>Dôvod chýbajúcej kvantifikácie:</w:t>
            </w:r>
          </w:p>
        </w:tc>
        <w:tc>
          <w:tcPr>
            <w:tcW w:w="3233" w:type="pct"/>
            <w:gridSpan w:val="6"/>
          </w:tcPr>
          <w:p w:rsidR="002B3AE8" w:rsidRPr="002644DE" w:rsidRDefault="002B3AE8" w:rsidP="00EC4D63">
            <w:pPr>
              <w:spacing w:after="0" w:line="240" w:lineRule="auto"/>
              <w:rPr>
                <w:rFonts w:ascii="Times New Roman" w:hAnsi="Times New Roman"/>
                <w:sz w:val="20"/>
                <w:szCs w:val="20"/>
                <w:lang w:eastAsia="sk-SK"/>
              </w:rPr>
            </w:pPr>
          </w:p>
        </w:tc>
      </w:tr>
      <w:tr w:rsidR="002B3AE8" w:rsidRPr="002644DE" w:rsidTr="00700096">
        <w:trPr>
          <w:trHeight w:val="170"/>
          <w:jc w:val="center"/>
        </w:trPr>
        <w:tc>
          <w:tcPr>
            <w:tcW w:w="125" w:type="pct"/>
            <w:gridSpan w:val="2"/>
            <w:tcBorders>
              <w:top w:val="nil"/>
            </w:tcBorders>
            <w:shd w:val="clear" w:color="auto" w:fill="F2F2F2"/>
            <w:vAlign w:val="center"/>
          </w:tcPr>
          <w:p w:rsidR="002B3AE8" w:rsidRPr="002644DE" w:rsidRDefault="002B3AE8" w:rsidP="00EC4D6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g)</w:t>
            </w:r>
          </w:p>
        </w:tc>
        <w:tc>
          <w:tcPr>
            <w:tcW w:w="4875" w:type="pct"/>
            <w:gridSpan w:val="10"/>
            <w:tcBorders>
              <w:top w:val="nil"/>
            </w:tcBorders>
            <w:shd w:val="clear" w:color="auto" w:fill="F2F2F2"/>
            <w:vAlign w:val="center"/>
          </w:tcPr>
          <w:p w:rsidR="002B3AE8" w:rsidRPr="002644DE" w:rsidRDefault="002B3AE8" w:rsidP="00EC4D63">
            <w:pPr>
              <w:spacing w:after="0" w:line="240" w:lineRule="auto"/>
              <w:rPr>
                <w:rFonts w:ascii="Times New Roman" w:hAnsi="Times New Roman"/>
                <w:b/>
                <w:i/>
                <w:sz w:val="20"/>
                <w:szCs w:val="20"/>
                <w:lang w:eastAsia="sk-SK"/>
              </w:rPr>
            </w:pPr>
            <w:r w:rsidRPr="002644DE">
              <w:rPr>
                <w:rFonts w:ascii="Times New Roman" w:hAnsi="Times New Roman"/>
                <w:b/>
                <w:i/>
                <w:sz w:val="20"/>
                <w:szCs w:val="20"/>
                <w:lang w:eastAsia="sk-SK"/>
              </w:rPr>
              <w:t>4.1.1.1</w:t>
            </w:r>
            <w:r w:rsidRPr="002644DE">
              <w:rPr>
                <w:rFonts w:ascii="Times New Roman" w:hAnsi="Times New Roman"/>
                <w:i/>
                <w:sz w:val="20"/>
                <w:szCs w:val="20"/>
                <w:lang w:eastAsia="sk-SK"/>
              </w:rPr>
              <w:t xml:space="preserve"> </w:t>
            </w:r>
            <w:r w:rsidRPr="002644DE">
              <w:rPr>
                <w:rFonts w:ascii="Times New Roman" w:hAnsi="Times New Roman"/>
                <w:b/>
                <w:i/>
                <w:sz w:val="20"/>
                <w:szCs w:val="20"/>
                <w:lang w:eastAsia="sk-SK"/>
              </w:rPr>
              <w:t>Z toho pozitívny vplyv na skupiny v riziku chudoby alebo sociálneho vylúčenia</w:t>
            </w:r>
          </w:p>
          <w:p w:rsidR="002B3AE8" w:rsidRPr="002644DE" w:rsidRDefault="002B3AE8" w:rsidP="00EC4D63">
            <w:pPr>
              <w:spacing w:after="0" w:line="240" w:lineRule="auto"/>
              <w:rPr>
                <w:rFonts w:ascii="Times New Roman" w:hAnsi="Times New Roman"/>
                <w:b/>
                <w:sz w:val="20"/>
                <w:szCs w:val="20"/>
                <w:lang w:eastAsia="sk-SK"/>
              </w:rPr>
            </w:pPr>
            <w:r w:rsidRPr="002644DE">
              <w:rPr>
                <w:rFonts w:ascii="Times New Roman" w:hAnsi="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B3AE8" w:rsidRPr="002644DE" w:rsidTr="00700096">
        <w:trPr>
          <w:trHeight w:val="759"/>
          <w:jc w:val="center"/>
        </w:trPr>
        <w:tc>
          <w:tcPr>
            <w:tcW w:w="125" w:type="pct"/>
            <w:gridSpan w:val="2"/>
            <w:vAlign w:val="center"/>
          </w:tcPr>
          <w:p w:rsidR="002B3AE8" w:rsidRPr="002644DE" w:rsidRDefault="002B3AE8" w:rsidP="00EC4D6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h)</w:t>
            </w:r>
          </w:p>
        </w:tc>
        <w:tc>
          <w:tcPr>
            <w:tcW w:w="1642" w:type="pct"/>
            <w:gridSpan w:val="4"/>
          </w:tcPr>
          <w:p w:rsidR="002B3AE8" w:rsidRPr="002644DE" w:rsidRDefault="002B3AE8" w:rsidP="00EC4D63">
            <w:pPr>
              <w:spacing w:after="0" w:line="240" w:lineRule="auto"/>
              <w:jc w:val="both"/>
              <w:rPr>
                <w:rFonts w:ascii="Times New Roman" w:hAnsi="Times New Roman"/>
                <w:i/>
                <w:sz w:val="20"/>
                <w:szCs w:val="20"/>
                <w:lang w:eastAsia="sk-SK"/>
              </w:rPr>
            </w:pPr>
            <w:r w:rsidRPr="002644DE">
              <w:rPr>
                <w:rFonts w:ascii="Times New Roman" w:hAnsi="Times New Roman"/>
                <w:b/>
                <w:i/>
                <w:sz w:val="20"/>
                <w:szCs w:val="20"/>
                <w:lang w:eastAsia="sk-SK"/>
              </w:rPr>
              <w:t xml:space="preserve">Popíšte </w:t>
            </w:r>
            <w:r w:rsidRPr="002644DE">
              <w:rPr>
                <w:rFonts w:ascii="Times New Roman" w:hAnsi="Times New Roman"/>
                <w:i/>
                <w:sz w:val="20"/>
                <w:szCs w:val="20"/>
                <w:lang w:eastAsia="sk-SK"/>
              </w:rPr>
              <w:t>opatrenie a jeho vplyv na hospodárenie domácností s uvedením, či ide o zvýšenie príjmov alebo zníženie výdavkov:</w:t>
            </w:r>
          </w:p>
        </w:tc>
        <w:tc>
          <w:tcPr>
            <w:tcW w:w="3233" w:type="pct"/>
            <w:gridSpan w:val="6"/>
          </w:tcPr>
          <w:p w:rsidR="002B3AE8" w:rsidRPr="002644DE" w:rsidRDefault="002B3AE8" w:rsidP="00EC4D63">
            <w:pPr>
              <w:spacing w:after="0" w:line="240" w:lineRule="auto"/>
              <w:rPr>
                <w:rFonts w:ascii="Times New Roman" w:hAnsi="Times New Roman"/>
                <w:sz w:val="20"/>
                <w:szCs w:val="20"/>
                <w:lang w:eastAsia="sk-SK"/>
              </w:rPr>
            </w:pPr>
            <w:r>
              <w:rPr>
                <w:rFonts w:ascii="Times New Roman" w:hAnsi="Times New Roman"/>
                <w:sz w:val="20"/>
                <w:szCs w:val="20"/>
                <w:lang w:eastAsia="sk-SK"/>
              </w:rPr>
              <w:t>Predmetné opatrenie môže mať pozitívny vplyv aj na príjmy domácností v riziku chudoby, no nakoľko jednou z hlavných podmienok uplatnenia nároku na daňový bonus na dieťa u daňovníka je dosahovanie príjmov zo závislej činnosti (zo zamestnania) a/ alebo príjmov z podnikania alebo samostatnej zárobkovej činnosti), nepredpokladá sa, že tento vplyv bude u tejto skupiny ľudí významný.</w:t>
            </w:r>
          </w:p>
        </w:tc>
      </w:tr>
      <w:tr w:rsidR="002B3AE8" w:rsidRPr="002644DE" w:rsidTr="00700096">
        <w:trPr>
          <w:trHeight w:val="397"/>
          <w:jc w:val="center"/>
        </w:trPr>
        <w:tc>
          <w:tcPr>
            <w:tcW w:w="125" w:type="pct"/>
            <w:gridSpan w:val="2"/>
            <w:vMerge w:val="restart"/>
            <w:vAlign w:val="center"/>
          </w:tcPr>
          <w:p w:rsidR="002B3AE8" w:rsidRPr="002644DE" w:rsidRDefault="002B3AE8" w:rsidP="00EC4D6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i)</w:t>
            </w:r>
          </w:p>
        </w:tc>
        <w:tc>
          <w:tcPr>
            <w:tcW w:w="1642" w:type="pct"/>
            <w:gridSpan w:val="4"/>
          </w:tcPr>
          <w:p w:rsidR="002B3AE8" w:rsidRPr="002644DE" w:rsidRDefault="002B3AE8" w:rsidP="00EC4D63">
            <w:pPr>
              <w:spacing w:after="0" w:line="240" w:lineRule="auto"/>
              <w:rPr>
                <w:rFonts w:ascii="Times New Roman" w:hAnsi="Times New Roman"/>
                <w:i/>
                <w:sz w:val="20"/>
                <w:szCs w:val="20"/>
                <w:lang w:eastAsia="sk-SK"/>
              </w:rPr>
            </w:pPr>
            <w:r w:rsidRPr="002644DE">
              <w:rPr>
                <w:rFonts w:ascii="Times New Roman" w:hAnsi="Times New Roman"/>
                <w:b/>
                <w:i/>
                <w:sz w:val="20"/>
                <w:szCs w:val="20"/>
                <w:lang w:eastAsia="sk-SK"/>
              </w:rPr>
              <w:t xml:space="preserve">Špecifikujte </w:t>
            </w:r>
            <w:r w:rsidRPr="002644DE">
              <w:rPr>
                <w:rFonts w:ascii="Times New Roman" w:hAnsi="Times New Roman"/>
                <w:i/>
                <w:sz w:val="20"/>
                <w:szCs w:val="20"/>
                <w:lang w:eastAsia="sk-SK"/>
              </w:rPr>
              <w:t>ovplyvnené skupiny:</w:t>
            </w:r>
          </w:p>
        </w:tc>
        <w:tc>
          <w:tcPr>
            <w:tcW w:w="3233" w:type="pct"/>
            <w:gridSpan w:val="6"/>
          </w:tcPr>
          <w:p w:rsidR="002B3AE8" w:rsidRPr="002644DE" w:rsidRDefault="002B3AE8" w:rsidP="00EC4D63">
            <w:pPr>
              <w:spacing w:after="0" w:line="240" w:lineRule="auto"/>
              <w:rPr>
                <w:rFonts w:ascii="Times New Roman" w:hAnsi="Times New Roman"/>
                <w:i/>
                <w:sz w:val="18"/>
                <w:szCs w:val="20"/>
                <w:lang w:eastAsia="sk-SK"/>
              </w:rPr>
            </w:pPr>
            <w:r>
              <w:rPr>
                <w:rFonts w:ascii="Times New Roman" w:hAnsi="Times New Roman"/>
                <w:i/>
                <w:sz w:val="18"/>
                <w:szCs w:val="20"/>
                <w:lang w:eastAsia="sk-SK"/>
              </w:rPr>
              <w:t>Ovplyvnená skupina č. 1</w:t>
            </w:r>
          </w:p>
        </w:tc>
      </w:tr>
      <w:tr w:rsidR="002B3AE8" w:rsidRPr="002644DE" w:rsidTr="00700096">
        <w:trPr>
          <w:trHeight w:val="397"/>
          <w:jc w:val="center"/>
        </w:trPr>
        <w:tc>
          <w:tcPr>
            <w:tcW w:w="125" w:type="pct"/>
            <w:gridSpan w:val="2"/>
            <w:vMerge/>
            <w:vAlign w:val="center"/>
          </w:tcPr>
          <w:p w:rsidR="002B3AE8" w:rsidRPr="002644DE" w:rsidRDefault="002B3AE8" w:rsidP="00EC4D63">
            <w:pPr>
              <w:spacing w:after="0" w:line="240" w:lineRule="auto"/>
              <w:jc w:val="center"/>
              <w:rPr>
                <w:rFonts w:ascii="Times New Roman" w:hAnsi="Times New Roman"/>
                <w:i/>
                <w:sz w:val="18"/>
                <w:szCs w:val="18"/>
                <w:lang w:eastAsia="sk-SK"/>
              </w:rPr>
            </w:pPr>
          </w:p>
        </w:tc>
        <w:tc>
          <w:tcPr>
            <w:tcW w:w="1642" w:type="pct"/>
            <w:gridSpan w:val="4"/>
          </w:tcPr>
          <w:p w:rsidR="002B3AE8" w:rsidRPr="002644DE" w:rsidRDefault="002B3AE8" w:rsidP="00EC4D63">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33" w:type="pct"/>
            <w:gridSpan w:val="6"/>
            <w:tcBorders>
              <w:top w:val="dotted" w:sz="4" w:space="0" w:color="auto"/>
            </w:tcBorders>
          </w:tcPr>
          <w:p w:rsidR="002B3AE8" w:rsidRPr="002644DE" w:rsidRDefault="002B3AE8" w:rsidP="00EC4D6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2B3AE8" w:rsidRPr="002644DE" w:rsidTr="00700096">
        <w:trPr>
          <w:trHeight w:val="397"/>
          <w:jc w:val="center"/>
        </w:trPr>
        <w:tc>
          <w:tcPr>
            <w:tcW w:w="125" w:type="pct"/>
            <w:gridSpan w:val="2"/>
            <w:tcBorders>
              <w:top w:val="dotted" w:sz="4" w:space="0" w:color="auto"/>
            </w:tcBorders>
            <w:shd w:val="clear" w:color="auto" w:fill="F2F2F2"/>
            <w:vAlign w:val="center"/>
          </w:tcPr>
          <w:p w:rsidR="002B3AE8" w:rsidRPr="002644DE" w:rsidRDefault="002B3AE8" w:rsidP="00EC4D63">
            <w:pPr>
              <w:spacing w:after="0" w:line="240" w:lineRule="auto"/>
              <w:jc w:val="center"/>
              <w:rPr>
                <w:rFonts w:ascii="Times New Roman" w:hAnsi="Times New Roman"/>
                <w:sz w:val="18"/>
                <w:szCs w:val="18"/>
                <w:lang w:eastAsia="sk-SK"/>
              </w:rPr>
            </w:pPr>
            <w:r w:rsidRPr="002644DE">
              <w:rPr>
                <w:rFonts w:ascii="Times New Roman" w:hAnsi="Times New Roman"/>
                <w:i/>
                <w:sz w:val="18"/>
                <w:szCs w:val="18"/>
                <w:lang w:eastAsia="sk-SK"/>
              </w:rPr>
              <w:t>j</w:t>
            </w:r>
            <w:r w:rsidRPr="002644DE">
              <w:rPr>
                <w:rFonts w:ascii="Times New Roman" w:hAnsi="Times New Roman"/>
                <w:sz w:val="18"/>
                <w:szCs w:val="18"/>
                <w:lang w:eastAsia="sk-SK"/>
              </w:rPr>
              <w:t>)</w:t>
            </w:r>
          </w:p>
        </w:tc>
        <w:tc>
          <w:tcPr>
            <w:tcW w:w="4875" w:type="pct"/>
            <w:gridSpan w:val="10"/>
            <w:tcBorders>
              <w:top w:val="dotted" w:sz="4" w:space="0" w:color="auto"/>
            </w:tcBorders>
            <w:shd w:val="clear" w:color="auto" w:fill="F2F2F2"/>
          </w:tcPr>
          <w:p w:rsidR="002B3AE8" w:rsidRPr="002644DE" w:rsidRDefault="002B3AE8" w:rsidP="00EC4D63">
            <w:pPr>
              <w:spacing w:after="0" w:line="240" w:lineRule="auto"/>
              <w:rPr>
                <w:rFonts w:ascii="Times New Roman" w:hAnsi="Times New Roman"/>
                <w:i/>
                <w:sz w:val="20"/>
                <w:szCs w:val="20"/>
                <w:lang w:eastAsia="sk-SK"/>
              </w:rPr>
            </w:pPr>
            <w:r w:rsidRPr="002644DE">
              <w:rPr>
                <w:rFonts w:ascii="Times New Roman" w:hAnsi="Times New Roman"/>
                <w:b/>
                <w:i/>
                <w:sz w:val="20"/>
                <w:szCs w:val="20"/>
                <w:lang w:eastAsia="sk-SK"/>
              </w:rPr>
              <w:t xml:space="preserve">Kvantifikujte </w:t>
            </w:r>
            <w:r w:rsidRPr="002644DE">
              <w:rPr>
                <w:rFonts w:ascii="Times New Roman" w:hAnsi="Times New Roman"/>
                <w:i/>
                <w:sz w:val="20"/>
                <w:szCs w:val="20"/>
                <w:lang w:eastAsia="sk-SK"/>
              </w:rPr>
              <w:t xml:space="preserve">rast príjmov alebo pokles výdavkov </w:t>
            </w:r>
            <w:r w:rsidRPr="002644DE">
              <w:rPr>
                <w:rFonts w:ascii="Times New Roman" w:hAnsi="Times New Roman"/>
                <w:b/>
                <w:i/>
                <w:sz w:val="20"/>
                <w:szCs w:val="20"/>
                <w:lang w:eastAsia="sk-SK"/>
              </w:rPr>
              <w:t>za jednotlivé ovplyvnené skupiny</w:t>
            </w:r>
            <w:r w:rsidRPr="002644DE">
              <w:rPr>
                <w:rFonts w:ascii="Times New Roman" w:hAnsi="Times New Roman"/>
                <w:i/>
                <w:sz w:val="20"/>
                <w:szCs w:val="20"/>
                <w:lang w:eastAsia="sk-SK"/>
              </w:rPr>
              <w:t xml:space="preserve"> domácností / skupiny jednotlivcov a počet obyvateľstva/domácností ovplyvnených predkladaným návrhom.</w:t>
            </w:r>
          </w:p>
        </w:tc>
      </w:tr>
      <w:tr w:rsidR="002B3AE8" w:rsidRPr="002644DE" w:rsidTr="00700096">
        <w:trPr>
          <w:trHeight w:val="680"/>
          <w:jc w:val="center"/>
        </w:trPr>
        <w:tc>
          <w:tcPr>
            <w:tcW w:w="125" w:type="pct"/>
            <w:gridSpan w:val="2"/>
            <w:vMerge w:val="restart"/>
            <w:tcBorders>
              <w:top w:val="dotted" w:sz="4" w:space="0" w:color="auto"/>
            </w:tcBorders>
            <w:vAlign w:val="center"/>
          </w:tcPr>
          <w:p w:rsidR="002B3AE8" w:rsidRPr="002644DE" w:rsidRDefault="002B3AE8" w:rsidP="00EC4D6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k)</w:t>
            </w:r>
          </w:p>
        </w:tc>
        <w:tc>
          <w:tcPr>
            <w:tcW w:w="1642" w:type="pct"/>
            <w:gridSpan w:val="4"/>
            <w:tcBorders>
              <w:top w:val="dotted" w:sz="4" w:space="0" w:color="auto"/>
            </w:tcBorders>
          </w:tcPr>
          <w:p w:rsidR="002B3AE8" w:rsidRPr="002644DE" w:rsidRDefault="002B3AE8" w:rsidP="002B3AE8">
            <w:pPr>
              <w:numPr>
                <w:ilvl w:val="0"/>
                <w:numId w:val="11"/>
              </w:numPr>
              <w:spacing w:after="0" w:line="240" w:lineRule="auto"/>
              <w:contextualSpacing/>
              <w:rPr>
                <w:rFonts w:ascii="Times New Roman" w:hAnsi="Times New Roman"/>
                <w:i/>
                <w:sz w:val="18"/>
                <w:szCs w:val="20"/>
                <w:lang w:eastAsia="sk-SK"/>
              </w:rPr>
            </w:pPr>
            <w:r w:rsidRPr="002644DE">
              <w:rPr>
                <w:rFonts w:ascii="Times New Roman" w:hAnsi="Times New Roman"/>
                <w:i/>
                <w:sz w:val="18"/>
                <w:szCs w:val="20"/>
                <w:lang w:eastAsia="sk-SK"/>
              </w:rPr>
              <w:t>priemerný rast príjmov/ pokles výdavkov v skupine v eurách a/alebo v % / obdobie:</w:t>
            </w:r>
          </w:p>
          <w:p w:rsidR="002B3AE8" w:rsidRPr="002644DE" w:rsidRDefault="002B3AE8" w:rsidP="002B3AE8">
            <w:pPr>
              <w:numPr>
                <w:ilvl w:val="0"/>
                <w:numId w:val="11"/>
              </w:numPr>
              <w:spacing w:after="0" w:line="240" w:lineRule="auto"/>
              <w:contextualSpacing/>
              <w:rPr>
                <w:rFonts w:ascii="Times New Roman" w:hAnsi="Times New Roman"/>
                <w:i/>
                <w:sz w:val="20"/>
                <w:szCs w:val="20"/>
                <w:lang w:eastAsia="sk-SK"/>
              </w:rPr>
            </w:pPr>
            <w:r w:rsidRPr="002644DE">
              <w:rPr>
                <w:rFonts w:ascii="Times New Roman" w:hAnsi="Times New Roman"/>
                <w:i/>
                <w:sz w:val="18"/>
                <w:szCs w:val="20"/>
                <w:lang w:eastAsia="sk-SK"/>
              </w:rPr>
              <w:t>veľkosť skupiny (počet obyvateľov):</w:t>
            </w:r>
          </w:p>
        </w:tc>
        <w:tc>
          <w:tcPr>
            <w:tcW w:w="3233" w:type="pct"/>
            <w:gridSpan w:val="6"/>
            <w:tcBorders>
              <w:top w:val="dotted" w:sz="4" w:space="0" w:color="auto"/>
            </w:tcBorders>
          </w:tcPr>
          <w:p w:rsidR="002B3AE8" w:rsidRPr="002644DE" w:rsidRDefault="002B3AE8" w:rsidP="00EC4D6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1</w:t>
            </w:r>
          </w:p>
        </w:tc>
      </w:tr>
      <w:tr w:rsidR="002B3AE8" w:rsidRPr="002644DE" w:rsidTr="00700096">
        <w:trPr>
          <w:trHeight w:val="680"/>
          <w:jc w:val="center"/>
        </w:trPr>
        <w:tc>
          <w:tcPr>
            <w:tcW w:w="125" w:type="pct"/>
            <w:gridSpan w:val="2"/>
            <w:vMerge/>
            <w:vAlign w:val="center"/>
          </w:tcPr>
          <w:p w:rsidR="002B3AE8" w:rsidRPr="002644DE" w:rsidRDefault="002B3AE8" w:rsidP="00EC4D63">
            <w:pPr>
              <w:spacing w:after="0" w:line="240" w:lineRule="auto"/>
              <w:jc w:val="center"/>
              <w:rPr>
                <w:rFonts w:ascii="Times New Roman" w:hAnsi="Times New Roman"/>
                <w:i/>
                <w:sz w:val="18"/>
                <w:szCs w:val="18"/>
                <w:lang w:eastAsia="sk-SK"/>
              </w:rPr>
            </w:pPr>
          </w:p>
        </w:tc>
        <w:tc>
          <w:tcPr>
            <w:tcW w:w="1642" w:type="pct"/>
            <w:gridSpan w:val="4"/>
          </w:tcPr>
          <w:p w:rsidR="002B3AE8" w:rsidRPr="002644DE" w:rsidRDefault="002B3AE8" w:rsidP="00EC4D63">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33" w:type="pct"/>
            <w:gridSpan w:val="6"/>
            <w:tcBorders>
              <w:top w:val="dotted" w:sz="4" w:space="0" w:color="auto"/>
            </w:tcBorders>
          </w:tcPr>
          <w:p w:rsidR="002B3AE8" w:rsidRPr="002644DE" w:rsidRDefault="002B3AE8" w:rsidP="00EC4D6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2B3AE8" w:rsidRPr="002644DE" w:rsidTr="00700096">
        <w:trPr>
          <w:trHeight w:val="350"/>
          <w:jc w:val="center"/>
        </w:trPr>
        <w:tc>
          <w:tcPr>
            <w:tcW w:w="125" w:type="pct"/>
            <w:gridSpan w:val="2"/>
            <w:tcBorders>
              <w:top w:val="dotted" w:sz="4" w:space="0" w:color="auto"/>
            </w:tcBorders>
            <w:vAlign w:val="center"/>
          </w:tcPr>
          <w:p w:rsidR="002B3AE8" w:rsidRPr="002644DE" w:rsidRDefault="002B3AE8" w:rsidP="00EC4D6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l)</w:t>
            </w:r>
          </w:p>
        </w:tc>
        <w:tc>
          <w:tcPr>
            <w:tcW w:w="1642" w:type="pct"/>
            <w:gridSpan w:val="4"/>
            <w:tcBorders>
              <w:top w:val="dotted" w:sz="4" w:space="0" w:color="auto"/>
            </w:tcBorders>
          </w:tcPr>
          <w:p w:rsidR="002B3AE8" w:rsidRPr="002644DE" w:rsidRDefault="002B3AE8" w:rsidP="00EC4D63">
            <w:pPr>
              <w:spacing w:after="0" w:line="240" w:lineRule="auto"/>
              <w:rPr>
                <w:rFonts w:ascii="Times New Roman" w:hAnsi="Times New Roman"/>
                <w:i/>
                <w:sz w:val="20"/>
                <w:szCs w:val="20"/>
                <w:lang w:eastAsia="sk-SK"/>
              </w:rPr>
            </w:pPr>
            <w:r w:rsidRPr="002644DE">
              <w:rPr>
                <w:rFonts w:ascii="Times New Roman" w:hAnsi="Times New Roman"/>
                <w:i/>
                <w:sz w:val="20"/>
                <w:szCs w:val="20"/>
                <w:lang w:eastAsia="sk-SK"/>
              </w:rPr>
              <w:t>Dôvod chýbajúcej kvantifikácie:</w:t>
            </w:r>
          </w:p>
        </w:tc>
        <w:tc>
          <w:tcPr>
            <w:tcW w:w="3233" w:type="pct"/>
            <w:gridSpan w:val="6"/>
            <w:tcBorders>
              <w:top w:val="dotted" w:sz="4" w:space="0" w:color="auto"/>
            </w:tcBorders>
          </w:tcPr>
          <w:p w:rsidR="002B3AE8" w:rsidRPr="002644DE" w:rsidRDefault="002B3AE8" w:rsidP="00EC4D63">
            <w:pPr>
              <w:spacing w:after="0" w:line="240" w:lineRule="auto"/>
              <w:rPr>
                <w:rFonts w:ascii="Times New Roman" w:hAnsi="Times New Roman"/>
                <w:sz w:val="20"/>
                <w:szCs w:val="20"/>
                <w:lang w:eastAsia="sk-SK"/>
              </w:rPr>
            </w:pPr>
          </w:p>
        </w:tc>
      </w:tr>
      <w:tr w:rsidR="002B3AE8" w:rsidRPr="002644DE" w:rsidTr="00700096">
        <w:trPr>
          <w:trHeight w:val="170"/>
          <w:jc w:val="center"/>
        </w:trPr>
        <w:tc>
          <w:tcPr>
            <w:tcW w:w="125" w:type="pct"/>
            <w:gridSpan w:val="2"/>
            <w:shd w:val="clear" w:color="auto" w:fill="DDDDDD"/>
            <w:vAlign w:val="center"/>
          </w:tcPr>
          <w:p w:rsidR="002B3AE8" w:rsidRPr="002644DE" w:rsidRDefault="002B3AE8" w:rsidP="00EC4D6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lastRenderedPageBreak/>
              <w:t>a)</w:t>
            </w:r>
          </w:p>
        </w:tc>
        <w:tc>
          <w:tcPr>
            <w:tcW w:w="4875" w:type="pct"/>
            <w:gridSpan w:val="10"/>
            <w:shd w:val="clear" w:color="auto" w:fill="DDDDDD"/>
            <w:vAlign w:val="center"/>
          </w:tcPr>
          <w:p w:rsidR="002B3AE8" w:rsidRPr="002644DE" w:rsidRDefault="002B3AE8" w:rsidP="00EC4D63">
            <w:pPr>
              <w:spacing w:after="0" w:line="240" w:lineRule="auto"/>
              <w:jc w:val="center"/>
              <w:rPr>
                <w:rFonts w:ascii="Times New Roman" w:hAnsi="Times New Roman"/>
                <w:b/>
                <w:color w:val="0070C0"/>
                <w:sz w:val="20"/>
                <w:szCs w:val="20"/>
                <w:lang w:eastAsia="sk-SK"/>
              </w:rPr>
            </w:pPr>
            <w:r w:rsidRPr="002644DE">
              <w:rPr>
                <w:rFonts w:ascii="Times New Roman" w:hAnsi="Times New Roman"/>
                <w:b/>
                <w:i/>
                <w:sz w:val="20"/>
                <w:szCs w:val="20"/>
                <w:lang w:eastAsia="sk-SK"/>
              </w:rPr>
              <w:t>4.1.2 Negatívny vplyv</w:t>
            </w:r>
          </w:p>
        </w:tc>
      </w:tr>
      <w:tr w:rsidR="002B3AE8" w:rsidRPr="002644DE" w:rsidTr="00700096">
        <w:trPr>
          <w:trHeight w:val="759"/>
          <w:jc w:val="center"/>
        </w:trPr>
        <w:tc>
          <w:tcPr>
            <w:tcW w:w="125" w:type="pct"/>
            <w:gridSpan w:val="2"/>
            <w:vAlign w:val="center"/>
          </w:tcPr>
          <w:p w:rsidR="002B3AE8" w:rsidRPr="002644DE" w:rsidRDefault="002B3AE8" w:rsidP="00EC4D63">
            <w:pPr>
              <w:spacing w:after="0" w:line="240" w:lineRule="auto"/>
              <w:contextualSpacing/>
              <w:jc w:val="center"/>
              <w:rPr>
                <w:rFonts w:ascii="Times New Roman" w:hAnsi="Times New Roman"/>
                <w:i/>
                <w:sz w:val="18"/>
                <w:szCs w:val="18"/>
                <w:lang w:eastAsia="sk-SK"/>
              </w:rPr>
            </w:pPr>
            <w:r w:rsidRPr="002644DE">
              <w:rPr>
                <w:rFonts w:ascii="Times New Roman" w:hAnsi="Times New Roman"/>
                <w:i/>
                <w:sz w:val="18"/>
                <w:szCs w:val="18"/>
                <w:lang w:eastAsia="sk-SK"/>
              </w:rPr>
              <w:t>b)</w:t>
            </w:r>
          </w:p>
          <w:p w:rsidR="002B3AE8" w:rsidRPr="002644DE" w:rsidRDefault="002B3AE8" w:rsidP="00EC4D63">
            <w:pPr>
              <w:spacing w:after="0" w:line="240" w:lineRule="auto"/>
              <w:ind w:left="360"/>
              <w:contextualSpacing/>
              <w:jc w:val="center"/>
              <w:rPr>
                <w:rFonts w:ascii="Times New Roman" w:hAnsi="Times New Roman"/>
                <w:i/>
                <w:sz w:val="18"/>
                <w:szCs w:val="18"/>
                <w:lang w:eastAsia="sk-SK"/>
              </w:rPr>
            </w:pPr>
          </w:p>
        </w:tc>
        <w:tc>
          <w:tcPr>
            <w:tcW w:w="1642" w:type="pct"/>
            <w:gridSpan w:val="4"/>
            <w:vAlign w:val="center"/>
          </w:tcPr>
          <w:p w:rsidR="002B3AE8" w:rsidRPr="002644DE" w:rsidRDefault="002B3AE8" w:rsidP="00EC4D63">
            <w:pPr>
              <w:spacing w:after="0" w:line="240" w:lineRule="auto"/>
              <w:jc w:val="both"/>
              <w:rPr>
                <w:rFonts w:ascii="Times New Roman" w:hAnsi="Times New Roman"/>
                <w:i/>
                <w:sz w:val="20"/>
                <w:szCs w:val="20"/>
                <w:lang w:eastAsia="sk-SK"/>
              </w:rPr>
            </w:pPr>
            <w:r w:rsidRPr="002644DE">
              <w:rPr>
                <w:rFonts w:ascii="Times New Roman" w:hAnsi="Times New Roman"/>
                <w:b/>
                <w:i/>
                <w:sz w:val="20"/>
                <w:szCs w:val="20"/>
                <w:lang w:eastAsia="sk-SK"/>
              </w:rPr>
              <w:t xml:space="preserve">Popíšte </w:t>
            </w:r>
            <w:r w:rsidRPr="002644DE">
              <w:rPr>
                <w:rFonts w:ascii="Times New Roman" w:hAnsi="Times New Roman"/>
                <w:i/>
                <w:sz w:val="20"/>
                <w:szCs w:val="20"/>
                <w:lang w:eastAsia="sk-SK"/>
              </w:rPr>
              <w:t>opatrenie a jeho vplyv na hospodárenie domácností s uvedením, či ide o zníženie príjmov alebo zvýšenie výdavkov:</w:t>
            </w:r>
          </w:p>
        </w:tc>
        <w:tc>
          <w:tcPr>
            <w:tcW w:w="3233" w:type="pct"/>
            <w:gridSpan w:val="6"/>
          </w:tcPr>
          <w:p w:rsidR="002B3AE8" w:rsidRPr="002644DE" w:rsidRDefault="002B3AE8" w:rsidP="00EC4D63">
            <w:pPr>
              <w:spacing w:after="0" w:line="240" w:lineRule="auto"/>
              <w:contextualSpacing/>
              <w:rPr>
                <w:rFonts w:ascii="Times New Roman" w:hAnsi="Times New Roman"/>
                <w:sz w:val="20"/>
                <w:szCs w:val="20"/>
                <w:lang w:eastAsia="sk-SK"/>
              </w:rPr>
            </w:pPr>
            <w:r>
              <w:rPr>
                <w:rFonts w:ascii="Times New Roman" w:hAnsi="Times New Roman"/>
                <w:sz w:val="20"/>
                <w:szCs w:val="20"/>
                <w:lang w:eastAsia="sk-SK"/>
              </w:rPr>
              <w:t>Bez vplyvu.</w:t>
            </w:r>
          </w:p>
        </w:tc>
      </w:tr>
      <w:tr w:rsidR="002B3AE8" w:rsidRPr="002644DE" w:rsidTr="00700096">
        <w:trPr>
          <w:trHeight w:val="397"/>
          <w:jc w:val="center"/>
        </w:trPr>
        <w:tc>
          <w:tcPr>
            <w:tcW w:w="125" w:type="pct"/>
            <w:gridSpan w:val="2"/>
            <w:vMerge w:val="restart"/>
            <w:vAlign w:val="center"/>
          </w:tcPr>
          <w:p w:rsidR="002B3AE8" w:rsidRPr="002644DE" w:rsidRDefault="002B3AE8" w:rsidP="00EC4D6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c)</w:t>
            </w:r>
          </w:p>
        </w:tc>
        <w:tc>
          <w:tcPr>
            <w:tcW w:w="1642" w:type="pct"/>
            <w:gridSpan w:val="4"/>
          </w:tcPr>
          <w:p w:rsidR="002B3AE8" w:rsidRPr="002644DE" w:rsidRDefault="002B3AE8" w:rsidP="00EC4D63">
            <w:pPr>
              <w:spacing w:after="0" w:line="240" w:lineRule="auto"/>
              <w:rPr>
                <w:rFonts w:ascii="Times New Roman" w:hAnsi="Times New Roman"/>
                <w:i/>
                <w:sz w:val="20"/>
                <w:szCs w:val="20"/>
                <w:lang w:eastAsia="sk-SK"/>
              </w:rPr>
            </w:pPr>
            <w:r w:rsidRPr="002644DE">
              <w:rPr>
                <w:rFonts w:ascii="Times New Roman" w:hAnsi="Times New Roman"/>
                <w:b/>
                <w:i/>
                <w:sz w:val="20"/>
                <w:szCs w:val="20"/>
                <w:lang w:eastAsia="sk-SK"/>
              </w:rPr>
              <w:t>Špecifikujte</w:t>
            </w:r>
            <w:r w:rsidRPr="002644DE">
              <w:rPr>
                <w:rFonts w:ascii="Times New Roman" w:hAnsi="Times New Roman"/>
                <w:i/>
                <w:sz w:val="20"/>
                <w:szCs w:val="20"/>
                <w:lang w:eastAsia="sk-SK"/>
              </w:rPr>
              <w:t xml:space="preserve"> ovplyvnené skupiny:</w:t>
            </w:r>
          </w:p>
        </w:tc>
        <w:tc>
          <w:tcPr>
            <w:tcW w:w="3233" w:type="pct"/>
            <w:gridSpan w:val="6"/>
          </w:tcPr>
          <w:p w:rsidR="002B3AE8" w:rsidRPr="002644DE" w:rsidRDefault="002B3AE8" w:rsidP="00EC4D63">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1</w:t>
            </w:r>
          </w:p>
        </w:tc>
      </w:tr>
      <w:tr w:rsidR="002B3AE8" w:rsidRPr="002644DE" w:rsidTr="00700096">
        <w:trPr>
          <w:trHeight w:val="397"/>
          <w:jc w:val="center"/>
        </w:trPr>
        <w:tc>
          <w:tcPr>
            <w:tcW w:w="125" w:type="pct"/>
            <w:gridSpan w:val="2"/>
            <w:vMerge/>
            <w:vAlign w:val="center"/>
          </w:tcPr>
          <w:p w:rsidR="002B3AE8" w:rsidRPr="002644DE" w:rsidRDefault="002B3AE8" w:rsidP="00EC4D63">
            <w:pPr>
              <w:spacing w:after="0" w:line="240" w:lineRule="auto"/>
              <w:jc w:val="center"/>
              <w:rPr>
                <w:rFonts w:ascii="Times New Roman" w:hAnsi="Times New Roman"/>
                <w:i/>
                <w:sz w:val="18"/>
                <w:szCs w:val="18"/>
                <w:lang w:eastAsia="sk-SK"/>
              </w:rPr>
            </w:pPr>
          </w:p>
        </w:tc>
        <w:tc>
          <w:tcPr>
            <w:tcW w:w="1642" w:type="pct"/>
            <w:gridSpan w:val="4"/>
          </w:tcPr>
          <w:p w:rsidR="002B3AE8" w:rsidRPr="002644DE" w:rsidRDefault="002B3AE8" w:rsidP="00EC4D63">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33" w:type="pct"/>
            <w:gridSpan w:val="6"/>
            <w:tcBorders>
              <w:top w:val="dotted" w:sz="4" w:space="0" w:color="auto"/>
            </w:tcBorders>
          </w:tcPr>
          <w:p w:rsidR="002B3AE8" w:rsidRPr="002644DE" w:rsidRDefault="002B3AE8" w:rsidP="00EC4D6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2B3AE8" w:rsidRPr="002644DE" w:rsidTr="00700096">
        <w:trPr>
          <w:trHeight w:val="397"/>
          <w:jc w:val="center"/>
        </w:trPr>
        <w:tc>
          <w:tcPr>
            <w:tcW w:w="125" w:type="pct"/>
            <w:gridSpan w:val="2"/>
            <w:shd w:val="clear" w:color="auto" w:fill="F2F2F2"/>
            <w:vAlign w:val="center"/>
          </w:tcPr>
          <w:p w:rsidR="002B3AE8" w:rsidRPr="002644DE" w:rsidRDefault="002B3AE8" w:rsidP="00EC4D6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d)</w:t>
            </w:r>
          </w:p>
        </w:tc>
        <w:tc>
          <w:tcPr>
            <w:tcW w:w="4875" w:type="pct"/>
            <w:gridSpan w:val="10"/>
            <w:shd w:val="clear" w:color="auto" w:fill="F2F2F2"/>
            <w:vAlign w:val="center"/>
          </w:tcPr>
          <w:p w:rsidR="002B3AE8" w:rsidRPr="002644DE" w:rsidRDefault="002B3AE8" w:rsidP="00EC4D63">
            <w:pPr>
              <w:spacing w:after="0" w:line="240" w:lineRule="auto"/>
              <w:rPr>
                <w:rFonts w:ascii="Times New Roman" w:hAnsi="Times New Roman"/>
                <w:sz w:val="20"/>
                <w:szCs w:val="20"/>
                <w:lang w:eastAsia="sk-SK"/>
              </w:rPr>
            </w:pPr>
            <w:r w:rsidRPr="002644DE">
              <w:rPr>
                <w:rFonts w:ascii="Times New Roman" w:hAnsi="Times New Roman"/>
                <w:b/>
                <w:i/>
                <w:sz w:val="20"/>
                <w:szCs w:val="20"/>
                <w:lang w:eastAsia="sk-SK"/>
              </w:rPr>
              <w:t>Kvantifikujte</w:t>
            </w:r>
            <w:r w:rsidRPr="002644DE">
              <w:rPr>
                <w:rFonts w:ascii="Times New Roman" w:hAnsi="Times New Roman"/>
                <w:i/>
                <w:sz w:val="20"/>
                <w:szCs w:val="20"/>
                <w:lang w:eastAsia="sk-SK"/>
              </w:rPr>
              <w:t xml:space="preserve"> pokles príjmov alebo rast výdavkov </w:t>
            </w:r>
            <w:r w:rsidRPr="002644DE">
              <w:rPr>
                <w:rFonts w:ascii="Times New Roman" w:hAnsi="Times New Roman"/>
                <w:b/>
                <w:i/>
                <w:sz w:val="20"/>
                <w:szCs w:val="20"/>
                <w:lang w:eastAsia="sk-SK"/>
              </w:rPr>
              <w:t>za jednotlivé</w:t>
            </w:r>
            <w:r w:rsidRPr="002644DE">
              <w:rPr>
                <w:rFonts w:ascii="Times New Roman" w:hAnsi="Times New Roman"/>
                <w:i/>
                <w:sz w:val="20"/>
                <w:szCs w:val="20"/>
                <w:lang w:eastAsia="sk-SK"/>
              </w:rPr>
              <w:t xml:space="preserve"> </w:t>
            </w:r>
            <w:r w:rsidRPr="002644DE">
              <w:rPr>
                <w:rFonts w:ascii="Times New Roman" w:hAnsi="Times New Roman"/>
                <w:b/>
                <w:i/>
                <w:sz w:val="20"/>
                <w:szCs w:val="20"/>
                <w:lang w:eastAsia="sk-SK"/>
              </w:rPr>
              <w:t>ovplyvnené</w:t>
            </w:r>
            <w:r w:rsidRPr="002644DE">
              <w:rPr>
                <w:rFonts w:ascii="Times New Roman" w:hAnsi="Times New Roman"/>
                <w:i/>
                <w:sz w:val="20"/>
                <w:szCs w:val="20"/>
                <w:lang w:eastAsia="sk-SK"/>
              </w:rPr>
              <w:t xml:space="preserve"> </w:t>
            </w:r>
            <w:r w:rsidRPr="002644DE">
              <w:rPr>
                <w:rFonts w:ascii="Times New Roman" w:hAnsi="Times New Roman"/>
                <w:b/>
                <w:i/>
                <w:sz w:val="20"/>
                <w:szCs w:val="20"/>
                <w:lang w:eastAsia="sk-SK"/>
              </w:rPr>
              <w:t>skupiny</w:t>
            </w:r>
            <w:r w:rsidRPr="002644DE">
              <w:rPr>
                <w:rFonts w:ascii="Times New Roman" w:hAnsi="Times New Roman"/>
                <w:i/>
                <w:sz w:val="20"/>
                <w:szCs w:val="20"/>
                <w:lang w:eastAsia="sk-SK"/>
              </w:rPr>
              <w:t xml:space="preserve"> domácností / skupiny jednotlivcov a počet obyvateľstva/domácností ovplyvnených predkladaným návrhom.</w:t>
            </w:r>
          </w:p>
        </w:tc>
      </w:tr>
      <w:tr w:rsidR="002B3AE8" w:rsidRPr="002644DE" w:rsidTr="00700096">
        <w:trPr>
          <w:trHeight w:val="680"/>
          <w:jc w:val="center"/>
        </w:trPr>
        <w:tc>
          <w:tcPr>
            <w:tcW w:w="125" w:type="pct"/>
            <w:gridSpan w:val="2"/>
            <w:vMerge w:val="restart"/>
            <w:tcBorders>
              <w:top w:val="dotted" w:sz="4" w:space="0" w:color="auto"/>
            </w:tcBorders>
            <w:vAlign w:val="center"/>
          </w:tcPr>
          <w:p w:rsidR="002B3AE8" w:rsidRPr="002644DE" w:rsidRDefault="002B3AE8" w:rsidP="00EC4D6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e)</w:t>
            </w:r>
          </w:p>
        </w:tc>
        <w:tc>
          <w:tcPr>
            <w:tcW w:w="1642" w:type="pct"/>
            <w:gridSpan w:val="4"/>
            <w:tcBorders>
              <w:top w:val="dotted" w:sz="4" w:space="0" w:color="auto"/>
            </w:tcBorders>
          </w:tcPr>
          <w:p w:rsidR="002B3AE8" w:rsidRPr="002644DE" w:rsidRDefault="002B3AE8" w:rsidP="002B3AE8">
            <w:pPr>
              <w:numPr>
                <w:ilvl w:val="0"/>
                <w:numId w:val="11"/>
              </w:numPr>
              <w:spacing w:after="0" w:line="240" w:lineRule="auto"/>
              <w:contextualSpacing/>
              <w:jc w:val="both"/>
              <w:rPr>
                <w:rFonts w:ascii="Times New Roman" w:hAnsi="Times New Roman"/>
                <w:i/>
                <w:sz w:val="18"/>
                <w:szCs w:val="20"/>
                <w:lang w:eastAsia="sk-SK"/>
              </w:rPr>
            </w:pPr>
            <w:r w:rsidRPr="002644DE">
              <w:rPr>
                <w:rFonts w:ascii="Times New Roman" w:hAnsi="Times New Roman"/>
                <w:i/>
                <w:sz w:val="18"/>
                <w:szCs w:val="20"/>
                <w:lang w:eastAsia="sk-SK"/>
              </w:rPr>
              <w:t>priemerný pokles príjmov/ rast výdavkov v skupine v eurách a/alebo v % / obdobie:</w:t>
            </w:r>
          </w:p>
          <w:p w:rsidR="002B3AE8" w:rsidRPr="002644DE" w:rsidRDefault="002B3AE8" w:rsidP="002B3AE8">
            <w:pPr>
              <w:numPr>
                <w:ilvl w:val="0"/>
                <w:numId w:val="11"/>
              </w:numPr>
              <w:spacing w:after="0" w:line="240" w:lineRule="auto"/>
              <w:contextualSpacing/>
              <w:jc w:val="both"/>
              <w:rPr>
                <w:rFonts w:ascii="Times New Roman" w:hAnsi="Times New Roman"/>
                <w:i/>
                <w:sz w:val="18"/>
                <w:szCs w:val="20"/>
                <w:lang w:eastAsia="sk-SK"/>
              </w:rPr>
            </w:pPr>
            <w:r w:rsidRPr="002644DE">
              <w:rPr>
                <w:rFonts w:ascii="Times New Roman" w:hAnsi="Times New Roman"/>
                <w:i/>
                <w:sz w:val="18"/>
                <w:szCs w:val="20"/>
                <w:lang w:eastAsia="sk-SK"/>
              </w:rPr>
              <w:t>veľkosť skupiny (počet obyvateľov):</w:t>
            </w:r>
          </w:p>
        </w:tc>
        <w:tc>
          <w:tcPr>
            <w:tcW w:w="3233" w:type="pct"/>
            <w:gridSpan w:val="6"/>
            <w:tcBorders>
              <w:top w:val="dotted" w:sz="4" w:space="0" w:color="auto"/>
            </w:tcBorders>
          </w:tcPr>
          <w:p w:rsidR="002B3AE8" w:rsidRPr="002644DE" w:rsidRDefault="002B3AE8" w:rsidP="00EC4D6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1</w:t>
            </w:r>
          </w:p>
        </w:tc>
      </w:tr>
      <w:tr w:rsidR="002B3AE8" w:rsidRPr="002644DE" w:rsidTr="00700096">
        <w:trPr>
          <w:trHeight w:val="680"/>
          <w:jc w:val="center"/>
        </w:trPr>
        <w:tc>
          <w:tcPr>
            <w:tcW w:w="125" w:type="pct"/>
            <w:gridSpan w:val="2"/>
            <w:vMerge/>
            <w:vAlign w:val="center"/>
          </w:tcPr>
          <w:p w:rsidR="002B3AE8" w:rsidRPr="002644DE" w:rsidRDefault="002B3AE8" w:rsidP="00EC4D63">
            <w:pPr>
              <w:spacing w:after="0" w:line="240" w:lineRule="auto"/>
              <w:jc w:val="center"/>
              <w:rPr>
                <w:rFonts w:ascii="Times New Roman" w:hAnsi="Times New Roman"/>
                <w:i/>
                <w:sz w:val="18"/>
                <w:szCs w:val="18"/>
                <w:lang w:eastAsia="sk-SK"/>
              </w:rPr>
            </w:pPr>
          </w:p>
        </w:tc>
        <w:tc>
          <w:tcPr>
            <w:tcW w:w="1642" w:type="pct"/>
            <w:gridSpan w:val="4"/>
          </w:tcPr>
          <w:p w:rsidR="002B3AE8" w:rsidRPr="002644DE" w:rsidRDefault="002B3AE8" w:rsidP="00EC4D63">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33" w:type="pct"/>
            <w:gridSpan w:val="6"/>
            <w:tcBorders>
              <w:top w:val="dotted" w:sz="4" w:space="0" w:color="auto"/>
            </w:tcBorders>
          </w:tcPr>
          <w:p w:rsidR="002B3AE8" w:rsidRPr="002644DE" w:rsidRDefault="002B3AE8" w:rsidP="00EC4D6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2B3AE8" w:rsidRPr="002644DE" w:rsidTr="00700096">
        <w:trPr>
          <w:trHeight w:val="397"/>
          <w:jc w:val="center"/>
        </w:trPr>
        <w:tc>
          <w:tcPr>
            <w:tcW w:w="125" w:type="pct"/>
            <w:gridSpan w:val="2"/>
            <w:tcBorders>
              <w:top w:val="dotted" w:sz="4" w:space="0" w:color="auto"/>
            </w:tcBorders>
            <w:vAlign w:val="center"/>
          </w:tcPr>
          <w:p w:rsidR="002B3AE8" w:rsidRPr="002644DE" w:rsidRDefault="002B3AE8" w:rsidP="00EC4D6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f)</w:t>
            </w:r>
          </w:p>
        </w:tc>
        <w:tc>
          <w:tcPr>
            <w:tcW w:w="1642" w:type="pct"/>
            <w:gridSpan w:val="4"/>
            <w:tcBorders>
              <w:top w:val="dotted" w:sz="4" w:space="0" w:color="auto"/>
            </w:tcBorders>
          </w:tcPr>
          <w:p w:rsidR="002B3AE8" w:rsidRPr="002644DE" w:rsidRDefault="002B3AE8" w:rsidP="00EC4D63">
            <w:pPr>
              <w:spacing w:after="0" w:line="240" w:lineRule="auto"/>
              <w:rPr>
                <w:rFonts w:ascii="Times New Roman" w:hAnsi="Times New Roman"/>
                <w:i/>
                <w:sz w:val="20"/>
                <w:szCs w:val="20"/>
                <w:lang w:eastAsia="sk-SK"/>
              </w:rPr>
            </w:pPr>
            <w:r w:rsidRPr="002644DE">
              <w:rPr>
                <w:rFonts w:ascii="Times New Roman" w:hAnsi="Times New Roman"/>
                <w:i/>
                <w:sz w:val="20"/>
                <w:szCs w:val="20"/>
                <w:lang w:eastAsia="sk-SK"/>
              </w:rPr>
              <w:t>Dôvod chýbajúcej kvantifikácie:</w:t>
            </w:r>
          </w:p>
        </w:tc>
        <w:tc>
          <w:tcPr>
            <w:tcW w:w="3233" w:type="pct"/>
            <w:gridSpan w:val="6"/>
            <w:tcBorders>
              <w:top w:val="dotted" w:sz="4" w:space="0" w:color="auto"/>
            </w:tcBorders>
          </w:tcPr>
          <w:p w:rsidR="002B3AE8" w:rsidRPr="002644DE" w:rsidRDefault="002B3AE8" w:rsidP="00EC4D63">
            <w:pPr>
              <w:spacing w:after="0" w:line="240" w:lineRule="auto"/>
              <w:rPr>
                <w:rFonts w:ascii="Times New Roman" w:hAnsi="Times New Roman"/>
                <w:sz w:val="20"/>
                <w:szCs w:val="20"/>
                <w:lang w:eastAsia="sk-SK"/>
              </w:rPr>
            </w:pPr>
          </w:p>
        </w:tc>
      </w:tr>
      <w:tr w:rsidR="002B3AE8" w:rsidRPr="002644DE" w:rsidTr="00700096">
        <w:trPr>
          <w:trHeight w:val="227"/>
          <w:jc w:val="center"/>
        </w:trPr>
        <w:tc>
          <w:tcPr>
            <w:tcW w:w="125" w:type="pct"/>
            <w:gridSpan w:val="2"/>
            <w:tcBorders>
              <w:top w:val="nil"/>
            </w:tcBorders>
            <w:shd w:val="clear" w:color="auto" w:fill="F2F2F2"/>
            <w:vAlign w:val="center"/>
          </w:tcPr>
          <w:p w:rsidR="002B3AE8" w:rsidRPr="002644DE" w:rsidRDefault="002B3AE8" w:rsidP="00EC4D6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g)</w:t>
            </w:r>
          </w:p>
        </w:tc>
        <w:tc>
          <w:tcPr>
            <w:tcW w:w="4875" w:type="pct"/>
            <w:gridSpan w:val="10"/>
            <w:tcBorders>
              <w:top w:val="nil"/>
            </w:tcBorders>
            <w:shd w:val="clear" w:color="auto" w:fill="F2F2F2"/>
          </w:tcPr>
          <w:p w:rsidR="002B3AE8" w:rsidRPr="002644DE" w:rsidRDefault="002B3AE8" w:rsidP="00EC4D63">
            <w:pPr>
              <w:spacing w:after="0" w:line="240" w:lineRule="auto"/>
              <w:rPr>
                <w:rFonts w:ascii="Times New Roman" w:hAnsi="Times New Roman"/>
                <w:i/>
                <w:sz w:val="20"/>
                <w:szCs w:val="20"/>
                <w:lang w:eastAsia="sk-SK"/>
              </w:rPr>
            </w:pPr>
            <w:r w:rsidRPr="002644DE">
              <w:rPr>
                <w:rFonts w:ascii="Times New Roman" w:hAnsi="Times New Roman"/>
                <w:b/>
                <w:i/>
                <w:sz w:val="20"/>
                <w:szCs w:val="20"/>
                <w:lang w:eastAsia="sk-SK"/>
              </w:rPr>
              <w:t>4.1.2.1</w:t>
            </w:r>
            <w:r w:rsidRPr="002644DE">
              <w:rPr>
                <w:rFonts w:ascii="Times New Roman" w:hAnsi="Times New Roman"/>
                <w:i/>
                <w:sz w:val="20"/>
                <w:szCs w:val="20"/>
                <w:lang w:eastAsia="sk-SK"/>
              </w:rPr>
              <w:t xml:space="preserve"> </w:t>
            </w:r>
            <w:r w:rsidRPr="002644DE">
              <w:rPr>
                <w:rFonts w:ascii="Times New Roman" w:hAnsi="Times New Roman"/>
                <w:b/>
                <w:i/>
                <w:sz w:val="20"/>
                <w:szCs w:val="20"/>
                <w:lang w:eastAsia="sk-SK"/>
              </w:rPr>
              <w:t>Z toho negatívny vplyv na skupiny v riziku chudoby alebo sociálneho vylúčenia</w:t>
            </w:r>
          </w:p>
          <w:p w:rsidR="002B3AE8" w:rsidRPr="002644DE" w:rsidRDefault="002B3AE8" w:rsidP="00EC4D63">
            <w:pPr>
              <w:spacing w:after="0" w:line="240" w:lineRule="auto"/>
              <w:rPr>
                <w:rFonts w:ascii="Times New Roman" w:hAnsi="Times New Roman"/>
                <w:b/>
                <w:sz w:val="20"/>
                <w:szCs w:val="20"/>
                <w:lang w:eastAsia="sk-SK"/>
              </w:rPr>
            </w:pPr>
            <w:r w:rsidRPr="002644DE">
              <w:rPr>
                <w:rFonts w:ascii="Times New Roman" w:hAnsi="Times New Roman"/>
                <w:i/>
                <w:sz w:val="20"/>
                <w:szCs w:val="20"/>
                <w:lang w:eastAsia="sk-SK"/>
              </w:rPr>
              <w:t>(</w:t>
            </w:r>
            <w:r w:rsidRPr="002644DE">
              <w:rPr>
                <w:rFonts w:ascii="Times New Roman" w:hAnsi="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hAnsi="Times New Roman"/>
                <w:i/>
                <w:sz w:val="20"/>
                <w:szCs w:val="20"/>
                <w:lang w:eastAsia="sk-SK"/>
              </w:rPr>
              <w:t>)</w:t>
            </w:r>
          </w:p>
        </w:tc>
      </w:tr>
      <w:tr w:rsidR="002B3AE8" w:rsidRPr="002644DE" w:rsidTr="00700096">
        <w:trPr>
          <w:trHeight w:val="759"/>
          <w:jc w:val="center"/>
        </w:trPr>
        <w:tc>
          <w:tcPr>
            <w:tcW w:w="125" w:type="pct"/>
            <w:gridSpan w:val="2"/>
            <w:vAlign w:val="center"/>
          </w:tcPr>
          <w:p w:rsidR="002B3AE8" w:rsidRPr="002644DE" w:rsidRDefault="002B3AE8" w:rsidP="00EC4D6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h)</w:t>
            </w:r>
          </w:p>
        </w:tc>
        <w:tc>
          <w:tcPr>
            <w:tcW w:w="1642" w:type="pct"/>
            <w:gridSpan w:val="4"/>
          </w:tcPr>
          <w:p w:rsidR="002B3AE8" w:rsidRPr="002644DE" w:rsidRDefault="002B3AE8" w:rsidP="00EC4D63">
            <w:pPr>
              <w:spacing w:after="0" w:line="240" w:lineRule="auto"/>
              <w:jc w:val="both"/>
              <w:rPr>
                <w:rFonts w:ascii="Times New Roman" w:hAnsi="Times New Roman"/>
                <w:i/>
                <w:sz w:val="20"/>
                <w:szCs w:val="20"/>
                <w:lang w:eastAsia="sk-SK"/>
              </w:rPr>
            </w:pPr>
            <w:r w:rsidRPr="002644DE">
              <w:rPr>
                <w:rFonts w:ascii="Times New Roman" w:hAnsi="Times New Roman"/>
                <w:b/>
                <w:i/>
                <w:sz w:val="20"/>
                <w:szCs w:val="20"/>
                <w:lang w:eastAsia="sk-SK"/>
              </w:rPr>
              <w:t>Popíšte</w:t>
            </w:r>
            <w:r w:rsidRPr="002644DE">
              <w:rPr>
                <w:rFonts w:ascii="Times New Roman" w:hAnsi="Times New Roman"/>
                <w:i/>
                <w:sz w:val="20"/>
                <w:szCs w:val="20"/>
                <w:lang w:eastAsia="sk-SK"/>
              </w:rPr>
              <w:t xml:space="preserve"> opatrenie a jeho vplyv na hospodárenie domácností s uvedením, či ide o zníženie  príjmov alebo zvýšenie výdavkov:</w:t>
            </w:r>
          </w:p>
        </w:tc>
        <w:tc>
          <w:tcPr>
            <w:tcW w:w="3233" w:type="pct"/>
            <w:gridSpan w:val="6"/>
          </w:tcPr>
          <w:p w:rsidR="002B3AE8" w:rsidRPr="002644DE" w:rsidRDefault="002B3AE8" w:rsidP="00EC4D63">
            <w:pPr>
              <w:spacing w:after="0" w:line="240" w:lineRule="auto"/>
              <w:rPr>
                <w:rFonts w:ascii="Times New Roman" w:hAnsi="Times New Roman"/>
                <w:sz w:val="20"/>
                <w:szCs w:val="20"/>
                <w:lang w:eastAsia="sk-SK"/>
              </w:rPr>
            </w:pPr>
            <w:r>
              <w:rPr>
                <w:rFonts w:ascii="Times New Roman" w:hAnsi="Times New Roman"/>
                <w:sz w:val="20"/>
                <w:szCs w:val="20"/>
                <w:lang w:eastAsia="sk-SK"/>
              </w:rPr>
              <w:t>Bez vplyvu.</w:t>
            </w:r>
          </w:p>
        </w:tc>
      </w:tr>
      <w:tr w:rsidR="002B3AE8" w:rsidRPr="002644DE" w:rsidTr="00700096">
        <w:trPr>
          <w:trHeight w:val="397"/>
          <w:jc w:val="center"/>
        </w:trPr>
        <w:tc>
          <w:tcPr>
            <w:tcW w:w="125" w:type="pct"/>
            <w:gridSpan w:val="2"/>
            <w:vMerge w:val="restart"/>
            <w:vAlign w:val="center"/>
          </w:tcPr>
          <w:p w:rsidR="002B3AE8" w:rsidRPr="002644DE" w:rsidRDefault="002B3AE8" w:rsidP="00EC4D6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i)</w:t>
            </w:r>
          </w:p>
        </w:tc>
        <w:tc>
          <w:tcPr>
            <w:tcW w:w="1642" w:type="pct"/>
            <w:gridSpan w:val="4"/>
          </w:tcPr>
          <w:p w:rsidR="002B3AE8" w:rsidRPr="002644DE" w:rsidRDefault="002B3AE8" w:rsidP="00EC4D63">
            <w:pPr>
              <w:spacing w:after="0" w:line="240" w:lineRule="auto"/>
              <w:rPr>
                <w:rFonts w:ascii="Times New Roman" w:hAnsi="Times New Roman"/>
                <w:i/>
                <w:sz w:val="20"/>
                <w:szCs w:val="20"/>
                <w:lang w:eastAsia="sk-SK"/>
              </w:rPr>
            </w:pPr>
            <w:r w:rsidRPr="002644DE">
              <w:rPr>
                <w:rFonts w:ascii="Times New Roman" w:hAnsi="Times New Roman"/>
                <w:b/>
                <w:i/>
                <w:sz w:val="20"/>
                <w:szCs w:val="20"/>
                <w:lang w:eastAsia="sk-SK"/>
              </w:rPr>
              <w:t xml:space="preserve">Špecifikujte </w:t>
            </w:r>
            <w:r w:rsidRPr="002644DE">
              <w:rPr>
                <w:rFonts w:ascii="Times New Roman" w:hAnsi="Times New Roman"/>
                <w:i/>
                <w:sz w:val="20"/>
                <w:szCs w:val="20"/>
                <w:lang w:eastAsia="sk-SK"/>
              </w:rPr>
              <w:t>ovplyvnené skupiny:</w:t>
            </w:r>
          </w:p>
        </w:tc>
        <w:tc>
          <w:tcPr>
            <w:tcW w:w="3233" w:type="pct"/>
            <w:gridSpan w:val="6"/>
          </w:tcPr>
          <w:p w:rsidR="002B3AE8" w:rsidRPr="002644DE" w:rsidRDefault="002B3AE8" w:rsidP="00EC4D63">
            <w:pPr>
              <w:spacing w:after="0" w:line="240" w:lineRule="auto"/>
              <w:rPr>
                <w:rFonts w:ascii="Times New Roman" w:hAnsi="Times New Roman"/>
                <w:i/>
                <w:sz w:val="18"/>
                <w:szCs w:val="20"/>
                <w:lang w:eastAsia="sk-SK"/>
              </w:rPr>
            </w:pPr>
            <w:r>
              <w:rPr>
                <w:rFonts w:ascii="Times New Roman" w:hAnsi="Times New Roman"/>
                <w:i/>
                <w:sz w:val="18"/>
                <w:szCs w:val="20"/>
                <w:lang w:eastAsia="sk-SK"/>
              </w:rPr>
              <w:t>Ovplyvnená skupina č. 1</w:t>
            </w:r>
          </w:p>
        </w:tc>
      </w:tr>
      <w:tr w:rsidR="002B3AE8" w:rsidRPr="002644DE" w:rsidTr="00700096">
        <w:trPr>
          <w:trHeight w:val="397"/>
          <w:jc w:val="center"/>
        </w:trPr>
        <w:tc>
          <w:tcPr>
            <w:tcW w:w="125" w:type="pct"/>
            <w:gridSpan w:val="2"/>
            <w:vMerge/>
            <w:vAlign w:val="center"/>
          </w:tcPr>
          <w:p w:rsidR="002B3AE8" w:rsidRPr="002644DE" w:rsidRDefault="002B3AE8" w:rsidP="00EC4D63">
            <w:pPr>
              <w:spacing w:after="0" w:line="240" w:lineRule="auto"/>
              <w:jc w:val="center"/>
              <w:rPr>
                <w:rFonts w:ascii="Times New Roman" w:hAnsi="Times New Roman"/>
                <w:i/>
                <w:sz w:val="18"/>
                <w:szCs w:val="18"/>
                <w:lang w:eastAsia="sk-SK"/>
              </w:rPr>
            </w:pPr>
          </w:p>
        </w:tc>
        <w:tc>
          <w:tcPr>
            <w:tcW w:w="1642" w:type="pct"/>
            <w:gridSpan w:val="4"/>
          </w:tcPr>
          <w:p w:rsidR="002B3AE8" w:rsidRPr="002644DE" w:rsidRDefault="002B3AE8" w:rsidP="00EC4D63">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33" w:type="pct"/>
            <w:gridSpan w:val="6"/>
            <w:tcBorders>
              <w:top w:val="dotted" w:sz="4" w:space="0" w:color="auto"/>
            </w:tcBorders>
          </w:tcPr>
          <w:p w:rsidR="002B3AE8" w:rsidRPr="002644DE" w:rsidRDefault="002B3AE8" w:rsidP="00EC4D6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2B3AE8" w:rsidRPr="002644DE" w:rsidTr="00700096">
        <w:trPr>
          <w:trHeight w:val="454"/>
          <w:jc w:val="center"/>
        </w:trPr>
        <w:tc>
          <w:tcPr>
            <w:tcW w:w="125" w:type="pct"/>
            <w:gridSpan w:val="2"/>
            <w:tcBorders>
              <w:top w:val="dotted" w:sz="4" w:space="0" w:color="auto"/>
            </w:tcBorders>
            <w:shd w:val="clear" w:color="auto" w:fill="F2F2F2"/>
            <w:vAlign w:val="center"/>
          </w:tcPr>
          <w:p w:rsidR="002B3AE8" w:rsidRPr="002644DE" w:rsidRDefault="002B3AE8" w:rsidP="00EC4D63">
            <w:pPr>
              <w:spacing w:after="0" w:line="240" w:lineRule="auto"/>
              <w:jc w:val="center"/>
              <w:rPr>
                <w:rFonts w:ascii="Times New Roman" w:hAnsi="Times New Roman"/>
                <w:sz w:val="18"/>
                <w:szCs w:val="18"/>
                <w:lang w:eastAsia="sk-SK"/>
              </w:rPr>
            </w:pPr>
            <w:r w:rsidRPr="002644DE">
              <w:rPr>
                <w:rFonts w:ascii="Times New Roman" w:hAnsi="Times New Roman"/>
                <w:i/>
                <w:sz w:val="18"/>
                <w:szCs w:val="18"/>
                <w:lang w:eastAsia="sk-SK"/>
              </w:rPr>
              <w:t>j</w:t>
            </w:r>
            <w:r w:rsidRPr="002644DE">
              <w:rPr>
                <w:rFonts w:ascii="Times New Roman" w:hAnsi="Times New Roman"/>
                <w:sz w:val="18"/>
                <w:szCs w:val="18"/>
                <w:lang w:eastAsia="sk-SK"/>
              </w:rPr>
              <w:t>)</w:t>
            </w:r>
          </w:p>
        </w:tc>
        <w:tc>
          <w:tcPr>
            <w:tcW w:w="4875" w:type="pct"/>
            <w:gridSpan w:val="10"/>
            <w:tcBorders>
              <w:top w:val="dotted" w:sz="4" w:space="0" w:color="auto"/>
            </w:tcBorders>
            <w:shd w:val="clear" w:color="auto" w:fill="F2F2F2"/>
            <w:vAlign w:val="center"/>
          </w:tcPr>
          <w:p w:rsidR="002B3AE8" w:rsidRPr="002644DE" w:rsidRDefault="002B3AE8" w:rsidP="00EC4D63">
            <w:pPr>
              <w:spacing w:after="0" w:line="240" w:lineRule="auto"/>
              <w:rPr>
                <w:rFonts w:ascii="Times New Roman" w:hAnsi="Times New Roman"/>
                <w:i/>
                <w:sz w:val="20"/>
                <w:szCs w:val="20"/>
                <w:lang w:eastAsia="sk-SK"/>
              </w:rPr>
            </w:pPr>
            <w:r w:rsidRPr="002644DE">
              <w:rPr>
                <w:rFonts w:ascii="Times New Roman" w:hAnsi="Times New Roman"/>
                <w:b/>
                <w:i/>
                <w:sz w:val="20"/>
                <w:szCs w:val="20"/>
                <w:lang w:eastAsia="sk-SK"/>
              </w:rPr>
              <w:t>Kvantifikujte</w:t>
            </w:r>
            <w:r w:rsidRPr="002644DE">
              <w:rPr>
                <w:rFonts w:ascii="Times New Roman" w:hAnsi="Times New Roman"/>
                <w:i/>
                <w:sz w:val="20"/>
                <w:szCs w:val="20"/>
                <w:lang w:eastAsia="sk-SK"/>
              </w:rPr>
              <w:t xml:space="preserve"> pokles príjmov alebo rast výdavkov </w:t>
            </w:r>
            <w:r w:rsidRPr="002644DE">
              <w:rPr>
                <w:rFonts w:ascii="Times New Roman" w:hAnsi="Times New Roman"/>
                <w:b/>
                <w:i/>
                <w:sz w:val="20"/>
                <w:szCs w:val="20"/>
                <w:lang w:eastAsia="sk-SK"/>
              </w:rPr>
              <w:t>za jednotlivé ovplyvnené skupiny</w:t>
            </w:r>
            <w:r w:rsidRPr="002644DE">
              <w:rPr>
                <w:rFonts w:ascii="Times New Roman" w:hAnsi="Times New Roman"/>
                <w:i/>
                <w:sz w:val="20"/>
                <w:szCs w:val="20"/>
                <w:lang w:eastAsia="sk-SK"/>
              </w:rPr>
              <w:t xml:space="preserve"> domácností / skupiny jednotlivcov a počet obyvateľstva/domácností ovplyvnených predkladaným návrhom.</w:t>
            </w:r>
          </w:p>
        </w:tc>
      </w:tr>
      <w:tr w:rsidR="002B3AE8" w:rsidRPr="002644DE" w:rsidTr="00700096">
        <w:trPr>
          <w:trHeight w:val="680"/>
          <w:jc w:val="center"/>
        </w:trPr>
        <w:tc>
          <w:tcPr>
            <w:tcW w:w="125" w:type="pct"/>
            <w:gridSpan w:val="2"/>
            <w:vMerge w:val="restart"/>
            <w:tcBorders>
              <w:top w:val="dotted" w:sz="4" w:space="0" w:color="auto"/>
            </w:tcBorders>
            <w:vAlign w:val="center"/>
          </w:tcPr>
          <w:p w:rsidR="002B3AE8" w:rsidRPr="002644DE" w:rsidRDefault="002B3AE8" w:rsidP="00EC4D6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k)</w:t>
            </w:r>
          </w:p>
        </w:tc>
        <w:tc>
          <w:tcPr>
            <w:tcW w:w="1642" w:type="pct"/>
            <w:gridSpan w:val="4"/>
            <w:tcBorders>
              <w:top w:val="dotted" w:sz="4" w:space="0" w:color="auto"/>
            </w:tcBorders>
          </w:tcPr>
          <w:p w:rsidR="002B3AE8" w:rsidRPr="002644DE" w:rsidRDefault="002B3AE8" w:rsidP="002B3AE8">
            <w:pPr>
              <w:numPr>
                <w:ilvl w:val="0"/>
                <w:numId w:val="11"/>
              </w:numPr>
              <w:spacing w:after="0" w:line="240" w:lineRule="auto"/>
              <w:contextualSpacing/>
              <w:rPr>
                <w:rFonts w:ascii="Times New Roman" w:hAnsi="Times New Roman"/>
                <w:i/>
                <w:sz w:val="18"/>
                <w:szCs w:val="20"/>
                <w:lang w:eastAsia="sk-SK"/>
              </w:rPr>
            </w:pPr>
            <w:r w:rsidRPr="002644DE">
              <w:rPr>
                <w:rFonts w:ascii="Times New Roman" w:hAnsi="Times New Roman"/>
                <w:i/>
                <w:sz w:val="18"/>
                <w:szCs w:val="20"/>
                <w:lang w:eastAsia="sk-SK"/>
              </w:rPr>
              <w:t>priemerný pokles príjmov/ rast výdavkov v skupine v eurách a/alebo v % / obdobie:</w:t>
            </w:r>
          </w:p>
          <w:p w:rsidR="002B3AE8" w:rsidRPr="002644DE" w:rsidRDefault="002B3AE8" w:rsidP="002B3AE8">
            <w:pPr>
              <w:numPr>
                <w:ilvl w:val="0"/>
                <w:numId w:val="11"/>
              </w:numPr>
              <w:spacing w:after="0" w:line="240" w:lineRule="auto"/>
              <w:contextualSpacing/>
              <w:rPr>
                <w:rFonts w:ascii="Times New Roman" w:hAnsi="Times New Roman"/>
                <w:i/>
                <w:sz w:val="20"/>
                <w:szCs w:val="20"/>
                <w:lang w:eastAsia="sk-SK"/>
              </w:rPr>
            </w:pPr>
            <w:r w:rsidRPr="002644DE">
              <w:rPr>
                <w:rFonts w:ascii="Times New Roman" w:hAnsi="Times New Roman"/>
                <w:i/>
                <w:sz w:val="18"/>
                <w:szCs w:val="20"/>
                <w:lang w:eastAsia="sk-SK"/>
              </w:rPr>
              <w:t>veľkosť skupiny (počet obyvateľov):</w:t>
            </w:r>
          </w:p>
        </w:tc>
        <w:tc>
          <w:tcPr>
            <w:tcW w:w="3233" w:type="pct"/>
            <w:gridSpan w:val="6"/>
            <w:tcBorders>
              <w:top w:val="dotted" w:sz="4" w:space="0" w:color="auto"/>
            </w:tcBorders>
          </w:tcPr>
          <w:p w:rsidR="002B3AE8" w:rsidRPr="002644DE" w:rsidRDefault="002B3AE8" w:rsidP="00EC4D6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1</w:t>
            </w:r>
          </w:p>
        </w:tc>
      </w:tr>
      <w:tr w:rsidR="002B3AE8" w:rsidRPr="002644DE" w:rsidTr="00700096">
        <w:trPr>
          <w:trHeight w:val="680"/>
          <w:jc w:val="center"/>
        </w:trPr>
        <w:tc>
          <w:tcPr>
            <w:tcW w:w="125" w:type="pct"/>
            <w:gridSpan w:val="2"/>
            <w:vMerge/>
            <w:vAlign w:val="center"/>
          </w:tcPr>
          <w:p w:rsidR="002B3AE8" w:rsidRPr="002644DE" w:rsidRDefault="002B3AE8" w:rsidP="00EC4D63">
            <w:pPr>
              <w:spacing w:after="0" w:line="240" w:lineRule="auto"/>
              <w:jc w:val="center"/>
              <w:rPr>
                <w:rFonts w:ascii="Times New Roman" w:hAnsi="Times New Roman"/>
                <w:i/>
                <w:sz w:val="18"/>
                <w:szCs w:val="18"/>
                <w:lang w:eastAsia="sk-SK"/>
              </w:rPr>
            </w:pPr>
          </w:p>
        </w:tc>
        <w:tc>
          <w:tcPr>
            <w:tcW w:w="1642" w:type="pct"/>
            <w:gridSpan w:val="4"/>
          </w:tcPr>
          <w:p w:rsidR="002B3AE8" w:rsidRPr="002644DE" w:rsidRDefault="002B3AE8" w:rsidP="00EC4D63">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33" w:type="pct"/>
            <w:gridSpan w:val="6"/>
          </w:tcPr>
          <w:p w:rsidR="002B3AE8" w:rsidRPr="002644DE" w:rsidRDefault="002B3AE8" w:rsidP="00EC4D6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2B3AE8" w:rsidRPr="002644DE" w:rsidTr="00700096">
        <w:trPr>
          <w:trHeight w:val="454"/>
          <w:jc w:val="center"/>
        </w:trPr>
        <w:tc>
          <w:tcPr>
            <w:tcW w:w="125" w:type="pct"/>
            <w:gridSpan w:val="2"/>
            <w:tcBorders>
              <w:top w:val="dotted" w:sz="4" w:space="0" w:color="auto"/>
            </w:tcBorders>
            <w:vAlign w:val="center"/>
          </w:tcPr>
          <w:p w:rsidR="002B3AE8" w:rsidRPr="002644DE" w:rsidRDefault="002B3AE8" w:rsidP="00EC4D6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l)</w:t>
            </w:r>
          </w:p>
        </w:tc>
        <w:tc>
          <w:tcPr>
            <w:tcW w:w="1642" w:type="pct"/>
            <w:gridSpan w:val="4"/>
            <w:tcBorders>
              <w:top w:val="dotted" w:sz="4" w:space="0" w:color="auto"/>
            </w:tcBorders>
          </w:tcPr>
          <w:p w:rsidR="002B3AE8" w:rsidRPr="002644DE" w:rsidRDefault="002B3AE8" w:rsidP="00EC4D63">
            <w:pPr>
              <w:spacing w:after="0" w:line="240" w:lineRule="auto"/>
              <w:rPr>
                <w:rFonts w:ascii="Times New Roman" w:hAnsi="Times New Roman"/>
                <w:i/>
                <w:sz w:val="20"/>
                <w:szCs w:val="20"/>
                <w:lang w:eastAsia="sk-SK"/>
              </w:rPr>
            </w:pPr>
            <w:r w:rsidRPr="002644DE">
              <w:rPr>
                <w:rFonts w:ascii="Times New Roman" w:hAnsi="Times New Roman"/>
                <w:i/>
                <w:sz w:val="20"/>
                <w:szCs w:val="20"/>
                <w:lang w:eastAsia="sk-SK"/>
              </w:rPr>
              <w:t>Dôvod chýbajúcej kvantifikácie:</w:t>
            </w:r>
          </w:p>
        </w:tc>
        <w:tc>
          <w:tcPr>
            <w:tcW w:w="3233" w:type="pct"/>
            <w:gridSpan w:val="6"/>
            <w:tcBorders>
              <w:top w:val="dotted" w:sz="4" w:space="0" w:color="auto"/>
            </w:tcBorders>
          </w:tcPr>
          <w:p w:rsidR="002B3AE8" w:rsidRPr="002644DE" w:rsidRDefault="002B3AE8" w:rsidP="00EC4D63">
            <w:pPr>
              <w:spacing w:after="0" w:line="240" w:lineRule="auto"/>
              <w:rPr>
                <w:rFonts w:ascii="Times New Roman" w:hAnsi="Times New Roman"/>
                <w:sz w:val="20"/>
                <w:szCs w:val="20"/>
                <w:lang w:eastAsia="sk-SK"/>
              </w:rPr>
            </w:pPr>
          </w:p>
        </w:tc>
      </w:tr>
      <w:tr w:rsidR="002B3AE8" w:rsidRPr="002644DE" w:rsidTr="00B95D14">
        <w:tblPrEx>
          <w:tblCellMar>
            <w:top w:w="28" w:type="dxa"/>
            <w:left w:w="91" w:type="dxa"/>
            <w:right w:w="91" w:type="dxa"/>
          </w:tblCellMar>
        </w:tblPrEx>
        <w:trPr>
          <w:trHeight w:val="339"/>
          <w:jc w:val="center"/>
        </w:trPr>
        <w:tc>
          <w:tcPr>
            <w:tcW w:w="5000" w:type="pct"/>
            <w:gridSpan w:val="12"/>
            <w:shd w:val="clear" w:color="auto" w:fill="D9D9D9"/>
          </w:tcPr>
          <w:p w:rsidR="002B3AE8" w:rsidRPr="002644DE" w:rsidRDefault="002B3AE8" w:rsidP="00EC4D63">
            <w:pPr>
              <w:spacing w:after="0" w:line="240" w:lineRule="auto"/>
              <w:rPr>
                <w:rFonts w:ascii="Times New Roman" w:hAnsi="Times New Roman"/>
                <w:b/>
                <w:sz w:val="24"/>
                <w:szCs w:val="24"/>
                <w:lang w:eastAsia="sk-SK"/>
              </w:rPr>
            </w:pPr>
            <w:r w:rsidRPr="002644DE">
              <w:rPr>
                <w:rFonts w:ascii="Times New Roman" w:hAnsi="Times New Roman"/>
                <w:b/>
                <w:sz w:val="24"/>
                <w:szCs w:val="24"/>
                <w:lang w:eastAsia="sk-SK"/>
              </w:rPr>
              <w:t>4.2 Identifikujte, popíšte a kvantifikujte vplyvy na prístup k zdrojom, právam, tovarom a službám u jednotlivých ovplyvnených skupín obyvateľstva a vplyv na sociálnu inklúziu.</w:t>
            </w:r>
          </w:p>
        </w:tc>
      </w:tr>
      <w:tr w:rsidR="002B3AE8" w:rsidRPr="002644DE" w:rsidTr="00B95D14">
        <w:tblPrEx>
          <w:tblCellMar>
            <w:top w:w="28" w:type="dxa"/>
            <w:left w:w="91" w:type="dxa"/>
            <w:right w:w="91" w:type="dxa"/>
          </w:tblCellMar>
        </w:tblPrEx>
        <w:trPr>
          <w:trHeight w:val="290"/>
          <w:jc w:val="center"/>
        </w:trPr>
        <w:tc>
          <w:tcPr>
            <w:tcW w:w="5000" w:type="pct"/>
            <w:gridSpan w:val="12"/>
            <w:shd w:val="clear" w:color="auto" w:fill="F2F2F2"/>
            <w:vAlign w:val="center"/>
          </w:tcPr>
          <w:p w:rsidR="002B3AE8" w:rsidRPr="002644DE" w:rsidRDefault="002B3AE8" w:rsidP="00EC4D63">
            <w:pPr>
              <w:spacing w:after="0" w:line="240" w:lineRule="auto"/>
              <w:jc w:val="both"/>
              <w:rPr>
                <w:rFonts w:ascii="Times New Roman" w:hAnsi="Times New Roman"/>
                <w:i/>
                <w:sz w:val="20"/>
                <w:szCs w:val="24"/>
                <w:lang w:eastAsia="sk-SK"/>
              </w:rPr>
            </w:pPr>
            <w:r w:rsidRPr="002644DE">
              <w:rPr>
                <w:rFonts w:ascii="Times New Roman" w:hAnsi="Times New Roman"/>
                <w:i/>
                <w:sz w:val="20"/>
                <w:szCs w:val="24"/>
                <w:lang w:eastAsia="sk-SK"/>
              </w:rPr>
              <w:t xml:space="preserve">Má návrh vplyv na prístup k zdrojom, právam, tovarom a službám? </w:t>
            </w:r>
          </w:p>
          <w:p w:rsidR="002B3AE8" w:rsidRPr="002644DE" w:rsidRDefault="002B3AE8" w:rsidP="00EC4D63">
            <w:pPr>
              <w:spacing w:after="0" w:line="240" w:lineRule="auto"/>
              <w:jc w:val="both"/>
              <w:rPr>
                <w:rFonts w:ascii="Calibri" w:hAnsi="Calibri"/>
                <w:i/>
                <w:sz w:val="24"/>
                <w:szCs w:val="24"/>
                <w:lang w:eastAsia="sk-SK"/>
              </w:rPr>
            </w:pPr>
            <w:r w:rsidRPr="002644DE">
              <w:rPr>
                <w:rFonts w:ascii="Times New Roman" w:hAnsi="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B3AE8" w:rsidRPr="002644DE" w:rsidTr="00700096">
        <w:tblPrEx>
          <w:tblBorders>
            <w:top w:val="none" w:sz="0" w:space="0" w:color="auto"/>
            <w:bottom w:val="none" w:sz="0" w:space="0" w:color="auto"/>
          </w:tblBorders>
          <w:tblCellMar>
            <w:top w:w="28" w:type="dxa"/>
            <w:left w:w="91" w:type="dxa"/>
            <w:right w:w="91" w:type="dxa"/>
          </w:tblCellMar>
        </w:tblPrEx>
        <w:trPr>
          <w:trHeight w:val="557"/>
          <w:jc w:val="center"/>
        </w:trPr>
        <w:tc>
          <w:tcPr>
            <w:tcW w:w="177" w:type="pct"/>
            <w:gridSpan w:val="5"/>
            <w:vAlign w:val="center"/>
          </w:tcPr>
          <w:p w:rsidR="002B3AE8" w:rsidRPr="002644DE" w:rsidRDefault="002B3AE8" w:rsidP="00EC4D6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a)</w:t>
            </w:r>
          </w:p>
        </w:tc>
        <w:tc>
          <w:tcPr>
            <w:tcW w:w="1893" w:type="pct"/>
            <w:gridSpan w:val="3"/>
          </w:tcPr>
          <w:p w:rsidR="002B3AE8" w:rsidRPr="002644DE" w:rsidRDefault="002B3AE8" w:rsidP="00EC4D63">
            <w:pPr>
              <w:spacing w:after="0" w:line="240" w:lineRule="auto"/>
              <w:jc w:val="both"/>
              <w:rPr>
                <w:rFonts w:ascii="Times New Roman" w:hAnsi="Times New Roman"/>
                <w:i/>
                <w:sz w:val="18"/>
                <w:szCs w:val="18"/>
                <w:lang w:eastAsia="sk-SK"/>
              </w:rPr>
            </w:pPr>
            <w:r w:rsidRPr="002644DE">
              <w:rPr>
                <w:rFonts w:ascii="Times New Roman" w:hAnsi="Times New Roman"/>
                <w:i/>
                <w:sz w:val="18"/>
                <w:szCs w:val="18"/>
                <w:lang w:eastAsia="sk-SK"/>
              </w:rPr>
              <w:t>Rozumie sa najmä na prístup k:</w:t>
            </w:r>
          </w:p>
          <w:p w:rsidR="002B3AE8" w:rsidRPr="002644DE" w:rsidRDefault="002B3AE8" w:rsidP="002B3AE8">
            <w:pPr>
              <w:numPr>
                <w:ilvl w:val="0"/>
                <w:numId w:val="10"/>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sociálnej ochrane, sociálno-právnej ochrane, sociálnym službám (vrátane služieb starostlivosti o deti, starších ľudí a ľudí so    zdravotným postihnutím), </w:t>
            </w:r>
          </w:p>
          <w:p w:rsidR="002B3AE8" w:rsidRPr="002644DE" w:rsidRDefault="002B3AE8" w:rsidP="002B3AE8">
            <w:pPr>
              <w:numPr>
                <w:ilvl w:val="0"/>
                <w:numId w:val="10"/>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kvalitnej práci, ochrane zdravia, dôstojnosti a bezpečnosti pri práci pre zamestnancov a existujúcim zamestnaneckým právam,</w:t>
            </w:r>
          </w:p>
          <w:p w:rsidR="002B3AE8" w:rsidRPr="002644DE" w:rsidRDefault="002B3AE8" w:rsidP="002B3AE8">
            <w:pPr>
              <w:numPr>
                <w:ilvl w:val="0"/>
                <w:numId w:val="10"/>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pomoci pri úhrade výdavkov súvisiacich so zdravotným postihnutím, </w:t>
            </w:r>
          </w:p>
          <w:p w:rsidR="002B3AE8" w:rsidRPr="002644DE" w:rsidRDefault="002B3AE8" w:rsidP="002B3AE8">
            <w:pPr>
              <w:numPr>
                <w:ilvl w:val="0"/>
                <w:numId w:val="10"/>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zamestnaniu, na trh práce (napr. uľahčenie zosúladenia rodinných a pracovných povinností, služby zamestnanosti), k školeniam, odbornému vzdelávaniu a príprave na trh práce,</w:t>
            </w:r>
          </w:p>
          <w:p w:rsidR="002B3AE8" w:rsidRPr="002644DE" w:rsidRDefault="002B3AE8" w:rsidP="002B3AE8">
            <w:pPr>
              <w:numPr>
                <w:ilvl w:val="0"/>
                <w:numId w:val="10"/>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lastRenderedPageBreak/>
              <w:t xml:space="preserve">zdravotnej starostlivosti vrátane cenovo dostupných pomôcok pre občanov so zdravotným postihnutím, </w:t>
            </w:r>
          </w:p>
          <w:p w:rsidR="002B3AE8" w:rsidRPr="002644DE" w:rsidRDefault="002B3AE8" w:rsidP="002B3AE8">
            <w:pPr>
              <w:numPr>
                <w:ilvl w:val="0"/>
                <w:numId w:val="10"/>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k formálnemu i neformálnemu vzdelávaniu a celo</w:t>
            </w:r>
            <w:r w:rsidRPr="002644DE">
              <w:rPr>
                <w:rFonts w:ascii="Times New Roman" w:hAnsi="Times New Roman"/>
                <w:i/>
                <w:sz w:val="18"/>
                <w:szCs w:val="18"/>
                <w:lang w:eastAsia="sk-SK"/>
              </w:rPr>
              <w:softHyphen/>
              <w:t xml:space="preserve">životnému vzdelávaniu, </w:t>
            </w:r>
          </w:p>
          <w:p w:rsidR="002B3AE8" w:rsidRPr="002644DE" w:rsidRDefault="002B3AE8" w:rsidP="002B3AE8">
            <w:pPr>
              <w:numPr>
                <w:ilvl w:val="0"/>
                <w:numId w:val="10"/>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bývaniu a súvisiacim základným komunálnym službám,</w:t>
            </w:r>
          </w:p>
          <w:p w:rsidR="002B3AE8" w:rsidRPr="002644DE" w:rsidRDefault="002B3AE8" w:rsidP="002B3AE8">
            <w:pPr>
              <w:numPr>
                <w:ilvl w:val="0"/>
                <w:numId w:val="10"/>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doprave,</w:t>
            </w:r>
          </w:p>
          <w:p w:rsidR="002B3AE8" w:rsidRPr="002644DE" w:rsidRDefault="002B3AE8" w:rsidP="002B3AE8">
            <w:pPr>
              <w:numPr>
                <w:ilvl w:val="0"/>
                <w:numId w:val="10"/>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ďalším službám najmä službám všeobecného záujmu a tovarom,</w:t>
            </w:r>
          </w:p>
          <w:p w:rsidR="002B3AE8" w:rsidRPr="002644DE" w:rsidRDefault="002B3AE8" w:rsidP="002B3AE8">
            <w:pPr>
              <w:numPr>
                <w:ilvl w:val="0"/>
                <w:numId w:val="10"/>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spravodlivosti, právnej ochrane, právnym službám,</w:t>
            </w:r>
          </w:p>
          <w:p w:rsidR="002B3AE8" w:rsidRPr="002644DE" w:rsidRDefault="002B3AE8" w:rsidP="002B3AE8">
            <w:pPr>
              <w:numPr>
                <w:ilvl w:val="0"/>
                <w:numId w:val="10"/>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informáciám,</w:t>
            </w:r>
          </w:p>
          <w:p w:rsidR="002B3AE8" w:rsidRPr="002644DE" w:rsidRDefault="002B3AE8" w:rsidP="002B3AE8">
            <w:pPr>
              <w:numPr>
                <w:ilvl w:val="0"/>
                <w:numId w:val="10"/>
              </w:numPr>
              <w:spacing w:after="0" w:line="240" w:lineRule="auto"/>
              <w:ind w:left="170" w:hanging="170"/>
              <w:jc w:val="both"/>
              <w:rPr>
                <w:rFonts w:ascii="Calibri" w:hAnsi="Calibri"/>
                <w:i/>
                <w:sz w:val="20"/>
                <w:szCs w:val="20"/>
                <w:lang w:eastAsia="sk-SK"/>
              </w:rPr>
            </w:pPr>
            <w:r w:rsidRPr="002644DE">
              <w:rPr>
                <w:rFonts w:ascii="Times New Roman" w:hAnsi="Times New Roman"/>
                <w:i/>
                <w:sz w:val="18"/>
                <w:szCs w:val="18"/>
                <w:lang w:eastAsia="sk-SK"/>
              </w:rPr>
              <w:t>k iným právam (napr. politickým).</w:t>
            </w:r>
          </w:p>
        </w:tc>
        <w:tc>
          <w:tcPr>
            <w:tcW w:w="2930" w:type="pct"/>
            <w:gridSpan w:val="4"/>
          </w:tcPr>
          <w:p w:rsidR="002B3AE8" w:rsidRPr="002644DE" w:rsidRDefault="002B3AE8" w:rsidP="00EC4D63">
            <w:pPr>
              <w:spacing w:after="0" w:line="240" w:lineRule="auto"/>
              <w:rPr>
                <w:rFonts w:ascii="Times New Roman" w:hAnsi="Times New Roman"/>
                <w:sz w:val="20"/>
                <w:szCs w:val="20"/>
                <w:lang w:eastAsia="sk-SK"/>
              </w:rPr>
            </w:pPr>
            <w:r>
              <w:rPr>
                <w:rFonts w:ascii="Times New Roman" w:hAnsi="Times New Roman"/>
                <w:sz w:val="20"/>
                <w:szCs w:val="20"/>
                <w:lang w:eastAsia="sk-SK"/>
              </w:rPr>
              <w:lastRenderedPageBreak/>
              <w:t>Bez vplyvu.</w:t>
            </w:r>
          </w:p>
        </w:tc>
      </w:tr>
      <w:tr w:rsidR="002B3AE8" w:rsidRPr="002644DE" w:rsidTr="00700096">
        <w:tblPrEx>
          <w:tblCellMar>
            <w:top w:w="28" w:type="dxa"/>
            <w:left w:w="91" w:type="dxa"/>
            <w:right w:w="91" w:type="dxa"/>
          </w:tblCellMar>
        </w:tblPrEx>
        <w:trPr>
          <w:jc w:val="center"/>
        </w:trPr>
        <w:tc>
          <w:tcPr>
            <w:tcW w:w="177" w:type="pct"/>
            <w:gridSpan w:val="5"/>
            <w:shd w:val="clear" w:color="auto" w:fill="F2F2F2"/>
            <w:vAlign w:val="center"/>
          </w:tcPr>
          <w:p w:rsidR="002B3AE8" w:rsidRPr="002644DE" w:rsidRDefault="002B3AE8" w:rsidP="00EC4D63">
            <w:pPr>
              <w:spacing w:after="0" w:line="240" w:lineRule="auto"/>
              <w:rPr>
                <w:rFonts w:ascii="Times New Roman" w:hAnsi="Times New Roman"/>
                <w:i/>
                <w:sz w:val="18"/>
                <w:lang w:eastAsia="sk-SK"/>
              </w:rPr>
            </w:pPr>
            <w:r w:rsidRPr="002644DE">
              <w:rPr>
                <w:rFonts w:ascii="Times New Roman" w:hAnsi="Times New Roman"/>
                <w:i/>
                <w:sz w:val="18"/>
                <w:lang w:eastAsia="sk-SK"/>
              </w:rPr>
              <w:t>b)</w:t>
            </w:r>
          </w:p>
        </w:tc>
        <w:tc>
          <w:tcPr>
            <w:tcW w:w="4823" w:type="pct"/>
            <w:gridSpan w:val="7"/>
            <w:shd w:val="clear" w:color="auto" w:fill="F2F2F2"/>
          </w:tcPr>
          <w:p w:rsidR="002B3AE8" w:rsidRPr="002644DE" w:rsidRDefault="002B3AE8" w:rsidP="00EC4D63">
            <w:pPr>
              <w:spacing w:after="0" w:line="240" w:lineRule="auto"/>
              <w:jc w:val="both"/>
              <w:rPr>
                <w:rFonts w:ascii="Times New Roman" w:hAnsi="Times New Roman"/>
                <w:i/>
                <w:sz w:val="20"/>
                <w:szCs w:val="20"/>
                <w:lang w:eastAsia="sk-SK"/>
              </w:rPr>
            </w:pPr>
            <w:r w:rsidRPr="002644DE">
              <w:rPr>
                <w:rFonts w:ascii="Times New Roman" w:hAnsi="Times New Roman"/>
                <w:i/>
                <w:sz w:val="20"/>
                <w:szCs w:val="20"/>
                <w:lang w:eastAsia="sk-SK"/>
              </w:rPr>
              <w:t xml:space="preserve">Má návrh významný vplyv na niektorú zo zraniteľných skupín obyvateľstva alebo skupín v riziku chudoby alebo sociálneho vylúčenia? </w:t>
            </w:r>
          </w:p>
          <w:p w:rsidR="002B3AE8" w:rsidRPr="002644DE" w:rsidRDefault="002B3AE8" w:rsidP="00EC4D63">
            <w:pPr>
              <w:spacing w:after="0" w:line="240" w:lineRule="auto"/>
              <w:jc w:val="both"/>
              <w:rPr>
                <w:rFonts w:ascii="Calibri" w:hAnsi="Calibri"/>
                <w:i/>
                <w:lang w:eastAsia="sk-SK"/>
              </w:rPr>
            </w:pPr>
            <w:r w:rsidRPr="002644DE">
              <w:rPr>
                <w:rFonts w:ascii="Times New Roman" w:hAnsi="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2B3AE8" w:rsidRPr="002644DE" w:rsidTr="00700096">
        <w:tblPrEx>
          <w:tblBorders>
            <w:top w:val="none" w:sz="0" w:space="0" w:color="auto"/>
          </w:tblBorders>
          <w:tblCellMar>
            <w:top w:w="28" w:type="dxa"/>
            <w:left w:w="91" w:type="dxa"/>
            <w:right w:w="91" w:type="dxa"/>
          </w:tblCellMar>
        </w:tblPrEx>
        <w:trPr>
          <w:trHeight w:val="677"/>
          <w:jc w:val="center"/>
        </w:trPr>
        <w:tc>
          <w:tcPr>
            <w:tcW w:w="177" w:type="pct"/>
            <w:gridSpan w:val="5"/>
            <w:vAlign w:val="center"/>
          </w:tcPr>
          <w:p w:rsidR="002B3AE8" w:rsidRPr="002644DE" w:rsidRDefault="002B3AE8" w:rsidP="00EC4D63">
            <w:pPr>
              <w:spacing w:after="0" w:line="240" w:lineRule="auto"/>
              <w:rPr>
                <w:rFonts w:ascii="Times New Roman" w:hAnsi="Times New Roman"/>
                <w:i/>
                <w:sz w:val="18"/>
                <w:szCs w:val="18"/>
                <w:lang w:eastAsia="sk-SK"/>
              </w:rPr>
            </w:pPr>
            <w:r w:rsidRPr="002644DE">
              <w:rPr>
                <w:rFonts w:ascii="Times New Roman" w:hAnsi="Times New Roman"/>
                <w:i/>
                <w:sz w:val="18"/>
                <w:szCs w:val="18"/>
                <w:lang w:eastAsia="sk-SK"/>
              </w:rPr>
              <w:t>c)</w:t>
            </w:r>
          </w:p>
        </w:tc>
        <w:tc>
          <w:tcPr>
            <w:tcW w:w="1849" w:type="pct"/>
            <w:gridSpan w:val="2"/>
          </w:tcPr>
          <w:p w:rsidR="002B3AE8" w:rsidRPr="002644DE" w:rsidRDefault="002B3AE8" w:rsidP="00EC4D63">
            <w:pPr>
              <w:spacing w:after="0" w:line="240" w:lineRule="auto"/>
              <w:jc w:val="both"/>
              <w:rPr>
                <w:rFonts w:ascii="Times New Roman" w:hAnsi="Times New Roman"/>
                <w:i/>
                <w:sz w:val="18"/>
                <w:szCs w:val="18"/>
                <w:lang w:eastAsia="sk-SK"/>
              </w:rPr>
            </w:pPr>
            <w:r w:rsidRPr="002644DE">
              <w:rPr>
                <w:rFonts w:ascii="Times New Roman" w:hAnsi="Times New Roman"/>
                <w:i/>
                <w:sz w:val="18"/>
                <w:szCs w:val="18"/>
                <w:lang w:eastAsia="sk-SK"/>
              </w:rPr>
              <w:t>Zraniteľné skupiny alebo skupiny v riziku chudoby alebo sociálneho vylúčenia sú napr.:</w:t>
            </w:r>
          </w:p>
          <w:p w:rsidR="002B3AE8" w:rsidRPr="002644DE" w:rsidRDefault="002B3AE8" w:rsidP="002B3AE8">
            <w:pPr>
              <w:numPr>
                <w:ilvl w:val="0"/>
                <w:numId w:val="10"/>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2B3AE8" w:rsidRPr="002644DE" w:rsidRDefault="002B3AE8" w:rsidP="002B3AE8">
            <w:pPr>
              <w:numPr>
                <w:ilvl w:val="0"/>
                <w:numId w:val="10"/>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nezamestnaní, najmä dlhodobo nezamestnaní, mladí nezamestnaní a nezamestnaní nad 50 rokov,</w:t>
            </w:r>
          </w:p>
          <w:p w:rsidR="002B3AE8" w:rsidRPr="002644DE" w:rsidRDefault="002B3AE8" w:rsidP="002B3AE8">
            <w:pPr>
              <w:numPr>
                <w:ilvl w:val="0"/>
                <w:numId w:val="10"/>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deti (0 – 17),</w:t>
            </w:r>
          </w:p>
          <w:p w:rsidR="002B3AE8" w:rsidRPr="002644DE" w:rsidRDefault="002B3AE8" w:rsidP="002B3AE8">
            <w:pPr>
              <w:numPr>
                <w:ilvl w:val="0"/>
                <w:numId w:val="10"/>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mladí ľudia (18 – 25 rokov),</w:t>
            </w:r>
          </w:p>
          <w:p w:rsidR="002B3AE8" w:rsidRPr="002644DE" w:rsidRDefault="002B3AE8" w:rsidP="002B3AE8">
            <w:pPr>
              <w:numPr>
                <w:ilvl w:val="0"/>
                <w:numId w:val="10"/>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starší ľudia, napr. ľudia vo veku nad 65 rokov alebo dôchodcovia,</w:t>
            </w:r>
          </w:p>
          <w:p w:rsidR="002B3AE8" w:rsidRPr="002644DE" w:rsidRDefault="002B3AE8" w:rsidP="002B3AE8">
            <w:pPr>
              <w:numPr>
                <w:ilvl w:val="0"/>
                <w:numId w:val="10"/>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ľudia so zdravotným postihnutím,</w:t>
            </w:r>
          </w:p>
          <w:p w:rsidR="002B3AE8" w:rsidRPr="002644DE" w:rsidRDefault="002B3AE8" w:rsidP="002B3AE8">
            <w:pPr>
              <w:numPr>
                <w:ilvl w:val="0"/>
                <w:numId w:val="10"/>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marginalizované rómske komunity </w:t>
            </w:r>
          </w:p>
          <w:p w:rsidR="002B3AE8" w:rsidRPr="002644DE" w:rsidRDefault="002B3AE8" w:rsidP="002B3AE8">
            <w:pPr>
              <w:numPr>
                <w:ilvl w:val="0"/>
                <w:numId w:val="10"/>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domácnosti s 3 a viac deťmi,</w:t>
            </w:r>
          </w:p>
          <w:p w:rsidR="002B3AE8" w:rsidRPr="002644DE" w:rsidRDefault="002B3AE8" w:rsidP="002B3AE8">
            <w:pPr>
              <w:numPr>
                <w:ilvl w:val="0"/>
                <w:numId w:val="10"/>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jednorodičovské domácnosti s deťmi (neúplné rodiny, ktoré tvoria najmä osamelé matky s deťmi),</w:t>
            </w:r>
          </w:p>
          <w:p w:rsidR="002B3AE8" w:rsidRPr="002644DE" w:rsidRDefault="002B3AE8" w:rsidP="002B3AE8">
            <w:pPr>
              <w:numPr>
                <w:ilvl w:val="0"/>
                <w:numId w:val="10"/>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príslušníci tretích krajín, azylanti, žiadatelia o azyl,</w:t>
            </w:r>
          </w:p>
          <w:p w:rsidR="002B3AE8" w:rsidRPr="002644DE" w:rsidRDefault="002B3AE8" w:rsidP="002B3AE8">
            <w:pPr>
              <w:numPr>
                <w:ilvl w:val="0"/>
                <w:numId w:val="10"/>
              </w:numPr>
              <w:spacing w:after="0" w:line="240" w:lineRule="auto"/>
              <w:ind w:left="170" w:hanging="170"/>
              <w:jc w:val="both"/>
              <w:rPr>
                <w:rFonts w:ascii="Times New Roman" w:hAnsi="Times New Roman"/>
                <w:sz w:val="20"/>
                <w:lang w:eastAsia="sk-SK"/>
              </w:rPr>
            </w:pPr>
            <w:r w:rsidRPr="002644DE">
              <w:rPr>
                <w:rFonts w:ascii="Times New Roman" w:hAnsi="Times New Roman"/>
                <w:i/>
                <w:sz w:val="18"/>
                <w:szCs w:val="18"/>
                <w:lang w:eastAsia="sk-SK"/>
              </w:rPr>
              <w:t>iné zraniteľné skupiny, ako sú napr. bezdomovci, ľudia opúšťajúci detské domovy alebo iné inštitucionálne zariadenia</w:t>
            </w:r>
          </w:p>
        </w:tc>
        <w:tc>
          <w:tcPr>
            <w:tcW w:w="2974" w:type="pct"/>
            <w:gridSpan w:val="5"/>
          </w:tcPr>
          <w:p w:rsidR="002B3AE8" w:rsidRPr="002644DE" w:rsidRDefault="002B3AE8" w:rsidP="00EC4D63">
            <w:pPr>
              <w:spacing w:after="0" w:line="240" w:lineRule="auto"/>
              <w:rPr>
                <w:rFonts w:ascii="Times New Roman" w:hAnsi="Times New Roman"/>
                <w:sz w:val="20"/>
                <w:lang w:eastAsia="sk-SK"/>
              </w:rPr>
            </w:pPr>
            <w:r w:rsidRPr="0036036D">
              <w:rPr>
                <w:rFonts w:ascii="Times New Roman" w:hAnsi="Times New Roman"/>
                <w:sz w:val="20"/>
                <w:lang w:eastAsia="sk-SK"/>
              </w:rPr>
              <w:t>Bez vplyvu.</w:t>
            </w:r>
          </w:p>
        </w:tc>
      </w:tr>
      <w:tr w:rsidR="002B3AE8" w:rsidRPr="002644DE" w:rsidTr="00700096">
        <w:tblPrEx>
          <w:tblCellMar>
            <w:top w:w="28" w:type="dxa"/>
            <w:left w:w="57" w:type="dxa"/>
          </w:tblCellMar>
        </w:tblPrEx>
        <w:trPr>
          <w:gridAfter w:val="2"/>
          <w:wAfter w:w="132" w:type="pct"/>
          <w:jc w:val="center"/>
        </w:trPr>
        <w:tc>
          <w:tcPr>
            <w:tcW w:w="4868" w:type="pct"/>
            <w:gridSpan w:val="10"/>
            <w:shd w:val="clear" w:color="auto" w:fill="D9D9D9"/>
          </w:tcPr>
          <w:p w:rsidR="002B3AE8" w:rsidRPr="002644DE" w:rsidRDefault="002B3AE8" w:rsidP="00EC4D63">
            <w:pPr>
              <w:spacing w:after="0" w:line="240" w:lineRule="auto"/>
              <w:rPr>
                <w:rFonts w:ascii="Times New Roman" w:hAnsi="Times New Roman"/>
                <w:b/>
                <w:sz w:val="24"/>
                <w:szCs w:val="24"/>
              </w:rPr>
            </w:pPr>
            <w:r w:rsidRPr="002644DE">
              <w:rPr>
                <w:rFonts w:ascii="Times New Roman" w:hAnsi="Times New Roman"/>
                <w:b/>
                <w:sz w:val="24"/>
                <w:szCs w:val="24"/>
              </w:rPr>
              <w:t>4.3 Identifikujte a popíšte vplyv na rovnosť príležitostí.</w:t>
            </w:r>
          </w:p>
          <w:p w:rsidR="002B3AE8" w:rsidRPr="002644DE" w:rsidRDefault="002B3AE8" w:rsidP="00EC4D63">
            <w:pPr>
              <w:spacing w:after="0" w:line="240" w:lineRule="auto"/>
              <w:ind w:left="340"/>
              <w:jc w:val="both"/>
              <w:rPr>
                <w:rFonts w:ascii="Calibri" w:hAnsi="Calibri"/>
                <w:sz w:val="24"/>
                <w:szCs w:val="24"/>
              </w:rPr>
            </w:pPr>
            <w:r w:rsidRPr="002644DE">
              <w:rPr>
                <w:rFonts w:ascii="Times New Roman" w:hAnsi="Times New Roman"/>
                <w:b/>
                <w:sz w:val="24"/>
                <w:szCs w:val="24"/>
              </w:rPr>
              <w:t>Identifikujte, popíšte a kvantifikujte vplyv na rovnosť žien a mužov.</w:t>
            </w:r>
          </w:p>
        </w:tc>
      </w:tr>
      <w:tr w:rsidR="002B3AE8" w:rsidRPr="002644DE" w:rsidTr="00700096">
        <w:tblPrEx>
          <w:tblCellMar>
            <w:top w:w="28" w:type="dxa"/>
            <w:left w:w="57" w:type="dxa"/>
          </w:tblCellMar>
        </w:tblPrEx>
        <w:trPr>
          <w:gridAfter w:val="2"/>
          <w:wAfter w:w="132" w:type="pct"/>
          <w:jc w:val="center"/>
        </w:trPr>
        <w:tc>
          <w:tcPr>
            <w:tcW w:w="138" w:type="pct"/>
            <w:gridSpan w:val="3"/>
            <w:shd w:val="clear" w:color="auto" w:fill="F2F2F2"/>
            <w:vAlign w:val="center"/>
          </w:tcPr>
          <w:p w:rsidR="002B3AE8" w:rsidRPr="002644DE" w:rsidRDefault="002B3AE8" w:rsidP="00EC4D63">
            <w:pPr>
              <w:spacing w:after="0" w:line="240" w:lineRule="auto"/>
              <w:rPr>
                <w:rFonts w:ascii="Times New Roman" w:hAnsi="Times New Roman"/>
                <w:i/>
                <w:sz w:val="24"/>
                <w:szCs w:val="24"/>
              </w:rPr>
            </w:pPr>
            <w:r w:rsidRPr="002644DE">
              <w:rPr>
                <w:rFonts w:ascii="Times New Roman" w:hAnsi="Times New Roman"/>
                <w:i/>
                <w:sz w:val="18"/>
                <w:szCs w:val="24"/>
              </w:rPr>
              <w:t>a)</w:t>
            </w:r>
          </w:p>
        </w:tc>
        <w:tc>
          <w:tcPr>
            <w:tcW w:w="4730" w:type="pct"/>
            <w:gridSpan w:val="7"/>
            <w:shd w:val="clear" w:color="auto" w:fill="F2F2F2"/>
          </w:tcPr>
          <w:p w:rsidR="002B3AE8" w:rsidRPr="002644DE" w:rsidRDefault="002B3AE8" w:rsidP="00EC4D63">
            <w:pPr>
              <w:spacing w:after="0" w:line="240" w:lineRule="auto"/>
              <w:jc w:val="both"/>
              <w:rPr>
                <w:rFonts w:ascii="Times New Roman" w:hAnsi="Times New Roman"/>
                <w:i/>
                <w:sz w:val="24"/>
                <w:szCs w:val="24"/>
              </w:rPr>
            </w:pPr>
            <w:r w:rsidRPr="002644DE">
              <w:rPr>
                <w:rFonts w:ascii="Times New Roman" w:hAnsi="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B3AE8" w:rsidRPr="002644DE" w:rsidTr="00700096">
        <w:tblPrEx>
          <w:tblCellMar>
            <w:top w:w="28" w:type="dxa"/>
            <w:left w:w="57" w:type="dxa"/>
          </w:tblCellMar>
        </w:tblPrEx>
        <w:trPr>
          <w:gridAfter w:val="2"/>
          <w:wAfter w:w="132" w:type="pct"/>
          <w:trHeight w:val="928"/>
          <w:jc w:val="center"/>
        </w:trPr>
        <w:tc>
          <w:tcPr>
            <w:tcW w:w="138" w:type="pct"/>
            <w:gridSpan w:val="3"/>
            <w:tcBorders>
              <w:top w:val="nil"/>
              <w:bottom w:val="nil"/>
            </w:tcBorders>
          </w:tcPr>
          <w:p w:rsidR="002B3AE8" w:rsidRPr="002644DE" w:rsidRDefault="002B3AE8" w:rsidP="00EC4D63">
            <w:pPr>
              <w:spacing w:after="0" w:line="240" w:lineRule="auto"/>
              <w:rPr>
                <w:rFonts w:ascii="Times New Roman" w:hAnsi="Times New Roman"/>
                <w:sz w:val="20"/>
              </w:rPr>
            </w:pPr>
          </w:p>
          <w:p w:rsidR="002B3AE8" w:rsidRPr="002644DE" w:rsidRDefault="002B3AE8" w:rsidP="00EC4D63">
            <w:pPr>
              <w:spacing w:after="0" w:line="240" w:lineRule="auto"/>
              <w:rPr>
                <w:rFonts w:ascii="Times New Roman" w:hAnsi="Times New Roman"/>
                <w:i/>
                <w:sz w:val="20"/>
              </w:rPr>
            </w:pPr>
          </w:p>
          <w:p w:rsidR="002B3AE8" w:rsidRPr="002644DE" w:rsidRDefault="002B3AE8" w:rsidP="00EC4D63">
            <w:pPr>
              <w:spacing w:after="0" w:line="240" w:lineRule="auto"/>
              <w:rPr>
                <w:rFonts w:ascii="Times New Roman" w:hAnsi="Times New Roman"/>
                <w:i/>
                <w:sz w:val="20"/>
              </w:rPr>
            </w:pPr>
          </w:p>
          <w:p w:rsidR="002B3AE8" w:rsidRPr="002644DE" w:rsidRDefault="002B3AE8" w:rsidP="00EC4D63">
            <w:pPr>
              <w:spacing w:after="0" w:line="240" w:lineRule="auto"/>
              <w:rPr>
                <w:rFonts w:ascii="Times New Roman" w:hAnsi="Times New Roman"/>
                <w:i/>
                <w:sz w:val="18"/>
              </w:rPr>
            </w:pPr>
            <w:r w:rsidRPr="002644DE">
              <w:rPr>
                <w:rFonts w:ascii="Times New Roman" w:hAnsi="Times New Roman"/>
                <w:i/>
                <w:sz w:val="18"/>
              </w:rPr>
              <w:t>b)</w:t>
            </w:r>
          </w:p>
          <w:p w:rsidR="002B3AE8" w:rsidRPr="002644DE" w:rsidRDefault="002B3AE8" w:rsidP="00EC4D63">
            <w:pPr>
              <w:spacing w:after="0" w:line="240" w:lineRule="auto"/>
              <w:rPr>
                <w:rFonts w:ascii="Times New Roman" w:hAnsi="Times New Roman"/>
                <w:i/>
                <w:sz w:val="20"/>
              </w:rPr>
            </w:pPr>
          </w:p>
          <w:p w:rsidR="002B3AE8" w:rsidRPr="002644DE" w:rsidRDefault="002B3AE8" w:rsidP="00EC4D63">
            <w:pPr>
              <w:spacing w:after="0" w:line="240" w:lineRule="auto"/>
              <w:rPr>
                <w:rFonts w:ascii="Times New Roman" w:hAnsi="Times New Roman"/>
                <w:i/>
                <w:sz w:val="20"/>
              </w:rPr>
            </w:pPr>
          </w:p>
          <w:p w:rsidR="002B3AE8" w:rsidRPr="002644DE" w:rsidRDefault="002B3AE8" w:rsidP="00EC4D63">
            <w:pPr>
              <w:spacing w:after="0" w:line="240" w:lineRule="auto"/>
              <w:rPr>
                <w:rFonts w:ascii="Times New Roman" w:hAnsi="Times New Roman"/>
                <w:i/>
                <w:sz w:val="20"/>
              </w:rPr>
            </w:pPr>
          </w:p>
        </w:tc>
        <w:tc>
          <w:tcPr>
            <w:tcW w:w="4730" w:type="pct"/>
            <w:gridSpan w:val="7"/>
            <w:tcBorders>
              <w:top w:val="nil"/>
              <w:bottom w:val="nil"/>
            </w:tcBorders>
          </w:tcPr>
          <w:p w:rsidR="002B3AE8" w:rsidRPr="0087264A" w:rsidRDefault="002B3AE8" w:rsidP="00EC4D63">
            <w:pPr>
              <w:rPr>
                <w:rFonts w:ascii="Times New Roman" w:hAnsi="Times New Roman"/>
                <w:sz w:val="20"/>
              </w:rPr>
            </w:pPr>
            <w:r w:rsidRPr="0087264A">
              <w:rPr>
                <w:rFonts w:ascii="Times New Roman" w:hAnsi="Times New Roman"/>
                <w:sz w:val="20"/>
              </w:rPr>
              <w:t>Bez vplyvu.</w:t>
            </w:r>
          </w:p>
          <w:p w:rsidR="002B3AE8" w:rsidRPr="002644DE" w:rsidRDefault="002B3AE8" w:rsidP="00EC4D63">
            <w:pPr>
              <w:spacing w:after="0" w:line="240" w:lineRule="auto"/>
              <w:rPr>
                <w:rFonts w:ascii="Times New Roman" w:hAnsi="Times New Roman"/>
                <w:i/>
                <w:sz w:val="20"/>
              </w:rPr>
            </w:pPr>
          </w:p>
        </w:tc>
      </w:tr>
      <w:tr w:rsidR="002B3AE8" w:rsidRPr="002644DE" w:rsidTr="00700096">
        <w:tblPrEx>
          <w:tblCellMar>
            <w:top w:w="28" w:type="dxa"/>
            <w:left w:w="57" w:type="dxa"/>
          </w:tblCellMar>
        </w:tblPrEx>
        <w:trPr>
          <w:gridAfter w:val="2"/>
          <w:wAfter w:w="132" w:type="pct"/>
          <w:trHeight w:val="345"/>
          <w:jc w:val="center"/>
        </w:trPr>
        <w:tc>
          <w:tcPr>
            <w:tcW w:w="138" w:type="pct"/>
            <w:gridSpan w:val="3"/>
            <w:shd w:val="clear" w:color="auto" w:fill="F2F2F2"/>
            <w:vAlign w:val="center"/>
          </w:tcPr>
          <w:p w:rsidR="002B3AE8" w:rsidRPr="002644DE" w:rsidRDefault="002B3AE8" w:rsidP="00EC4D63">
            <w:pPr>
              <w:spacing w:after="0" w:line="240" w:lineRule="auto"/>
              <w:rPr>
                <w:rFonts w:ascii="Times New Roman" w:hAnsi="Times New Roman"/>
                <w:i/>
                <w:sz w:val="18"/>
                <w:szCs w:val="18"/>
              </w:rPr>
            </w:pPr>
            <w:r w:rsidRPr="002644DE">
              <w:rPr>
                <w:rFonts w:ascii="Times New Roman" w:hAnsi="Times New Roman"/>
                <w:i/>
                <w:sz w:val="18"/>
                <w:szCs w:val="18"/>
              </w:rPr>
              <w:t>c)</w:t>
            </w:r>
          </w:p>
        </w:tc>
        <w:tc>
          <w:tcPr>
            <w:tcW w:w="4730" w:type="pct"/>
            <w:gridSpan w:val="7"/>
            <w:shd w:val="clear" w:color="auto" w:fill="F2F2F2"/>
            <w:vAlign w:val="center"/>
          </w:tcPr>
          <w:p w:rsidR="002B3AE8" w:rsidRPr="002644DE" w:rsidRDefault="002B3AE8" w:rsidP="00EC4D63">
            <w:pPr>
              <w:spacing w:after="0" w:line="240" w:lineRule="auto"/>
              <w:rPr>
                <w:rFonts w:ascii="Times New Roman" w:hAnsi="Times New Roman"/>
                <w:i/>
                <w:sz w:val="20"/>
                <w:szCs w:val="20"/>
              </w:rPr>
            </w:pPr>
            <w:r w:rsidRPr="002644DE">
              <w:rPr>
                <w:rFonts w:ascii="Times New Roman" w:hAnsi="Times New Roman"/>
                <w:i/>
                <w:sz w:val="20"/>
                <w:szCs w:val="20"/>
              </w:rPr>
              <w:t xml:space="preserve">4.3.2 Môže návrh viesť k zväčšovaniu nerovností medzi ženami a mužmi? </w:t>
            </w:r>
            <w:r w:rsidRPr="002644DE">
              <w:rPr>
                <w:rFonts w:ascii="Times New Roman" w:hAnsi="Times New Roman"/>
                <w:i/>
                <w:sz w:val="20"/>
                <w:szCs w:val="24"/>
              </w:rPr>
              <w:t xml:space="preserve">Podporuje návrh rovnosť príležitostí? </w:t>
            </w:r>
            <w:r w:rsidRPr="002644DE">
              <w:rPr>
                <w:rFonts w:ascii="Times New Roman" w:hAnsi="Times New Roman"/>
                <w:i/>
                <w:sz w:val="20"/>
                <w:szCs w:val="20"/>
              </w:rPr>
              <w:t>Má návrh odlišný vplyv na ženy a mužov? Popíšte vplyvy.</w:t>
            </w:r>
          </w:p>
        </w:tc>
      </w:tr>
      <w:tr w:rsidR="002B3AE8" w:rsidRPr="002644DE" w:rsidTr="00700096">
        <w:tblPrEx>
          <w:tblBorders>
            <w:top w:val="none" w:sz="0" w:space="0" w:color="auto"/>
            <w:bottom w:val="none" w:sz="0" w:space="0" w:color="auto"/>
          </w:tblBorders>
          <w:tblCellMar>
            <w:top w:w="28" w:type="dxa"/>
            <w:left w:w="57" w:type="dxa"/>
          </w:tblCellMar>
        </w:tblPrEx>
        <w:trPr>
          <w:gridAfter w:val="2"/>
          <w:wAfter w:w="132" w:type="pct"/>
          <w:trHeight w:val="372"/>
          <w:jc w:val="center"/>
        </w:trPr>
        <w:tc>
          <w:tcPr>
            <w:tcW w:w="138" w:type="pct"/>
            <w:gridSpan w:val="3"/>
            <w:vAlign w:val="center"/>
          </w:tcPr>
          <w:p w:rsidR="002B3AE8" w:rsidRPr="002644DE" w:rsidRDefault="002B3AE8" w:rsidP="00EC4D63">
            <w:pPr>
              <w:spacing w:after="0" w:line="240" w:lineRule="auto"/>
              <w:rPr>
                <w:rFonts w:ascii="Times New Roman" w:hAnsi="Times New Roman"/>
                <w:i/>
                <w:sz w:val="18"/>
                <w:szCs w:val="18"/>
                <w:lang w:eastAsia="sk-SK"/>
              </w:rPr>
            </w:pPr>
            <w:r w:rsidRPr="002644DE">
              <w:rPr>
                <w:rFonts w:ascii="Times New Roman" w:hAnsi="Times New Roman"/>
                <w:i/>
                <w:sz w:val="18"/>
                <w:szCs w:val="18"/>
                <w:lang w:eastAsia="sk-SK"/>
              </w:rPr>
              <w:t>d)</w:t>
            </w:r>
          </w:p>
        </w:tc>
        <w:tc>
          <w:tcPr>
            <w:tcW w:w="2397" w:type="pct"/>
            <w:gridSpan w:val="6"/>
          </w:tcPr>
          <w:p w:rsidR="002B3AE8" w:rsidRPr="002644DE" w:rsidRDefault="002B3AE8" w:rsidP="00EC4D63">
            <w:pPr>
              <w:spacing w:after="0" w:line="240" w:lineRule="auto"/>
              <w:jc w:val="both"/>
              <w:rPr>
                <w:rFonts w:ascii="Times New Roman" w:hAnsi="Times New Roman"/>
                <w:i/>
                <w:sz w:val="18"/>
                <w:szCs w:val="18"/>
              </w:rPr>
            </w:pPr>
            <w:r w:rsidRPr="002644DE">
              <w:rPr>
                <w:rFonts w:ascii="Times New Roman" w:hAnsi="Times New Roman"/>
                <w:i/>
                <w:sz w:val="18"/>
                <w:szCs w:val="18"/>
              </w:rPr>
              <w:t>Popíšte riziká návrhu, ktoré môžu viesť k zväčšovaniu nerovností:</w:t>
            </w:r>
          </w:p>
        </w:tc>
        <w:tc>
          <w:tcPr>
            <w:tcW w:w="2333" w:type="pct"/>
          </w:tcPr>
          <w:p w:rsidR="002B3AE8" w:rsidRPr="002644DE" w:rsidRDefault="002B3AE8" w:rsidP="00EC4D63">
            <w:pPr>
              <w:spacing w:after="0" w:line="240" w:lineRule="auto"/>
              <w:jc w:val="both"/>
              <w:rPr>
                <w:rFonts w:ascii="Times New Roman" w:hAnsi="Times New Roman"/>
                <w:sz w:val="20"/>
              </w:rPr>
            </w:pPr>
            <w:r>
              <w:rPr>
                <w:rFonts w:ascii="Times New Roman" w:hAnsi="Times New Roman"/>
                <w:sz w:val="20"/>
              </w:rPr>
              <w:t>Bez vplyvu.</w:t>
            </w:r>
          </w:p>
        </w:tc>
      </w:tr>
      <w:tr w:rsidR="002B3AE8" w:rsidRPr="002644DE" w:rsidTr="00700096">
        <w:tblPrEx>
          <w:tblBorders>
            <w:top w:val="none" w:sz="0" w:space="0" w:color="auto"/>
            <w:bottom w:val="none" w:sz="0" w:space="0" w:color="auto"/>
          </w:tblBorders>
          <w:tblCellMar>
            <w:top w:w="28" w:type="dxa"/>
            <w:left w:w="57" w:type="dxa"/>
          </w:tblCellMar>
        </w:tblPrEx>
        <w:trPr>
          <w:gridAfter w:val="2"/>
          <w:wAfter w:w="132" w:type="pct"/>
          <w:trHeight w:val="371"/>
          <w:jc w:val="center"/>
        </w:trPr>
        <w:tc>
          <w:tcPr>
            <w:tcW w:w="138" w:type="pct"/>
            <w:gridSpan w:val="3"/>
            <w:vAlign w:val="center"/>
          </w:tcPr>
          <w:p w:rsidR="002B3AE8" w:rsidRPr="002644DE" w:rsidRDefault="002B3AE8" w:rsidP="00EC4D63">
            <w:pPr>
              <w:spacing w:after="0" w:line="240" w:lineRule="auto"/>
              <w:rPr>
                <w:rFonts w:ascii="Times New Roman" w:hAnsi="Times New Roman"/>
                <w:i/>
                <w:sz w:val="18"/>
                <w:szCs w:val="18"/>
              </w:rPr>
            </w:pPr>
            <w:r w:rsidRPr="002644DE">
              <w:rPr>
                <w:rFonts w:ascii="Times New Roman" w:hAnsi="Times New Roman"/>
                <w:i/>
                <w:sz w:val="18"/>
                <w:szCs w:val="18"/>
              </w:rPr>
              <w:lastRenderedPageBreak/>
              <w:t>e)</w:t>
            </w:r>
          </w:p>
        </w:tc>
        <w:tc>
          <w:tcPr>
            <w:tcW w:w="2397" w:type="pct"/>
            <w:gridSpan w:val="6"/>
          </w:tcPr>
          <w:p w:rsidR="002B3AE8" w:rsidRPr="002644DE" w:rsidRDefault="002B3AE8" w:rsidP="00EC4D63">
            <w:pPr>
              <w:spacing w:after="0" w:line="240" w:lineRule="auto"/>
              <w:jc w:val="both"/>
              <w:rPr>
                <w:rFonts w:ascii="Times New Roman" w:hAnsi="Times New Roman"/>
                <w:i/>
                <w:sz w:val="18"/>
                <w:szCs w:val="18"/>
              </w:rPr>
            </w:pPr>
            <w:r w:rsidRPr="002644DE">
              <w:rPr>
                <w:rFonts w:ascii="Times New Roman" w:hAnsi="Times New Roman"/>
                <w:i/>
                <w:sz w:val="18"/>
                <w:szCs w:val="18"/>
              </w:rPr>
              <w:t>Popíšte pozitívne vplyvy návrhu na dosahovanie rovnosti žien a mužov, rovnosti príležitostí žien a mužov, prípadne vplyvy na ženy a mužov, ak sú odlišné:</w:t>
            </w:r>
          </w:p>
        </w:tc>
        <w:tc>
          <w:tcPr>
            <w:tcW w:w="2333" w:type="pct"/>
          </w:tcPr>
          <w:p w:rsidR="002B3AE8" w:rsidRPr="0087264A" w:rsidRDefault="002B3AE8" w:rsidP="00EC4D63">
            <w:pPr>
              <w:spacing w:after="0" w:line="240" w:lineRule="auto"/>
              <w:jc w:val="both"/>
              <w:rPr>
                <w:rFonts w:ascii="Times New Roman" w:hAnsi="Times New Roman"/>
                <w:sz w:val="18"/>
                <w:szCs w:val="18"/>
              </w:rPr>
            </w:pPr>
            <w:r w:rsidRPr="0087264A">
              <w:rPr>
                <w:rFonts w:ascii="Times New Roman" w:hAnsi="Times New Roman"/>
                <w:sz w:val="18"/>
                <w:szCs w:val="18"/>
              </w:rPr>
              <w:t>Bez vplyvu.</w:t>
            </w:r>
          </w:p>
        </w:tc>
      </w:tr>
      <w:tr w:rsidR="002B3AE8" w:rsidRPr="002644DE" w:rsidTr="00700096">
        <w:tblPrEx>
          <w:tblBorders>
            <w:top w:val="none" w:sz="0" w:space="0" w:color="auto"/>
            <w:bottom w:val="none" w:sz="0" w:space="0" w:color="auto"/>
          </w:tblBorders>
          <w:tblCellMar>
            <w:top w:w="28" w:type="dxa"/>
            <w:left w:w="57" w:type="dxa"/>
          </w:tblCellMar>
        </w:tblPrEx>
        <w:trPr>
          <w:gridAfter w:val="2"/>
          <w:wAfter w:w="132" w:type="pct"/>
          <w:trHeight w:val="371"/>
          <w:jc w:val="center"/>
        </w:trPr>
        <w:tc>
          <w:tcPr>
            <w:tcW w:w="138" w:type="pct"/>
            <w:gridSpan w:val="3"/>
            <w:vAlign w:val="center"/>
          </w:tcPr>
          <w:p w:rsidR="002B3AE8" w:rsidRPr="002644DE" w:rsidRDefault="002B3AE8" w:rsidP="00EC4D63">
            <w:pPr>
              <w:spacing w:after="0" w:line="240" w:lineRule="auto"/>
              <w:rPr>
                <w:rFonts w:ascii="Times New Roman" w:hAnsi="Times New Roman"/>
                <w:i/>
                <w:sz w:val="18"/>
                <w:szCs w:val="18"/>
              </w:rPr>
            </w:pPr>
            <w:r w:rsidRPr="002644DE">
              <w:rPr>
                <w:rFonts w:ascii="Times New Roman" w:hAnsi="Times New Roman"/>
                <w:i/>
                <w:sz w:val="18"/>
                <w:szCs w:val="18"/>
              </w:rPr>
              <w:t>f)</w:t>
            </w:r>
          </w:p>
        </w:tc>
        <w:tc>
          <w:tcPr>
            <w:tcW w:w="2397" w:type="pct"/>
            <w:gridSpan w:val="6"/>
          </w:tcPr>
          <w:p w:rsidR="002B3AE8" w:rsidRPr="002644DE" w:rsidRDefault="002B3AE8" w:rsidP="00EC4D63">
            <w:pPr>
              <w:spacing w:after="0" w:line="240" w:lineRule="auto"/>
              <w:jc w:val="both"/>
              <w:rPr>
                <w:rFonts w:ascii="Times New Roman" w:hAnsi="Times New Roman"/>
                <w:i/>
                <w:sz w:val="18"/>
                <w:szCs w:val="18"/>
              </w:rPr>
            </w:pPr>
            <w:r w:rsidRPr="002644DE">
              <w:rPr>
                <w:rFonts w:ascii="Times New Roman" w:hAnsi="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333" w:type="pct"/>
          </w:tcPr>
          <w:p w:rsidR="002B3AE8" w:rsidRPr="0087264A" w:rsidRDefault="002B3AE8" w:rsidP="00EC4D63">
            <w:pPr>
              <w:spacing w:after="0" w:line="240" w:lineRule="auto"/>
              <w:jc w:val="both"/>
              <w:rPr>
                <w:rFonts w:ascii="Times New Roman" w:hAnsi="Times New Roman"/>
                <w:sz w:val="18"/>
                <w:szCs w:val="18"/>
              </w:rPr>
            </w:pPr>
            <w:r w:rsidRPr="0087264A">
              <w:rPr>
                <w:rFonts w:ascii="Times New Roman" w:hAnsi="Times New Roman"/>
                <w:sz w:val="18"/>
                <w:szCs w:val="18"/>
              </w:rPr>
              <w:t>Bez vplyvu.</w:t>
            </w:r>
          </w:p>
        </w:tc>
      </w:tr>
      <w:tr w:rsidR="002B3AE8" w:rsidRPr="002644DE" w:rsidTr="00700096">
        <w:tblPrEx>
          <w:tblBorders>
            <w:top w:val="none" w:sz="0" w:space="0" w:color="auto"/>
            <w:bottom w:val="none" w:sz="0" w:space="0" w:color="auto"/>
          </w:tblBorders>
          <w:tblCellMar>
            <w:top w:w="28" w:type="dxa"/>
            <w:left w:w="57" w:type="dxa"/>
          </w:tblCellMar>
        </w:tblPrEx>
        <w:trPr>
          <w:gridAfter w:val="2"/>
          <w:wAfter w:w="132" w:type="pct"/>
          <w:trHeight w:val="1235"/>
          <w:jc w:val="center"/>
        </w:trPr>
        <w:tc>
          <w:tcPr>
            <w:tcW w:w="138" w:type="pct"/>
            <w:gridSpan w:val="3"/>
            <w:vAlign w:val="center"/>
          </w:tcPr>
          <w:p w:rsidR="002B3AE8" w:rsidRPr="002644DE" w:rsidRDefault="002B3AE8" w:rsidP="00EC4D63">
            <w:pPr>
              <w:spacing w:after="0" w:line="240" w:lineRule="auto"/>
              <w:rPr>
                <w:rFonts w:ascii="Times New Roman" w:hAnsi="Times New Roman"/>
                <w:i/>
                <w:sz w:val="18"/>
                <w:szCs w:val="18"/>
              </w:rPr>
            </w:pPr>
            <w:r w:rsidRPr="002644DE">
              <w:rPr>
                <w:rFonts w:ascii="Times New Roman" w:hAnsi="Times New Roman"/>
                <w:i/>
                <w:sz w:val="18"/>
                <w:szCs w:val="18"/>
              </w:rPr>
              <w:t>g)</w:t>
            </w:r>
          </w:p>
        </w:tc>
        <w:tc>
          <w:tcPr>
            <w:tcW w:w="2397" w:type="pct"/>
            <w:gridSpan w:val="6"/>
          </w:tcPr>
          <w:p w:rsidR="002B3AE8" w:rsidRPr="002644DE" w:rsidRDefault="002B3AE8" w:rsidP="00EC4D63">
            <w:pPr>
              <w:spacing w:after="0" w:line="240" w:lineRule="auto"/>
              <w:jc w:val="both"/>
              <w:rPr>
                <w:rFonts w:ascii="Times New Roman" w:hAnsi="Times New Roman"/>
                <w:i/>
                <w:sz w:val="18"/>
                <w:szCs w:val="18"/>
              </w:rPr>
            </w:pPr>
            <w:r w:rsidRPr="002644DE">
              <w:rPr>
                <w:rFonts w:ascii="Times New Roman" w:hAnsi="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2B3AE8" w:rsidRPr="002644DE" w:rsidRDefault="002B3AE8" w:rsidP="00EC4D63">
            <w:pPr>
              <w:spacing w:after="0" w:line="240" w:lineRule="auto"/>
              <w:jc w:val="both"/>
              <w:rPr>
                <w:rFonts w:ascii="Times New Roman" w:hAnsi="Times New Roman"/>
                <w:color w:val="000000"/>
                <w:sz w:val="27"/>
                <w:szCs w:val="27"/>
              </w:rPr>
            </w:pPr>
            <w:r w:rsidRPr="002644DE">
              <w:rPr>
                <w:rFonts w:ascii="Times New Roman" w:hAnsi="Times New Roman"/>
                <w:i/>
                <w:sz w:val="18"/>
                <w:szCs w:val="18"/>
              </w:rPr>
              <w:t xml:space="preserve">V ktorých oblastiach podpory rovnosti žien a mužov návrh odstraňuje prekážky a/alebo podporuje rovnosť žien a mužov? </w:t>
            </w:r>
            <w:r w:rsidRPr="002644DE">
              <w:rPr>
                <w:rFonts w:ascii="Times New Roman" w:hAnsi="Times New Roman"/>
                <w:i/>
                <w:iCs/>
                <w:color w:val="000000"/>
                <w:sz w:val="18"/>
                <w:szCs w:val="18"/>
              </w:rPr>
              <w:t>Medzi oblasti podpory rovnosti žien a mužov okrem iného patria:</w:t>
            </w:r>
          </w:p>
          <w:p w:rsidR="002B3AE8" w:rsidRPr="002644DE" w:rsidRDefault="002B3AE8" w:rsidP="002B3AE8">
            <w:pPr>
              <w:numPr>
                <w:ilvl w:val="0"/>
                <w:numId w:val="12"/>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podpora slobodného výberu povolania a ekonomickej činnosti</w:t>
            </w:r>
          </w:p>
          <w:p w:rsidR="002B3AE8" w:rsidRPr="002644DE" w:rsidRDefault="002B3AE8" w:rsidP="002B3AE8">
            <w:pPr>
              <w:numPr>
                <w:ilvl w:val="0"/>
                <w:numId w:val="12"/>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podpora vyrovnávania ekonomickej nezávislosti, </w:t>
            </w:r>
          </w:p>
          <w:p w:rsidR="002B3AE8" w:rsidRPr="002644DE" w:rsidRDefault="002B3AE8" w:rsidP="002B3AE8">
            <w:pPr>
              <w:numPr>
                <w:ilvl w:val="0"/>
                <w:numId w:val="12"/>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zosúladenie pracovného, súkromného a rodinného života, </w:t>
            </w:r>
          </w:p>
          <w:p w:rsidR="002B3AE8" w:rsidRPr="002644DE" w:rsidRDefault="002B3AE8" w:rsidP="002B3AE8">
            <w:pPr>
              <w:numPr>
                <w:ilvl w:val="0"/>
                <w:numId w:val="12"/>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podpora rovnosti príležitostí pri participácii na rozhodovaní, </w:t>
            </w:r>
          </w:p>
          <w:p w:rsidR="002B3AE8" w:rsidRPr="002644DE" w:rsidRDefault="002B3AE8" w:rsidP="002B3AE8">
            <w:pPr>
              <w:numPr>
                <w:ilvl w:val="0"/>
                <w:numId w:val="12"/>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boj proti domácemu násiliu,  násiliu na ženách  a obchodovaniu s ľuďmi, </w:t>
            </w:r>
          </w:p>
          <w:p w:rsidR="002B3AE8" w:rsidRPr="002644DE" w:rsidRDefault="002B3AE8" w:rsidP="002B3AE8">
            <w:pPr>
              <w:numPr>
                <w:ilvl w:val="0"/>
                <w:numId w:val="12"/>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podpora vnímania osobnej starostlivosti o dieťa za rovnocennú s ekonomickou činnosťou a podpora neviditeľnej práce v domácnosti ako takej,</w:t>
            </w:r>
          </w:p>
          <w:p w:rsidR="002B3AE8" w:rsidRPr="002644DE" w:rsidRDefault="002B3AE8" w:rsidP="002B3AE8">
            <w:pPr>
              <w:numPr>
                <w:ilvl w:val="0"/>
                <w:numId w:val="12"/>
              </w:numPr>
              <w:spacing w:after="0" w:line="240" w:lineRule="auto"/>
              <w:ind w:left="170" w:hanging="170"/>
              <w:jc w:val="both"/>
              <w:rPr>
                <w:rFonts w:ascii="Times New Roman" w:hAnsi="Times New Roman"/>
                <w:i/>
                <w:sz w:val="18"/>
                <w:szCs w:val="18"/>
              </w:rPr>
            </w:pPr>
            <w:r w:rsidRPr="002644DE">
              <w:rPr>
                <w:rFonts w:ascii="Times New Roman" w:hAnsi="Times New Roman"/>
                <w:i/>
                <w:sz w:val="18"/>
                <w:szCs w:val="18"/>
                <w:lang w:eastAsia="sk-SK"/>
              </w:rPr>
              <w:t>rešpektovanie osobných preferencií pri výbere povolania a zosúlaďovania pracovného a rodinného života.</w:t>
            </w:r>
          </w:p>
        </w:tc>
        <w:tc>
          <w:tcPr>
            <w:tcW w:w="2333" w:type="pct"/>
          </w:tcPr>
          <w:p w:rsidR="002B3AE8" w:rsidRPr="0087264A" w:rsidRDefault="002B3AE8" w:rsidP="00EC4D63">
            <w:pPr>
              <w:spacing w:after="0" w:line="240" w:lineRule="auto"/>
              <w:rPr>
                <w:rFonts w:ascii="Times New Roman" w:hAnsi="Times New Roman"/>
                <w:i/>
                <w:sz w:val="20"/>
              </w:rPr>
            </w:pPr>
            <w:r w:rsidRPr="0087264A">
              <w:rPr>
                <w:rFonts w:ascii="Times New Roman" w:hAnsi="Times New Roman"/>
                <w:i/>
                <w:sz w:val="20"/>
              </w:rPr>
              <w:t>Bez vplyvu.</w:t>
            </w:r>
          </w:p>
        </w:tc>
      </w:tr>
      <w:tr w:rsidR="002B3AE8" w:rsidRPr="002644DE" w:rsidTr="00700096">
        <w:tblPrEx>
          <w:tblCellMar>
            <w:top w:w="28" w:type="dxa"/>
            <w:right w:w="28" w:type="dxa"/>
          </w:tblCellMar>
        </w:tblPrEx>
        <w:trPr>
          <w:gridBefore w:val="1"/>
          <w:gridAfter w:val="1"/>
          <w:wBefore w:w="33" w:type="pct"/>
          <w:wAfter w:w="109" w:type="pct"/>
          <w:jc w:val="center"/>
        </w:trPr>
        <w:tc>
          <w:tcPr>
            <w:tcW w:w="4858" w:type="pct"/>
            <w:gridSpan w:val="10"/>
            <w:shd w:val="clear" w:color="auto" w:fill="D9D9D9"/>
          </w:tcPr>
          <w:p w:rsidR="002B3AE8" w:rsidRPr="002644DE" w:rsidRDefault="002B3AE8" w:rsidP="00EC4D63">
            <w:pPr>
              <w:spacing w:after="0" w:line="240" w:lineRule="auto"/>
              <w:rPr>
                <w:rFonts w:ascii="Times New Roman" w:hAnsi="Times New Roman"/>
                <w:b/>
                <w:sz w:val="24"/>
                <w:lang w:eastAsia="sk-SK"/>
              </w:rPr>
            </w:pPr>
            <w:r w:rsidRPr="002644DE">
              <w:rPr>
                <w:rFonts w:ascii="Times New Roman" w:hAnsi="Times New Roman"/>
                <w:b/>
                <w:sz w:val="24"/>
                <w:lang w:eastAsia="sk-SK"/>
              </w:rPr>
              <w:t>4.4 Identifikujte, popíšte a kvantifikujte vplyvy na zamestnanosť a na trh práce.</w:t>
            </w:r>
          </w:p>
          <w:p w:rsidR="002B3AE8" w:rsidRPr="002644DE" w:rsidRDefault="002B3AE8" w:rsidP="00EC4D63">
            <w:pPr>
              <w:spacing w:after="0" w:line="240" w:lineRule="auto"/>
              <w:jc w:val="both"/>
              <w:rPr>
                <w:rFonts w:ascii="Times New Roman" w:hAnsi="Times New Roman"/>
                <w:i/>
                <w:lang w:eastAsia="sk-SK"/>
              </w:rPr>
            </w:pPr>
            <w:r w:rsidRPr="002644DE">
              <w:rPr>
                <w:rFonts w:ascii="Times New Roman" w:hAnsi="Times New Roman"/>
                <w:i/>
                <w:lang w:eastAsia="sk-SK"/>
              </w:rPr>
              <w:t xml:space="preserve">V prípade kladnej odpovede pripojte </w:t>
            </w:r>
            <w:r w:rsidRPr="002644DE">
              <w:rPr>
                <w:rFonts w:ascii="Times New Roman" w:hAnsi="Times New Roman"/>
                <w:b/>
                <w:i/>
                <w:lang w:eastAsia="sk-SK"/>
              </w:rPr>
              <w:t>odôvodnenie</w:t>
            </w:r>
            <w:r w:rsidRPr="002644DE">
              <w:rPr>
                <w:rFonts w:ascii="Times New Roman" w:hAnsi="Times New Roman"/>
                <w:i/>
                <w:lang w:eastAsia="sk-SK"/>
              </w:rPr>
              <w:t xml:space="preserve"> v súlade s Metodickým postupom pre analýzu sociálnych vplyvov.</w:t>
            </w:r>
          </w:p>
        </w:tc>
      </w:tr>
      <w:tr w:rsidR="002B3AE8" w:rsidRPr="002644DE" w:rsidTr="00700096">
        <w:tblPrEx>
          <w:tblCellMar>
            <w:top w:w="28" w:type="dxa"/>
            <w:right w:w="28" w:type="dxa"/>
          </w:tblCellMar>
        </w:tblPrEx>
        <w:trPr>
          <w:gridBefore w:val="1"/>
          <w:gridAfter w:val="1"/>
          <w:wBefore w:w="33" w:type="pct"/>
          <w:wAfter w:w="109" w:type="pct"/>
          <w:trHeight w:val="287"/>
          <w:jc w:val="center"/>
        </w:trPr>
        <w:tc>
          <w:tcPr>
            <w:tcW w:w="126" w:type="pct"/>
            <w:gridSpan w:val="3"/>
            <w:tcBorders>
              <w:top w:val="nil"/>
            </w:tcBorders>
            <w:shd w:val="clear" w:color="auto" w:fill="F2F2F2"/>
            <w:vAlign w:val="center"/>
          </w:tcPr>
          <w:p w:rsidR="002B3AE8" w:rsidRPr="002644DE" w:rsidRDefault="002B3AE8" w:rsidP="00EC4D63">
            <w:pPr>
              <w:spacing w:after="0" w:line="240" w:lineRule="auto"/>
              <w:rPr>
                <w:rFonts w:ascii="Times New Roman" w:hAnsi="Times New Roman"/>
                <w:i/>
                <w:sz w:val="18"/>
                <w:szCs w:val="18"/>
              </w:rPr>
            </w:pPr>
            <w:r w:rsidRPr="002644DE">
              <w:rPr>
                <w:rFonts w:ascii="Times New Roman" w:hAnsi="Times New Roman"/>
                <w:i/>
                <w:sz w:val="18"/>
                <w:szCs w:val="18"/>
              </w:rPr>
              <w:t>a)</w:t>
            </w:r>
          </w:p>
        </w:tc>
        <w:tc>
          <w:tcPr>
            <w:tcW w:w="4732" w:type="pct"/>
            <w:gridSpan w:val="7"/>
            <w:tcBorders>
              <w:top w:val="nil"/>
            </w:tcBorders>
            <w:shd w:val="clear" w:color="auto" w:fill="F2F2F2"/>
            <w:vAlign w:val="center"/>
          </w:tcPr>
          <w:p w:rsidR="002B3AE8" w:rsidRPr="002644DE" w:rsidRDefault="002B3AE8" w:rsidP="00EC4D63">
            <w:pPr>
              <w:spacing w:after="0" w:line="240" w:lineRule="auto"/>
              <w:rPr>
                <w:rFonts w:ascii="Times New Roman" w:hAnsi="Times New Roman"/>
                <w:i/>
                <w:sz w:val="20"/>
                <w:szCs w:val="20"/>
              </w:rPr>
            </w:pPr>
            <w:r w:rsidRPr="002644DE">
              <w:rPr>
                <w:rFonts w:ascii="Times New Roman" w:hAnsi="Times New Roman"/>
                <w:i/>
                <w:sz w:val="20"/>
                <w:szCs w:val="20"/>
              </w:rPr>
              <w:t>Uľahčuje návrh vznik nových pracovných miest? Ak áno, ako? Ak je to možné, doplňte kvantifikáciu.</w:t>
            </w:r>
          </w:p>
        </w:tc>
      </w:tr>
      <w:tr w:rsidR="002B3AE8" w:rsidRPr="002644DE" w:rsidTr="00700096">
        <w:tblPrEx>
          <w:tblCellMar>
            <w:top w:w="28" w:type="dxa"/>
            <w:right w:w="28" w:type="dxa"/>
          </w:tblCellMar>
        </w:tblPrEx>
        <w:trPr>
          <w:gridBefore w:val="1"/>
          <w:gridAfter w:val="1"/>
          <w:wBefore w:w="33" w:type="pct"/>
          <w:wAfter w:w="109" w:type="pct"/>
          <w:trHeight w:val="567"/>
          <w:jc w:val="center"/>
        </w:trPr>
        <w:tc>
          <w:tcPr>
            <w:tcW w:w="126" w:type="pct"/>
            <w:gridSpan w:val="3"/>
            <w:tcBorders>
              <w:top w:val="nil"/>
            </w:tcBorders>
            <w:shd w:val="clear" w:color="auto" w:fill="FFFFFF"/>
            <w:vAlign w:val="center"/>
          </w:tcPr>
          <w:p w:rsidR="002B3AE8" w:rsidRPr="002644DE" w:rsidRDefault="002B3AE8" w:rsidP="00EC4D63">
            <w:pPr>
              <w:spacing w:after="0" w:line="240" w:lineRule="auto"/>
              <w:rPr>
                <w:rFonts w:ascii="Times New Roman" w:hAnsi="Times New Roman"/>
                <w:i/>
                <w:sz w:val="18"/>
                <w:szCs w:val="18"/>
              </w:rPr>
            </w:pPr>
            <w:r w:rsidRPr="002644DE">
              <w:rPr>
                <w:rFonts w:ascii="Times New Roman" w:hAnsi="Times New Roman"/>
                <w:i/>
                <w:sz w:val="18"/>
                <w:szCs w:val="18"/>
              </w:rPr>
              <w:t>b)</w:t>
            </w:r>
          </w:p>
        </w:tc>
        <w:tc>
          <w:tcPr>
            <w:tcW w:w="2376" w:type="pct"/>
            <w:gridSpan w:val="5"/>
            <w:tcBorders>
              <w:top w:val="nil"/>
            </w:tcBorders>
            <w:shd w:val="clear" w:color="auto" w:fill="FFFFFF"/>
          </w:tcPr>
          <w:p w:rsidR="002B3AE8" w:rsidRPr="002644DE" w:rsidRDefault="002B3AE8" w:rsidP="00EC4D63">
            <w:pPr>
              <w:spacing w:after="0" w:line="240" w:lineRule="auto"/>
              <w:jc w:val="both"/>
              <w:rPr>
                <w:rFonts w:ascii="Times New Roman" w:hAnsi="Times New Roman"/>
                <w:i/>
                <w:sz w:val="18"/>
                <w:szCs w:val="18"/>
              </w:rPr>
            </w:pPr>
            <w:r w:rsidRPr="002644DE">
              <w:rPr>
                <w:rFonts w:ascii="Times New Roman" w:hAnsi="Times New Roman"/>
                <w:i/>
                <w:sz w:val="18"/>
                <w:szCs w:val="18"/>
              </w:rPr>
              <w:t>Identifikujte, v ktorých sektoroch a odvetviach ekonomiky, v ktorých regiónoch, pre aké skupiny zamestnancov, o aké typy zamestnania /pracovných úväzkov pôjde a pod.</w:t>
            </w:r>
          </w:p>
        </w:tc>
        <w:tc>
          <w:tcPr>
            <w:tcW w:w="2357" w:type="pct"/>
            <w:gridSpan w:val="2"/>
            <w:tcBorders>
              <w:top w:val="nil"/>
            </w:tcBorders>
            <w:shd w:val="clear" w:color="auto" w:fill="FFFFFF"/>
          </w:tcPr>
          <w:p w:rsidR="002B3AE8" w:rsidRPr="002644DE" w:rsidRDefault="002B3AE8" w:rsidP="00EC4D63">
            <w:pPr>
              <w:spacing w:after="0" w:line="240" w:lineRule="auto"/>
              <w:rPr>
                <w:rFonts w:ascii="Times New Roman" w:hAnsi="Times New Roman"/>
                <w:sz w:val="20"/>
                <w:szCs w:val="18"/>
              </w:rPr>
            </w:pPr>
            <w:r>
              <w:rPr>
                <w:rFonts w:ascii="Times New Roman" w:hAnsi="Times New Roman"/>
                <w:sz w:val="20"/>
                <w:szCs w:val="18"/>
              </w:rPr>
              <w:t>Bez vplyvu.</w:t>
            </w:r>
          </w:p>
        </w:tc>
      </w:tr>
      <w:tr w:rsidR="002B3AE8" w:rsidRPr="002644DE" w:rsidTr="00700096">
        <w:tblPrEx>
          <w:tblCellMar>
            <w:top w:w="28" w:type="dxa"/>
            <w:right w:w="28" w:type="dxa"/>
          </w:tblCellMar>
        </w:tblPrEx>
        <w:trPr>
          <w:gridBefore w:val="1"/>
          <w:gridAfter w:val="1"/>
          <w:wBefore w:w="33" w:type="pct"/>
          <w:wAfter w:w="109" w:type="pct"/>
          <w:trHeight w:val="270"/>
          <w:jc w:val="center"/>
        </w:trPr>
        <w:tc>
          <w:tcPr>
            <w:tcW w:w="126" w:type="pct"/>
            <w:gridSpan w:val="3"/>
            <w:shd w:val="clear" w:color="auto" w:fill="F2F2F2"/>
            <w:vAlign w:val="center"/>
          </w:tcPr>
          <w:p w:rsidR="002B3AE8" w:rsidRPr="002644DE" w:rsidRDefault="002B3AE8" w:rsidP="00EC4D63">
            <w:pPr>
              <w:spacing w:after="0" w:line="240" w:lineRule="auto"/>
              <w:rPr>
                <w:rFonts w:ascii="Times New Roman" w:hAnsi="Times New Roman"/>
                <w:i/>
                <w:sz w:val="18"/>
                <w:szCs w:val="18"/>
              </w:rPr>
            </w:pPr>
            <w:r w:rsidRPr="002644DE">
              <w:rPr>
                <w:rFonts w:ascii="Times New Roman" w:hAnsi="Times New Roman"/>
                <w:i/>
                <w:sz w:val="18"/>
                <w:szCs w:val="18"/>
              </w:rPr>
              <w:t>c)</w:t>
            </w:r>
          </w:p>
        </w:tc>
        <w:tc>
          <w:tcPr>
            <w:tcW w:w="4732" w:type="pct"/>
            <w:gridSpan w:val="7"/>
            <w:shd w:val="clear" w:color="auto" w:fill="F2F2F2"/>
            <w:vAlign w:val="center"/>
          </w:tcPr>
          <w:p w:rsidR="002B3AE8" w:rsidRPr="002644DE" w:rsidRDefault="002B3AE8" w:rsidP="00EC4D63">
            <w:pPr>
              <w:spacing w:after="0" w:line="240" w:lineRule="auto"/>
              <w:rPr>
                <w:rFonts w:ascii="Times New Roman" w:hAnsi="Times New Roman"/>
                <w:i/>
                <w:sz w:val="20"/>
                <w:szCs w:val="20"/>
              </w:rPr>
            </w:pPr>
            <w:r w:rsidRPr="002644DE">
              <w:rPr>
                <w:rFonts w:ascii="Times New Roman" w:hAnsi="Times New Roman"/>
                <w:i/>
                <w:sz w:val="20"/>
                <w:szCs w:val="20"/>
              </w:rPr>
              <w:t>Vedie návrh k zániku pracovných miest?</w:t>
            </w:r>
            <w:r w:rsidRPr="002644DE">
              <w:rPr>
                <w:rFonts w:ascii="Times New Roman" w:hAnsi="Times New Roman"/>
                <w:sz w:val="20"/>
                <w:szCs w:val="20"/>
              </w:rPr>
              <w:t xml:space="preserve"> </w:t>
            </w:r>
            <w:r w:rsidRPr="002644DE">
              <w:rPr>
                <w:rFonts w:ascii="Times New Roman" w:hAnsi="Times New Roman"/>
                <w:i/>
                <w:sz w:val="20"/>
                <w:szCs w:val="20"/>
              </w:rPr>
              <w:t>Ak áno, ako a akých? Ak je to možné, doplňte kvantifikáciu</w:t>
            </w:r>
          </w:p>
        </w:tc>
      </w:tr>
      <w:tr w:rsidR="002B3AE8" w:rsidRPr="002644DE" w:rsidTr="00700096">
        <w:tblPrEx>
          <w:tblCellMar>
            <w:top w:w="28" w:type="dxa"/>
            <w:right w:w="28" w:type="dxa"/>
          </w:tblCellMar>
        </w:tblPrEx>
        <w:trPr>
          <w:gridBefore w:val="1"/>
          <w:gridAfter w:val="1"/>
          <w:wBefore w:w="33" w:type="pct"/>
          <w:wAfter w:w="109" w:type="pct"/>
          <w:trHeight w:val="454"/>
          <w:jc w:val="center"/>
        </w:trPr>
        <w:tc>
          <w:tcPr>
            <w:tcW w:w="126" w:type="pct"/>
            <w:gridSpan w:val="3"/>
            <w:shd w:val="clear" w:color="auto" w:fill="FFFFFF"/>
            <w:vAlign w:val="center"/>
          </w:tcPr>
          <w:p w:rsidR="002B3AE8" w:rsidRPr="002644DE" w:rsidRDefault="002B3AE8" w:rsidP="00EC4D63">
            <w:pPr>
              <w:spacing w:after="0" w:line="240" w:lineRule="auto"/>
              <w:rPr>
                <w:rFonts w:ascii="Times New Roman" w:hAnsi="Times New Roman"/>
                <w:i/>
                <w:sz w:val="18"/>
                <w:szCs w:val="18"/>
              </w:rPr>
            </w:pPr>
            <w:r w:rsidRPr="002644DE">
              <w:rPr>
                <w:rFonts w:ascii="Times New Roman" w:hAnsi="Times New Roman"/>
                <w:i/>
                <w:sz w:val="18"/>
                <w:szCs w:val="18"/>
              </w:rPr>
              <w:t>d)</w:t>
            </w:r>
          </w:p>
        </w:tc>
        <w:tc>
          <w:tcPr>
            <w:tcW w:w="2376" w:type="pct"/>
            <w:gridSpan w:val="5"/>
            <w:shd w:val="clear" w:color="auto" w:fill="FFFFFF"/>
          </w:tcPr>
          <w:p w:rsidR="002B3AE8" w:rsidRPr="002644DE" w:rsidRDefault="002B3AE8" w:rsidP="00EC4D63">
            <w:pPr>
              <w:spacing w:after="0" w:line="240" w:lineRule="auto"/>
              <w:jc w:val="both"/>
              <w:rPr>
                <w:rFonts w:ascii="Times New Roman" w:hAnsi="Times New Roman"/>
                <w:i/>
                <w:sz w:val="18"/>
                <w:szCs w:val="18"/>
              </w:rPr>
            </w:pPr>
            <w:r w:rsidRPr="002644DE">
              <w:rPr>
                <w:rFonts w:ascii="Times New Roman" w:hAnsi="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2357" w:type="pct"/>
            <w:gridSpan w:val="2"/>
            <w:shd w:val="clear" w:color="auto" w:fill="FFFFFF"/>
          </w:tcPr>
          <w:p w:rsidR="002B3AE8" w:rsidRPr="002644DE" w:rsidRDefault="002B3AE8" w:rsidP="00EC4D63">
            <w:pPr>
              <w:spacing w:after="0" w:line="240" w:lineRule="auto"/>
              <w:rPr>
                <w:rFonts w:ascii="Times New Roman" w:hAnsi="Times New Roman"/>
                <w:sz w:val="20"/>
                <w:szCs w:val="18"/>
              </w:rPr>
            </w:pPr>
            <w:r>
              <w:rPr>
                <w:rFonts w:ascii="Times New Roman" w:hAnsi="Times New Roman"/>
                <w:sz w:val="20"/>
                <w:szCs w:val="18"/>
              </w:rPr>
              <w:t>Bez vplyvu.</w:t>
            </w:r>
          </w:p>
        </w:tc>
      </w:tr>
      <w:tr w:rsidR="002B3AE8" w:rsidRPr="002644DE" w:rsidTr="00700096">
        <w:tblPrEx>
          <w:tblCellMar>
            <w:top w:w="28" w:type="dxa"/>
            <w:right w:w="28" w:type="dxa"/>
          </w:tblCellMar>
        </w:tblPrEx>
        <w:trPr>
          <w:gridBefore w:val="1"/>
          <w:gridAfter w:val="1"/>
          <w:wBefore w:w="33" w:type="pct"/>
          <w:wAfter w:w="109" w:type="pct"/>
          <w:trHeight w:val="248"/>
          <w:jc w:val="center"/>
        </w:trPr>
        <w:tc>
          <w:tcPr>
            <w:tcW w:w="126" w:type="pct"/>
            <w:gridSpan w:val="3"/>
            <w:shd w:val="clear" w:color="auto" w:fill="F2F2F2"/>
            <w:vAlign w:val="center"/>
          </w:tcPr>
          <w:p w:rsidR="002B3AE8" w:rsidRPr="002644DE" w:rsidRDefault="002B3AE8" w:rsidP="00EC4D63">
            <w:pPr>
              <w:spacing w:after="0" w:line="240" w:lineRule="auto"/>
              <w:rPr>
                <w:rFonts w:ascii="Times New Roman" w:hAnsi="Times New Roman"/>
                <w:i/>
                <w:sz w:val="18"/>
                <w:szCs w:val="18"/>
              </w:rPr>
            </w:pPr>
            <w:r w:rsidRPr="002644DE">
              <w:rPr>
                <w:rFonts w:ascii="Times New Roman" w:hAnsi="Times New Roman"/>
                <w:i/>
                <w:sz w:val="18"/>
                <w:szCs w:val="18"/>
              </w:rPr>
              <w:t>e)</w:t>
            </w:r>
          </w:p>
        </w:tc>
        <w:tc>
          <w:tcPr>
            <w:tcW w:w="4732" w:type="pct"/>
            <w:gridSpan w:val="7"/>
            <w:shd w:val="clear" w:color="auto" w:fill="F2F2F2"/>
            <w:vAlign w:val="center"/>
          </w:tcPr>
          <w:p w:rsidR="002B3AE8" w:rsidRPr="002644DE" w:rsidRDefault="002B3AE8" w:rsidP="00EC4D63">
            <w:pPr>
              <w:spacing w:after="0" w:line="240" w:lineRule="auto"/>
              <w:rPr>
                <w:rFonts w:ascii="Times New Roman" w:hAnsi="Times New Roman"/>
                <w:sz w:val="20"/>
                <w:szCs w:val="20"/>
              </w:rPr>
            </w:pPr>
            <w:r w:rsidRPr="002644DE">
              <w:rPr>
                <w:rFonts w:ascii="Times New Roman" w:hAnsi="Times New Roman"/>
                <w:i/>
                <w:sz w:val="20"/>
                <w:szCs w:val="20"/>
              </w:rPr>
              <w:t>Ovplyvňuje návrh dopyt po práci? Ak áno, ako?</w:t>
            </w:r>
          </w:p>
        </w:tc>
      </w:tr>
      <w:tr w:rsidR="002B3AE8" w:rsidRPr="002644DE" w:rsidTr="00700096">
        <w:tblPrEx>
          <w:tblCellMar>
            <w:top w:w="28" w:type="dxa"/>
            <w:right w:w="28" w:type="dxa"/>
          </w:tblCellMar>
        </w:tblPrEx>
        <w:trPr>
          <w:gridBefore w:val="1"/>
          <w:gridAfter w:val="1"/>
          <w:wBefore w:w="33" w:type="pct"/>
          <w:wAfter w:w="109" w:type="pct"/>
          <w:trHeight w:val="209"/>
          <w:jc w:val="center"/>
        </w:trPr>
        <w:tc>
          <w:tcPr>
            <w:tcW w:w="126" w:type="pct"/>
            <w:gridSpan w:val="3"/>
            <w:shd w:val="clear" w:color="auto" w:fill="FFFFFF"/>
            <w:vAlign w:val="center"/>
          </w:tcPr>
          <w:p w:rsidR="002B3AE8" w:rsidRPr="002644DE" w:rsidRDefault="002B3AE8" w:rsidP="00EC4D63">
            <w:pPr>
              <w:spacing w:after="0" w:line="240" w:lineRule="auto"/>
              <w:rPr>
                <w:rFonts w:ascii="Times New Roman" w:hAnsi="Times New Roman"/>
                <w:i/>
                <w:sz w:val="18"/>
                <w:szCs w:val="18"/>
              </w:rPr>
            </w:pPr>
            <w:r w:rsidRPr="002644DE">
              <w:rPr>
                <w:rFonts w:ascii="Times New Roman" w:hAnsi="Times New Roman"/>
                <w:i/>
                <w:sz w:val="18"/>
                <w:szCs w:val="18"/>
              </w:rPr>
              <w:t>f)</w:t>
            </w:r>
          </w:p>
        </w:tc>
        <w:tc>
          <w:tcPr>
            <w:tcW w:w="2376" w:type="pct"/>
            <w:gridSpan w:val="5"/>
            <w:shd w:val="clear" w:color="auto" w:fill="FFFFFF"/>
          </w:tcPr>
          <w:p w:rsidR="002B3AE8" w:rsidRPr="002644DE" w:rsidRDefault="002B3AE8" w:rsidP="00EC4D63">
            <w:pPr>
              <w:spacing w:after="0" w:line="240" w:lineRule="auto"/>
              <w:jc w:val="both"/>
              <w:rPr>
                <w:rFonts w:ascii="Times New Roman" w:hAnsi="Times New Roman"/>
                <w:i/>
                <w:sz w:val="18"/>
                <w:szCs w:val="18"/>
              </w:rPr>
            </w:pPr>
            <w:r w:rsidRPr="002644DE">
              <w:rPr>
                <w:rFonts w:ascii="Times New Roman" w:hAnsi="Times New Roman"/>
                <w:i/>
                <w:sz w:val="18"/>
                <w:szCs w:val="18"/>
              </w:rPr>
              <w:t>Dopyt po práci závisí na jednej strane na produkcii tovarov a služieb v ekonomike a na druhej strane na cene práce.</w:t>
            </w:r>
          </w:p>
        </w:tc>
        <w:tc>
          <w:tcPr>
            <w:tcW w:w="2357" w:type="pct"/>
            <w:gridSpan w:val="2"/>
            <w:shd w:val="clear" w:color="auto" w:fill="FFFFFF"/>
          </w:tcPr>
          <w:p w:rsidR="002B3AE8" w:rsidRPr="002644DE" w:rsidRDefault="002B3AE8" w:rsidP="00EC4D63">
            <w:pPr>
              <w:spacing w:after="0" w:line="240" w:lineRule="auto"/>
              <w:rPr>
                <w:rFonts w:ascii="Times New Roman" w:hAnsi="Times New Roman"/>
                <w:sz w:val="20"/>
                <w:szCs w:val="18"/>
              </w:rPr>
            </w:pPr>
            <w:r>
              <w:rPr>
                <w:rFonts w:ascii="Times New Roman" w:hAnsi="Times New Roman"/>
                <w:sz w:val="20"/>
                <w:szCs w:val="18"/>
              </w:rPr>
              <w:t>Bez vplyvu.</w:t>
            </w:r>
          </w:p>
        </w:tc>
      </w:tr>
      <w:tr w:rsidR="002B3AE8" w:rsidRPr="002644DE" w:rsidTr="00700096">
        <w:tblPrEx>
          <w:tblCellMar>
            <w:top w:w="28" w:type="dxa"/>
            <w:right w:w="28" w:type="dxa"/>
          </w:tblCellMar>
        </w:tblPrEx>
        <w:trPr>
          <w:gridBefore w:val="1"/>
          <w:gridAfter w:val="1"/>
          <w:wBefore w:w="33" w:type="pct"/>
          <w:wAfter w:w="109" w:type="pct"/>
          <w:trHeight w:val="208"/>
          <w:jc w:val="center"/>
        </w:trPr>
        <w:tc>
          <w:tcPr>
            <w:tcW w:w="126" w:type="pct"/>
            <w:gridSpan w:val="3"/>
            <w:shd w:val="clear" w:color="auto" w:fill="F2F2F2"/>
            <w:vAlign w:val="center"/>
          </w:tcPr>
          <w:p w:rsidR="002B3AE8" w:rsidRPr="002644DE" w:rsidRDefault="002B3AE8" w:rsidP="00EC4D63">
            <w:pPr>
              <w:spacing w:after="0" w:line="240" w:lineRule="auto"/>
              <w:rPr>
                <w:rFonts w:ascii="Times New Roman" w:hAnsi="Times New Roman"/>
                <w:i/>
                <w:sz w:val="18"/>
                <w:szCs w:val="18"/>
              </w:rPr>
            </w:pPr>
            <w:r w:rsidRPr="002644DE">
              <w:rPr>
                <w:rFonts w:ascii="Times New Roman" w:hAnsi="Times New Roman"/>
                <w:i/>
                <w:sz w:val="18"/>
                <w:szCs w:val="18"/>
              </w:rPr>
              <w:t>g)</w:t>
            </w:r>
          </w:p>
        </w:tc>
        <w:tc>
          <w:tcPr>
            <w:tcW w:w="4732" w:type="pct"/>
            <w:gridSpan w:val="7"/>
            <w:shd w:val="clear" w:color="auto" w:fill="F2F2F2"/>
            <w:vAlign w:val="center"/>
          </w:tcPr>
          <w:p w:rsidR="002B3AE8" w:rsidRPr="002644DE" w:rsidRDefault="002B3AE8" w:rsidP="00EC4D63">
            <w:pPr>
              <w:spacing w:after="0" w:line="240" w:lineRule="auto"/>
              <w:rPr>
                <w:rFonts w:ascii="Times New Roman" w:hAnsi="Times New Roman"/>
                <w:sz w:val="20"/>
                <w:szCs w:val="20"/>
              </w:rPr>
            </w:pPr>
            <w:r w:rsidRPr="002644DE">
              <w:rPr>
                <w:rFonts w:ascii="Times New Roman" w:hAnsi="Times New Roman"/>
                <w:i/>
                <w:sz w:val="20"/>
                <w:szCs w:val="20"/>
              </w:rPr>
              <w:t>Má návrh dosah na fungovanie trhu práce?</w:t>
            </w:r>
            <w:r w:rsidRPr="002644DE">
              <w:rPr>
                <w:rFonts w:ascii="Times New Roman" w:hAnsi="Times New Roman"/>
                <w:sz w:val="20"/>
                <w:szCs w:val="20"/>
              </w:rPr>
              <w:t xml:space="preserve"> </w:t>
            </w:r>
            <w:r w:rsidRPr="002644DE">
              <w:rPr>
                <w:rFonts w:ascii="Times New Roman" w:hAnsi="Times New Roman"/>
                <w:i/>
                <w:sz w:val="20"/>
                <w:szCs w:val="20"/>
              </w:rPr>
              <w:t>Ak áno, aký?</w:t>
            </w:r>
          </w:p>
        </w:tc>
      </w:tr>
      <w:tr w:rsidR="002B3AE8" w:rsidRPr="002644DE" w:rsidTr="00700096">
        <w:tblPrEx>
          <w:tblCellMar>
            <w:top w:w="28" w:type="dxa"/>
            <w:right w:w="28" w:type="dxa"/>
          </w:tblCellMar>
        </w:tblPrEx>
        <w:trPr>
          <w:gridBefore w:val="1"/>
          <w:gridAfter w:val="1"/>
          <w:wBefore w:w="33" w:type="pct"/>
          <w:wAfter w:w="109" w:type="pct"/>
          <w:trHeight w:val="794"/>
          <w:jc w:val="center"/>
        </w:trPr>
        <w:tc>
          <w:tcPr>
            <w:tcW w:w="126" w:type="pct"/>
            <w:gridSpan w:val="3"/>
            <w:shd w:val="clear" w:color="auto" w:fill="FFFFFF"/>
            <w:vAlign w:val="center"/>
          </w:tcPr>
          <w:p w:rsidR="002B3AE8" w:rsidRPr="002644DE" w:rsidRDefault="002B3AE8" w:rsidP="00EC4D63">
            <w:pPr>
              <w:spacing w:after="0" w:line="240" w:lineRule="auto"/>
              <w:rPr>
                <w:rFonts w:ascii="Times New Roman" w:hAnsi="Times New Roman"/>
                <w:i/>
                <w:sz w:val="18"/>
                <w:szCs w:val="18"/>
              </w:rPr>
            </w:pPr>
            <w:r w:rsidRPr="002644DE">
              <w:rPr>
                <w:rFonts w:ascii="Times New Roman" w:hAnsi="Times New Roman"/>
                <w:i/>
                <w:sz w:val="18"/>
                <w:szCs w:val="18"/>
              </w:rPr>
              <w:t>h)</w:t>
            </w:r>
          </w:p>
        </w:tc>
        <w:tc>
          <w:tcPr>
            <w:tcW w:w="2376" w:type="pct"/>
            <w:gridSpan w:val="5"/>
            <w:shd w:val="clear" w:color="auto" w:fill="FFFFFF"/>
          </w:tcPr>
          <w:p w:rsidR="002B3AE8" w:rsidRPr="002644DE" w:rsidRDefault="002B3AE8" w:rsidP="00EC4D63">
            <w:pPr>
              <w:spacing w:after="0" w:line="240" w:lineRule="auto"/>
              <w:jc w:val="both"/>
              <w:rPr>
                <w:rFonts w:ascii="Times New Roman" w:hAnsi="Times New Roman"/>
                <w:i/>
                <w:sz w:val="18"/>
                <w:szCs w:val="18"/>
              </w:rPr>
            </w:pPr>
            <w:r w:rsidRPr="002644DE">
              <w:rPr>
                <w:rFonts w:ascii="Times New Roman" w:hAnsi="Times New Roman"/>
                <w:i/>
                <w:sz w:val="18"/>
                <w:szCs w:val="18"/>
              </w:rPr>
              <w:t>Týka sa makroekonomických dosahov ako je napr. participácia na trhu práce, dlhodobá nezamestnanosť, regionálne rozdiely v mierach zamestnanosti.</w:t>
            </w:r>
            <w:r w:rsidRPr="002644DE">
              <w:rPr>
                <w:rFonts w:ascii="Times New Roman" w:hAnsi="Times New Roman"/>
                <w:sz w:val="18"/>
                <w:szCs w:val="18"/>
              </w:rPr>
              <w:t xml:space="preserve"> </w:t>
            </w:r>
            <w:r w:rsidRPr="002644DE">
              <w:rPr>
                <w:rFonts w:ascii="Times New Roman" w:hAnsi="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2357" w:type="pct"/>
            <w:gridSpan w:val="2"/>
            <w:shd w:val="clear" w:color="auto" w:fill="FFFFFF"/>
          </w:tcPr>
          <w:p w:rsidR="002B3AE8" w:rsidRPr="002644DE" w:rsidRDefault="002B3AE8" w:rsidP="00EC4D63">
            <w:pPr>
              <w:spacing w:after="0" w:line="240" w:lineRule="auto"/>
              <w:rPr>
                <w:rFonts w:ascii="Times New Roman" w:hAnsi="Times New Roman"/>
                <w:sz w:val="20"/>
                <w:szCs w:val="18"/>
              </w:rPr>
            </w:pPr>
            <w:r>
              <w:rPr>
                <w:rFonts w:ascii="Times New Roman" w:hAnsi="Times New Roman"/>
                <w:sz w:val="20"/>
                <w:szCs w:val="18"/>
              </w:rPr>
              <w:t>Bez vplyvu.</w:t>
            </w:r>
          </w:p>
        </w:tc>
      </w:tr>
      <w:tr w:rsidR="002B3AE8" w:rsidRPr="002644DE" w:rsidTr="00700096">
        <w:tblPrEx>
          <w:tblCellMar>
            <w:top w:w="28" w:type="dxa"/>
            <w:right w:w="28" w:type="dxa"/>
          </w:tblCellMar>
        </w:tblPrEx>
        <w:trPr>
          <w:gridBefore w:val="1"/>
          <w:gridAfter w:val="1"/>
          <w:wBefore w:w="33" w:type="pct"/>
          <w:wAfter w:w="109" w:type="pct"/>
          <w:trHeight w:val="324"/>
          <w:jc w:val="center"/>
        </w:trPr>
        <w:tc>
          <w:tcPr>
            <w:tcW w:w="126" w:type="pct"/>
            <w:gridSpan w:val="3"/>
            <w:shd w:val="clear" w:color="auto" w:fill="F2F2F2"/>
            <w:vAlign w:val="center"/>
          </w:tcPr>
          <w:p w:rsidR="002B3AE8" w:rsidRPr="002644DE" w:rsidRDefault="002B3AE8" w:rsidP="00EC4D63">
            <w:pPr>
              <w:spacing w:after="0" w:line="240" w:lineRule="auto"/>
              <w:rPr>
                <w:rFonts w:ascii="Times New Roman" w:hAnsi="Times New Roman"/>
                <w:i/>
                <w:sz w:val="18"/>
                <w:szCs w:val="18"/>
              </w:rPr>
            </w:pPr>
            <w:r w:rsidRPr="002644DE">
              <w:rPr>
                <w:rFonts w:ascii="Times New Roman" w:hAnsi="Times New Roman"/>
                <w:i/>
                <w:sz w:val="18"/>
                <w:szCs w:val="18"/>
              </w:rPr>
              <w:t>i)</w:t>
            </w:r>
          </w:p>
        </w:tc>
        <w:tc>
          <w:tcPr>
            <w:tcW w:w="4732" w:type="pct"/>
            <w:gridSpan w:val="7"/>
            <w:shd w:val="clear" w:color="auto" w:fill="F2F2F2"/>
            <w:vAlign w:val="center"/>
          </w:tcPr>
          <w:p w:rsidR="002B3AE8" w:rsidRPr="002644DE" w:rsidRDefault="002B3AE8" w:rsidP="00EC4D63">
            <w:pPr>
              <w:spacing w:after="0" w:line="240" w:lineRule="auto"/>
              <w:rPr>
                <w:rFonts w:ascii="Times New Roman" w:hAnsi="Times New Roman"/>
                <w:sz w:val="20"/>
                <w:szCs w:val="20"/>
              </w:rPr>
            </w:pPr>
            <w:r w:rsidRPr="002644DE">
              <w:rPr>
                <w:rFonts w:ascii="Times New Roman" w:hAnsi="Times New Roman"/>
                <w:i/>
                <w:sz w:val="20"/>
                <w:szCs w:val="20"/>
              </w:rPr>
              <w:t>Má návrh špecifické negatívne dôsledky pre isté skupiny profesií, skupín zamestnancov či živnostníkov?</w:t>
            </w:r>
            <w:r w:rsidRPr="002644DE">
              <w:rPr>
                <w:rFonts w:ascii="Times New Roman" w:hAnsi="Times New Roman"/>
                <w:sz w:val="20"/>
                <w:szCs w:val="20"/>
              </w:rPr>
              <w:t xml:space="preserve"> </w:t>
            </w:r>
            <w:r w:rsidRPr="002644DE">
              <w:rPr>
                <w:rFonts w:ascii="Times New Roman" w:hAnsi="Times New Roman"/>
                <w:i/>
                <w:sz w:val="20"/>
                <w:szCs w:val="20"/>
              </w:rPr>
              <w:t>Ak áno, aké a pre ktoré skupiny?</w:t>
            </w:r>
          </w:p>
        </w:tc>
      </w:tr>
      <w:tr w:rsidR="002B3AE8" w:rsidRPr="002644DE" w:rsidTr="00700096">
        <w:tblPrEx>
          <w:tblCellMar>
            <w:top w:w="28" w:type="dxa"/>
            <w:right w:w="28" w:type="dxa"/>
          </w:tblCellMar>
        </w:tblPrEx>
        <w:trPr>
          <w:gridBefore w:val="1"/>
          <w:gridAfter w:val="1"/>
          <w:wBefore w:w="33" w:type="pct"/>
          <w:wAfter w:w="109" w:type="pct"/>
          <w:trHeight w:val="216"/>
          <w:jc w:val="center"/>
        </w:trPr>
        <w:tc>
          <w:tcPr>
            <w:tcW w:w="126" w:type="pct"/>
            <w:gridSpan w:val="3"/>
            <w:shd w:val="clear" w:color="auto" w:fill="FFFFFF"/>
            <w:vAlign w:val="center"/>
          </w:tcPr>
          <w:p w:rsidR="002B3AE8" w:rsidRPr="002644DE" w:rsidRDefault="002B3AE8" w:rsidP="00EC4D63">
            <w:pPr>
              <w:spacing w:after="0" w:line="240" w:lineRule="auto"/>
              <w:rPr>
                <w:rFonts w:ascii="Times New Roman" w:hAnsi="Times New Roman"/>
                <w:i/>
                <w:sz w:val="18"/>
                <w:szCs w:val="18"/>
              </w:rPr>
            </w:pPr>
            <w:r w:rsidRPr="002644DE">
              <w:rPr>
                <w:rFonts w:ascii="Times New Roman" w:hAnsi="Times New Roman"/>
                <w:i/>
                <w:sz w:val="18"/>
                <w:szCs w:val="18"/>
              </w:rPr>
              <w:t>j)</w:t>
            </w:r>
          </w:p>
        </w:tc>
        <w:tc>
          <w:tcPr>
            <w:tcW w:w="2376" w:type="pct"/>
            <w:gridSpan w:val="5"/>
            <w:shd w:val="clear" w:color="auto" w:fill="FFFFFF"/>
          </w:tcPr>
          <w:p w:rsidR="002B3AE8" w:rsidRPr="002644DE" w:rsidRDefault="002B3AE8" w:rsidP="00EC4D63">
            <w:pPr>
              <w:spacing w:after="0" w:line="240" w:lineRule="auto"/>
              <w:rPr>
                <w:rFonts w:ascii="Times New Roman" w:hAnsi="Times New Roman"/>
                <w:i/>
                <w:sz w:val="18"/>
                <w:szCs w:val="18"/>
              </w:rPr>
            </w:pPr>
            <w:r w:rsidRPr="002644DE">
              <w:rPr>
                <w:rFonts w:ascii="Times New Roman" w:hAnsi="Times New Roman"/>
                <w:i/>
                <w:sz w:val="18"/>
                <w:szCs w:val="18"/>
              </w:rPr>
              <w:t>Návrh môže ohrozovať napr. pracovníkov istých profesií favorizovaním špecifických aktivít či technológií.</w:t>
            </w:r>
          </w:p>
        </w:tc>
        <w:tc>
          <w:tcPr>
            <w:tcW w:w="2357" w:type="pct"/>
            <w:gridSpan w:val="2"/>
            <w:shd w:val="clear" w:color="auto" w:fill="FFFFFF"/>
          </w:tcPr>
          <w:p w:rsidR="002B3AE8" w:rsidRPr="002644DE" w:rsidRDefault="002B3AE8" w:rsidP="00EC4D63">
            <w:pPr>
              <w:spacing w:after="0" w:line="240" w:lineRule="auto"/>
              <w:rPr>
                <w:rFonts w:ascii="Times New Roman" w:hAnsi="Times New Roman"/>
                <w:sz w:val="20"/>
                <w:szCs w:val="18"/>
              </w:rPr>
            </w:pPr>
            <w:r>
              <w:rPr>
                <w:rFonts w:ascii="Times New Roman" w:hAnsi="Times New Roman"/>
                <w:sz w:val="20"/>
                <w:szCs w:val="18"/>
              </w:rPr>
              <w:t>Bez vplyvu.</w:t>
            </w:r>
          </w:p>
        </w:tc>
      </w:tr>
      <w:tr w:rsidR="002B3AE8" w:rsidRPr="002644DE" w:rsidTr="00700096">
        <w:tblPrEx>
          <w:tblCellMar>
            <w:top w:w="28" w:type="dxa"/>
            <w:right w:w="28" w:type="dxa"/>
          </w:tblCellMar>
        </w:tblPrEx>
        <w:trPr>
          <w:gridBefore w:val="1"/>
          <w:gridAfter w:val="1"/>
          <w:wBefore w:w="33" w:type="pct"/>
          <w:wAfter w:w="109" w:type="pct"/>
          <w:trHeight w:val="219"/>
          <w:jc w:val="center"/>
        </w:trPr>
        <w:tc>
          <w:tcPr>
            <w:tcW w:w="126" w:type="pct"/>
            <w:gridSpan w:val="3"/>
            <w:shd w:val="clear" w:color="auto" w:fill="F2F2F2"/>
            <w:vAlign w:val="center"/>
          </w:tcPr>
          <w:p w:rsidR="002B3AE8" w:rsidRPr="002644DE" w:rsidRDefault="002B3AE8" w:rsidP="00EC4D63">
            <w:pPr>
              <w:spacing w:after="0" w:line="240" w:lineRule="auto"/>
              <w:rPr>
                <w:rFonts w:ascii="Times New Roman" w:hAnsi="Times New Roman"/>
                <w:i/>
                <w:sz w:val="18"/>
                <w:szCs w:val="18"/>
              </w:rPr>
            </w:pPr>
            <w:r w:rsidRPr="002644DE">
              <w:rPr>
                <w:rFonts w:ascii="Times New Roman" w:hAnsi="Times New Roman"/>
                <w:i/>
                <w:sz w:val="18"/>
                <w:szCs w:val="18"/>
              </w:rPr>
              <w:t>k)</w:t>
            </w:r>
          </w:p>
        </w:tc>
        <w:tc>
          <w:tcPr>
            <w:tcW w:w="4732" w:type="pct"/>
            <w:gridSpan w:val="7"/>
            <w:shd w:val="clear" w:color="auto" w:fill="F2F2F2"/>
            <w:vAlign w:val="center"/>
          </w:tcPr>
          <w:p w:rsidR="002B3AE8" w:rsidRPr="002644DE" w:rsidRDefault="002B3AE8" w:rsidP="00EC4D63">
            <w:pPr>
              <w:spacing w:after="0" w:line="240" w:lineRule="auto"/>
              <w:rPr>
                <w:rFonts w:ascii="Times New Roman" w:hAnsi="Times New Roman"/>
                <w:sz w:val="20"/>
                <w:szCs w:val="20"/>
              </w:rPr>
            </w:pPr>
            <w:r w:rsidRPr="002644DE">
              <w:rPr>
                <w:rFonts w:ascii="Times New Roman" w:hAnsi="Times New Roman"/>
                <w:i/>
                <w:sz w:val="20"/>
                <w:szCs w:val="20"/>
              </w:rPr>
              <w:t>Ovplyvňuje návrh špecifické vekové skupiny zamestnancov? Ak áno, aké? Akým spôsobom?</w:t>
            </w:r>
          </w:p>
        </w:tc>
      </w:tr>
      <w:tr w:rsidR="002B3AE8" w:rsidRPr="002644DE" w:rsidTr="00700096">
        <w:tblPrEx>
          <w:tblCellMar>
            <w:top w:w="28" w:type="dxa"/>
            <w:right w:w="28" w:type="dxa"/>
          </w:tblCellMar>
        </w:tblPrEx>
        <w:trPr>
          <w:gridBefore w:val="1"/>
          <w:gridAfter w:val="1"/>
          <w:wBefore w:w="33" w:type="pct"/>
          <w:wAfter w:w="109" w:type="pct"/>
          <w:trHeight w:val="497"/>
          <w:jc w:val="center"/>
        </w:trPr>
        <w:tc>
          <w:tcPr>
            <w:tcW w:w="126" w:type="pct"/>
            <w:gridSpan w:val="3"/>
            <w:shd w:val="clear" w:color="auto" w:fill="FFFFFF"/>
            <w:vAlign w:val="center"/>
          </w:tcPr>
          <w:p w:rsidR="002B3AE8" w:rsidRPr="002644DE" w:rsidRDefault="002B3AE8" w:rsidP="00EC4D63">
            <w:pPr>
              <w:spacing w:after="0" w:line="240" w:lineRule="auto"/>
              <w:rPr>
                <w:rFonts w:ascii="Times New Roman" w:hAnsi="Times New Roman"/>
                <w:i/>
                <w:sz w:val="18"/>
                <w:szCs w:val="18"/>
              </w:rPr>
            </w:pPr>
            <w:r w:rsidRPr="002644DE">
              <w:rPr>
                <w:rFonts w:ascii="Times New Roman" w:hAnsi="Times New Roman"/>
                <w:i/>
                <w:sz w:val="18"/>
                <w:szCs w:val="18"/>
              </w:rPr>
              <w:lastRenderedPageBreak/>
              <w:t>l)</w:t>
            </w:r>
          </w:p>
        </w:tc>
        <w:tc>
          <w:tcPr>
            <w:tcW w:w="2376" w:type="pct"/>
            <w:gridSpan w:val="5"/>
            <w:shd w:val="clear" w:color="auto" w:fill="FFFFFF"/>
          </w:tcPr>
          <w:p w:rsidR="002B3AE8" w:rsidRPr="002644DE" w:rsidRDefault="002B3AE8" w:rsidP="00EC4D63">
            <w:pPr>
              <w:spacing w:after="0" w:line="240" w:lineRule="auto"/>
              <w:jc w:val="both"/>
              <w:rPr>
                <w:rFonts w:ascii="Times New Roman" w:hAnsi="Times New Roman"/>
                <w:i/>
                <w:sz w:val="18"/>
                <w:szCs w:val="18"/>
              </w:rPr>
            </w:pPr>
            <w:r w:rsidRPr="002644DE">
              <w:rPr>
                <w:rFonts w:ascii="Times New Roman" w:hAnsi="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2357" w:type="pct"/>
            <w:gridSpan w:val="2"/>
            <w:shd w:val="clear" w:color="auto" w:fill="FFFFFF"/>
          </w:tcPr>
          <w:p w:rsidR="002B3AE8" w:rsidRPr="002644DE" w:rsidRDefault="002B3AE8" w:rsidP="00EC4D63">
            <w:pPr>
              <w:spacing w:after="0" w:line="240" w:lineRule="auto"/>
              <w:rPr>
                <w:rFonts w:ascii="Times New Roman" w:hAnsi="Times New Roman"/>
                <w:sz w:val="20"/>
                <w:szCs w:val="18"/>
              </w:rPr>
            </w:pPr>
            <w:r>
              <w:rPr>
                <w:rFonts w:ascii="Times New Roman" w:hAnsi="Times New Roman"/>
                <w:sz w:val="20"/>
                <w:szCs w:val="18"/>
              </w:rPr>
              <w:t>Bez vplyvu.</w:t>
            </w:r>
          </w:p>
        </w:tc>
      </w:tr>
    </w:tbl>
    <w:p w:rsidR="002B3AE8" w:rsidRDefault="002B3AE8" w:rsidP="0004402F"/>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92"/>
        <w:gridCol w:w="1493"/>
      </w:tblGrid>
      <w:tr w:rsidR="00E22B16" w:rsidRPr="00FC2B55" w:rsidTr="00EC4D63">
        <w:trPr>
          <w:trHeight w:val="20"/>
        </w:trPr>
        <w:tc>
          <w:tcPr>
            <w:tcW w:w="9371" w:type="dxa"/>
            <w:gridSpan w:val="6"/>
            <w:shd w:val="clear" w:color="auto" w:fill="BFBFBF"/>
            <w:vAlign w:val="center"/>
          </w:tcPr>
          <w:p w:rsidR="00E22B16" w:rsidRDefault="00E22B16" w:rsidP="00EC4D63">
            <w:pPr>
              <w:spacing w:after="0" w:line="240" w:lineRule="auto"/>
              <w:jc w:val="center"/>
              <w:rPr>
                <w:rFonts w:ascii="Times New Roman" w:hAnsi="Times New Roman"/>
                <w:b/>
                <w:bCs/>
                <w:sz w:val="28"/>
                <w:szCs w:val="28"/>
                <w:lang w:eastAsia="sk-SK"/>
              </w:rPr>
            </w:pPr>
            <w:r w:rsidRPr="00FC2B55">
              <w:rPr>
                <w:rFonts w:ascii="Times New Roman" w:hAnsi="Times New Roman"/>
                <w:b/>
                <w:bCs/>
                <w:sz w:val="28"/>
                <w:szCs w:val="28"/>
                <w:lang w:eastAsia="sk-SK"/>
              </w:rPr>
              <w:t>Analýza vplyvov na informatizáciu spoločnosti</w:t>
            </w:r>
          </w:p>
          <w:p w:rsidR="00E22B16" w:rsidRPr="00FC2B55" w:rsidRDefault="00E22B16" w:rsidP="00EC4D63">
            <w:pPr>
              <w:spacing w:after="0" w:line="240" w:lineRule="auto"/>
              <w:jc w:val="center"/>
              <w:rPr>
                <w:rFonts w:ascii="Times New Roman" w:hAnsi="Times New Roman"/>
                <w:b/>
                <w:bCs/>
                <w:sz w:val="28"/>
                <w:szCs w:val="28"/>
                <w:lang w:eastAsia="sk-SK"/>
              </w:rPr>
            </w:pPr>
            <w:r>
              <w:rPr>
                <w:rFonts w:ascii="Times New Roman" w:hAnsi="Times New Roman"/>
                <w:b/>
                <w:bCs/>
                <w:sz w:val="28"/>
                <w:szCs w:val="28"/>
                <w:lang w:eastAsia="sk-SK"/>
              </w:rPr>
              <w:t>k novele zákona o dani z príjmov</w:t>
            </w:r>
          </w:p>
          <w:p w:rsidR="00E22B16" w:rsidRPr="00FC2B55" w:rsidRDefault="00E22B16" w:rsidP="00EC4D63">
            <w:pPr>
              <w:spacing w:after="0" w:line="240" w:lineRule="auto"/>
              <w:jc w:val="center"/>
              <w:rPr>
                <w:rFonts w:ascii="Times New Roman" w:hAnsi="Times New Roman"/>
                <w:b/>
                <w:i/>
                <w:iCs/>
                <w:sz w:val="2"/>
                <w:lang w:eastAsia="sk-SK"/>
              </w:rPr>
            </w:pPr>
          </w:p>
        </w:tc>
      </w:tr>
      <w:tr w:rsidR="00E22B16" w:rsidRPr="00FC2B55" w:rsidTr="00EC4D63">
        <w:trPr>
          <w:trHeight w:val="20"/>
        </w:trPr>
        <w:tc>
          <w:tcPr>
            <w:tcW w:w="9371" w:type="dxa"/>
            <w:gridSpan w:val="6"/>
            <w:shd w:val="clear" w:color="auto" w:fill="BFBFBF"/>
            <w:vAlign w:val="center"/>
          </w:tcPr>
          <w:p w:rsidR="00E22B16" w:rsidRPr="00FC2B55" w:rsidRDefault="00E22B16" w:rsidP="00EC4D63">
            <w:pPr>
              <w:spacing w:after="0" w:line="240" w:lineRule="auto"/>
              <w:jc w:val="center"/>
              <w:rPr>
                <w:rFonts w:ascii="Times New Roman" w:hAnsi="Times New Roman"/>
                <w:b/>
                <w:bCs/>
                <w:sz w:val="24"/>
                <w:szCs w:val="24"/>
                <w:lang w:eastAsia="sk-SK"/>
              </w:rPr>
            </w:pPr>
            <w:r w:rsidRPr="00FC2B55">
              <w:rPr>
                <w:rFonts w:ascii="Times New Roman" w:hAnsi="Times New Roman"/>
                <w:b/>
                <w:bCs/>
                <w:sz w:val="24"/>
                <w:szCs w:val="24"/>
                <w:lang w:eastAsia="sk-SK"/>
              </w:rPr>
              <w:t>Budovanie základných pilierov informatizácie</w:t>
            </w:r>
          </w:p>
        </w:tc>
      </w:tr>
      <w:tr w:rsidR="00E22B16" w:rsidRPr="00FC2B55" w:rsidTr="00EC4D63">
        <w:trPr>
          <w:trHeight w:val="681"/>
        </w:trPr>
        <w:tc>
          <w:tcPr>
            <w:tcW w:w="3956" w:type="dxa"/>
            <w:shd w:val="clear" w:color="auto" w:fill="C0C0C0"/>
            <w:vAlign w:val="center"/>
          </w:tcPr>
          <w:p w:rsidR="00E22B16" w:rsidRPr="00FC2B55" w:rsidRDefault="00E22B16" w:rsidP="00EC4D63">
            <w:pPr>
              <w:spacing w:after="0" w:line="240" w:lineRule="auto"/>
              <w:jc w:val="center"/>
              <w:rPr>
                <w:rFonts w:ascii="Times New Roman" w:hAnsi="Times New Roman"/>
                <w:b/>
                <w:sz w:val="20"/>
                <w:szCs w:val="20"/>
                <w:lang w:eastAsia="sk-SK"/>
              </w:rPr>
            </w:pPr>
            <w:r w:rsidRPr="00FC2B55">
              <w:rPr>
                <w:rFonts w:ascii="Times New Roman" w:hAnsi="Times New Roman"/>
                <w:b/>
                <w:sz w:val="20"/>
                <w:szCs w:val="20"/>
                <w:lang w:eastAsia="sk-SK"/>
              </w:rPr>
              <w:t>Biznis vrstva</w:t>
            </w:r>
          </w:p>
        </w:tc>
        <w:tc>
          <w:tcPr>
            <w:tcW w:w="1446" w:type="dxa"/>
            <w:shd w:val="clear" w:color="auto" w:fill="C0C0C0"/>
            <w:vAlign w:val="center"/>
          </w:tcPr>
          <w:p w:rsidR="00E22B16" w:rsidRPr="00FC2B55" w:rsidRDefault="00E22B16" w:rsidP="00EC4D63">
            <w:pPr>
              <w:spacing w:after="0" w:line="240" w:lineRule="auto"/>
              <w:jc w:val="center"/>
              <w:rPr>
                <w:rFonts w:ascii="Times New Roman" w:hAnsi="Times New Roman"/>
                <w:b/>
                <w:sz w:val="20"/>
                <w:szCs w:val="20"/>
                <w:lang w:eastAsia="sk-SK"/>
              </w:rPr>
            </w:pPr>
            <w:r w:rsidRPr="00FC2B55">
              <w:rPr>
                <w:rFonts w:ascii="Times New Roman" w:hAnsi="Times New Roman"/>
                <w:b/>
                <w:sz w:val="20"/>
                <w:szCs w:val="20"/>
                <w:lang w:eastAsia="sk-SK"/>
              </w:rPr>
              <w:t>A – nová služba</w:t>
            </w:r>
          </w:p>
          <w:p w:rsidR="00E22B16" w:rsidRPr="00FC2B55" w:rsidRDefault="00E22B16" w:rsidP="00EC4D63">
            <w:pPr>
              <w:spacing w:after="0" w:line="240" w:lineRule="auto"/>
              <w:jc w:val="center"/>
              <w:rPr>
                <w:rFonts w:ascii="Times New Roman" w:hAnsi="Times New Roman"/>
                <w:i/>
                <w:iCs/>
                <w:sz w:val="20"/>
                <w:szCs w:val="20"/>
                <w:lang w:eastAsia="sk-SK"/>
              </w:rPr>
            </w:pPr>
            <w:r w:rsidRPr="00FC2B55">
              <w:rPr>
                <w:rFonts w:ascii="Times New Roman" w:hAnsi="Times New Roman"/>
                <w:b/>
                <w:sz w:val="20"/>
                <w:szCs w:val="20"/>
                <w:lang w:eastAsia="sk-SK"/>
              </w:rPr>
              <w:t>B – zmena služby</w:t>
            </w:r>
          </w:p>
        </w:tc>
        <w:tc>
          <w:tcPr>
            <w:tcW w:w="1134" w:type="dxa"/>
            <w:shd w:val="clear" w:color="auto" w:fill="C0C0C0"/>
            <w:vAlign w:val="center"/>
          </w:tcPr>
          <w:p w:rsidR="00E22B16" w:rsidRPr="00FC2B55" w:rsidRDefault="00E22B16" w:rsidP="00EC4D63">
            <w:pPr>
              <w:spacing w:after="0" w:line="240" w:lineRule="auto"/>
              <w:rPr>
                <w:rFonts w:ascii="Times New Roman" w:hAnsi="Times New Roman"/>
                <w:sz w:val="20"/>
                <w:szCs w:val="20"/>
                <w:lang w:eastAsia="sk-SK"/>
              </w:rPr>
            </w:pPr>
            <w:r w:rsidRPr="00FC2B55">
              <w:rPr>
                <w:rFonts w:ascii="Times New Roman" w:hAnsi="Times New Roman"/>
                <w:b/>
                <w:sz w:val="20"/>
                <w:szCs w:val="20"/>
                <w:lang w:eastAsia="sk-SK"/>
              </w:rPr>
              <w:t>Kód koncovej služby</w:t>
            </w:r>
          </w:p>
        </w:tc>
        <w:tc>
          <w:tcPr>
            <w:tcW w:w="1342" w:type="dxa"/>
            <w:gridSpan w:val="2"/>
            <w:shd w:val="clear" w:color="auto" w:fill="C0C0C0"/>
            <w:vAlign w:val="center"/>
          </w:tcPr>
          <w:p w:rsidR="00E22B16" w:rsidRPr="00FC2B55" w:rsidRDefault="00E22B16" w:rsidP="00EC4D63">
            <w:pPr>
              <w:spacing w:after="0" w:line="240" w:lineRule="auto"/>
              <w:rPr>
                <w:rFonts w:ascii="Times New Roman" w:hAnsi="Times New Roman"/>
                <w:i/>
                <w:iCs/>
                <w:sz w:val="20"/>
                <w:szCs w:val="20"/>
                <w:lang w:eastAsia="sk-SK"/>
              </w:rPr>
            </w:pPr>
            <w:r w:rsidRPr="00FC2B55">
              <w:rPr>
                <w:rFonts w:ascii="Times New Roman" w:hAnsi="Times New Roman"/>
                <w:b/>
                <w:sz w:val="20"/>
                <w:szCs w:val="20"/>
                <w:lang w:eastAsia="sk-SK"/>
              </w:rPr>
              <w:t>Názov koncovej služby</w:t>
            </w:r>
          </w:p>
        </w:tc>
        <w:tc>
          <w:tcPr>
            <w:tcW w:w="1493" w:type="dxa"/>
            <w:shd w:val="clear" w:color="auto" w:fill="C0C0C0"/>
          </w:tcPr>
          <w:p w:rsidR="00E22B16" w:rsidRPr="00FC2B55" w:rsidRDefault="00E22B16" w:rsidP="00EC4D63">
            <w:pPr>
              <w:spacing w:after="0" w:line="240" w:lineRule="auto"/>
              <w:rPr>
                <w:rFonts w:ascii="Times New Roman" w:hAnsi="Times New Roman"/>
                <w:b/>
                <w:sz w:val="20"/>
                <w:szCs w:val="20"/>
                <w:lang w:eastAsia="sk-SK"/>
              </w:rPr>
            </w:pPr>
            <w:r w:rsidRPr="00FC2B55">
              <w:rPr>
                <w:rFonts w:ascii="Times New Roman" w:hAnsi="Times New Roman"/>
                <w:b/>
                <w:sz w:val="20"/>
                <w:szCs w:val="20"/>
                <w:lang w:eastAsia="sk-SK"/>
              </w:rPr>
              <w:t>Úroveň elektronizácie</w:t>
            </w:r>
          </w:p>
        </w:tc>
      </w:tr>
      <w:tr w:rsidR="00E22B16" w:rsidRPr="00FC2B55" w:rsidTr="00EC4D63">
        <w:trPr>
          <w:trHeight w:val="20"/>
        </w:trPr>
        <w:tc>
          <w:tcPr>
            <w:tcW w:w="3956" w:type="dxa"/>
          </w:tcPr>
          <w:p w:rsidR="00E22B16" w:rsidRPr="00FC2B55" w:rsidRDefault="00E22B16" w:rsidP="00EC4D63">
            <w:pPr>
              <w:spacing w:after="0" w:line="240" w:lineRule="auto"/>
              <w:rPr>
                <w:rFonts w:ascii="Times New Roman" w:hAnsi="Times New Roman"/>
                <w:sz w:val="20"/>
                <w:lang w:eastAsia="sk-SK"/>
              </w:rPr>
            </w:pPr>
            <w:r w:rsidRPr="00FC2B55">
              <w:rPr>
                <w:rFonts w:ascii="Times New Roman" w:hAnsi="Times New Roman"/>
                <w:b/>
                <w:sz w:val="20"/>
                <w:lang w:eastAsia="sk-SK"/>
              </w:rPr>
              <w:t>6.1.</w:t>
            </w:r>
            <w:r w:rsidRPr="00FC2B55">
              <w:rPr>
                <w:rFonts w:ascii="Times New Roman" w:hAnsi="Times New Roman"/>
                <w:sz w:val="20"/>
                <w:lang w:eastAsia="sk-SK"/>
              </w:rPr>
              <w:t xml:space="preserve"> Predpokladá predložený návrh zmenu existujúcich koncových služieb verejnej správy alebo vytvorenie nových služieb pre občana alebo podnikateľa?</w:t>
            </w:r>
          </w:p>
        </w:tc>
        <w:tc>
          <w:tcPr>
            <w:tcW w:w="1446" w:type="dxa"/>
          </w:tcPr>
          <w:p w:rsidR="00E22B16" w:rsidRPr="00FC2B55" w:rsidRDefault="00E22B16" w:rsidP="00EC4D63">
            <w:pPr>
              <w:spacing w:after="0" w:line="240" w:lineRule="auto"/>
              <w:jc w:val="center"/>
              <w:rPr>
                <w:rFonts w:ascii="Times New Roman" w:hAnsi="Times New Roman"/>
                <w:b/>
                <w:lang w:eastAsia="sk-SK"/>
              </w:rPr>
            </w:pPr>
            <w:r>
              <w:rPr>
                <w:rFonts w:ascii="Times New Roman" w:hAnsi="Times New Roman"/>
                <w:b/>
                <w:lang w:eastAsia="sk-SK"/>
              </w:rPr>
              <w:t>B</w:t>
            </w:r>
          </w:p>
        </w:tc>
        <w:tc>
          <w:tcPr>
            <w:tcW w:w="1134" w:type="dxa"/>
          </w:tcPr>
          <w:p w:rsidR="00E22B16" w:rsidRDefault="00E22B16" w:rsidP="00EC4D63">
            <w:pPr>
              <w:spacing w:after="0" w:line="240" w:lineRule="auto"/>
              <w:jc w:val="center"/>
              <w:rPr>
                <w:rFonts w:ascii="Times New Roman" w:hAnsi="Times New Roman"/>
                <w:bCs/>
                <w:i/>
                <w:iCs/>
                <w:lang w:eastAsia="sk-SK"/>
              </w:rPr>
            </w:pPr>
            <w:r w:rsidRPr="008853F4">
              <w:rPr>
                <w:rFonts w:ascii="Times New Roman" w:hAnsi="Times New Roman"/>
                <w:bCs/>
                <w:i/>
                <w:iCs/>
                <w:lang w:eastAsia="sk-SK"/>
              </w:rPr>
              <w:t>ks_338995</w:t>
            </w: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r w:rsidRPr="008853F4">
              <w:rPr>
                <w:rFonts w:ascii="Times New Roman" w:hAnsi="Times New Roman"/>
                <w:bCs/>
                <w:i/>
                <w:iCs/>
                <w:lang w:eastAsia="sk-SK"/>
              </w:rPr>
              <w:t>ks_338997</w:t>
            </w: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r w:rsidRPr="008853F4">
              <w:rPr>
                <w:rFonts w:ascii="Times New Roman" w:hAnsi="Times New Roman"/>
                <w:bCs/>
                <w:i/>
                <w:iCs/>
                <w:lang w:eastAsia="sk-SK"/>
              </w:rPr>
              <w:t>ks_339000</w:t>
            </w: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r w:rsidRPr="008853F4">
              <w:rPr>
                <w:rFonts w:ascii="Times New Roman" w:hAnsi="Times New Roman"/>
                <w:bCs/>
                <w:i/>
                <w:iCs/>
                <w:lang w:eastAsia="sk-SK"/>
              </w:rPr>
              <w:t>ks_339001</w:t>
            </w: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r w:rsidRPr="00AD2923">
              <w:rPr>
                <w:rFonts w:ascii="Times New Roman" w:hAnsi="Times New Roman"/>
                <w:bCs/>
                <w:i/>
                <w:iCs/>
                <w:lang w:eastAsia="sk-SK"/>
              </w:rPr>
              <w:t>ks_339002</w:t>
            </w: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r w:rsidRPr="00AD2923">
              <w:rPr>
                <w:rFonts w:ascii="Times New Roman" w:hAnsi="Times New Roman"/>
                <w:bCs/>
                <w:i/>
                <w:iCs/>
                <w:lang w:eastAsia="sk-SK"/>
              </w:rPr>
              <w:t>ks_339003</w:t>
            </w: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r w:rsidRPr="00AD2923">
              <w:rPr>
                <w:rFonts w:ascii="Times New Roman" w:hAnsi="Times New Roman"/>
                <w:bCs/>
                <w:i/>
                <w:iCs/>
                <w:lang w:eastAsia="sk-SK"/>
              </w:rPr>
              <w:t>sluzba_egov_1922</w:t>
            </w: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r w:rsidRPr="00AD2923">
              <w:rPr>
                <w:rFonts w:ascii="Times New Roman" w:hAnsi="Times New Roman"/>
                <w:bCs/>
                <w:i/>
                <w:iCs/>
                <w:lang w:eastAsia="sk-SK"/>
              </w:rPr>
              <w:t>sluzba_egov_1927</w:t>
            </w: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r w:rsidRPr="00AE39BE">
              <w:rPr>
                <w:rFonts w:ascii="Times New Roman" w:hAnsi="Times New Roman"/>
                <w:bCs/>
                <w:i/>
                <w:iCs/>
                <w:lang w:eastAsia="sk-SK"/>
              </w:rPr>
              <w:t>sluzba_egov_1930</w:t>
            </w: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r w:rsidRPr="00AE39BE">
              <w:rPr>
                <w:rFonts w:ascii="Times New Roman" w:hAnsi="Times New Roman"/>
                <w:bCs/>
                <w:i/>
                <w:iCs/>
                <w:lang w:eastAsia="sk-SK"/>
              </w:rPr>
              <w:t>sluzba_egov_1932</w:t>
            </w: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r w:rsidRPr="00AE39BE">
              <w:rPr>
                <w:rFonts w:ascii="Times New Roman" w:hAnsi="Times New Roman"/>
                <w:bCs/>
                <w:i/>
                <w:iCs/>
                <w:lang w:eastAsia="sk-SK"/>
              </w:rPr>
              <w:t>sluzba_egov_1937</w:t>
            </w:r>
          </w:p>
          <w:p w:rsidR="00E22B16" w:rsidRDefault="00E22B16" w:rsidP="00EC4D63">
            <w:pPr>
              <w:spacing w:after="0" w:line="240" w:lineRule="auto"/>
              <w:jc w:val="center"/>
              <w:rPr>
                <w:rFonts w:ascii="Times New Roman" w:hAnsi="Times New Roman"/>
                <w:bCs/>
                <w:i/>
                <w:iCs/>
                <w:lang w:eastAsia="sk-SK"/>
              </w:rPr>
            </w:pPr>
          </w:p>
          <w:p w:rsidR="00E22B16" w:rsidRDefault="00E22B16" w:rsidP="00EC4D63">
            <w:pPr>
              <w:spacing w:after="0" w:line="240" w:lineRule="auto"/>
              <w:jc w:val="center"/>
              <w:rPr>
                <w:rFonts w:ascii="Times New Roman" w:hAnsi="Times New Roman"/>
                <w:bCs/>
                <w:i/>
                <w:iCs/>
                <w:lang w:eastAsia="sk-SK"/>
              </w:rPr>
            </w:pPr>
            <w:r w:rsidRPr="00AE39BE">
              <w:rPr>
                <w:rFonts w:ascii="Times New Roman" w:hAnsi="Times New Roman"/>
                <w:bCs/>
                <w:i/>
                <w:iCs/>
                <w:lang w:eastAsia="sk-SK"/>
              </w:rPr>
              <w:t>sluzba_egov_1939</w:t>
            </w:r>
          </w:p>
          <w:p w:rsidR="00E22B16" w:rsidRDefault="00E22B16" w:rsidP="00EC4D63">
            <w:pPr>
              <w:spacing w:after="0" w:line="240" w:lineRule="auto"/>
              <w:jc w:val="center"/>
              <w:rPr>
                <w:rFonts w:ascii="Times New Roman" w:hAnsi="Times New Roman"/>
                <w:bCs/>
                <w:i/>
                <w:iCs/>
                <w:lang w:eastAsia="sk-SK"/>
              </w:rPr>
            </w:pPr>
            <w:r w:rsidRPr="00AE39BE">
              <w:rPr>
                <w:rFonts w:ascii="Times New Roman" w:hAnsi="Times New Roman"/>
                <w:bCs/>
                <w:i/>
                <w:iCs/>
                <w:lang w:eastAsia="sk-SK"/>
              </w:rPr>
              <w:t>sluzba_egov_1940</w:t>
            </w:r>
          </w:p>
          <w:p w:rsidR="00E22B16" w:rsidRDefault="00E22B16" w:rsidP="00EC4D63">
            <w:pPr>
              <w:spacing w:after="0" w:line="240" w:lineRule="auto"/>
              <w:jc w:val="center"/>
              <w:rPr>
                <w:rFonts w:ascii="Times New Roman" w:hAnsi="Times New Roman"/>
                <w:bCs/>
                <w:i/>
                <w:iCs/>
                <w:lang w:eastAsia="sk-SK"/>
              </w:rPr>
            </w:pPr>
          </w:p>
          <w:p w:rsidR="00E22B16" w:rsidRPr="00BB6C9D" w:rsidRDefault="00E22B16" w:rsidP="00EC4D63">
            <w:pPr>
              <w:spacing w:after="0" w:line="240" w:lineRule="auto"/>
              <w:jc w:val="center"/>
              <w:rPr>
                <w:rFonts w:ascii="Times New Roman" w:hAnsi="Times New Roman"/>
                <w:bCs/>
                <w:i/>
                <w:iCs/>
                <w:lang w:eastAsia="sk-SK"/>
              </w:rPr>
            </w:pPr>
          </w:p>
        </w:tc>
        <w:tc>
          <w:tcPr>
            <w:tcW w:w="1342" w:type="dxa"/>
            <w:gridSpan w:val="2"/>
          </w:tcPr>
          <w:p w:rsidR="00E22B16" w:rsidRDefault="00E22B16" w:rsidP="00EC4D63">
            <w:pPr>
              <w:spacing w:after="0" w:line="240" w:lineRule="auto"/>
              <w:jc w:val="both"/>
              <w:rPr>
                <w:rFonts w:ascii="Times New Roman" w:hAnsi="Times New Roman"/>
                <w:bCs/>
                <w:i/>
                <w:iCs/>
                <w:lang w:eastAsia="sk-SK"/>
              </w:rPr>
            </w:pPr>
            <w:r w:rsidRPr="008853F4">
              <w:rPr>
                <w:rFonts w:ascii="Times New Roman" w:hAnsi="Times New Roman"/>
                <w:bCs/>
                <w:i/>
                <w:iCs/>
                <w:lang w:eastAsia="sk-SK"/>
              </w:rPr>
              <w:lastRenderedPageBreak/>
              <w:t>Registrovanie subjektu k dani z príjmov, dani z pridanej hodnoty a dani z</w:t>
            </w:r>
            <w:r>
              <w:rPr>
                <w:rFonts w:ascii="Times New Roman" w:hAnsi="Times New Roman"/>
                <w:bCs/>
                <w:i/>
                <w:iCs/>
                <w:lang w:eastAsia="sk-SK"/>
              </w:rPr>
              <w:t> </w:t>
            </w:r>
            <w:r w:rsidRPr="008853F4">
              <w:rPr>
                <w:rFonts w:ascii="Times New Roman" w:hAnsi="Times New Roman"/>
                <w:bCs/>
                <w:i/>
                <w:iCs/>
                <w:lang w:eastAsia="sk-SK"/>
              </w:rPr>
              <w:t>poistenia</w:t>
            </w:r>
          </w:p>
          <w:p w:rsidR="00E22B16" w:rsidRDefault="00E22B16" w:rsidP="00EC4D63">
            <w:pPr>
              <w:spacing w:after="0" w:line="240" w:lineRule="auto"/>
              <w:jc w:val="both"/>
              <w:rPr>
                <w:rFonts w:ascii="Times New Roman" w:hAnsi="Times New Roman"/>
                <w:bCs/>
                <w:i/>
                <w:iCs/>
                <w:lang w:eastAsia="sk-SK"/>
              </w:rPr>
            </w:pPr>
            <w:r w:rsidRPr="008853F4">
              <w:rPr>
                <w:rFonts w:ascii="Times New Roman" w:hAnsi="Times New Roman"/>
                <w:bCs/>
                <w:i/>
                <w:iCs/>
                <w:lang w:eastAsia="sk-SK"/>
              </w:rPr>
              <w:t>Podávanie daňového priznania k dani z príjmov právnickej osoby</w:t>
            </w:r>
          </w:p>
          <w:p w:rsidR="00E22B16" w:rsidRDefault="00E22B16" w:rsidP="00EC4D63">
            <w:pPr>
              <w:spacing w:after="0" w:line="240" w:lineRule="auto"/>
              <w:jc w:val="both"/>
              <w:rPr>
                <w:rFonts w:ascii="Times New Roman" w:hAnsi="Times New Roman"/>
                <w:bCs/>
                <w:i/>
                <w:iCs/>
                <w:lang w:eastAsia="sk-SK"/>
              </w:rPr>
            </w:pPr>
            <w:r w:rsidRPr="008853F4">
              <w:rPr>
                <w:rFonts w:ascii="Times New Roman" w:hAnsi="Times New Roman"/>
                <w:bCs/>
                <w:i/>
                <w:iCs/>
                <w:lang w:eastAsia="sk-SK"/>
              </w:rPr>
              <w:t>Podávanie hlásenia o vyúčtovaní dane a o úhrne príjmov zo závislej činnosti</w:t>
            </w:r>
          </w:p>
          <w:p w:rsidR="00E22B16" w:rsidRDefault="00E22B16" w:rsidP="00EC4D63">
            <w:pPr>
              <w:spacing w:after="0" w:line="240" w:lineRule="auto"/>
              <w:jc w:val="both"/>
              <w:rPr>
                <w:rFonts w:ascii="Times New Roman" w:hAnsi="Times New Roman"/>
                <w:bCs/>
                <w:i/>
                <w:iCs/>
                <w:lang w:eastAsia="sk-SK"/>
              </w:rPr>
            </w:pPr>
            <w:r w:rsidRPr="00AD2923">
              <w:rPr>
                <w:rFonts w:ascii="Times New Roman" w:hAnsi="Times New Roman"/>
                <w:bCs/>
                <w:i/>
                <w:iCs/>
                <w:lang w:eastAsia="sk-SK"/>
              </w:rPr>
              <w:t>Podávanie prehľadu o zrazených a odvedených preddavkoch na daň</w:t>
            </w:r>
          </w:p>
          <w:p w:rsidR="00E22B16" w:rsidRDefault="00E22B16" w:rsidP="00EC4D63">
            <w:pPr>
              <w:spacing w:after="0" w:line="240" w:lineRule="auto"/>
              <w:jc w:val="both"/>
              <w:rPr>
                <w:rFonts w:ascii="Times New Roman" w:hAnsi="Times New Roman"/>
                <w:bCs/>
                <w:i/>
                <w:iCs/>
                <w:lang w:eastAsia="sk-SK"/>
              </w:rPr>
            </w:pPr>
            <w:r w:rsidRPr="00AD2923">
              <w:rPr>
                <w:rFonts w:ascii="Times New Roman" w:hAnsi="Times New Roman"/>
                <w:bCs/>
                <w:i/>
                <w:iCs/>
                <w:lang w:eastAsia="sk-SK"/>
              </w:rPr>
              <w:t>Podávanie daňového priznania k dani z príjmov fyzickej osoby zamestnanca (typ A)</w:t>
            </w:r>
          </w:p>
          <w:p w:rsidR="00E22B16" w:rsidRDefault="00E22B16" w:rsidP="00EC4D63">
            <w:pPr>
              <w:spacing w:after="0" w:line="240" w:lineRule="auto"/>
              <w:jc w:val="both"/>
            </w:pPr>
            <w:r w:rsidRPr="00AD2923">
              <w:rPr>
                <w:rFonts w:ascii="Times New Roman" w:hAnsi="Times New Roman"/>
                <w:bCs/>
                <w:i/>
                <w:iCs/>
                <w:lang w:eastAsia="sk-SK"/>
              </w:rPr>
              <w:t xml:space="preserve">Podávanie daňového priznania k </w:t>
            </w:r>
            <w:r w:rsidRPr="00AD2923">
              <w:rPr>
                <w:rFonts w:ascii="Times New Roman" w:hAnsi="Times New Roman"/>
                <w:bCs/>
                <w:i/>
                <w:iCs/>
                <w:lang w:eastAsia="sk-SK"/>
              </w:rPr>
              <w:lastRenderedPageBreak/>
              <w:t>dani z príjmov fyzickej osoby SZČO (typ B)</w:t>
            </w:r>
            <w:r>
              <w:t xml:space="preserve"> </w:t>
            </w:r>
          </w:p>
          <w:p w:rsidR="00E22B16" w:rsidRDefault="00E22B16" w:rsidP="00EC4D63">
            <w:pPr>
              <w:spacing w:after="0" w:line="240" w:lineRule="auto"/>
              <w:jc w:val="both"/>
              <w:rPr>
                <w:rFonts w:ascii="Times New Roman" w:hAnsi="Times New Roman"/>
                <w:bCs/>
                <w:i/>
                <w:iCs/>
                <w:lang w:eastAsia="sk-SK"/>
              </w:rPr>
            </w:pPr>
            <w:r w:rsidRPr="00AD2923">
              <w:rPr>
                <w:rFonts w:ascii="Times New Roman" w:hAnsi="Times New Roman"/>
                <w:bCs/>
                <w:i/>
                <w:iCs/>
                <w:lang w:eastAsia="sk-SK"/>
              </w:rPr>
              <w:t>Poskytovanie informácii o saldokonte fyzickej osoby</w:t>
            </w:r>
          </w:p>
          <w:p w:rsidR="00E22B16" w:rsidRDefault="00E22B16" w:rsidP="00EC4D63">
            <w:pPr>
              <w:spacing w:after="0" w:line="240" w:lineRule="auto"/>
              <w:jc w:val="both"/>
              <w:rPr>
                <w:rFonts w:ascii="Times New Roman" w:hAnsi="Times New Roman"/>
                <w:bCs/>
                <w:i/>
                <w:iCs/>
                <w:lang w:eastAsia="sk-SK"/>
              </w:rPr>
            </w:pPr>
            <w:r w:rsidRPr="00AE39BE">
              <w:rPr>
                <w:rFonts w:ascii="Times New Roman" w:hAnsi="Times New Roman"/>
                <w:bCs/>
                <w:i/>
                <w:iCs/>
                <w:lang w:eastAsia="sk-SK"/>
              </w:rPr>
              <w:t>Registrovanie subjektu k</w:t>
            </w:r>
            <w:r>
              <w:rPr>
                <w:rFonts w:ascii="Times New Roman" w:hAnsi="Times New Roman"/>
                <w:bCs/>
                <w:i/>
                <w:iCs/>
                <w:lang w:eastAsia="sk-SK"/>
              </w:rPr>
              <w:t> </w:t>
            </w:r>
            <w:r w:rsidRPr="00AE39BE">
              <w:rPr>
                <w:rFonts w:ascii="Times New Roman" w:hAnsi="Times New Roman"/>
                <w:bCs/>
                <w:i/>
                <w:iCs/>
                <w:lang w:eastAsia="sk-SK"/>
              </w:rPr>
              <w:t>dani</w:t>
            </w:r>
          </w:p>
          <w:p w:rsidR="00E22B16" w:rsidRDefault="00E22B16" w:rsidP="00EC4D63">
            <w:pPr>
              <w:spacing w:after="0" w:line="240" w:lineRule="auto"/>
              <w:jc w:val="both"/>
              <w:rPr>
                <w:rFonts w:ascii="Times New Roman" w:hAnsi="Times New Roman"/>
                <w:bCs/>
                <w:i/>
                <w:iCs/>
                <w:lang w:eastAsia="sk-SK"/>
              </w:rPr>
            </w:pPr>
            <w:r w:rsidRPr="00AE39BE">
              <w:rPr>
                <w:rFonts w:ascii="Times New Roman" w:hAnsi="Times New Roman"/>
                <w:bCs/>
                <w:i/>
                <w:iCs/>
                <w:lang w:eastAsia="sk-SK"/>
              </w:rPr>
              <w:t>Podávanie daňových priznaní právnickej osoby</w:t>
            </w:r>
          </w:p>
          <w:p w:rsidR="00E22B16" w:rsidRDefault="00E22B16" w:rsidP="00EC4D63">
            <w:pPr>
              <w:spacing w:after="0" w:line="240" w:lineRule="auto"/>
              <w:jc w:val="both"/>
              <w:rPr>
                <w:rFonts w:ascii="Times New Roman" w:hAnsi="Times New Roman"/>
                <w:bCs/>
                <w:i/>
                <w:iCs/>
                <w:lang w:eastAsia="sk-SK"/>
              </w:rPr>
            </w:pPr>
            <w:r w:rsidRPr="00AE39BE">
              <w:rPr>
                <w:rFonts w:ascii="Times New Roman" w:hAnsi="Times New Roman"/>
                <w:bCs/>
                <w:i/>
                <w:iCs/>
                <w:lang w:eastAsia="sk-SK"/>
              </w:rPr>
              <w:t>Používanie osobného účtu právnickej osoby (saldokonto)</w:t>
            </w:r>
          </w:p>
          <w:p w:rsidR="00E22B16" w:rsidRDefault="00E22B16" w:rsidP="00EC4D63">
            <w:pPr>
              <w:spacing w:after="0" w:line="240" w:lineRule="auto"/>
              <w:jc w:val="both"/>
              <w:rPr>
                <w:rFonts w:ascii="Times New Roman" w:hAnsi="Times New Roman"/>
                <w:bCs/>
                <w:i/>
                <w:iCs/>
                <w:lang w:eastAsia="sk-SK"/>
              </w:rPr>
            </w:pPr>
            <w:r w:rsidRPr="00AE39BE">
              <w:rPr>
                <w:rFonts w:ascii="Times New Roman" w:hAnsi="Times New Roman"/>
                <w:bCs/>
                <w:i/>
                <w:iCs/>
                <w:lang w:eastAsia="sk-SK"/>
              </w:rPr>
              <w:t>Podávanie daňových priznaní</w:t>
            </w:r>
          </w:p>
          <w:p w:rsidR="00E22B16" w:rsidRDefault="00E22B16" w:rsidP="00EC4D63">
            <w:pPr>
              <w:spacing w:after="0" w:line="240" w:lineRule="auto"/>
              <w:jc w:val="both"/>
              <w:rPr>
                <w:rFonts w:ascii="Times New Roman" w:hAnsi="Times New Roman"/>
                <w:bCs/>
                <w:i/>
                <w:iCs/>
                <w:lang w:eastAsia="sk-SK"/>
              </w:rPr>
            </w:pPr>
            <w:r w:rsidRPr="00AE39BE">
              <w:rPr>
                <w:rFonts w:ascii="Times New Roman" w:hAnsi="Times New Roman"/>
                <w:bCs/>
                <w:i/>
                <w:iCs/>
                <w:lang w:eastAsia="sk-SK"/>
              </w:rPr>
              <w:t>Platenie daní a</w:t>
            </w:r>
            <w:r>
              <w:rPr>
                <w:rFonts w:ascii="Times New Roman" w:hAnsi="Times New Roman"/>
                <w:bCs/>
                <w:i/>
                <w:iCs/>
                <w:lang w:eastAsia="sk-SK"/>
              </w:rPr>
              <w:t> </w:t>
            </w:r>
            <w:r w:rsidRPr="00AE39BE">
              <w:rPr>
                <w:rFonts w:ascii="Times New Roman" w:hAnsi="Times New Roman"/>
                <w:bCs/>
                <w:i/>
                <w:iCs/>
                <w:lang w:eastAsia="sk-SK"/>
              </w:rPr>
              <w:t>poplatkov</w:t>
            </w:r>
            <w:r>
              <w:rPr>
                <w:rFonts w:ascii="Times New Roman" w:hAnsi="Times New Roman"/>
                <w:bCs/>
                <w:i/>
                <w:iCs/>
                <w:lang w:eastAsia="sk-SK"/>
              </w:rPr>
              <w:t>v</w:t>
            </w:r>
          </w:p>
          <w:p w:rsidR="00E22B16" w:rsidRDefault="00E22B16" w:rsidP="00EC4D63">
            <w:pPr>
              <w:spacing w:after="0" w:line="240" w:lineRule="auto"/>
              <w:jc w:val="both"/>
              <w:rPr>
                <w:rFonts w:ascii="Times New Roman" w:hAnsi="Times New Roman"/>
                <w:bCs/>
                <w:i/>
                <w:iCs/>
                <w:lang w:eastAsia="sk-SK"/>
              </w:rPr>
            </w:pPr>
            <w:r w:rsidRPr="0012696D">
              <w:rPr>
                <w:rFonts w:ascii="Times New Roman" w:hAnsi="Times New Roman"/>
                <w:bCs/>
                <w:i/>
                <w:iCs/>
                <w:lang w:eastAsia="sk-SK"/>
              </w:rPr>
              <w:t>Podávanie žiadostí a podaní pre Finančnú správu</w:t>
            </w:r>
          </w:p>
          <w:p w:rsidR="00E22B16" w:rsidRPr="00BB6C9D" w:rsidRDefault="00E22B16" w:rsidP="00EC4D63">
            <w:pPr>
              <w:spacing w:after="0" w:line="240" w:lineRule="auto"/>
              <w:jc w:val="both"/>
              <w:rPr>
                <w:rFonts w:ascii="Times New Roman" w:hAnsi="Times New Roman"/>
                <w:bCs/>
                <w:i/>
                <w:iCs/>
                <w:lang w:eastAsia="sk-SK"/>
              </w:rPr>
            </w:pPr>
          </w:p>
        </w:tc>
        <w:tc>
          <w:tcPr>
            <w:tcW w:w="1493" w:type="dxa"/>
          </w:tcPr>
          <w:p w:rsidR="00E22B16" w:rsidRPr="00FC2B55" w:rsidRDefault="00E22B16" w:rsidP="00EC4D63">
            <w:pPr>
              <w:spacing w:after="0" w:line="240" w:lineRule="auto"/>
              <w:rPr>
                <w:rFonts w:ascii="Times New Roman" w:hAnsi="Times New Roman"/>
                <w:b/>
                <w:i/>
                <w:lang w:eastAsia="sk-SK"/>
              </w:rPr>
            </w:pPr>
            <w:r>
              <w:rPr>
                <w:rFonts w:ascii="Times New Roman" w:hAnsi="Times New Roman"/>
                <w:b/>
                <w:i/>
                <w:lang w:eastAsia="sk-SK"/>
              </w:rPr>
              <w:lastRenderedPageBreak/>
              <w:t>4</w:t>
            </w:r>
          </w:p>
        </w:tc>
      </w:tr>
      <w:tr w:rsidR="00E22B16" w:rsidRPr="00FC2B55" w:rsidTr="00EC4D63">
        <w:trPr>
          <w:trHeight w:val="20"/>
        </w:trPr>
        <w:tc>
          <w:tcPr>
            <w:tcW w:w="3956" w:type="dxa"/>
            <w:shd w:val="clear" w:color="auto" w:fill="C0C0C0"/>
            <w:vAlign w:val="center"/>
          </w:tcPr>
          <w:p w:rsidR="00E22B16" w:rsidRPr="00FC2B55" w:rsidRDefault="00E22B16" w:rsidP="00EC4D63">
            <w:pPr>
              <w:spacing w:after="0" w:line="240" w:lineRule="auto"/>
              <w:jc w:val="center"/>
              <w:rPr>
                <w:rFonts w:ascii="Times New Roman" w:hAnsi="Times New Roman"/>
                <w:b/>
                <w:sz w:val="20"/>
                <w:szCs w:val="20"/>
                <w:lang w:eastAsia="sk-SK"/>
              </w:rPr>
            </w:pPr>
            <w:r w:rsidRPr="00FC2B55">
              <w:rPr>
                <w:rFonts w:ascii="Times New Roman" w:hAnsi="Times New Roman"/>
                <w:b/>
                <w:sz w:val="20"/>
                <w:szCs w:val="20"/>
                <w:lang w:eastAsia="sk-SK"/>
              </w:rPr>
              <w:t>Aplikačná a technologická vrstva</w:t>
            </w:r>
          </w:p>
        </w:tc>
        <w:tc>
          <w:tcPr>
            <w:tcW w:w="1446" w:type="dxa"/>
            <w:shd w:val="clear" w:color="auto" w:fill="C0C0C0"/>
          </w:tcPr>
          <w:p w:rsidR="00E22B16" w:rsidRPr="00FC2B55" w:rsidRDefault="00E22B16" w:rsidP="00EC4D63">
            <w:pPr>
              <w:spacing w:after="0" w:line="240" w:lineRule="auto"/>
              <w:jc w:val="center"/>
              <w:rPr>
                <w:rFonts w:ascii="Times New Roman" w:hAnsi="Times New Roman"/>
                <w:b/>
                <w:sz w:val="20"/>
                <w:szCs w:val="20"/>
                <w:lang w:eastAsia="sk-SK"/>
              </w:rPr>
            </w:pPr>
            <w:r w:rsidRPr="00FC2B55">
              <w:rPr>
                <w:rFonts w:ascii="Times New Roman" w:hAnsi="Times New Roman"/>
                <w:b/>
                <w:sz w:val="20"/>
                <w:szCs w:val="20"/>
                <w:lang w:eastAsia="sk-SK"/>
              </w:rPr>
              <w:t>A – nový systém</w:t>
            </w:r>
          </w:p>
          <w:p w:rsidR="00E22B16" w:rsidRPr="00FC2B55" w:rsidRDefault="00E22B16" w:rsidP="00EC4D63">
            <w:pPr>
              <w:spacing w:after="0" w:line="240" w:lineRule="auto"/>
              <w:jc w:val="center"/>
              <w:rPr>
                <w:rFonts w:ascii="Times New Roman" w:hAnsi="Times New Roman"/>
                <w:b/>
                <w:sz w:val="20"/>
                <w:szCs w:val="20"/>
                <w:lang w:eastAsia="sk-SK"/>
              </w:rPr>
            </w:pPr>
            <w:r w:rsidRPr="00FC2B55">
              <w:rPr>
                <w:rFonts w:ascii="Times New Roman" w:hAnsi="Times New Roman"/>
                <w:b/>
                <w:sz w:val="20"/>
                <w:szCs w:val="20"/>
                <w:lang w:eastAsia="sk-SK"/>
              </w:rPr>
              <w:t>B – zmena systému</w:t>
            </w:r>
          </w:p>
        </w:tc>
        <w:tc>
          <w:tcPr>
            <w:tcW w:w="1134" w:type="dxa"/>
            <w:shd w:val="clear" w:color="auto" w:fill="C0C0C0"/>
            <w:vAlign w:val="center"/>
          </w:tcPr>
          <w:p w:rsidR="00E22B16" w:rsidRPr="00FC2B55" w:rsidRDefault="00E22B16" w:rsidP="00EC4D63">
            <w:pPr>
              <w:spacing w:after="0" w:line="240" w:lineRule="auto"/>
              <w:jc w:val="center"/>
              <w:rPr>
                <w:rFonts w:ascii="Times New Roman" w:hAnsi="Times New Roman"/>
                <w:b/>
                <w:sz w:val="20"/>
                <w:szCs w:val="20"/>
                <w:lang w:eastAsia="sk-SK"/>
              </w:rPr>
            </w:pPr>
            <w:r w:rsidRPr="00FC2B55">
              <w:rPr>
                <w:rFonts w:ascii="Times New Roman" w:hAnsi="Times New Roman"/>
                <w:b/>
                <w:sz w:val="20"/>
                <w:szCs w:val="20"/>
                <w:lang w:eastAsia="sk-SK"/>
              </w:rPr>
              <w:t>Kód systému</w:t>
            </w:r>
          </w:p>
        </w:tc>
        <w:tc>
          <w:tcPr>
            <w:tcW w:w="1342" w:type="dxa"/>
            <w:gridSpan w:val="2"/>
            <w:shd w:val="clear" w:color="auto" w:fill="C0C0C0"/>
            <w:vAlign w:val="center"/>
          </w:tcPr>
          <w:p w:rsidR="00E22B16" w:rsidRPr="00FC2B55" w:rsidRDefault="00E22B16" w:rsidP="00EC4D63">
            <w:pPr>
              <w:spacing w:after="0" w:line="240" w:lineRule="auto"/>
              <w:jc w:val="center"/>
              <w:rPr>
                <w:rFonts w:ascii="Times New Roman" w:hAnsi="Times New Roman"/>
                <w:b/>
                <w:sz w:val="20"/>
                <w:szCs w:val="20"/>
                <w:lang w:eastAsia="sk-SK"/>
              </w:rPr>
            </w:pPr>
            <w:r w:rsidRPr="00FC2B55">
              <w:rPr>
                <w:rFonts w:ascii="Times New Roman" w:hAnsi="Times New Roman"/>
                <w:b/>
                <w:sz w:val="20"/>
                <w:szCs w:val="20"/>
                <w:lang w:eastAsia="sk-SK"/>
              </w:rPr>
              <w:t>Názov systému</w:t>
            </w:r>
          </w:p>
        </w:tc>
        <w:tc>
          <w:tcPr>
            <w:tcW w:w="1493" w:type="dxa"/>
            <w:shd w:val="clear" w:color="auto" w:fill="C0C0C0"/>
            <w:vAlign w:val="center"/>
          </w:tcPr>
          <w:p w:rsidR="00E22B16" w:rsidRPr="00FC2B55" w:rsidRDefault="00E22B16" w:rsidP="00EC4D63">
            <w:pPr>
              <w:spacing w:after="0" w:line="240" w:lineRule="auto"/>
              <w:jc w:val="center"/>
              <w:rPr>
                <w:rFonts w:ascii="Times New Roman" w:hAnsi="Times New Roman"/>
                <w:b/>
                <w:sz w:val="20"/>
                <w:szCs w:val="20"/>
                <w:lang w:eastAsia="sk-SK"/>
              </w:rPr>
            </w:pPr>
            <w:r w:rsidRPr="00FC2B55">
              <w:rPr>
                <w:rFonts w:ascii="Times New Roman" w:hAnsi="Times New Roman"/>
                <w:b/>
                <w:sz w:val="20"/>
                <w:szCs w:val="20"/>
                <w:lang w:eastAsia="sk-SK"/>
              </w:rPr>
              <w:t>Vo vládnom cloude – áno / nie</w:t>
            </w:r>
          </w:p>
        </w:tc>
      </w:tr>
      <w:tr w:rsidR="00E22B16" w:rsidRPr="00FC2B55" w:rsidTr="00EC4D63">
        <w:trPr>
          <w:trHeight w:val="20"/>
        </w:trPr>
        <w:tc>
          <w:tcPr>
            <w:tcW w:w="3956" w:type="dxa"/>
          </w:tcPr>
          <w:p w:rsidR="00E22B16" w:rsidRPr="00FC2B55" w:rsidRDefault="00E22B16" w:rsidP="00EC4D63">
            <w:pPr>
              <w:spacing w:after="0" w:line="240" w:lineRule="auto"/>
              <w:rPr>
                <w:rFonts w:ascii="Times New Roman" w:hAnsi="Times New Roman"/>
                <w:sz w:val="24"/>
                <w:szCs w:val="24"/>
                <w:lang w:eastAsia="sk-SK"/>
              </w:rPr>
            </w:pPr>
            <w:r w:rsidRPr="00FC2B55">
              <w:rPr>
                <w:rFonts w:ascii="Times New Roman" w:hAnsi="Times New Roman"/>
                <w:b/>
                <w:sz w:val="20"/>
                <w:szCs w:val="20"/>
                <w:lang w:eastAsia="sk-SK"/>
              </w:rPr>
              <w:t>6.2.</w:t>
            </w:r>
            <w:r w:rsidRPr="00FC2B55">
              <w:rPr>
                <w:rFonts w:ascii="Times New Roman" w:hAnsi="Times New Roman"/>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446" w:type="dxa"/>
          </w:tcPr>
          <w:p w:rsidR="00E22B16" w:rsidRDefault="00E22B16" w:rsidP="00EC4D63">
            <w:pPr>
              <w:spacing w:after="0" w:line="240" w:lineRule="auto"/>
              <w:jc w:val="center"/>
              <w:rPr>
                <w:rFonts w:ascii="Times New Roman" w:hAnsi="Times New Roman"/>
                <w:b/>
                <w:iCs/>
                <w:sz w:val="24"/>
                <w:szCs w:val="24"/>
                <w:lang w:eastAsia="sk-SK"/>
              </w:rPr>
            </w:pPr>
            <w:r w:rsidRPr="0039164E">
              <w:rPr>
                <w:rFonts w:ascii="Times New Roman" w:hAnsi="Times New Roman"/>
                <w:b/>
                <w:iCs/>
                <w:sz w:val="24"/>
                <w:szCs w:val="24"/>
                <w:lang w:eastAsia="sk-SK"/>
              </w:rPr>
              <w:t>B</w:t>
            </w:r>
          </w:p>
          <w:p w:rsidR="00E22B16" w:rsidRDefault="00E22B16" w:rsidP="00EC4D63">
            <w:pPr>
              <w:spacing w:after="0" w:line="240" w:lineRule="auto"/>
              <w:jc w:val="center"/>
              <w:rPr>
                <w:rFonts w:ascii="Times New Roman" w:hAnsi="Times New Roman"/>
                <w:b/>
                <w:iCs/>
                <w:sz w:val="24"/>
                <w:szCs w:val="24"/>
                <w:lang w:eastAsia="sk-SK"/>
              </w:rPr>
            </w:pPr>
          </w:p>
          <w:p w:rsidR="00E22B16" w:rsidRDefault="00E22B16" w:rsidP="00EC4D63">
            <w:pPr>
              <w:spacing w:after="0" w:line="240" w:lineRule="auto"/>
              <w:jc w:val="center"/>
              <w:rPr>
                <w:rFonts w:ascii="Times New Roman" w:hAnsi="Times New Roman"/>
                <w:b/>
                <w:iCs/>
                <w:sz w:val="24"/>
                <w:szCs w:val="24"/>
                <w:lang w:eastAsia="sk-SK"/>
              </w:rPr>
            </w:pPr>
          </w:p>
          <w:p w:rsidR="00E22B16" w:rsidRDefault="00E22B16" w:rsidP="00EC4D63">
            <w:pPr>
              <w:spacing w:after="0" w:line="240" w:lineRule="auto"/>
              <w:jc w:val="center"/>
              <w:rPr>
                <w:rFonts w:ascii="Times New Roman" w:hAnsi="Times New Roman"/>
                <w:b/>
                <w:iCs/>
                <w:sz w:val="24"/>
                <w:szCs w:val="24"/>
                <w:lang w:eastAsia="sk-SK"/>
              </w:rPr>
            </w:pPr>
          </w:p>
          <w:p w:rsidR="00E22B16" w:rsidRDefault="00E22B16" w:rsidP="00EC4D63">
            <w:pPr>
              <w:spacing w:after="0" w:line="240" w:lineRule="auto"/>
              <w:jc w:val="center"/>
              <w:rPr>
                <w:rFonts w:ascii="Times New Roman" w:hAnsi="Times New Roman"/>
                <w:b/>
                <w:iCs/>
                <w:sz w:val="24"/>
                <w:szCs w:val="24"/>
                <w:lang w:eastAsia="sk-SK"/>
              </w:rPr>
            </w:pPr>
          </w:p>
          <w:p w:rsidR="00E22B16" w:rsidRDefault="00E22B16" w:rsidP="00EC4D63">
            <w:pPr>
              <w:spacing w:after="0" w:line="240" w:lineRule="auto"/>
              <w:jc w:val="center"/>
              <w:rPr>
                <w:rFonts w:ascii="Times New Roman" w:hAnsi="Times New Roman"/>
                <w:b/>
                <w:iCs/>
                <w:sz w:val="24"/>
                <w:szCs w:val="24"/>
                <w:lang w:eastAsia="sk-SK"/>
              </w:rPr>
            </w:pPr>
            <w:r>
              <w:rPr>
                <w:rFonts w:ascii="Times New Roman" w:hAnsi="Times New Roman"/>
                <w:b/>
                <w:iCs/>
                <w:sz w:val="24"/>
                <w:szCs w:val="24"/>
                <w:lang w:eastAsia="sk-SK"/>
              </w:rPr>
              <w:t>B</w:t>
            </w:r>
          </w:p>
          <w:p w:rsidR="00E22B16" w:rsidRDefault="00E22B16" w:rsidP="00EC4D63">
            <w:pPr>
              <w:spacing w:after="0" w:line="240" w:lineRule="auto"/>
              <w:jc w:val="center"/>
              <w:rPr>
                <w:rFonts w:ascii="Times New Roman" w:hAnsi="Times New Roman"/>
                <w:b/>
                <w:iCs/>
                <w:sz w:val="24"/>
                <w:szCs w:val="24"/>
                <w:lang w:eastAsia="sk-SK"/>
              </w:rPr>
            </w:pPr>
          </w:p>
          <w:p w:rsidR="00E22B16" w:rsidRDefault="00E22B16" w:rsidP="00EC4D63">
            <w:pPr>
              <w:spacing w:after="0" w:line="240" w:lineRule="auto"/>
              <w:jc w:val="center"/>
              <w:rPr>
                <w:rFonts w:ascii="Times New Roman" w:hAnsi="Times New Roman"/>
                <w:b/>
                <w:iCs/>
                <w:sz w:val="24"/>
                <w:szCs w:val="24"/>
                <w:lang w:eastAsia="sk-SK"/>
              </w:rPr>
            </w:pPr>
          </w:p>
          <w:p w:rsidR="00E22B16" w:rsidRDefault="00E22B16" w:rsidP="00EC4D63">
            <w:pPr>
              <w:spacing w:after="0" w:line="240" w:lineRule="auto"/>
              <w:jc w:val="center"/>
              <w:rPr>
                <w:rFonts w:ascii="Times New Roman" w:hAnsi="Times New Roman"/>
                <w:b/>
                <w:iCs/>
                <w:sz w:val="24"/>
                <w:szCs w:val="24"/>
                <w:lang w:eastAsia="sk-SK"/>
              </w:rPr>
            </w:pPr>
          </w:p>
          <w:p w:rsidR="00E22B16" w:rsidRDefault="00E22B16" w:rsidP="00EC4D63">
            <w:pPr>
              <w:spacing w:after="0" w:line="240" w:lineRule="auto"/>
              <w:jc w:val="center"/>
              <w:rPr>
                <w:rFonts w:ascii="Times New Roman" w:hAnsi="Times New Roman"/>
                <w:b/>
                <w:iCs/>
                <w:sz w:val="24"/>
                <w:szCs w:val="24"/>
                <w:lang w:eastAsia="sk-SK"/>
              </w:rPr>
            </w:pPr>
          </w:p>
          <w:p w:rsidR="00E22B16" w:rsidRDefault="00E22B16" w:rsidP="00EC4D63">
            <w:pPr>
              <w:spacing w:after="0" w:line="240" w:lineRule="auto"/>
              <w:jc w:val="center"/>
              <w:rPr>
                <w:rFonts w:ascii="Times New Roman" w:hAnsi="Times New Roman"/>
                <w:b/>
                <w:iCs/>
                <w:sz w:val="24"/>
                <w:szCs w:val="24"/>
                <w:lang w:eastAsia="sk-SK"/>
              </w:rPr>
            </w:pPr>
          </w:p>
          <w:p w:rsidR="00E22B16" w:rsidRPr="0039164E" w:rsidRDefault="00E22B16" w:rsidP="00EC4D63">
            <w:pPr>
              <w:spacing w:after="0" w:line="240" w:lineRule="auto"/>
              <w:rPr>
                <w:rFonts w:ascii="Times New Roman" w:hAnsi="Times New Roman"/>
                <w:b/>
                <w:iCs/>
                <w:sz w:val="24"/>
                <w:szCs w:val="24"/>
                <w:lang w:eastAsia="sk-SK"/>
              </w:rPr>
            </w:pPr>
          </w:p>
        </w:tc>
        <w:tc>
          <w:tcPr>
            <w:tcW w:w="1134" w:type="dxa"/>
          </w:tcPr>
          <w:p w:rsidR="00E22B16" w:rsidRPr="000F2344" w:rsidRDefault="00E22B16" w:rsidP="00EC4D63">
            <w:pPr>
              <w:spacing w:after="0" w:line="240" w:lineRule="auto"/>
              <w:rPr>
                <w:rFonts w:ascii="Times New Roman" w:hAnsi="Times New Roman"/>
                <w:i/>
                <w:iCs/>
                <w:sz w:val="24"/>
                <w:szCs w:val="24"/>
                <w:lang w:eastAsia="sk-SK"/>
              </w:rPr>
            </w:pPr>
            <w:r w:rsidRPr="000F2344">
              <w:rPr>
                <w:rFonts w:ascii="Times New Roman" w:hAnsi="Times New Roman"/>
                <w:i/>
                <w:iCs/>
                <w:sz w:val="24"/>
                <w:szCs w:val="24"/>
                <w:lang w:eastAsia="sk-SK"/>
              </w:rPr>
              <w:t>isvs_7213</w:t>
            </w:r>
          </w:p>
          <w:p w:rsidR="00E22B16" w:rsidRPr="000F2344" w:rsidRDefault="00E22B16" w:rsidP="00EC4D63">
            <w:pPr>
              <w:spacing w:after="0" w:line="240" w:lineRule="auto"/>
              <w:rPr>
                <w:rFonts w:ascii="Times New Roman" w:hAnsi="Times New Roman"/>
                <w:i/>
                <w:iCs/>
                <w:sz w:val="24"/>
                <w:szCs w:val="24"/>
                <w:lang w:eastAsia="sk-SK"/>
              </w:rPr>
            </w:pPr>
          </w:p>
          <w:p w:rsidR="00E22B16" w:rsidRPr="000F2344" w:rsidRDefault="00E22B16" w:rsidP="00EC4D63">
            <w:pPr>
              <w:spacing w:after="0" w:line="240" w:lineRule="auto"/>
              <w:rPr>
                <w:rFonts w:ascii="Times New Roman" w:hAnsi="Times New Roman"/>
                <w:i/>
                <w:iCs/>
                <w:sz w:val="24"/>
                <w:szCs w:val="24"/>
                <w:lang w:eastAsia="sk-SK"/>
              </w:rPr>
            </w:pPr>
          </w:p>
          <w:p w:rsidR="00E22B16" w:rsidRPr="000F2344" w:rsidRDefault="00E22B16" w:rsidP="00EC4D63">
            <w:pPr>
              <w:spacing w:after="0" w:line="240" w:lineRule="auto"/>
              <w:rPr>
                <w:rFonts w:ascii="Times New Roman" w:hAnsi="Times New Roman"/>
                <w:i/>
                <w:iCs/>
                <w:sz w:val="24"/>
                <w:szCs w:val="24"/>
                <w:lang w:eastAsia="sk-SK"/>
              </w:rPr>
            </w:pPr>
          </w:p>
          <w:p w:rsidR="00E22B16" w:rsidRDefault="00E22B16" w:rsidP="00EC4D63">
            <w:pPr>
              <w:spacing w:after="0" w:line="240" w:lineRule="auto"/>
              <w:rPr>
                <w:rFonts w:ascii="Times New Roman" w:hAnsi="Times New Roman"/>
                <w:i/>
                <w:iCs/>
                <w:color w:val="333333"/>
                <w:sz w:val="24"/>
                <w:szCs w:val="24"/>
                <w:shd w:val="clear" w:color="auto" w:fill="FFFFFF"/>
              </w:rPr>
            </w:pPr>
          </w:p>
          <w:p w:rsidR="00E22B16" w:rsidRPr="000F2344" w:rsidRDefault="00E22B16" w:rsidP="00EC4D63">
            <w:pPr>
              <w:spacing w:after="0" w:line="240" w:lineRule="auto"/>
              <w:rPr>
                <w:rFonts w:ascii="Times New Roman" w:hAnsi="Times New Roman"/>
                <w:i/>
                <w:iCs/>
                <w:sz w:val="24"/>
                <w:szCs w:val="24"/>
                <w:lang w:eastAsia="sk-SK"/>
              </w:rPr>
            </w:pPr>
            <w:r w:rsidRPr="000F2344">
              <w:rPr>
                <w:rFonts w:ascii="Times New Roman" w:hAnsi="Times New Roman"/>
                <w:i/>
                <w:iCs/>
                <w:sz w:val="24"/>
                <w:szCs w:val="24"/>
                <w:lang w:eastAsia="sk-SK"/>
              </w:rPr>
              <w:t>isvs_7</w:t>
            </w:r>
            <w:r>
              <w:rPr>
                <w:rFonts w:ascii="Times New Roman" w:hAnsi="Times New Roman"/>
                <w:i/>
                <w:iCs/>
                <w:sz w:val="24"/>
                <w:szCs w:val="24"/>
                <w:lang w:eastAsia="sk-SK"/>
              </w:rPr>
              <w:t>714</w:t>
            </w:r>
          </w:p>
          <w:p w:rsidR="00E22B16" w:rsidRPr="000F2344" w:rsidRDefault="00E22B16" w:rsidP="00EC4D63">
            <w:pPr>
              <w:spacing w:after="0" w:line="240" w:lineRule="auto"/>
              <w:rPr>
                <w:rFonts w:ascii="Times New Roman" w:hAnsi="Times New Roman"/>
                <w:i/>
                <w:iCs/>
                <w:sz w:val="24"/>
                <w:szCs w:val="24"/>
                <w:lang w:eastAsia="sk-SK"/>
              </w:rPr>
            </w:pPr>
          </w:p>
        </w:tc>
        <w:tc>
          <w:tcPr>
            <w:tcW w:w="1342" w:type="dxa"/>
            <w:gridSpan w:val="2"/>
          </w:tcPr>
          <w:p w:rsidR="00E22B16" w:rsidRDefault="00E22B16" w:rsidP="00EC4D63">
            <w:pPr>
              <w:spacing w:after="0" w:line="240" w:lineRule="auto"/>
              <w:rPr>
                <w:rFonts w:ascii="Times New Roman" w:hAnsi="Times New Roman"/>
                <w:i/>
                <w:iCs/>
                <w:sz w:val="24"/>
                <w:szCs w:val="24"/>
                <w:lang w:eastAsia="sk-SK"/>
              </w:rPr>
            </w:pPr>
            <w:r w:rsidRPr="000F2344">
              <w:rPr>
                <w:rFonts w:ascii="Times New Roman" w:hAnsi="Times New Roman"/>
                <w:i/>
                <w:iCs/>
                <w:sz w:val="24"/>
                <w:szCs w:val="24"/>
                <w:lang w:eastAsia="sk-SK"/>
              </w:rPr>
              <w:t>Portál Finančnej správy (PFS)</w:t>
            </w:r>
          </w:p>
          <w:p w:rsidR="00E22B16" w:rsidRPr="000F2344" w:rsidRDefault="00E22B16" w:rsidP="00EC4D63">
            <w:pPr>
              <w:spacing w:after="0" w:line="240" w:lineRule="auto"/>
              <w:rPr>
                <w:rFonts w:ascii="Times New Roman" w:hAnsi="Times New Roman"/>
                <w:i/>
                <w:iCs/>
                <w:sz w:val="24"/>
                <w:szCs w:val="24"/>
                <w:lang w:eastAsia="sk-SK"/>
              </w:rPr>
            </w:pPr>
          </w:p>
          <w:p w:rsidR="00E22B16" w:rsidRPr="000F2344" w:rsidRDefault="00E22B16" w:rsidP="00EC4D63">
            <w:pPr>
              <w:spacing w:after="0" w:line="240" w:lineRule="auto"/>
              <w:rPr>
                <w:rFonts w:ascii="Times New Roman" w:hAnsi="Times New Roman"/>
                <w:i/>
                <w:iCs/>
                <w:sz w:val="24"/>
                <w:szCs w:val="24"/>
                <w:lang w:eastAsia="sk-SK"/>
              </w:rPr>
            </w:pPr>
            <w:r>
              <w:rPr>
                <w:rFonts w:ascii="Times New Roman" w:hAnsi="Times New Roman"/>
                <w:i/>
                <w:iCs/>
                <w:sz w:val="24"/>
                <w:szCs w:val="24"/>
                <w:lang w:eastAsia="sk-SK"/>
              </w:rPr>
              <w:t>Integrovaný systém finančnej správy – správa daní (ISFS-SD)</w:t>
            </w:r>
          </w:p>
        </w:tc>
        <w:tc>
          <w:tcPr>
            <w:tcW w:w="1493" w:type="dxa"/>
          </w:tcPr>
          <w:p w:rsidR="00E22B16" w:rsidRDefault="00E22B16" w:rsidP="00EC4D63">
            <w:pPr>
              <w:spacing w:after="0" w:line="240" w:lineRule="auto"/>
              <w:rPr>
                <w:rFonts w:ascii="Times New Roman" w:hAnsi="Times New Roman"/>
                <w:i/>
                <w:iCs/>
                <w:sz w:val="24"/>
                <w:szCs w:val="24"/>
                <w:lang w:eastAsia="sk-SK"/>
              </w:rPr>
            </w:pPr>
            <w:r>
              <w:rPr>
                <w:rFonts w:ascii="Times New Roman" w:hAnsi="Times New Roman"/>
                <w:i/>
                <w:iCs/>
                <w:sz w:val="24"/>
                <w:szCs w:val="24"/>
                <w:lang w:eastAsia="sk-SK"/>
              </w:rPr>
              <w:t>Nie</w:t>
            </w:r>
          </w:p>
          <w:p w:rsidR="00E22B16" w:rsidRDefault="00E22B16" w:rsidP="00EC4D63">
            <w:pPr>
              <w:spacing w:after="0" w:line="240" w:lineRule="auto"/>
              <w:rPr>
                <w:rFonts w:ascii="Times New Roman" w:hAnsi="Times New Roman"/>
                <w:i/>
                <w:iCs/>
                <w:sz w:val="24"/>
                <w:szCs w:val="24"/>
                <w:lang w:eastAsia="sk-SK"/>
              </w:rPr>
            </w:pPr>
          </w:p>
          <w:p w:rsidR="00E22B16" w:rsidRDefault="00E22B16" w:rsidP="00EC4D63">
            <w:pPr>
              <w:spacing w:after="0" w:line="240" w:lineRule="auto"/>
              <w:rPr>
                <w:rFonts w:ascii="Times New Roman" w:hAnsi="Times New Roman"/>
                <w:i/>
                <w:iCs/>
                <w:sz w:val="24"/>
                <w:szCs w:val="24"/>
                <w:lang w:eastAsia="sk-SK"/>
              </w:rPr>
            </w:pPr>
          </w:p>
          <w:p w:rsidR="00E22B16" w:rsidRDefault="00E22B16" w:rsidP="00EC4D63">
            <w:pPr>
              <w:spacing w:after="0" w:line="240" w:lineRule="auto"/>
              <w:rPr>
                <w:rFonts w:ascii="Times New Roman" w:hAnsi="Times New Roman"/>
                <w:i/>
                <w:iCs/>
                <w:sz w:val="24"/>
                <w:szCs w:val="24"/>
                <w:lang w:eastAsia="sk-SK"/>
              </w:rPr>
            </w:pPr>
          </w:p>
          <w:p w:rsidR="00E22B16" w:rsidRDefault="00E22B16" w:rsidP="00EC4D63">
            <w:pPr>
              <w:spacing w:after="0" w:line="240" w:lineRule="auto"/>
              <w:rPr>
                <w:rFonts w:ascii="Times New Roman" w:hAnsi="Times New Roman"/>
                <w:i/>
                <w:iCs/>
                <w:sz w:val="24"/>
                <w:szCs w:val="24"/>
                <w:lang w:eastAsia="sk-SK"/>
              </w:rPr>
            </w:pPr>
          </w:p>
          <w:p w:rsidR="00E22B16" w:rsidRDefault="00E22B16" w:rsidP="00EC4D63">
            <w:pPr>
              <w:spacing w:after="0" w:line="240" w:lineRule="auto"/>
              <w:rPr>
                <w:rFonts w:ascii="Times New Roman" w:hAnsi="Times New Roman"/>
                <w:i/>
                <w:iCs/>
                <w:sz w:val="24"/>
                <w:szCs w:val="24"/>
                <w:lang w:eastAsia="sk-SK"/>
              </w:rPr>
            </w:pPr>
            <w:r>
              <w:rPr>
                <w:rFonts w:ascii="Times New Roman" w:hAnsi="Times New Roman"/>
                <w:i/>
                <w:iCs/>
                <w:sz w:val="24"/>
                <w:szCs w:val="24"/>
                <w:lang w:eastAsia="sk-SK"/>
              </w:rPr>
              <w:t>Nie</w:t>
            </w:r>
          </w:p>
          <w:p w:rsidR="00E22B16" w:rsidRDefault="00E22B16" w:rsidP="00EC4D63">
            <w:pPr>
              <w:spacing w:after="0" w:line="240" w:lineRule="auto"/>
              <w:rPr>
                <w:rFonts w:ascii="Times New Roman" w:hAnsi="Times New Roman"/>
                <w:i/>
                <w:iCs/>
                <w:sz w:val="24"/>
                <w:szCs w:val="24"/>
                <w:lang w:eastAsia="sk-SK"/>
              </w:rPr>
            </w:pPr>
          </w:p>
          <w:p w:rsidR="00E22B16" w:rsidRDefault="00E22B16" w:rsidP="00EC4D63">
            <w:pPr>
              <w:spacing w:after="0" w:line="240" w:lineRule="auto"/>
              <w:rPr>
                <w:rFonts w:ascii="Times New Roman" w:hAnsi="Times New Roman"/>
                <w:i/>
                <w:iCs/>
                <w:sz w:val="24"/>
                <w:szCs w:val="24"/>
                <w:lang w:eastAsia="sk-SK"/>
              </w:rPr>
            </w:pPr>
          </w:p>
          <w:p w:rsidR="00E22B16" w:rsidRDefault="00E22B16" w:rsidP="00EC4D63">
            <w:pPr>
              <w:spacing w:after="0" w:line="240" w:lineRule="auto"/>
              <w:rPr>
                <w:rFonts w:ascii="Times New Roman" w:hAnsi="Times New Roman"/>
                <w:i/>
                <w:iCs/>
                <w:sz w:val="24"/>
                <w:szCs w:val="24"/>
                <w:lang w:eastAsia="sk-SK"/>
              </w:rPr>
            </w:pPr>
          </w:p>
          <w:p w:rsidR="00E22B16" w:rsidRDefault="00E22B16" w:rsidP="00EC4D63">
            <w:pPr>
              <w:spacing w:after="0" w:line="240" w:lineRule="auto"/>
              <w:rPr>
                <w:rFonts w:ascii="Times New Roman" w:hAnsi="Times New Roman"/>
                <w:i/>
                <w:iCs/>
                <w:sz w:val="24"/>
                <w:szCs w:val="24"/>
                <w:lang w:eastAsia="sk-SK"/>
              </w:rPr>
            </w:pPr>
          </w:p>
          <w:p w:rsidR="00E22B16" w:rsidRPr="00FC2B55" w:rsidRDefault="00E22B16" w:rsidP="00EC4D63">
            <w:pPr>
              <w:spacing w:after="0" w:line="240" w:lineRule="auto"/>
              <w:rPr>
                <w:rFonts w:ascii="Times New Roman" w:hAnsi="Times New Roman"/>
                <w:i/>
                <w:iCs/>
                <w:sz w:val="24"/>
                <w:szCs w:val="24"/>
                <w:lang w:eastAsia="sk-SK"/>
              </w:rPr>
            </w:pPr>
          </w:p>
        </w:tc>
      </w:tr>
      <w:tr w:rsidR="00E22B16" w:rsidRPr="00FC2B55" w:rsidTr="00EC4D63">
        <w:trPr>
          <w:trHeight w:val="20"/>
        </w:trPr>
        <w:tc>
          <w:tcPr>
            <w:tcW w:w="3956" w:type="dxa"/>
            <w:shd w:val="clear" w:color="auto" w:fill="BFBFBF"/>
            <w:vAlign w:val="center"/>
          </w:tcPr>
          <w:p w:rsidR="00E22B16" w:rsidRPr="00FC2B55" w:rsidRDefault="00E22B16" w:rsidP="00EC4D63">
            <w:pPr>
              <w:spacing w:after="0" w:line="20" w:lineRule="atLeast"/>
              <w:jc w:val="center"/>
              <w:rPr>
                <w:rFonts w:ascii="Times New Roman" w:hAnsi="Times New Roman"/>
                <w:b/>
                <w:sz w:val="20"/>
                <w:szCs w:val="20"/>
                <w:lang w:eastAsia="sk-SK"/>
              </w:rPr>
            </w:pPr>
            <w:r w:rsidRPr="00FC2B55">
              <w:rPr>
                <w:rFonts w:ascii="Times New Roman" w:hAnsi="Times New Roman"/>
                <w:b/>
                <w:sz w:val="20"/>
                <w:szCs w:val="20"/>
                <w:lang w:eastAsia="sk-SK"/>
              </w:rPr>
              <w:lastRenderedPageBreak/>
              <w:t>Financovanie procesu informatizácie</w:t>
            </w:r>
          </w:p>
        </w:tc>
        <w:tc>
          <w:tcPr>
            <w:tcW w:w="1446" w:type="dxa"/>
            <w:shd w:val="clear" w:color="auto" w:fill="BFBFBF"/>
            <w:vAlign w:val="center"/>
          </w:tcPr>
          <w:p w:rsidR="00E22B16" w:rsidRPr="00FC2B55" w:rsidRDefault="00E22B16" w:rsidP="00EC4D63">
            <w:pPr>
              <w:spacing w:after="0" w:line="240" w:lineRule="auto"/>
              <w:jc w:val="center"/>
              <w:rPr>
                <w:rFonts w:ascii="Times New Roman" w:hAnsi="Times New Roman"/>
                <w:b/>
                <w:i/>
                <w:iCs/>
                <w:sz w:val="20"/>
                <w:szCs w:val="20"/>
                <w:lang w:eastAsia="sk-SK"/>
              </w:rPr>
            </w:pPr>
            <w:r w:rsidRPr="00FC2B55">
              <w:rPr>
                <w:rFonts w:ascii="Times New Roman" w:hAnsi="Times New Roman"/>
                <w:b/>
                <w:sz w:val="20"/>
                <w:szCs w:val="20"/>
                <w:lang w:eastAsia="sk-SK"/>
              </w:rPr>
              <w:t>Rezortná úroveň</w:t>
            </w:r>
          </w:p>
        </w:tc>
        <w:tc>
          <w:tcPr>
            <w:tcW w:w="1984" w:type="dxa"/>
            <w:gridSpan w:val="2"/>
            <w:shd w:val="clear" w:color="auto" w:fill="BFBFBF"/>
            <w:vAlign w:val="center"/>
          </w:tcPr>
          <w:p w:rsidR="00E22B16" w:rsidRPr="00FC2B55" w:rsidRDefault="00E22B16" w:rsidP="00EC4D63">
            <w:pPr>
              <w:spacing w:after="0" w:line="240" w:lineRule="auto"/>
              <w:jc w:val="center"/>
              <w:rPr>
                <w:rFonts w:ascii="Times New Roman" w:hAnsi="Times New Roman"/>
                <w:b/>
                <w:i/>
                <w:iCs/>
                <w:sz w:val="20"/>
                <w:szCs w:val="20"/>
                <w:lang w:eastAsia="sk-SK"/>
              </w:rPr>
            </w:pPr>
            <w:r w:rsidRPr="00FC2B55">
              <w:rPr>
                <w:rFonts w:ascii="Times New Roman" w:hAnsi="Times New Roman"/>
                <w:b/>
                <w:sz w:val="20"/>
                <w:szCs w:val="20"/>
                <w:lang w:eastAsia="sk-SK"/>
              </w:rPr>
              <w:t>Nadrezortná úroveň</w:t>
            </w:r>
          </w:p>
          <w:p w:rsidR="00E22B16" w:rsidRPr="00FC2B55" w:rsidRDefault="00E22B16" w:rsidP="00EC4D63">
            <w:pPr>
              <w:spacing w:after="0" w:line="240" w:lineRule="auto"/>
              <w:jc w:val="center"/>
              <w:rPr>
                <w:rFonts w:ascii="Times New Roman" w:hAnsi="Times New Roman"/>
                <w:b/>
                <w:sz w:val="20"/>
                <w:szCs w:val="20"/>
                <w:lang w:eastAsia="sk-SK"/>
              </w:rPr>
            </w:pPr>
          </w:p>
        </w:tc>
        <w:tc>
          <w:tcPr>
            <w:tcW w:w="1985" w:type="dxa"/>
            <w:gridSpan w:val="2"/>
            <w:shd w:val="clear" w:color="auto" w:fill="BFBFBF"/>
            <w:vAlign w:val="center"/>
          </w:tcPr>
          <w:p w:rsidR="00E22B16" w:rsidRPr="00FC2B55" w:rsidRDefault="00E22B16" w:rsidP="00EC4D63">
            <w:pPr>
              <w:spacing w:after="0" w:line="240" w:lineRule="auto"/>
              <w:rPr>
                <w:rFonts w:ascii="Times New Roman" w:hAnsi="Times New Roman"/>
                <w:b/>
                <w:sz w:val="20"/>
                <w:szCs w:val="20"/>
                <w:lang w:eastAsia="sk-SK"/>
              </w:rPr>
            </w:pPr>
            <w:r w:rsidRPr="00FC2B55">
              <w:rPr>
                <w:rFonts w:ascii="Times New Roman" w:hAnsi="Times New Roman"/>
                <w:b/>
                <w:sz w:val="20"/>
                <w:szCs w:val="20"/>
                <w:lang w:eastAsia="sk-SK"/>
              </w:rPr>
              <w:t>A - z prostriedkov EÚ   B - z ďalších zdrojov financovania</w:t>
            </w:r>
          </w:p>
        </w:tc>
      </w:tr>
      <w:tr w:rsidR="00E22B16" w:rsidRPr="00FC2B55" w:rsidTr="00EC4D63">
        <w:trPr>
          <w:trHeight w:val="20"/>
        </w:trPr>
        <w:tc>
          <w:tcPr>
            <w:tcW w:w="3956" w:type="dxa"/>
          </w:tcPr>
          <w:p w:rsidR="00E22B16" w:rsidRPr="00FC2B55" w:rsidRDefault="00E22B16" w:rsidP="00EC4D63">
            <w:pPr>
              <w:spacing w:after="0" w:line="240" w:lineRule="auto"/>
              <w:jc w:val="both"/>
              <w:rPr>
                <w:rFonts w:ascii="Times New Roman" w:hAnsi="Times New Roman"/>
                <w:sz w:val="20"/>
                <w:lang w:eastAsia="sk-SK"/>
              </w:rPr>
            </w:pPr>
            <w:r w:rsidRPr="00FC2B55">
              <w:rPr>
                <w:rFonts w:ascii="Times New Roman" w:hAnsi="Times New Roman"/>
                <w:b/>
                <w:sz w:val="20"/>
                <w:lang w:eastAsia="sk-SK"/>
              </w:rPr>
              <w:t>6.3.</w:t>
            </w:r>
            <w:r w:rsidRPr="00FC2B55">
              <w:rPr>
                <w:rFonts w:ascii="Times New Roman" w:hAnsi="Times New Roman"/>
                <w:sz w:val="20"/>
                <w:lang w:eastAsia="sk-SK"/>
              </w:rPr>
              <w:t xml:space="preserve"> Vyžaduje si proces informatizácie  finančné investície?</w:t>
            </w:r>
          </w:p>
          <w:p w:rsidR="00E22B16" w:rsidRPr="00FC2B55" w:rsidRDefault="00E22B16" w:rsidP="00EC4D63">
            <w:pPr>
              <w:spacing w:after="0" w:line="20" w:lineRule="atLeast"/>
              <w:jc w:val="both"/>
              <w:rPr>
                <w:rFonts w:ascii="Times New Roman" w:hAnsi="Times New Roman"/>
                <w:sz w:val="24"/>
                <w:szCs w:val="24"/>
                <w:lang w:eastAsia="sk-SK"/>
              </w:rPr>
            </w:pPr>
            <w:r w:rsidRPr="00FC2B55">
              <w:rPr>
                <w:rFonts w:ascii="Times New Roman" w:hAnsi="Times New Roman"/>
                <w:i/>
                <w:iCs/>
                <w:sz w:val="20"/>
                <w:lang w:eastAsia="sk-SK"/>
              </w:rPr>
              <w:t>(Uveďte príslušnú úroveň financovania a kvantifikáciu finančných výdavkov uveďte  v analýze vplyvov na rozpočet verejnej správy.)</w:t>
            </w:r>
          </w:p>
        </w:tc>
        <w:tc>
          <w:tcPr>
            <w:tcW w:w="1446" w:type="dxa"/>
          </w:tcPr>
          <w:p w:rsidR="00E22B16" w:rsidRPr="003E427A" w:rsidRDefault="00E22B16" w:rsidP="00EC4D63">
            <w:pPr>
              <w:spacing w:after="0" w:line="240" w:lineRule="auto"/>
              <w:jc w:val="center"/>
              <w:rPr>
                <w:rFonts w:ascii="Times New Roman" w:hAnsi="Times New Roman"/>
                <w:b/>
                <w:iCs/>
                <w:sz w:val="24"/>
                <w:szCs w:val="24"/>
                <w:lang w:eastAsia="sk-SK"/>
              </w:rPr>
            </w:pPr>
            <w:r>
              <w:rPr>
                <w:rFonts w:ascii="Times New Roman" w:hAnsi="Times New Roman"/>
              </w:rPr>
              <w:t>X</w:t>
            </w:r>
          </w:p>
        </w:tc>
        <w:tc>
          <w:tcPr>
            <w:tcW w:w="1984" w:type="dxa"/>
            <w:gridSpan w:val="2"/>
          </w:tcPr>
          <w:p w:rsidR="00E22B16" w:rsidRPr="00FC2B55" w:rsidRDefault="00E22B16" w:rsidP="00EC4D63">
            <w:pPr>
              <w:spacing w:after="0" w:line="240" w:lineRule="auto"/>
              <w:rPr>
                <w:rFonts w:ascii="Times New Roman" w:hAnsi="Times New Roman"/>
                <w:i/>
                <w:iCs/>
                <w:sz w:val="24"/>
                <w:szCs w:val="24"/>
                <w:lang w:eastAsia="sk-SK"/>
              </w:rPr>
            </w:pPr>
          </w:p>
        </w:tc>
        <w:tc>
          <w:tcPr>
            <w:tcW w:w="1985" w:type="dxa"/>
            <w:gridSpan w:val="2"/>
          </w:tcPr>
          <w:p w:rsidR="00E22B16" w:rsidRPr="0039164E" w:rsidRDefault="00E22B16" w:rsidP="00EC4D63">
            <w:pPr>
              <w:spacing w:after="0" w:line="240" w:lineRule="auto"/>
              <w:jc w:val="center"/>
              <w:rPr>
                <w:rFonts w:ascii="Times New Roman" w:hAnsi="Times New Roman"/>
                <w:iCs/>
                <w:sz w:val="24"/>
                <w:szCs w:val="24"/>
                <w:lang w:eastAsia="sk-SK"/>
              </w:rPr>
            </w:pPr>
            <w:r>
              <w:rPr>
                <w:rFonts w:ascii="Times New Roman" w:hAnsi="Times New Roman"/>
                <w:iCs/>
                <w:sz w:val="24"/>
                <w:szCs w:val="24"/>
                <w:lang w:eastAsia="sk-SK"/>
              </w:rPr>
              <w:t>B</w:t>
            </w:r>
          </w:p>
        </w:tc>
      </w:tr>
      <w:tr w:rsidR="00E22B16" w:rsidRPr="00FC2B55" w:rsidTr="00EC4D63">
        <w:trPr>
          <w:trHeight w:val="20"/>
        </w:trPr>
        <w:tc>
          <w:tcPr>
            <w:tcW w:w="9371" w:type="dxa"/>
            <w:gridSpan w:val="6"/>
            <w:shd w:val="pct25" w:color="auto" w:fill="auto"/>
          </w:tcPr>
          <w:p w:rsidR="00E22B16" w:rsidRPr="00E22B16" w:rsidRDefault="00E22B16" w:rsidP="00EC4D63">
            <w:pPr>
              <w:spacing w:after="0" w:line="20" w:lineRule="atLeast"/>
              <w:jc w:val="center"/>
              <w:rPr>
                <w:rFonts w:ascii="Times New Roman" w:hAnsi="Times New Roman"/>
                <w:i/>
                <w:iCs/>
                <w:sz w:val="24"/>
                <w:szCs w:val="24"/>
                <w:highlight w:val="darkGray"/>
                <w:lang w:eastAsia="sk-SK"/>
              </w:rPr>
            </w:pPr>
            <w:r w:rsidRPr="00FC2B55">
              <w:rPr>
                <w:rFonts w:ascii="Times New Roman" w:hAnsi="Times New Roman"/>
                <w:b/>
                <w:sz w:val="24"/>
                <w:szCs w:val="24"/>
                <w:lang w:eastAsia="sk-SK"/>
              </w:rPr>
              <w:t>Zjednodušenie prístupu ku konaniu a odstraňovanie byrokracie</w:t>
            </w:r>
          </w:p>
        </w:tc>
      </w:tr>
      <w:tr w:rsidR="00E22B16" w:rsidRPr="00FC2B55" w:rsidTr="00EC4D63">
        <w:trPr>
          <w:trHeight w:val="20"/>
        </w:trPr>
        <w:tc>
          <w:tcPr>
            <w:tcW w:w="9371" w:type="dxa"/>
            <w:gridSpan w:val="6"/>
            <w:shd w:val="pct25" w:color="auto" w:fill="auto"/>
          </w:tcPr>
          <w:p w:rsidR="00E22B16" w:rsidRPr="00FC2B55" w:rsidRDefault="00E22B16" w:rsidP="00EC4D63">
            <w:pPr>
              <w:spacing w:after="0" w:line="20" w:lineRule="atLeast"/>
              <w:jc w:val="center"/>
              <w:rPr>
                <w:rFonts w:ascii="Times New Roman" w:hAnsi="Times New Roman"/>
                <w:b/>
                <w:sz w:val="20"/>
                <w:szCs w:val="20"/>
                <w:lang w:eastAsia="sk-SK"/>
              </w:rPr>
            </w:pPr>
            <w:r w:rsidRPr="00FC2B55">
              <w:rPr>
                <w:rFonts w:ascii="Times New Roman" w:hAnsi="Times New Roman"/>
                <w:b/>
                <w:sz w:val="20"/>
                <w:szCs w:val="20"/>
                <w:lang w:eastAsia="sk-SK"/>
              </w:rPr>
              <w:t>Elektronické konanie</w:t>
            </w:r>
          </w:p>
        </w:tc>
      </w:tr>
      <w:tr w:rsidR="00E22B16" w:rsidRPr="00FC2B55" w:rsidTr="00EC4D63">
        <w:trPr>
          <w:trHeight w:val="20"/>
        </w:trPr>
        <w:tc>
          <w:tcPr>
            <w:tcW w:w="3956" w:type="dxa"/>
          </w:tcPr>
          <w:p w:rsidR="00E22B16" w:rsidRPr="00FC2B55" w:rsidRDefault="00E22B16" w:rsidP="00EC4D63">
            <w:pPr>
              <w:spacing w:after="0" w:line="240" w:lineRule="auto"/>
              <w:jc w:val="both"/>
              <w:rPr>
                <w:rFonts w:ascii="Times New Roman" w:hAnsi="Times New Roman"/>
                <w:b/>
                <w:sz w:val="20"/>
                <w:lang w:eastAsia="sk-SK"/>
              </w:rPr>
            </w:pPr>
            <w:r w:rsidRPr="00FC2B55">
              <w:rPr>
                <w:rFonts w:ascii="Times New Roman" w:hAnsi="Times New Roman"/>
                <w:b/>
                <w:sz w:val="20"/>
                <w:lang w:eastAsia="sk-SK"/>
              </w:rPr>
              <w:t xml:space="preserve">6.4.1. </w:t>
            </w:r>
            <w:r w:rsidRPr="00FC2B55">
              <w:rPr>
                <w:rFonts w:ascii="Times New Roman" w:hAnsi="Times New Roman"/>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E22B16" w:rsidRPr="00FC2B55" w:rsidTr="00EC4D63">
              <w:tc>
                <w:tcPr>
                  <w:tcW w:w="436" w:type="dxa"/>
                  <w:tcBorders>
                    <w:top w:val="nil"/>
                    <w:left w:val="nil"/>
                    <w:bottom w:val="nil"/>
                    <w:right w:val="nil"/>
                  </w:tcBorders>
                </w:tcPr>
                <w:p w:rsidR="00E22B16" w:rsidRPr="00FC2B55" w:rsidRDefault="00E22B16" w:rsidP="00EC4D63">
                  <w:pPr>
                    <w:jc w:val="center"/>
                    <w:rPr>
                      <w:rFonts w:ascii="Times New Roman" w:hAnsi="Times New Roman"/>
                      <w:sz w:val="20"/>
                      <w:szCs w:val="20"/>
                      <w:lang w:eastAsia="sk-SK"/>
                    </w:rPr>
                  </w:pPr>
                  <w:r w:rsidRPr="00FC2B55">
                    <w:rPr>
                      <w:rFonts w:ascii="Segoe UI Symbol" w:hAnsi="Segoe UI Symbol" w:cs="Segoe UI Symbol"/>
                      <w:sz w:val="20"/>
                      <w:szCs w:val="20"/>
                      <w:lang w:eastAsia="sk-SK"/>
                    </w:rPr>
                    <w:t>☐</w:t>
                  </w:r>
                </w:p>
              </w:tc>
              <w:tc>
                <w:tcPr>
                  <w:tcW w:w="8545" w:type="dxa"/>
                  <w:tcBorders>
                    <w:top w:val="nil"/>
                    <w:left w:val="nil"/>
                    <w:bottom w:val="nil"/>
                    <w:right w:val="nil"/>
                  </w:tcBorders>
                </w:tcPr>
                <w:p w:rsidR="00E22B16" w:rsidRPr="00FC2B55" w:rsidRDefault="00E22B16" w:rsidP="00EC4D63">
                  <w:pPr>
                    <w:rPr>
                      <w:rFonts w:ascii="Times New Roman" w:hAnsi="Times New Roman"/>
                      <w:b/>
                      <w:sz w:val="20"/>
                      <w:szCs w:val="20"/>
                      <w:lang w:eastAsia="sk-SK"/>
                    </w:rPr>
                  </w:pPr>
                  <w:r w:rsidRPr="00FC2B55">
                    <w:rPr>
                      <w:rFonts w:ascii="Times New Roman" w:hAnsi="Times New Roman"/>
                      <w:b/>
                      <w:sz w:val="20"/>
                      <w:szCs w:val="20"/>
                      <w:lang w:eastAsia="sk-SK"/>
                    </w:rPr>
                    <w:t>Áno</w:t>
                  </w:r>
                </w:p>
              </w:tc>
            </w:tr>
            <w:tr w:rsidR="00E22B16" w:rsidRPr="00FC2B55" w:rsidTr="00EC4D63">
              <w:tc>
                <w:tcPr>
                  <w:tcW w:w="436" w:type="dxa"/>
                  <w:tcBorders>
                    <w:top w:val="nil"/>
                    <w:left w:val="nil"/>
                    <w:bottom w:val="nil"/>
                    <w:right w:val="nil"/>
                  </w:tcBorders>
                </w:tcPr>
                <w:p w:rsidR="00E22B16" w:rsidRPr="00FC2B55" w:rsidRDefault="00E22B16" w:rsidP="00EC4D63">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8545" w:type="dxa"/>
                  <w:tcBorders>
                    <w:top w:val="nil"/>
                    <w:left w:val="nil"/>
                    <w:bottom w:val="nil"/>
                    <w:right w:val="nil"/>
                  </w:tcBorders>
                </w:tcPr>
                <w:p w:rsidR="00E22B16" w:rsidRPr="00FC2B55" w:rsidRDefault="00E22B16" w:rsidP="00EC4D63">
                  <w:pPr>
                    <w:rPr>
                      <w:rFonts w:ascii="Times New Roman" w:hAnsi="Times New Roman"/>
                      <w:b/>
                      <w:sz w:val="20"/>
                      <w:szCs w:val="20"/>
                      <w:lang w:eastAsia="sk-SK"/>
                    </w:rPr>
                  </w:pPr>
                  <w:r w:rsidRPr="00FC2B55">
                    <w:rPr>
                      <w:rFonts w:ascii="Times New Roman" w:hAnsi="Times New Roman"/>
                      <w:b/>
                      <w:sz w:val="20"/>
                      <w:szCs w:val="20"/>
                      <w:lang w:eastAsia="sk-SK"/>
                    </w:rPr>
                    <w:t>Nie</w:t>
                  </w:r>
                </w:p>
              </w:tc>
            </w:tr>
          </w:tbl>
          <w:p w:rsidR="00E22B16" w:rsidRPr="00FC2B55" w:rsidRDefault="00E22B16" w:rsidP="00EC4D63">
            <w:pPr>
              <w:spacing w:after="0" w:line="240" w:lineRule="auto"/>
              <w:rPr>
                <w:rFonts w:ascii="Times New Roman" w:hAnsi="Times New Roman"/>
                <w:sz w:val="24"/>
                <w:szCs w:val="24"/>
                <w:lang w:eastAsia="sk-SK"/>
              </w:rPr>
            </w:pPr>
          </w:p>
        </w:tc>
        <w:tc>
          <w:tcPr>
            <w:tcW w:w="3969" w:type="dxa"/>
            <w:gridSpan w:val="4"/>
          </w:tcPr>
          <w:p w:rsidR="00E22B16" w:rsidRPr="00FC2B55" w:rsidRDefault="00E22B16" w:rsidP="00EC4D63">
            <w:pPr>
              <w:spacing w:after="0" w:line="240" w:lineRule="auto"/>
              <w:rPr>
                <w:rFonts w:ascii="Times New Roman" w:hAnsi="Times New Roman"/>
                <w:i/>
                <w:iCs/>
                <w:sz w:val="24"/>
                <w:szCs w:val="24"/>
                <w:lang w:eastAsia="sk-SK"/>
              </w:rPr>
            </w:pPr>
          </w:p>
        </w:tc>
      </w:tr>
      <w:tr w:rsidR="00E22B16" w:rsidRPr="00FC2B55" w:rsidTr="00EC4D63">
        <w:trPr>
          <w:trHeight w:val="20"/>
        </w:trPr>
        <w:tc>
          <w:tcPr>
            <w:tcW w:w="3956" w:type="dxa"/>
          </w:tcPr>
          <w:p w:rsidR="00E22B16" w:rsidRPr="00FC2B55" w:rsidRDefault="00E22B16" w:rsidP="00EC4D63">
            <w:pPr>
              <w:spacing w:after="0" w:line="240" w:lineRule="auto"/>
              <w:jc w:val="both"/>
              <w:rPr>
                <w:rFonts w:ascii="Times New Roman" w:hAnsi="Times New Roman"/>
                <w:b/>
                <w:sz w:val="20"/>
                <w:lang w:eastAsia="sk-SK"/>
              </w:rPr>
            </w:pPr>
            <w:r w:rsidRPr="00FC2B55">
              <w:rPr>
                <w:rFonts w:ascii="Times New Roman" w:hAnsi="Times New Roman"/>
                <w:b/>
                <w:sz w:val="20"/>
                <w:lang w:eastAsia="sk-SK"/>
              </w:rPr>
              <w:t xml:space="preserve">6.4.2. </w:t>
            </w:r>
            <w:r w:rsidRPr="00FC2B55">
              <w:rPr>
                <w:rFonts w:ascii="Times New Roman" w:hAnsi="Times New Roman"/>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E22B16" w:rsidRPr="00FC2B55" w:rsidTr="00EC4D63">
              <w:tc>
                <w:tcPr>
                  <w:tcW w:w="436" w:type="dxa"/>
                  <w:tcBorders>
                    <w:top w:val="nil"/>
                    <w:left w:val="nil"/>
                    <w:bottom w:val="nil"/>
                    <w:right w:val="nil"/>
                  </w:tcBorders>
                </w:tcPr>
                <w:p w:rsidR="00E22B16" w:rsidRPr="00FC2B55" w:rsidRDefault="00E22B16" w:rsidP="00EC4D63">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8545" w:type="dxa"/>
                  <w:tcBorders>
                    <w:top w:val="nil"/>
                    <w:left w:val="nil"/>
                    <w:bottom w:val="nil"/>
                    <w:right w:val="nil"/>
                  </w:tcBorders>
                </w:tcPr>
                <w:p w:rsidR="00E22B16" w:rsidRPr="00FC2B55" w:rsidRDefault="00E22B16" w:rsidP="00EC4D63">
                  <w:pPr>
                    <w:rPr>
                      <w:rFonts w:ascii="Times New Roman" w:hAnsi="Times New Roman"/>
                      <w:b/>
                      <w:sz w:val="20"/>
                      <w:szCs w:val="20"/>
                      <w:lang w:eastAsia="sk-SK"/>
                    </w:rPr>
                  </w:pPr>
                  <w:r w:rsidRPr="00FC2B55">
                    <w:rPr>
                      <w:rFonts w:ascii="Times New Roman" w:hAnsi="Times New Roman"/>
                      <w:b/>
                      <w:sz w:val="20"/>
                      <w:szCs w:val="20"/>
                      <w:lang w:eastAsia="sk-SK"/>
                    </w:rPr>
                    <w:t>Áno</w:t>
                  </w:r>
                </w:p>
              </w:tc>
            </w:tr>
            <w:tr w:rsidR="00E22B16" w:rsidRPr="00FC2B55" w:rsidTr="00EC4D63">
              <w:tc>
                <w:tcPr>
                  <w:tcW w:w="436" w:type="dxa"/>
                  <w:tcBorders>
                    <w:top w:val="nil"/>
                    <w:left w:val="nil"/>
                    <w:bottom w:val="nil"/>
                    <w:right w:val="nil"/>
                  </w:tcBorders>
                </w:tcPr>
                <w:p w:rsidR="00E22B16" w:rsidRPr="00FC2B55" w:rsidRDefault="00E22B16" w:rsidP="00EC4D63">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8545" w:type="dxa"/>
                  <w:tcBorders>
                    <w:top w:val="nil"/>
                    <w:left w:val="nil"/>
                    <w:bottom w:val="nil"/>
                    <w:right w:val="nil"/>
                  </w:tcBorders>
                </w:tcPr>
                <w:p w:rsidR="00E22B16" w:rsidRPr="00FC2B55" w:rsidRDefault="00E22B16" w:rsidP="00EC4D63">
                  <w:pPr>
                    <w:rPr>
                      <w:rFonts w:ascii="Times New Roman" w:hAnsi="Times New Roman"/>
                      <w:b/>
                      <w:sz w:val="20"/>
                      <w:szCs w:val="20"/>
                      <w:lang w:eastAsia="sk-SK"/>
                    </w:rPr>
                  </w:pPr>
                  <w:r w:rsidRPr="00FC2B55">
                    <w:rPr>
                      <w:rFonts w:ascii="Times New Roman" w:hAnsi="Times New Roman"/>
                      <w:b/>
                      <w:sz w:val="20"/>
                      <w:szCs w:val="20"/>
                      <w:lang w:eastAsia="sk-SK"/>
                    </w:rPr>
                    <w:t>Nie</w:t>
                  </w:r>
                </w:p>
              </w:tc>
            </w:tr>
          </w:tbl>
          <w:p w:rsidR="00E22B16" w:rsidRPr="00FC2B55" w:rsidRDefault="00E22B16" w:rsidP="00EC4D63">
            <w:pPr>
              <w:spacing w:after="0" w:line="240" w:lineRule="auto"/>
              <w:rPr>
                <w:rFonts w:ascii="Times New Roman" w:hAnsi="Times New Roman"/>
                <w:sz w:val="24"/>
                <w:szCs w:val="24"/>
                <w:lang w:eastAsia="sk-SK"/>
              </w:rPr>
            </w:pPr>
          </w:p>
        </w:tc>
        <w:tc>
          <w:tcPr>
            <w:tcW w:w="3969" w:type="dxa"/>
            <w:gridSpan w:val="4"/>
          </w:tcPr>
          <w:p w:rsidR="00E22B16" w:rsidRPr="00FC2B55" w:rsidRDefault="00E22B16" w:rsidP="00EC4D63">
            <w:pPr>
              <w:spacing w:after="0" w:line="240" w:lineRule="auto"/>
              <w:rPr>
                <w:rFonts w:ascii="Times New Roman" w:hAnsi="Times New Roman"/>
                <w:i/>
                <w:iCs/>
                <w:sz w:val="24"/>
                <w:szCs w:val="24"/>
                <w:lang w:eastAsia="sk-SK"/>
              </w:rPr>
            </w:pPr>
          </w:p>
        </w:tc>
      </w:tr>
      <w:tr w:rsidR="00E22B16" w:rsidRPr="00FC2B55" w:rsidTr="00EC4D63">
        <w:trPr>
          <w:trHeight w:val="20"/>
        </w:trPr>
        <w:tc>
          <w:tcPr>
            <w:tcW w:w="3956" w:type="dxa"/>
          </w:tcPr>
          <w:p w:rsidR="00E22B16" w:rsidRPr="00FC2B55" w:rsidRDefault="00E22B16" w:rsidP="00EC4D63">
            <w:pPr>
              <w:spacing w:after="0" w:line="240" w:lineRule="auto"/>
              <w:jc w:val="both"/>
              <w:rPr>
                <w:rFonts w:ascii="Times New Roman" w:hAnsi="Times New Roman"/>
                <w:b/>
                <w:sz w:val="20"/>
                <w:lang w:eastAsia="sk-SK"/>
              </w:rPr>
            </w:pPr>
            <w:r w:rsidRPr="00FC2B55">
              <w:rPr>
                <w:rFonts w:ascii="Times New Roman" w:hAnsi="Times New Roman"/>
                <w:b/>
                <w:sz w:val="20"/>
                <w:lang w:eastAsia="sk-SK"/>
              </w:rPr>
              <w:t xml:space="preserve">6.4.3. </w:t>
            </w:r>
            <w:r w:rsidRPr="00FC2B55">
              <w:rPr>
                <w:rFonts w:ascii="Times New Roman" w:hAnsi="Times New Roman"/>
                <w:sz w:val="20"/>
                <w:lang w:eastAsia="sk-SK"/>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E22B16" w:rsidRPr="00FC2B55" w:rsidTr="00EC4D63">
              <w:tc>
                <w:tcPr>
                  <w:tcW w:w="436" w:type="dxa"/>
                  <w:tcBorders>
                    <w:top w:val="nil"/>
                    <w:left w:val="nil"/>
                    <w:bottom w:val="nil"/>
                    <w:right w:val="nil"/>
                  </w:tcBorders>
                </w:tcPr>
                <w:p w:rsidR="00E22B16" w:rsidRPr="00FC2B55" w:rsidRDefault="00E22B16" w:rsidP="00EC4D63">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8545" w:type="dxa"/>
                  <w:tcBorders>
                    <w:top w:val="nil"/>
                    <w:left w:val="nil"/>
                    <w:bottom w:val="nil"/>
                    <w:right w:val="nil"/>
                  </w:tcBorders>
                </w:tcPr>
                <w:p w:rsidR="00E22B16" w:rsidRPr="00FC2B55" w:rsidRDefault="00E22B16" w:rsidP="00EC4D63">
                  <w:pPr>
                    <w:rPr>
                      <w:rFonts w:ascii="Times New Roman" w:hAnsi="Times New Roman"/>
                      <w:b/>
                      <w:sz w:val="20"/>
                      <w:szCs w:val="20"/>
                      <w:lang w:eastAsia="sk-SK"/>
                    </w:rPr>
                  </w:pPr>
                  <w:r w:rsidRPr="00FC2B55">
                    <w:rPr>
                      <w:rFonts w:ascii="Times New Roman" w:hAnsi="Times New Roman"/>
                      <w:b/>
                      <w:sz w:val="20"/>
                      <w:szCs w:val="20"/>
                      <w:lang w:eastAsia="sk-SK"/>
                    </w:rPr>
                    <w:t>Áno</w:t>
                  </w:r>
                </w:p>
              </w:tc>
            </w:tr>
            <w:tr w:rsidR="00E22B16" w:rsidRPr="00FC2B55" w:rsidTr="00EC4D63">
              <w:tc>
                <w:tcPr>
                  <w:tcW w:w="436" w:type="dxa"/>
                  <w:tcBorders>
                    <w:top w:val="nil"/>
                    <w:left w:val="nil"/>
                    <w:bottom w:val="nil"/>
                    <w:right w:val="nil"/>
                  </w:tcBorders>
                </w:tcPr>
                <w:p w:rsidR="00E22B16" w:rsidRPr="00FC2B55" w:rsidRDefault="00E22B16" w:rsidP="00EC4D63">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8545" w:type="dxa"/>
                  <w:tcBorders>
                    <w:top w:val="nil"/>
                    <w:left w:val="nil"/>
                    <w:bottom w:val="nil"/>
                    <w:right w:val="nil"/>
                  </w:tcBorders>
                </w:tcPr>
                <w:p w:rsidR="00E22B16" w:rsidRPr="00FC2B55" w:rsidRDefault="00E22B16" w:rsidP="00EC4D63">
                  <w:pPr>
                    <w:rPr>
                      <w:rFonts w:ascii="Times New Roman" w:hAnsi="Times New Roman"/>
                      <w:b/>
                      <w:sz w:val="20"/>
                      <w:szCs w:val="20"/>
                      <w:lang w:eastAsia="sk-SK"/>
                    </w:rPr>
                  </w:pPr>
                  <w:r w:rsidRPr="00FC2B55">
                    <w:rPr>
                      <w:rFonts w:ascii="Times New Roman" w:hAnsi="Times New Roman"/>
                      <w:b/>
                      <w:sz w:val="20"/>
                      <w:szCs w:val="20"/>
                      <w:lang w:eastAsia="sk-SK"/>
                    </w:rPr>
                    <w:t>Nie</w:t>
                  </w:r>
                </w:p>
              </w:tc>
            </w:tr>
          </w:tbl>
          <w:p w:rsidR="00E22B16" w:rsidRPr="00FC2B55" w:rsidRDefault="00E22B16" w:rsidP="00EC4D63">
            <w:pPr>
              <w:spacing w:after="0" w:line="240" w:lineRule="auto"/>
              <w:rPr>
                <w:rFonts w:ascii="Times New Roman" w:hAnsi="Times New Roman"/>
                <w:sz w:val="24"/>
                <w:szCs w:val="24"/>
                <w:lang w:eastAsia="sk-SK"/>
              </w:rPr>
            </w:pPr>
          </w:p>
        </w:tc>
        <w:tc>
          <w:tcPr>
            <w:tcW w:w="3969" w:type="dxa"/>
            <w:gridSpan w:val="4"/>
          </w:tcPr>
          <w:p w:rsidR="00E22B16" w:rsidRPr="00FC2B55" w:rsidRDefault="00E22B16" w:rsidP="00EC4D63">
            <w:pPr>
              <w:spacing w:after="0" w:line="240" w:lineRule="auto"/>
              <w:rPr>
                <w:rFonts w:ascii="Times New Roman" w:hAnsi="Times New Roman"/>
                <w:i/>
                <w:iCs/>
                <w:sz w:val="24"/>
                <w:szCs w:val="24"/>
                <w:lang w:eastAsia="sk-SK"/>
              </w:rPr>
            </w:pPr>
          </w:p>
        </w:tc>
      </w:tr>
      <w:tr w:rsidR="00E22B16" w:rsidRPr="00FC2B55" w:rsidTr="00EC4D63">
        <w:trPr>
          <w:trHeight w:val="20"/>
        </w:trPr>
        <w:tc>
          <w:tcPr>
            <w:tcW w:w="9371" w:type="dxa"/>
            <w:gridSpan w:val="6"/>
            <w:shd w:val="clear" w:color="auto" w:fill="BFBFBF"/>
          </w:tcPr>
          <w:p w:rsidR="00E22B16" w:rsidRPr="00FC2B55" w:rsidRDefault="00E22B16" w:rsidP="00EC4D63">
            <w:pPr>
              <w:spacing w:after="0" w:line="20" w:lineRule="atLeast"/>
              <w:jc w:val="center"/>
              <w:rPr>
                <w:rFonts w:ascii="Times New Roman" w:hAnsi="Times New Roman"/>
                <w:i/>
                <w:iCs/>
                <w:sz w:val="20"/>
                <w:szCs w:val="20"/>
                <w:lang w:eastAsia="sk-SK"/>
              </w:rPr>
            </w:pPr>
            <w:r w:rsidRPr="00FC2B55">
              <w:rPr>
                <w:rFonts w:ascii="Times New Roman" w:hAnsi="Times New Roman"/>
                <w:b/>
                <w:sz w:val="20"/>
                <w:szCs w:val="20"/>
                <w:lang w:eastAsia="sk-SK"/>
              </w:rPr>
              <w:t>Zásada „jedenkrát a dosť“</w:t>
            </w:r>
          </w:p>
        </w:tc>
      </w:tr>
      <w:tr w:rsidR="00E22B16" w:rsidRPr="00FC2B55" w:rsidTr="00EC4D63">
        <w:trPr>
          <w:trHeight w:val="20"/>
        </w:trPr>
        <w:tc>
          <w:tcPr>
            <w:tcW w:w="3956" w:type="dxa"/>
          </w:tcPr>
          <w:p w:rsidR="00E22B16" w:rsidRPr="00FC2B55" w:rsidRDefault="00E22B16" w:rsidP="00EC4D63">
            <w:pPr>
              <w:spacing w:after="0" w:line="240" w:lineRule="auto"/>
              <w:jc w:val="both"/>
              <w:rPr>
                <w:rFonts w:ascii="Times New Roman" w:hAnsi="Times New Roman"/>
                <w:b/>
                <w:sz w:val="20"/>
                <w:lang w:eastAsia="sk-SK"/>
              </w:rPr>
            </w:pPr>
            <w:r w:rsidRPr="00FC2B55">
              <w:rPr>
                <w:rFonts w:ascii="Times New Roman" w:hAnsi="Times New Roman"/>
                <w:b/>
                <w:sz w:val="20"/>
                <w:lang w:eastAsia="sk-SK"/>
              </w:rPr>
              <w:t xml:space="preserve">6.5.1. </w:t>
            </w:r>
            <w:r w:rsidRPr="00FC2B55">
              <w:rPr>
                <w:rFonts w:ascii="Times New Roman" w:hAnsi="Times New Roman"/>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E22B16" w:rsidRPr="00FC2B55" w:rsidTr="00EC4D63">
              <w:tc>
                <w:tcPr>
                  <w:tcW w:w="436" w:type="dxa"/>
                  <w:tcBorders>
                    <w:top w:val="nil"/>
                    <w:left w:val="nil"/>
                    <w:bottom w:val="nil"/>
                    <w:right w:val="nil"/>
                  </w:tcBorders>
                </w:tcPr>
                <w:p w:rsidR="00E22B16" w:rsidRPr="00FC2B55" w:rsidRDefault="00E22B16" w:rsidP="00EC4D63">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8545" w:type="dxa"/>
                  <w:tcBorders>
                    <w:top w:val="nil"/>
                    <w:left w:val="nil"/>
                    <w:bottom w:val="nil"/>
                    <w:right w:val="nil"/>
                  </w:tcBorders>
                </w:tcPr>
                <w:p w:rsidR="00E22B16" w:rsidRPr="00FC2B55" w:rsidRDefault="00E22B16" w:rsidP="00EC4D63">
                  <w:pPr>
                    <w:rPr>
                      <w:rFonts w:ascii="Times New Roman" w:hAnsi="Times New Roman"/>
                      <w:b/>
                      <w:sz w:val="20"/>
                      <w:szCs w:val="20"/>
                      <w:lang w:eastAsia="sk-SK"/>
                    </w:rPr>
                  </w:pPr>
                  <w:r w:rsidRPr="00FC2B55">
                    <w:rPr>
                      <w:rFonts w:ascii="Times New Roman" w:hAnsi="Times New Roman"/>
                      <w:b/>
                      <w:sz w:val="20"/>
                      <w:szCs w:val="20"/>
                      <w:lang w:eastAsia="sk-SK"/>
                    </w:rPr>
                    <w:t>Áno</w:t>
                  </w:r>
                </w:p>
              </w:tc>
            </w:tr>
            <w:tr w:rsidR="00E22B16" w:rsidRPr="00FC2B55" w:rsidTr="00EC4D63">
              <w:tc>
                <w:tcPr>
                  <w:tcW w:w="436" w:type="dxa"/>
                  <w:tcBorders>
                    <w:top w:val="nil"/>
                    <w:left w:val="nil"/>
                    <w:bottom w:val="nil"/>
                    <w:right w:val="nil"/>
                  </w:tcBorders>
                </w:tcPr>
                <w:p w:rsidR="00E22B16" w:rsidRPr="00FC2B55" w:rsidRDefault="00E22B16" w:rsidP="00EC4D63">
                  <w:pPr>
                    <w:jc w:val="center"/>
                    <w:rPr>
                      <w:rFonts w:ascii="Times New Roman" w:hAnsi="Times New Roman"/>
                      <w:sz w:val="20"/>
                      <w:szCs w:val="20"/>
                      <w:lang w:eastAsia="sk-SK"/>
                    </w:rPr>
                  </w:pPr>
                  <w:r w:rsidRPr="00FC2B55">
                    <w:rPr>
                      <w:rFonts w:ascii="Segoe UI Symbol" w:hAnsi="Segoe UI Symbol" w:cs="Segoe UI Symbol"/>
                      <w:sz w:val="20"/>
                      <w:szCs w:val="20"/>
                      <w:lang w:eastAsia="sk-SK"/>
                    </w:rPr>
                    <w:t>☐</w:t>
                  </w:r>
                </w:p>
              </w:tc>
              <w:tc>
                <w:tcPr>
                  <w:tcW w:w="8545" w:type="dxa"/>
                  <w:tcBorders>
                    <w:top w:val="nil"/>
                    <w:left w:val="nil"/>
                    <w:bottom w:val="nil"/>
                    <w:right w:val="nil"/>
                  </w:tcBorders>
                </w:tcPr>
                <w:p w:rsidR="00E22B16" w:rsidRPr="00FC2B55" w:rsidRDefault="00E22B16" w:rsidP="00EC4D63">
                  <w:pPr>
                    <w:rPr>
                      <w:rFonts w:ascii="Times New Roman" w:hAnsi="Times New Roman"/>
                      <w:b/>
                      <w:sz w:val="20"/>
                      <w:szCs w:val="20"/>
                      <w:lang w:eastAsia="sk-SK"/>
                    </w:rPr>
                  </w:pPr>
                  <w:r w:rsidRPr="00FC2B55">
                    <w:rPr>
                      <w:rFonts w:ascii="Times New Roman" w:hAnsi="Times New Roman"/>
                      <w:b/>
                      <w:sz w:val="20"/>
                      <w:szCs w:val="20"/>
                      <w:lang w:eastAsia="sk-SK"/>
                    </w:rPr>
                    <w:t>Nie</w:t>
                  </w:r>
                </w:p>
              </w:tc>
            </w:tr>
          </w:tbl>
          <w:p w:rsidR="00E22B16" w:rsidRPr="00FC2B55" w:rsidRDefault="00E22B16" w:rsidP="00EC4D63">
            <w:pPr>
              <w:spacing w:after="0" w:line="240" w:lineRule="auto"/>
              <w:rPr>
                <w:rFonts w:ascii="Times New Roman" w:hAnsi="Times New Roman"/>
                <w:sz w:val="24"/>
                <w:szCs w:val="24"/>
                <w:lang w:eastAsia="sk-SK"/>
              </w:rPr>
            </w:pPr>
          </w:p>
        </w:tc>
        <w:tc>
          <w:tcPr>
            <w:tcW w:w="3969" w:type="dxa"/>
            <w:gridSpan w:val="4"/>
          </w:tcPr>
          <w:p w:rsidR="00E22B16" w:rsidRPr="00EC3031" w:rsidRDefault="00E22B16" w:rsidP="00EC4D63">
            <w:pPr>
              <w:spacing w:after="0" w:line="20" w:lineRule="atLeast"/>
              <w:jc w:val="both"/>
              <w:rPr>
                <w:rFonts w:ascii="Arial" w:hAnsi="Arial" w:cs="Arial"/>
                <w:sz w:val="16"/>
                <w:szCs w:val="16"/>
              </w:rPr>
            </w:pPr>
            <w:r w:rsidRPr="00EC3031">
              <w:rPr>
                <w:rFonts w:ascii="Arial" w:hAnsi="Arial" w:cs="Arial"/>
                <w:sz w:val="16"/>
                <w:szCs w:val="16"/>
              </w:rPr>
              <w:t>Zmena systému registrácie daňových subjektov</w:t>
            </w:r>
          </w:p>
          <w:p w:rsidR="00E22B16" w:rsidRDefault="00E22B16" w:rsidP="00EC4D63">
            <w:pPr>
              <w:pStyle w:val="Zarkazkladnhotextu"/>
              <w:spacing w:after="0"/>
              <w:ind w:left="0"/>
              <w:jc w:val="both"/>
              <w:rPr>
                <w:rFonts w:ascii="Arial" w:hAnsi="Arial" w:cs="Arial"/>
                <w:sz w:val="16"/>
                <w:szCs w:val="16"/>
              </w:rPr>
            </w:pPr>
            <w:r>
              <w:rPr>
                <w:rFonts w:ascii="Arial" w:hAnsi="Arial" w:cs="Arial"/>
                <w:sz w:val="16"/>
                <w:szCs w:val="16"/>
              </w:rPr>
              <w:t>Rozšírenie tlačiva na automatické uplatnenie korešpondujúcej úpravy základu dane aj v situácii závislej osoby – stálej prevádzkarne</w:t>
            </w:r>
          </w:p>
          <w:p w:rsidR="00E22B16" w:rsidRPr="00EC3031" w:rsidRDefault="00E22B16" w:rsidP="00EC4D63">
            <w:pPr>
              <w:pStyle w:val="Zarkazkladnhotextu"/>
              <w:spacing w:after="0" w:line="240" w:lineRule="auto"/>
              <w:ind w:left="0"/>
              <w:rPr>
                <w:rFonts w:ascii="Times New Roman" w:hAnsi="Times New Roman"/>
                <w:i/>
                <w:iCs/>
                <w:sz w:val="16"/>
                <w:szCs w:val="16"/>
                <w:lang w:eastAsia="sk-SK"/>
              </w:rPr>
            </w:pPr>
          </w:p>
        </w:tc>
      </w:tr>
      <w:tr w:rsidR="00E22B16" w:rsidRPr="00FC2B55" w:rsidTr="00EC4D63">
        <w:trPr>
          <w:trHeight w:val="20"/>
        </w:trPr>
        <w:tc>
          <w:tcPr>
            <w:tcW w:w="3956" w:type="dxa"/>
          </w:tcPr>
          <w:p w:rsidR="00E22B16" w:rsidRPr="00FC2B55" w:rsidRDefault="00E22B16" w:rsidP="00EC4D63">
            <w:pPr>
              <w:spacing w:after="0" w:line="240" w:lineRule="auto"/>
              <w:jc w:val="both"/>
              <w:rPr>
                <w:rFonts w:ascii="Times New Roman" w:hAnsi="Times New Roman"/>
                <w:b/>
                <w:sz w:val="20"/>
                <w:lang w:eastAsia="sk-SK"/>
              </w:rPr>
            </w:pPr>
            <w:r w:rsidRPr="00FC2B55">
              <w:rPr>
                <w:rFonts w:ascii="Times New Roman" w:hAnsi="Times New Roman"/>
                <w:b/>
                <w:sz w:val="20"/>
                <w:lang w:eastAsia="sk-SK"/>
              </w:rPr>
              <w:t xml:space="preserve">6.5.2. </w:t>
            </w:r>
            <w:r w:rsidRPr="00FC2B55">
              <w:rPr>
                <w:rFonts w:ascii="Times New Roman" w:hAnsi="Times New Roman"/>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E22B16" w:rsidRPr="00FC2B55" w:rsidTr="00EC4D63">
              <w:tc>
                <w:tcPr>
                  <w:tcW w:w="436" w:type="dxa"/>
                  <w:tcBorders>
                    <w:top w:val="nil"/>
                    <w:left w:val="nil"/>
                    <w:bottom w:val="nil"/>
                    <w:right w:val="nil"/>
                  </w:tcBorders>
                </w:tcPr>
                <w:p w:rsidR="00E22B16" w:rsidRPr="00FC2B55" w:rsidRDefault="00E22B16" w:rsidP="00EC4D63">
                  <w:pPr>
                    <w:jc w:val="center"/>
                    <w:rPr>
                      <w:rFonts w:ascii="Times New Roman" w:hAnsi="Times New Roman"/>
                      <w:sz w:val="20"/>
                      <w:szCs w:val="20"/>
                      <w:lang w:eastAsia="sk-SK"/>
                    </w:rPr>
                  </w:pPr>
                  <w:r w:rsidRPr="00FC2B55">
                    <w:rPr>
                      <w:rFonts w:ascii="Segoe UI Symbol" w:hAnsi="Segoe UI Symbol" w:cs="Segoe UI Symbol"/>
                      <w:sz w:val="20"/>
                      <w:szCs w:val="20"/>
                      <w:lang w:eastAsia="sk-SK"/>
                    </w:rPr>
                    <w:t>☐</w:t>
                  </w:r>
                </w:p>
              </w:tc>
              <w:tc>
                <w:tcPr>
                  <w:tcW w:w="8545" w:type="dxa"/>
                  <w:tcBorders>
                    <w:top w:val="nil"/>
                    <w:left w:val="nil"/>
                    <w:bottom w:val="nil"/>
                    <w:right w:val="nil"/>
                  </w:tcBorders>
                </w:tcPr>
                <w:p w:rsidR="00E22B16" w:rsidRPr="00FC2B55" w:rsidRDefault="00E22B16" w:rsidP="00EC4D63">
                  <w:pPr>
                    <w:rPr>
                      <w:rFonts w:ascii="Times New Roman" w:hAnsi="Times New Roman"/>
                      <w:b/>
                      <w:sz w:val="20"/>
                      <w:szCs w:val="20"/>
                      <w:lang w:eastAsia="sk-SK"/>
                    </w:rPr>
                  </w:pPr>
                  <w:r w:rsidRPr="00FC2B55">
                    <w:rPr>
                      <w:rFonts w:ascii="Times New Roman" w:hAnsi="Times New Roman"/>
                      <w:b/>
                      <w:sz w:val="20"/>
                      <w:szCs w:val="20"/>
                      <w:lang w:eastAsia="sk-SK"/>
                    </w:rPr>
                    <w:t>Áno</w:t>
                  </w:r>
                </w:p>
              </w:tc>
            </w:tr>
            <w:tr w:rsidR="00E22B16" w:rsidRPr="00FC2B55" w:rsidTr="00EC4D63">
              <w:tc>
                <w:tcPr>
                  <w:tcW w:w="436" w:type="dxa"/>
                  <w:tcBorders>
                    <w:top w:val="nil"/>
                    <w:left w:val="nil"/>
                    <w:bottom w:val="nil"/>
                    <w:right w:val="nil"/>
                  </w:tcBorders>
                </w:tcPr>
                <w:p w:rsidR="00E22B16" w:rsidRPr="00FC2B55" w:rsidRDefault="00E22B16" w:rsidP="00EC4D63">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8545" w:type="dxa"/>
                  <w:tcBorders>
                    <w:top w:val="nil"/>
                    <w:left w:val="nil"/>
                    <w:bottom w:val="nil"/>
                    <w:right w:val="nil"/>
                  </w:tcBorders>
                </w:tcPr>
                <w:p w:rsidR="00E22B16" w:rsidRPr="00FC2B55" w:rsidRDefault="00E22B16" w:rsidP="00EC4D63">
                  <w:pPr>
                    <w:rPr>
                      <w:rFonts w:ascii="Times New Roman" w:hAnsi="Times New Roman"/>
                      <w:b/>
                      <w:sz w:val="20"/>
                      <w:szCs w:val="20"/>
                      <w:lang w:eastAsia="sk-SK"/>
                    </w:rPr>
                  </w:pPr>
                  <w:r w:rsidRPr="00FC2B55">
                    <w:rPr>
                      <w:rFonts w:ascii="Times New Roman" w:hAnsi="Times New Roman"/>
                      <w:b/>
                      <w:sz w:val="20"/>
                      <w:szCs w:val="20"/>
                      <w:lang w:eastAsia="sk-SK"/>
                    </w:rPr>
                    <w:t>Nie</w:t>
                  </w:r>
                </w:p>
              </w:tc>
            </w:tr>
          </w:tbl>
          <w:p w:rsidR="00E22B16" w:rsidRPr="00FC2B55" w:rsidRDefault="00E22B16" w:rsidP="00EC4D63">
            <w:pPr>
              <w:spacing w:after="0" w:line="240" w:lineRule="auto"/>
              <w:rPr>
                <w:rFonts w:ascii="Times New Roman" w:hAnsi="Times New Roman"/>
                <w:sz w:val="24"/>
                <w:szCs w:val="24"/>
                <w:lang w:eastAsia="sk-SK"/>
              </w:rPr>
            </w:pPr>
          </w:p>
        </w:tc>
        <w:tc>
          <w:tcPr>
            <w:tcW w:w="3969" w:type="dxa"/>
            <w:gridSpan w:val="4"/>
          </w:tcPr>
          <w:p w:rsidR="00E22B16" w:rsidRPr="00FC2B55" w:rsidRDefault="00E22B16" w:rsidP="00EC4D63">
            <w:pPr>
              <w:spacing w:after="0" w:line="240" w:lineRule="auto"/>
              <w:rPr>
                <w:rFonts w:ascii="Times New Roman" w:hAnsi="Times New Roman"/>
                <w:i/>
                <w:iCs/>
                <w:sz w:val="24"/>
                <w:szCs w:val="24"/>
                <w:lang w:eastAsia="sk-SK"/>
              </w:rPr>
            </w:pPr>
          </w:p>
        </w:tc>
      </w:tr>
      <w:tr w:rsidR="00E22B16" w:rsidRPr="00FC2B55" w:rsidTr="00EC4D63">
        <w:trPr>
          <w:trHeight w:val="20"/>
        </w:trPr>
        <w:tc>
          <w:tcPr>
            <w:tcW w:w="3956" w:type="dxa"/>
          </w:tcPr>
          <w:p w:rsidR="00E22B16" w:rsidRPr="00FC2B55" w:rsidRDefault="00E22B16" w:rsidP="00EC4D63">
            <w:pPr>
              <w:spacing w:after="0" w:line="240" w:lineRule="auto"/>
              <w:jc w:val="both"/>
              <w:rPr>
                <w:rFonts w:ascii="Times New Roman" w:hAnsi="Times New Roman"/>
                <w:b/>
                <w:sz w:val="20"/>
                <w:lang w:eastAsia="sk-SK"/>
              </w:rPr>
            </w:pPr>
            <w:r w:rsidRPr="00FC2B55">
              <w:rPr>
                <w:rFonts w:ascii="Times New Roman" w:hAnsi="Times New Roman"/>
                <w:b/>
                <w:sz w:val="20"/>
                <w:lang w:eastAsia="sk-SK"/>
              </w:rPr>
              <w:t xml:space="preserve">6.5.3. </w:t>
            </w:r>
            <w:r w:rsidRPr="00FC2B55">
              <w:rPr>
                <w:rFonts w:ascii="Times New Roman" w:hAnsi="Times New Roman"/>
                <w:sz w:val="20"/>
                <w:lang w:eastAsia="sk-SK"/>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FC2B55">
              <w:rPr>
                <w:rFonts w:ascii="Times New Roman" w:hAnsi="Times New Roman"/>
                <w:bCs/>
                <w:sz w:val="20"/>
                <w:lang w:eastAsia="sk-SK"/>
              </w:rPr>
              <w:t>subjektom súkromného práva, navrhovateľom, žiadateľom, účastníkom konania (ďalej len „účastník konania“)</w:t>
            </w:r>
            <w:r w:rsidRPr="00FC2B55">
              <w:rPr>
                <w:rFonts w:ascii="Times New Roman" w:hAnsi="Times New Roman"/>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E22B16" w:rsidRPr="00FC2B55" w:rsidTr="00EC4D63">
              <w:tc>
                <w:tcPr>
                  <w:tcW w:w="436" w:type="dxa"/>
                  <w:tcBorders>
                    <w:top w:val="nil"/>
                    <w:left w:val="nil"/>
                    <w:bottom w:val="nil"/>
                    <w:right w:val="nil"/>
                  </w:tcBorders>
                </w:tcPr>
                <w:p w:rsidR="00E22B16" w:rsidRPr="00FC2B55" w:rsidRDefault="00E22B16" w:rsidP="00EC4D63">
                  <w:pPr>
                    <w:jc w:val="center"/>
                    <w:rPr>
                      <w:rFonts w:ascii="Times New Roman" w:hAnsi="Times New Roman"/>
                      <w:sz w:val="20"/>
                      <w:szCs w:val="20"/>
                      <w:lang w:eastAsia="sk-SK"/>
                    </w:rPr>
                  </w:pPr>
                  <w:r w:rsidRPr="00FC2B55">
                    <w:rPr>
                      <w:rFonts w:ascii="Segoe UI Symbol" w:hAnsi="Segoe UI Symbol" w:cs="Segoe UI Symbol"/>
                      <w:sz w:val="20"/>
                      <w:szCs w:val="20"/>
                      <w:lang w:eastAsia="sk-SK"/>
                    </w:rPr>
                    <w:t>☐</w:t>
                  </w:r>
                </w:p>
              </w:tc>
              <w:tc>
                <w:tcPr>
                  <w:tcW w:w="8545" w:type="dxa"/>
                  <w:tcBorders>
                    <w:top w:val="nil"/>
                    <w:left w:val="nil"/>
                    <w:bottom w:val="nil"/>
                    <w:right w:val="nil"/>
                  </w:tcBorders>
                </w:tcPr>
                <w:p w:rsidR="00E22B16" w:rsidRPr="00FC2B55" w:rsidRDefault="00E22B16" w:rsidP="00EC4D63">
                  <w:pPr>
                    <w:rPr>
                      <w:rFonts w:ascii="Times New Roman" w:hAnsi="Times New Roman"/>
                      <w:b/>
                      <w:sz w:val="20"/>
                      <w:szCs w:val="20"/>
                      <w:lang w:eastAsia="sk-SK"/>
                    </w:rPr>
                  </w:pPr>
                  <w:r w:rsidRPr="00FC2B55">
                    <w:rPr>
                      <w:rFonts w:ascii="Times New Roman" w:hAnsi="Times New Roman"/>
                      <w:b/>
                      <w:sz w:val="20"/>
                      <w:szCs w:val="20"/>
                      <w:lang w:eastAsia="sk-SK"/>
                    </w:rPr>
                    <w:t>Áno</w:t>
                  </w:r>
                </w:p>
              </w:tc>
            </w:tr>
            <w:tr w:rsidR="00E22B16" w:rsidRPr="00FC2B55" w:rsidTr="00EC4D63">
              <w:tc>
                <w:tcPr>
                  <w:tcW w:w="436" w:type="dxa"/>
                  <w:tcBorders>
                    <w:top w:val="nil"/>
                    <w:left w:val="nil"/>
                    <w:bottom w:val="nil"/>
                    <w:right w:val="nil"/>
                  </w:tcBorders>
                </w:tcPr>
                <w:p w:rsidR="00E22B16" w:rsidRPr="00FC2B55" w:rsidRDefault="00E22B16" w:rsidP="00EC4D63">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8545" w:type="dxa"/>
                  <w:tcBorders>
                    <w:top w:val="nil"/>
                    <w:left w:val="nil"/>
                    <w:bottom w:val="nil"/>
                    <w:right w:val="nil"/>
                  </w:tcBorders>
                </w:tcPr>
                <w:p w:rsidR="00E22B16" w:rsidRPr="00FC2B55" w:rsidRDefault="00E22B16" w:rsidP="00EC4D63">
                  <w:pPr>
                    <w:rPr>
                      <w:rFonts w:ascii="Times New Roman" w:hAnsi="Times New Roman"/>
                      <w:b/>
                      <w:sz w:val="20"/>
                      <w:szCs w:val="20"/>
                      <w:lang w:eastAsia="sk-SK"/>
                    </w:rPr>
                  </w:pPr>
                  <w:r w:rsidRPr="00FC2B55">
                    <w:rPr>
                      <w:rFonts w:ascii="Times New Roman" w:hAnsi="Times New Roman"/>
                      <w:b/>
                      <w:sz w:val="20"/>
                      <w:szCs w:val="20"/>
                      <w:lang w:eastAsia="sk-SK"/>
                    </w:rPr>
                    <w:t>Nie</w:t>
                  </w:r>
                </w:p>
              </w:tc>
            </w:tr>
          </w:tbl>
          <w:p w:rsidR="00E22B16" w:rsidRPr="00FC2B55" w:rsidRDefault="00E22B16" w:rsidP="00EC4D63">
            <w:pPr>
              <w:spacing w:after="0" w:line="240" w:lineRule="auto"/>
              <w:rPr>
                <w:rFonts w:ascii="Times New Roman" w:hAnsi="Times New Roman"/>
                <w:sz w:val="24"/>
                <w:szCs w:val="24"/>
                <w:lang w:eastAsia="sk-SK"/>
              </w:rPr>
            </w:pPr>
          </w:p>
        </w:tc>
        <w:tc>
          <w:tcPr>
            <w:tcW w:w="3969" w:type="dxa"/>
            <w:gridSpan w:val="4"/>
          </w:tcPr>
          <w:p w:rsidR="00E22B16" w:rsidRPr="00FC2B55" w:rsidRDefault="00E22B16" w:rsidP="00EC4D63">
            <w:pPr>
              <w:spacing w:after="0" w:line="240" w:lineRule="auto"/>
              <w:rPr>
                <w:rFonts w:ascii="Times New Roman" w:hAnsi="Times New Roman"/>
                <w:i/>
                <w:iCs/>
                <w:sz w:val="24"/>
                <w:szCs w:val="24"/>
                <w:lang w:eastAsia="sk-SK"/>
              </w:rPr>
            </w:pPr>
          </w:p>
        </w:tc>
      </w:tr>
      <w:tr w:rsidR="00E22B16" w:rsidRPr="00FC2B55" w:rsidTr="00EC4D63">
        <w:trPr>
          <w:trHeight w:val="20"/>
        </w:trPr>
        <w:tc>
          <w:tcPr>
            <w:tcW w:w="3956" w:type="dxa"/>
          </w:tcPr>
          <w:p w:rsidR="00E22B16" w:rsidRPr="00FC2B55" w:rsidRDefault="00E22B16" w:rsidP="00EC4D63">
            <w:pPr>
              <w:spacing w:after="0" w:line="240" w:lineRule="auto"/>
              <w:jc w:val="both"/>
              <w:rPr>
                <w:rFonts w:ascii="Times New Roman" w:hAnsi="Times New Roman"/>
                <w:b/>
                <w:sz w:val="20"/>
                <w:lang w:eastAsia="sk-SK"/>
              </w:rPr>
            </w:pPr>
            <w:r w:rsidRPr="00FC2B55">
              <w:rPr>
                <w:rFonts w:ascii="Times New Roman" w:hAnsi="Times New Roman"/>
                <w:b/>
                <w:sz w:val="20"/>
                <w:lang w:eastAsia="sk-SK"/>
              </w:rPr>
              <w:t xml:space="preserve">6.5.4. </w:t>
            </w:r>
            <w:r w:rsidRPr="00FC2B55">
              <w:rPr>
                <w:rFonts w:ascii="Times New Roman" w:hAnsi="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E22B16" w:rsidRPr="00FC2B55" w:rsidTr="00EC4D63">
              <w:tc>
                <w:tcPr>
                  <w:tcW w:w="436" w:type="dxa"/>
                  <w:tcBorders>
                    <w:top w:val="nil"/>
                    <w:left w:val="nil"/>
                    <w:bottom w:val="nil"/>
                    <w:right w:val="nil"/>
                  </w:tcBorders>
                </w:tcPr>
                <w:p w:rsidR="00E22B16" w:rsidRPr="00FC2B55" w:rsidRDefault="00E22B16" w:rsidP="00EC4D63">
                  <w:pPr>
                    <w:jc w:val="center"/>
                    <w:rPr>
                      <w:rFonts w:ascii="Times New Roman" w:hAnsi="Times New Roman"/>
                      <w:sz w:val="20"/>
                      <w:szCs w:val="20"/>
                      <w:lang w:eastAsia="sk-SK"/>
                    </w:rPr>
                  </w:pPr>
                  <w:r w:rsidRPr="00FC2B55">
                    <w:rPr>
                      <w:rFonts w:ascii="Segoe UI Symbol" w:hAnsi="Segoe UI Symbol" w:cs="Segoe UI Symbol"/>
                      <w:sz w:val="20"/>
                      <w:szCs w:val="20"/>
                      <w:lang w:eastAsia="sk-SK"/>
                    </w:rPr>
                    <w:t>☐</w:t>
                  </w:r>
                </w:p>
              </w:tc>
              <w:tc>
                <w:tcPr>
                  <w:tcW w:w="8545" w:type="dxa"/>
                  <w:tcBorders>
                    <w:top w:val="nil"/>
                    <w:left w:val="nil"/>
                    <w:bottom w:val="nil"/>
                    <w:right w:val="nil"/>
                  </w:tcBorders>
                </w:tcPr>
                <w:p w:rsidR="00E22B16" w:rsidRPr="00FC2B55" w:rsidRDefault="00E22B16" w:rsidP="00EC4D63">
                  <w:pPr>
                    <w:rPr>
                      <w:rFonts w:ascii="Times New Roman" w:hAnsi="Times New Roman"/>
                      <w:b/>
                      <w:sz w:val="20"/>
                      <w:szCs w:val="20"/>
                      <w:lang w:eastAsia="sk-SK"/>
                    </w:rPr>
                  </w:pPr>
                  <w:r w:rsidRPr="00FC2B55">
                    <w:rPr>
                      <w:rFonts w:ascii="Times New Roman" w:hAnsi="Times New Roman"/>
                      <w:b/>
                      <w:sz w:val="20"/>
                      <w:szCs w:val="20"/>
                      <w:lang w:eastAsia="sk-SK"/>
                    </w:rPr>
                    <w:t>Áno</w:t>
                  </w:r>
                </w:p>
              </w:tc>
            </w:tr>
            <w:tr w:rsidR="00E22B16" w:rsidRPr="00FC2B55" w:rsidTr="00EC4D63">
              <w:tc>
                <w:tcPr>
                  <w:tcW w:w="436" w:type="dxa"/>
                  <w:tcBorders>
                    <w:top w:val="nil"/>
                    <w:left w:val="nil"/>
                    <w:bottom w:val="nil"/>
                    <w:right w:val="nil"/>
                  </w:tcBorders>
                </w:tcPr>
                <w:p w:rsidR="00E22B16" w:rsidRPr="00FC2B55" w:rsidRDefault="00E22B16" w:rsidP="00EC4D63">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8545" w:type="dxa"/>
                  <w:tcBorders>
                    <w:top w:val="nil"/>
                    <w:left w:val="nil"/>
                    <w:bottom w:val="nil"/>
                    <w:right w:val="nil"/>
                  </w:tcBorders>
                </w:tcPr>
                <w:p w:rsidR="00E22B16" w:rsidRPr="00FC2B55" w:rsidRDefault="00E22B16" w:rsidP="00EC4D63">
                  <w:pPr>
                    <w:rPr>
                      <w:rFonts w:ascii="Times New Roman" w:hAnsi="Times New Roman"/>
                      <w:b/>
                      <w:sz w:val="20"/>
                      <w:szCs w:val="20"/>
                      <w:lang w:eastAsia="sk-SK"/>
                    </w:rPr>
                  </w:pPr>
                  <w:r w:rsidRPr="00FC2B55">
                    <w:rPr>
                      <w:rFonts w:ascii="Times New Roman" w:hAnsi="Times New Roman"/>
                      <w:b/>
                      <w:sz w:val="20"/>
                      <w:szCs w:val="20"/>
                      <w:lang w:eastAsia="sk-SK"/>
                    </w:rPr>
                    <w:t>Nie</w:t>
                  </w:r>
                </w:p>
              </w:tc>
            </w:tr>
          </w:tbl>
          <w:p w:rsidR="00E22B16" w:rsidRPr="00FC2B55" w:rsidRDefault="00E22B16" w:rsidP="00EC4D63">
            <w:pPr>
              <w:spacing w:after="0" w:line="240" w:lineRule="auto"/>
              <w:rPr>
                <w:rFonts w:ascii="Times New Roman" w:hAnsi="Times New Roman"/>
                <w:sz w:val="24"/>
                <w:szCs w:val="24"/>
                <w:lang w:eastAsia="sk-SK"/>
              </w:rPr>
            </w:pPr>
          </w:p>
        </w:tc>
        <w:tc>
          <w:tcPr>
            <w:tcW w:w="3969" w:type="dxa"/>
            <w:gridSpan w:val="4"/>
          </w:tcPr>
          <w:p w:rsidR="00E22B16" w:rsidRPr="00FC2B55" w:rsidRDefault="00E22B16" w:rsidP="00EC4D63">
            <w:pPr>
              <w:spacing w:after="0" w:line="240" w:lineRule="auto"/>
              <w:rPr>
                <w:rFonts w:ascii="Times New Roman" w:hAnsi="Times New Roman"/>
                <w:i/>
                <w:iCs/>
                <w:sz w:val="24"/>
                <w:szCs w:val="24"/>
                <w:lang w:eastAsia="sk-SK"/>
              </w:rPr>
            </w:pPr>
          </w:p>
        </w:tc>
      </w:tr>
      <w:tr w:rsidR="00E22B16" w:rsidRPr="00FC2B55" w:rsidTr="00EC4D63">
        <w:trPr>
          <w:trHeight w:val="20"/>
        </w:trPr>
        <w:tc>
          <w:tcPr>
            <w:tcW w:w="9371" w:type="dxa"/>
            <w:gridSpan w:val="6"/>
            <w:shd w:val="pct25" w:color="auto" w:fill="auto"/>
          </w:tcPr>
          <w:p w:rsidR="00E22B16" w:rsidRPr="00FC2B55" w:rsidRDefault="00E22B16" w:rsidP="00EC4D63">
            <w:pPr>
              <w:spacing w:after="0" w:line="20" w:lineRule="atLeast"/>
              <w:jc w:val="center"/>
              <w:rPr>
                <w:rFonts w:ascii="Times New Roman" w:hAnsi="Times New Roman"/>
                <w:i/>
                <w:iCs/>
                <w:sz w:val="20"/>
                <w:szCs w:val="20"/>
                <w:lang w:eastAsia="sk-SK"/>
              </w:rPr>
            </w:pPr>
            <w:r w:rsidRPr="00FC2B55">
              <w:rPr>
                <w:rFonts w:ascii="Times New Roman" w:hAnsi="Times New Roman"/>
                <w:b/>
                <w:sz w:val="20"/>
                <w:szCs w:val="20"/>
                <w:lang w:eastAsia="sk-SK"/>
              </w:rPr>
              <w:t>Výmena údajov medzi orgánmi verejnej moci</w:t>
            </w:r>
          </w:p>
        </w:tc>
      </w:tr>
      <w:tr w:rsidR="00E22B16" w:rsidRPr="00FC2B55" w:rsidTr="00EC4D63">
        <w:trPr>
          <w:trHeight w:val="20"/>
        </w:trPr>
        <w:tc>
          <w:tcPr>
            <w:tcW w:w="3956" w:type="dxa"/>
          </w:tcPr>
          <w:p w:rsidR="00E22B16" w:rsidRPr="00FC2B55" w:rsidRDefault="00E22B16" w:rsidP="00EC4D63">
            <w:pPr>
              <w:spacing w:after="0" w:line="240" w:lineRule="auto"/>
              <w:jc w:val="both"/>
              <w:rPr>
                <w:rFonts w:ascii="Times New Roman" w:hAnsi="Times New Roman"/>
                <w:b/>
                <w:sz w:val="20"/>
                <w:lang w:eastAsia="sk-SK"/>
              </w:rPr>
            </w:pPr>
            <w:r w:rsidRPr="00FC2B55">
              <w:rPr>
                <w:rFonts w:ascii="Times New Roman" w:hAnsi="Times New Roman"/>
                <w:b/>
                <w:sz w:val="20"/>
                <w:lang w:eastAsia="sk-SK"/>
              </w:rPr>
              <w:t xml:space="preserve">6.6.1. </w:t>
            </w:r>
            <w:r w:rsidRPr="00FC2B55">
              <w:rPr>
                <w:rFonts w:ascii="Times New Roman" w:hAnsi="Times New Roman"/>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E22B16" w:rsidRPr="00FC2B55" w:rsidTr="00EC4D63">
              <w:tc>
                <w:tcPr>
                  <w:tcW w:w="436" w:type="dxa"/>
                  <w:tcBorders>
                    <w:top w:val="nil"/>
                    <w:left w:val="nil"/>
                    <w:bottom w:val="nil"/>
                    <w:right w:val="nil"/>
                  </w:tcBorders>
                </w:tcPr>
                <w:p w:rsidR="00E22B16" w:rsidRPr="00FC2B55" w:rsidRDefault="00E22B16" w:rsidP="00EC4D63">
                  <w:pPr>
                    <w:jc w:val="center"/>
                    <w:rPr>
                      <w:rFonts w:ascii="Times New Roman" w:hAnsi="Times New Roman"/>
                      <w:sz w:val="20"/>
                      <w:szCs w:val="20"/>
                      <w:lang w:eastAsia="sk-SK"/>
                    </w:rPr>
                  </w:pPr>
                  <w:r w:rsidRPr="00FC2B55">
                    <w:rPr>
                      <w:rFonts w:ascii="Segoe UI Symbol" w:hAnsi="Segoe UI Symbol" w:cs="Segoe UI Symbol"/>
                      <w:sz w:val="20"/>
                      <w:szCs w:val="20"/>
                      <w:lang w:eastAsia="sk-SK"/>
                    </w:rPr>
                    <w:t>☐</w:t>
                  </w:r>
                </w:p>
              </w:tc>
              <w:tc>
                <w:tcPr>
                  <w:tcW w:w="8545" w:type="dxa"/>
                  <w:tcBorders>
                    <w:top w:val="nil"/>
                    <w:left w:val="nil"/>
                    <w:bottom w:val="nil"/>
                    <w:right w:val="nil"/>
                  </w:tcBorders>
                </w:tcPr>
                <w:p w:rsidR="00E22B16" w:rsidRPr="00FC2B55" w:rsidRDefault="00E22B16" w:rsidP="00EC4D63">
                  <w:pPr>
                    <w:rPr>
                      <w:rFonts w:ascii="Times New Roman" w:hAnsi="Times New Roman"/>
                      <w:b/>
                      <w:sz w:val="20"/>
                      <w:szCs w:val="20"/>
                      <w:lang w:eastAsia="sk-SK"/>
                    </w:rPr>
                  </w:pPr>
                  <w:r w:rsidRPr="00FC2B55">
                    <w:rPr>
                      <w:rFonts w:ascii="Times New Roman" w:hAnsi="Times New Roman"/>
                      <w:b/>
                      <w:sz w:val="20"/>
                      <w:szCs w:val="20"/>
                      <w:lang w:eastAsia="sk-SK"/>
                    </w:rPr>
                    <w:t>Áno</w:t>
                  </w:r>
                </w:p>
              </w:tc>
            </w:tr>
            <w:tr w:rsidR="00E22B16" w:rsidRPr="00FC2B55" w:rsidTr="00EC4D63">
              <w:tc>
                <w:tcPr>
                  <w:tcW w:w="436" w:type="dxa"/>
                  <w:tcBorders>
                    <w:top w:val="nil"/>
                    <w:left w:val="nil"/>
                    <w:bottom w:val="nil"/>
                    <w:right w:val="nil"/>
                  </w:tcBorders>
                </w:tcPr>
                <w:p w:rsidR="00E22B16" w:rsidRPr="00FC2B55" w:rsidRDefault="00E22B16" w:rsidP="00EC4D63">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8545" w:type="dxa"/>
                  <w:tcBorders>
                    <w:top w:val="nil"/>
                    <w:left w:val="nil"/>
                    <w:bottom w:val="nil"/>
                    <w:right w:val="nil"/>
                  </w:tcBorders>
                </w:tcPr>
                <w:p w:rsidR="00E22B16" w:rsidRPr="00FC2B55" w:rsidRDefault="00E22B16" w:rsidP="00EC4D63">
                  <w:pPr>
                    <w:rPr>
                      <w:rFonts w:ascii="Times New Roman" w:hAnsi="Times New Roman"/>
                      <w:b/>
                      <w:sz w:val="20"/>
                      <w:szCs w:val="20"/>
                      <w:lang w:eastAsia="sk-SK"/>
                    </w:rPr>
                  </w:pPr>
                  <w:r w:rsidRPr="00FC2B55">
                    <w:rPr>
                      <w:rFonts w:ascii="Times New Roman" w:hAnsi="Times New Roman"/>
                      <w:b/>
                      <w:sz w:val="20"/>
                      <w:szCs w:val="20"/>
                      <w:lang w:eastAsia="sk-SK"/>
                    </w:rPr>
                    <w:t>Nie</w:t>
                  </w:r>
                </w:p>
              </w:tc>
            </w:tr>
          </w:tbl>
          <w:p w:rsidR="00E22B16" w:rsidRPr="00FC2B55" w:rsidRDefault="00E22B16" w:rsidP="00EC4D63">
            <w:pPr>
              <w:spacing w:after="0" w:line="240" w:lineRule="auto"/>
              <w:rPr>
                <w:rFonts w:ascii="Times New Roman" w:hAnsi="Times New Roman"/>
                <w:sz w:val="24"/>
                <w:szCs w:val="24"/>
                <w:lang w:eastAsia="sk-SK"/>
              </w:rPr>
            </w:pPr>
          </w:p>
        </w:tc>
        <w:tc>
          <w:tcPr>
            <w:tcW w:w="3969" w:type="dxa"/>
            <w:gridSpan w:val="4"/>
          </w:tcPr>
          <w:p w:rsidR="00E22B16" w:rsidRPr="00FC2B55" w:rsidRDefault="00E22B16" w:rsidP="00EC4D63">
            <w:pPr>
              <w:spacing w:after="0" w:line="20" w:lineRule="atLeast"/>
              <w:jc w:val="both"/>
              <w:rPr>
                <w:rFonts w:ascii="Times New Roman" w:hAnsi="Times New Roman"/>
                <w:i/>
                <w:iCs/>
                <w:sz w:val="24"/>
                <w:szCs w:val="24"/>
                <w:lang w:eastAsia="sk-SK"/>
              </w:rPr>
            </w:pPr>
          </w:p>
        </w:tc>
      </w:tr>
      <w:tr w:rsidR="00E22B16" w:rsidRPr="00FC2B55" w:rsidTr="00EC4D63">
        <w:trPr>
          <w:trHeight w:val="20"/>
        </w:trPr>
        <w:tc>
          <w:tcPr>
            <w:tcW w:w="3956" w:type="dxa"/>
          </w:tcPr>
          <w:p w:rsidR="00E22B16" w:rsidRPr="00FC2B55" w:rsidRDefault="00E22B16" w:rsidP="00EC4D63">
            <w:pPr>
              <w:spacing w:after="0" w:line="240" w:lineRule="auto"/>
              <w:jc w:val="both"/>
              <w:rPr>
                <w:rFonts w:ascii="Times New Roman" w:hAnsi="Times New Roman"/>
                <w:b/>
                <w:sz w:val="20"/>
                <w:lang w:eastAsia="sk-SK"/>
              </w:rPr>
            </w:pPr>
            <w:r w:rsidRPr="00FC2B55">
              <w:rPr>
                <w:rFonts w:ascii="Times New Roman" w:hAnsi="Times New Roman"/>
                <w:b/>
                <w:sz w:val="20"/>
                <w:lang w:eastAsia="sk-SK"/>
              </w:rPr>
              <w:t xml:space="preserve">6.6.2. </w:t>
            </w:r>
            <w:r w:rsidRPr="00FC2B55">
              <w:rPr>
                <w:rFonts w:ascii="Times New Roman" w:hAnsi="Times New Roman"/>
                <w:sz w:val="20"/>
                <w:lang w:eastAsia="sk-SK"/>
              </w:rPr>
              <w:t xml:space="preserve">Umožňuje predložený návrh poskytovanie údajov z evidencie iným orgánom verejnej moci, resp. iným osobám na plnenie ich zákonom ustanovených úloh bez obmedzenia subjektu (teda vo všetkých prípadoch, kedy tieto </w:t>
            </w:r>
            <w:r w:rsidRPr="00FC2B55">
              <w:rPr>
                <w:rFonts w:ascii="Times New Roman" w:hAnsi="Times New Roman"/>
                <w:sz w:val="20"/>
                <w:lang w:eastAsia="sk-SK"/>
              </w:rPr>
              <w:lastRenderedPageBreak/>
              <w:t>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E22B16" w:rsidRPr="00FC2B55" w:rsidTr="00EC4D63">
              <w:tc>
                <w:tcPr>
                  <w:tcW w:w="436" w:type="dxa"/>
                  <w:tcBorders>
                    <w:top w:val="nil"/>
                    <w:left w:val="nil"/>
                    <w:bottom w:val="nil"/>
                    <w:right w:val="nil"/>
                  </w:tcBorders>
                </w:tcPr>
                <w:p w:rsidR="00E22B16" w:rsidRPr="00FC2B55" w:rsidRDefault="00E22B16" w:rsidP="00EC4D63">
                  <w:pPr>
                    <w:jc w:val="center"/>
                    <w:rPr>
                      <w:rFonts w:ascii="Times New Roman" w:hAnsi="Times New Roman"/>
                      <w:sz w:val="20"/>
                      <w:szCs w:val="20"/>
                      <w:lang w:eastAsia="sk-SK"/>
                    </w:rPr>
                  </w:pPr>
                  <w:r>
                    <w:rPr>
                      <w:rFonts w:ascii="MS Gothic" w:eastAsia="MS Gothic" w:hAnsi="MS Gothic" w:hint="eastAsia"/>
                      <w:sz w:val="20"/>
                      <w:szCs w:val="20"/>
                      <w:lang w:eastAsia="sk-SK"/>
                    </w:rPr>
                    <w:lastRenderedPageBreak/>
                    <w:t>☒</w:t>
                  </w:r>
                </w:p>
              </w:tc>
              <w:tc>
                <w:tcPr>
                  <w:tcW w:w="8545" w:type="dxa"/>
                  <w:tcBorders>
                    <w:top w:val="nil"/>
                    <w:left w:val="nil"/>
                    <w:bottom w:val="nil"/>
                    <w:right w:val="nil"/>
                  </w:tcBorders>
                </w:tcPr>
                <w:p w:rsidR="00E22B16" w:rsidRPr="00FC2B55" w:rsidRDefault="00E22B16" w:rsidP="00EC4D63">
                  <w:pPr>
                    <w:rPr>
                      <w:rFonts w:ascii="Times New Roman" w:hAnsi="Times New Roman"/>
                      <w:b/>
                      <w:sz w:val="20"/>
                      <w:szCs w:val="20"/>
                      <w:lang w:eastAsia="sk-SK"/>
                    </w:rPr>
                  </w:pPr>
                  <w:r w:rsidRPr="00FC2B55">
                    <w:rPr>
                      <w:rFonts w:ascii="Times New Roman" w:hAnsi="Times New Roman"/>
                      <w:b/>
                      <w:sz w:val="20"/>
                      <w:szCs w:val="20"/>
                      <w:lang w:eastAsia="sk-SK"/>
                    </w:rPr>
                    <w:t>Áno</w:t>
                  </w:r>
                </w:p>
              </w:tc>
            </w:tr>
            <w:tr w:rsidR="00E22B16" w:rsidRPr="00FC2B55" w:rsidTr="00EC4D63">
              <w:tc>
                <w:tcPr>
                  <w:tcW w:w="436" w:type="dxa"/>
                  <w:tcBorders>
                    <w:top w:val="nil"/>
                    <w:left w:val="nil"/>
                    <w:bottom w:val="nil"/>
                    <w:right w:val="nil"/>
                  </w:tcBorders>
                </w:tcPr>
                <w:p w:rsidR="00E22B16" w:rsidRPr="00FC2B55" w:rsidRDefault="00E22B16" w:rsidP="00EC4D63">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8545" w:type="dxa"/>
                  <w:tcBorders>
                    <w:top w:val="nil"/>
                    <w:left w:val="nil"/>
                    <w:bottom w:val="nil"/>
                    <w:right w:val="nil"/>
                  </w:tcBorders>
                </w:tcPr>
                <w:p w:rsidR="00E22B16" w:rsidRPr="00FC2B55" w:rsidRDefault="00E22B16" w:rsidP="00EC4D63">
                  <w:pPr>
                    <w:rPr>
                      <w:rFonts w:ascii="Times New Roman" w:hAnsi="Times New Roman"/>
                      <w:b/>
                      <w:sz w:val="20"/>
                      <w:szCs w:val="20"/>
                      <w:lang w:eastAsia="sk-SK"/>
                    </w:rPr>
                  </w:pPr>
                  <w:r w:rsidRPr="00FC2B55">
                    <w:rPr>
                      <w:rFonts w:ascii="Times New Roman" w:hAnsi="Times New Roman"/>
                      <w:b/>
                      <w:sz w:val="20"/>
                      <w:szCs w:val="20"/>
                      <w:lang w:eastAsia="sk-SK"/>
                    </w:rPr>
                    <w:t>Nie</w:t>
                  </w:r>
                </w:p>
              </w:tc>
            </w:tr>
          </w:tbl>
          <w:p w:rsidR="00E22B16" w:rsidRPr="00FC2B55" w:rsidRDefault="00E22B16" w:rsidP="00EC4D63">
            <w:pPr>
              <w:spacing w:after="0" w:line="240" w:lineRule="auto"/>
              <w:rPr>
                <w:rFonts w:ascii="Times New Roman" w:hAnsi="Times New Roman"/>
                <w:sz w:val="24"/>
                <w:szCs w:val="24"/>
                <w:lang w:eastAsia="sk-SK"/>
              </w:rPr>
            </w:pPr>
          </w:p>
        </w:tc>
        <w:tc>
          <w:tcPr>
            <w:tcW w:w="3969" w:type="dxa"/>
            <w:gridSpan w:val="4"/>
          </w:tcPr>
          <w:p w:rsidR="00E22B16" w:rsidRPr="00EC3031" w:rsidRDefault="00E22B16" w:rsidP="00EC4D63">
            <w:pPr>
              <w:spacing w:after="0" w:line="20" w:lineRule="atLeast"/>
              <w:jc w:val="both"/>
              <w:rPr>
                <w:rFonts w:ascii="Arial" w:hAnsi="Arial" w:cs="Arial"/>
                <w:sz w:val="16"/>
                <w:szCs w:val="16"/>
              </w:rPr>
            </w:pPr>
            <w:r w:rsidRPr="00EC3031">
              <w:rPr>
                <w:rFonts w:ascii="Arial" w:hAnsi="Arial" w:cs="Arial"/>
                <w:sz w:val="16"/>
                <w:szCs w:val="16"/>
              </w:rPr>
              <w:t>Zmena systému registrácie daňových subjektov</w:t>
            </w:r>
            <w:r>
              <w:rPr>
                <w:rFonts w:ascii="Arial" w:hAnsi="Arial" w:cs="Arial"/>
                <w:sz w:val="16"/>
                <w:szCs w:val="16"/>
              </w:rPr>
              <w:t xml:space="preserve"> automatickým preberaním údajov zo zdrojových registrov.</w:t>
            </w:r>
          </w:p>
          <w:p w:rsidR="00E22B16" w:rsidRPr="00FC2B55" w:rsidRDefault="00E22B16" w:rsidP="00EC4D63">
            <w:pPr>
              <w:spacing w:after="0" w:line="240" w:lineRule="auto"/>
              <w:rPr>
                <w:rFonts w:ascii="Times New Roman" w:hAnsi="Times New Roman"/>
                <w:i/>
                <w:iCs/>
                <w:sz w:val="24"/>
                <w:szCs w:val="24"/>
                <w:lang w:eastAsia="sk-SK"/>
              </w:rPr>
            </w:pPr>
          </w:p>
        </w:tc>
      </w:tr>
      <w:tr w:rsidR="00E22B16" w:rsidRPr="00FC2B55" w:rsidTr="00EC4D63">
        <w:trPr>
          <w:trHeight w:val="20"/>
        </w:trPr>
        <w:tc>
          <w:tcPr>
            <w:tcW w:w="3956" w:type="dxa"/>
          </w:tcPr>
          <w:p w:rsidR="00E22B16" w:rsidRPr="00FC2B55" w:rsidRDefault="00E22B16" w:rsidP="00EC4D63">
            <w:pPr>
              <w:spacing w:after="0" w:line="240" w:lineRule="auto"/>
              <w:jc w:val="both"/>
              <w:rPr>
                <w:rFonts w:ascii="Times New Roman" w:hAnsi="Times New Roman"/>
                <w:b/>
                <w:sz w:val="20"/>
                <w:lang w:eastAsia="sk-SK"/>
              </w:rPr>
            </w:pPr>
            <w:r w:rsidRPr="00FC2B55">
              <w:rPr>
                <w:rFonts w:ascii="Times New Roman" w:hAnsi="Times New Roman"/>
                <w:b/>
                <w:sz w:val="20"/>
                <w:lang w:eastAsia="sk-SK"/>
              </w:rPr>
              <w:t xml:space="preserve">6.6.3. </w:t>
            </w:r>
            <w:r w:rsidRPr="00FC2B55">
              <w:rPr>
                <w:rFonts w:ascii="Times New Roman" w:hAnsi="Times New Roman"/>
                <w:sz w:val="20"/>
                <w:lang w:eastAsia="sk-SK"/>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E22B16" w:rsidRPr="00FC2B55" w:rsidTr="00EC4D63">
              <w:tc>
                <w:tcPr>
                  <w:tcW w:w="436" w:type="dxa"/>
                  <w:tcBorders>
                    <w:top w:val="nil"/>
                    <w:left w:val="nil"/>
                    <w:bottom w:val="nil"/>
                    <w:right w:val="nil"/>
                  </w:tcBorders>
                </w:tcPr>
                <w:p w:rsidR="00E22B16" w:rsidRPr="00FC2B55" w:rsidRDefault="00E22B16" w:rsidP="00EC4D63">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8545" w:type="dxa"/>
                  <w:tcBorders>
                    <w:top w:val="nil"/>
                    <w:left w:val="nil"/>
                    <w:bottom w:val="nil"/>
                    <w:right w:val="nil"/>
                  </w:tcBorders>
                </w:tcPr>
                <w:p w:rsidR="00E22B16" w:rsidRPr="00FC2B55" w:rsidRDefault="00E22B16" w:rsidP="00EC4D63">
                  <w:pPr>
                    <w:rPr>
                      <w:rFonts w:ascii="Times New Roman" w:hAnsi="Times New Roman"/>
                      <w:b/>
                      <w:sz w:val="20"/>
                      <w:szCs w:val="20"/>
                      <w:lang w:eastAsia="sk-SK"/>
                    </w:rPr>
                  </w:pPr>
                  <w:r w:rsidRPr="00FC2B55">
                    <w:rPr>
                      <w:rFonts w:ascii="Times New Roman" w:hAnsi="Times New Roman"/>
                      <w:b/>
                      <w:sz w:val="20"/>
                      <w:szCs w:val="20"/>
                      <w:lang w:eastAsia="sk-SK"/>
                    </w:rPr>
                    <w:t>Áno</w:t>
                  </w:r>
                </w:p>
              </w:tc>
            </w:tr>
            <w:tr w:rsidR="00E22B16" w:rsidRPr="00FC2B55" w:rsidTr="00EC4D63">
              <w:tc>
                <w:tcPr>
                  <w:tcW w:w="436" w:type="dxa"/>
                  <w:tcBorders>
                    <w:top w:val="nil"/>
                    <w:left w:val="nil"/>
                    <w:bottom w:val="nil"/>
                    <w:right w:val="nil"/>
                  </w:tcBorders>
                </w:tcPr>
                <w:p w:rsidR="00E22B16" w:rsidRPr="00FC2B55" w:rsidRDefault="00E22B16" w:rsidP="00EC4D63">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8545" w:type="dxa"/>
                  <w:tcBorders>
                    <w:top w:val="nil"/>
                    <w:left w:val="nil"/>
                    <w:bottom w:val="nil"/>
                    <w:right w:val="nil"/>
                  </w:tcBorders>
                </w:tcPr>
                <w:p w:rsidR="00E22B16" w:rsidRPr="00FC2B55" w:rsidRDefault="00E22B16" w:rsidP="00EC4D63">
                  <w:pPr>
                    <w:rPr>
                      <w:rFonts w:ascii="Times New Roman" w:hAnsi="Times New Roman"/>
                      <w:b/>
                      <w:sz w:val="20"/>
                      <w:szCs w:val="20"/>
                      <w:lang w:eastAsia="sk-SK"/>
                    </w:rPr>
                  </w:pPr>
                  <w:r w:rsidRPr="00FC2B55">
                    <w:rPr>
                      <w:rFonts w:ascii="Times New Roman" w:hAnsi="Times New Roman"/>
                      <w:b/>
                      <w:sz w:val="20"/>
                      <w:szCs w:val="20"/>
                      <w:lang w:eastAsia="sk-SK"/>
                    </w:rPr>
                    <w:t>Nie</w:t>
                  </w:r>
                </w:p>
              </w:tc>
            </w:tr>
          </w:tbl>
          <w:p w:rsidR="00E22B16" w:rsidRPr="00FC2B55" w:rsidRDefault="00E22B16" w:rsidP="00EC4D63">
            <w:pPr>
              <w:spacing w:after="0" w:line="240" w:lineRule="auto"/>
              <w:rPr>
                <w:rFonts w:ascii="Times New Roman" w:hAnsi="Times New Roman"/>
                <w:sz w:val="24"/>
                <w:szCs w:val="24"/>
                <w:lang w:eastAsia="sk-SK"/>
              </w:rPr>
            </w:pPr>
          </w:p>
        </w:tc>
        <w:tc>
          <w:tcPr>
            <w:tcW w:w="3969" w:type="dxa"/>
            <w:gridSpan w:val="4"/>
          </w:tcPr>
          <w:p w:rsidR="00E22B16" w:rsidRPr="00EC3031" w:rsidRDefault="00E22B16" w:rsidP="00EC4D63">
            <w:pPr>
              <w:spacing w:after="0" w:line="20" w:lineRule="atLeast"/>
              <w:jc w:val="both"/>
              <w:rPr>
                <w:rFonts w:ascii="Arial" w:hAnsi="Arial" w:cs="Arial"/>
                <w:sz w:val="16"/>
                <w:szCs w:val="16"/>
              </w:rPr>
            </w:pPr>
            <w:r w:rsidRPr="00EC3031">
              <w:rPr>
                <w:rFonts w:ascii="Arial" w:hAnsi="Arial" w:cs="Arial"/>
                <w:sz w:val="16"/>
                <w:szCs w:val="16"/>
              </w:rPr>
              <w:t>Zmena systému registrácie daňových subjektov</w:t>
            </w:r>
            <w:r>
              <w:rPr>
                <w:rFonts w:ascii="Arial" w:hAnsi="Arial" w:cs="Arial"/>
                <w:sz w:val="16"/>
                <w:szCs w:val="16"/>
              </w:rPr>
              <w:t xml:space="preserve"> automatickým preberaním údajov zo zdrojových registrov.</w:t>
            </w:r>
          </w:p>
          <w:p w:rsidR="00E22B16" w:rsidRPr="00FC2B55" w:rsidRDefault="00E22B16" w:rsidP="00EC4D63">
            <w:pPr>
              <w:spacing w:after="0" w:line="240" w:lineRule="auto"/>
              <w:rPr>
                <w:rFonts w:ascii="Times New Roman" w:hAnsi="Times New Roman"/>
                <w:i/>
                <w:iCs/>
                <w:sz w:val="24"/>
                <w:szCs w:val="24"/>
                <w:lang w:eastAsia="sk-SK"/>
              </w:rPr>
            </w:pPr>
          </w:p>
        </w:tc>
      </w:tr>
      <w:tr w:rsidR="00E22B16" w:rsidRPr="00FC2B55" w:rsidTr="00EC4D63">
        <w:trPr>
          <w:trHeight w:val="20"/>
        </w:trPr>
        <w:tc>
          <w:tcPr>
            <w:tcW w:w="3956" w:type="dxa"/>
          </w:tcPr>
          <w:p w:rsidR="00E22B16" w:rsidRPr="00FC2B55" w:rsidRDefault="00E22B16" w:rsidP="00EC4D63">
            <w:pPr>
              <w:spacing w:after="0" w:line="240" w:lineRule="auto"/>
              <w:jc w:val="both"/>
              <w:rPr>
                <w:rFonts w:ascii="Times New Roman" w:hAnsi="Times New Roman"/>
                <w:b/>
                <w:sz w:val="20"/>
                <w:lang w:eastAsia="sk-SK"/>
              </w:rPr>
            </w:pPr>
            <w:r w:rsidRPr="00FC2B55">
              <w:rPr>
                <w:rFonts w:ascii="Times New Roman" w:hAnsi="Times New Roman"/>
                <w:b/>
                <w:sz w:val="20"/>
                <w:lang w:eastAsia="sk-SK"/>
              </w:rPr>
              <w:t xml:space="preserve">6.6.4. </w:t>
            </w:r>
            <w:r w:rsidRPr="00FC2B55">
              <w:rPr>
                <w:rFonts w:ascii="Times New Roman" w:hAnsi="Times New Roman"/>
                <w:sz w:val="20"/>
                <w:lang w:eastAsia="sk-SK"/>
              </w:rPr>
              <w:t>Je na poskytovanie údajov z evidencie využitý režim podľa zákona č. 177/2018 Z.z.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E22B16" w:rsidRPr="00FC2B55" w:rsidTr="00EC4D63">
              <w:tc>
                <w:tcPr>
                  <w:tcW w:w="436" w:type="dxa"/>
                  <w:tcBorders>
                    <w:top w:val="nil"/>
                    <w:left w:val="nil"/>
                    <w:bottom w:val="nil"/>
                    <w:right w:val="nil"/>
                  </w:tcBorders>
                </w:tcPr>
                <w:p w:rsidR="00E22B16" w:rsidRPr="00FC2B55" w:rsidRDefault="00E22B16" w:rsidP="00EC4D63">
                  <w:pPr>
                    <w:jc w:val="center"/>
                    <w:rPr>
                      <w:rFonts w:ascii="Times New Roman" w:hAnsi="Times New Roman"/>
                      <w:sz w:val="20"/>
                      <w:szCs w:val="20"/>
                      <w:lang w:eastAsia="sk-SK"/>
                    </w:rPr>
                  </w:pPr>
                  <w:r w:rsidRPr="00FC2B55">
                    <w:rPr>
                      <w:rFonts w:ascii="Segoe UI Symbol" w:hAnsi="Segoe UI Symbol" w:cs="Segoe UI Symbol"/>
                      <w:sz w:val="20"/>
                      <w:szCs w:val="20"/>
                      <w:lang w:eastAsia="sk-SK"/>
                    </w:rPr>
                    <w:t>☐</w:t>
                  </w:r>
                </w:p>
              </w:tc>
              <w:tc>
                <w:tcPr>
                  <w:tcW w:w="8545" w:type="dxa"/>
                  <w:tcBorders>
                    <w:top w:val="nil"/>
                    <w:left w:val="nil"/>
                    <w:bottom w:val="nil"/>
                    <w:right w:val="nil"/>
                  </w:tcBorders>
                </w:tcPr>
                <w:p w:rsidR="00E22B16" w:rsidRPr="00FC2B55" w:rsidRDefault="00E22B16" w:rsidP="00EC4D63">
                  <w:pPr>
                    <w:rPr>
                      <w:rFonts w:ascii="Times New Roman" w:hAnsi="Times New Roman"/>
                      <w:b/>
                      <w:sz w:val="20"/>
                      <w:szCs w:val="20"/>
                      <w:lang w:eastAsia="sk-SK"/>
                    </w:rPr>
                  </w:pPr>
                  <w:r w:rsidRPr="00FC2B55">
                    <w:rPr>
                      <w:rFonts w:ascii="Times New Roman" w:hAnsi="Times New Roman"/>
                      <w:b/>
                      <w:sz w:val="20"/>
                      <w:szCs w:val="20"/>
                      <w:lang w:eastAsia="sk-SK"/>
                    </w:rPr>
                    <w:t>Áno</w:t>
                  </w:r>
                </w:p>
              </w:tc>
            </w:tr>
            <w:tr w:rsidR="00E22B16" w:rsidRPr="00FC2B55" w:rsidTr="00EC4D63">
              <w:tc>
                <w:tcPr>
                  <w:tcW w:w="436" w:type="dxa"/>
                  <w:tcBorders>
                    <w:top w:val="nil"/>
                    <w:left w:val="nil"/>
                    <w:bottom w:val="nil"/>
                    <w:right w:val="nil"/>
                  </w:tcBorders>
                </w:tcPr>
                <w:p w:rsidR="00E22B16" w:rsidRPr="00FC2B55" w:rsidRDefault="00E22B16" w:rsidP="00EC4D63">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8545" w:type="dxa"/>
                  <w:tcBorders>
                    <w:top w:val="nil"/>
                    <w:left w:val="nil"/>
                    <w:bottom w:val="nil"/>
                    <w:right w:val="nil"/>
                  </w:tcBorders>
                </w:tcPr>
                <w:p w:rsidR="00E22B16" w:rsidRPr="00FC2B55" w:rsidRDefault="00E22B16" w:rsidP="00EC4D63">
                  <w:pPr>
                    <w:rPr>
                      <w:rFonts w:ascii="Times New Roman" w:hAnsi="Times New Roman"/>
                      <w:b/>
                      <w:sz w:val="20"/>
                      <w:szCs w:val="20"/>
                      <w:lang w:eastAsia="sk-SK"/>
                    </w:rPr>
                  </w:pPr>
                  <w:r w:rsidRPr="00FC2B55">
                    <w:rPr>
                      <w:rFonts w:ascii="Times New Roman" w:hAnsi="Times New Roman"/>
                      <w:b/>
                      <w:sz w:val="20"/>
                      <w:szCs w:val="20"/>
                      <w:lang w:eastAsia="sk-SK"/>
                    </w:rPr>
                    <w:t>Nie</w:t>
                  </w:r>
                </w:p>
              </w:tc>
            </w:tr>
          </w:tbl>
          <w:p w:rsidR="00E22B16" w:rsidRPr="00FC2B55" w:rsidRDefault="00E22B16" w:rsidP="00EC4D63">
            <w:pPr>
              <w:spacing w:after="0" w:line="240" w:lineRule="auto"/>
              <w:rPr>
                <w:rFonts w:ascii="Times New Roman" w:hAnsi="Times New Roman"/>
                <w:sz w:val="24"/>
                <w:szCs w:val="24"/>
                <w:lang w:eastAsia="sk-SK"/>
              </w:rPr>
            </w:pPr>
          </w:p>
        </w:tc>
        <w:tc>
          <w:tcPr>
            <w:tcW w:w="3969" w:type="dxa"/>
            <w:gridSpan w:val="4"/>
          </w:tcPr>
          <w:p w:rsidR="00E22B16" w:rsidRPr="00FC2B55" w:rsidRDefault="00E22B16" w:rsidP="00EC4D63">
            <w:pPr>
              <w:spacing w:after="0" w:line="240" w:lineRule="auto"/>
              <w:rPr>
                <w:rFonts w:ascii="Times New Roman" w:hAnsi="Times New Roman"/>
                <w:i/>
                <w:iCs/>
                <w:sz w:val="24"/>
                <w:szCs w:val="24"/>
                <w:lang w:eastAsia="sk-SK"/>
              </w:rPr>
            </w:pPr>
          </w:p>
        </w:tc>
      </w:tr>
      <w:tr w:rsidR="00E22B16" w:rsidRPr="00FC2B55" w:rsidTr="00EC4D63">
        <w:trPr>
          <w:trHeight w:val="20"/>
        </w:trPr>
        <w:tc>
          <w:tcPr>
            <w:tcW w:w="9371" w:type="dxa"/>
            <w:gridSpan w:val="6"/>
            <w:shd w:val="clear" w:color="auto" w:fill="A6A6A6"/>
          </w:tcPr>
          <w:p w:rsidR="00E22B16" w:rsidRPr="00FC2B55" w:rsidRDefault="00E22B16" w:rsidP="00EC4D63">
            <w:pPr>
              <w:spacing w:after="0" w:line="20" w:lineRule="atLeast"/>
              <w:jc w:val="center"/>
              <w:rPr>
                <w:rFonts w:ascii="Times New Roman" w:hAnsi="Times New Roman"/>
                <w:i/>
                <w:iCs/>
                <w:sz w:val="20"/>
                <w:lang w:eastAsia="sk-SK"/>
              </w:rPr>
            </w:pPr>
            <w:r w:rsidRPr="00FC2B55">
              <w:rPr>
                <w:rFonts w:ascii="Times New Roman" w:hAnsi="Times New Roman"/>
                <w:b/>
                <w:sz w:val="20"/>
                <w:szCs w:val="20"/>
                <w:lang w:eastAsia="sk-SK"/>
              </w:rPr>
              <w:t>Referenčné údaje</w:t>
            </w:r>
          </w:p>
        </w:tc>
      </w:tr>
      <w:tr w:rsidR="00E22B16" w:rsidRPr="00FC2B55" w:rsidTr="00EC4D63">
        <w:trPr>
          <w:trHeight w:val="20"/>
        </w:trPr>
        <w:tc>
          <w:tcPr>
            <w:tcW w:w="3956" w:type="dxa"/>
          </w:tcPr>
          <w:p w:rsidR="00E22B16" w:rsidRPr="00FC2B55" w:rsidRDefault="00E22B16" w:rsidP="00EC4D63">
            <w:pPr>
              <w:spacing w:after="0" w:line="240" w:lineRule="auto"/>
              <w:jc w:val="both"/>
              <w:rPr>
                <w:rFonts w:ascii="Times New Roman" w:hAnsi="Times New Roman"/>
                <w:sz w:val="20"/>
                <w:lang w:eastAsia="sk-SK"/>
              </w:rPr>
            </w:pPr>
            <w:r w:rsidRPr="00FC2B55">
              <w:rPr>
                <w:rFonts w:ascii="Times New Roman" w:hAnsi="Times New Roman"/>
                <w:b/>
                <w:bCs/>
                <w:sz w:val="20"/>
                <w:lang w:eastAsia="sk-SK"/>
              </w:rPr>
              <w:t>6.7.1.</w:t>
            </w:r>
            <w:r w:rsidRPr="00FC2B55">
              <w:rPr>
                <w:rFonts w:ascii="Times New Roman" w:hAnsi="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E22B16" w:rsidRPr="00FC2B55" w:rsidTr="00EC4D63">
              <w:tc>
                <w:tcPr>
                  <w:tcW w:w="436" w:type="dxa"/>
                  <w:tcBorders>
                    <w:top w:val="nil"/>
                    <w:left w:val="nil"/>
                    <w:bottom w:val="nil"/>
                    <w:right w:val="nil"/>
                  </w:tcBorders>
                </w:tcPr>
                <w:p w:rsidR="00E22B16" w:rsidRPr="00FC2B55" w:rsidRDefault="00E22B16" w:rsidP="00EC4D63">
                  <w:pPr>
                    <w:jc w:val="center"/>
                    <w:rPr>
                      <w:rFonts w:ascii="Times New Roman" w:hAnsi="Times New Roman"/>
                      <w:sz w:val="20"/>
                      <w:szCs w:val="20"/>
                      <w:lang w:eastAsia="sk-SK"/>
                    </w:rPr>
                  </w:pPr>
                  <w:r w:rsidRPr="00FC2B55">
                    <w:rPr>
                      <w:rFonts w:ascii="Segoe UI Symbol" w:hAnsi="Segoe UI Symbol" w:cs="Segoe UI Symbol"/>
                      <w:sz w:val="20"/>
                      <w:szCs w:val="20"/>
                      <w:lang w:eastAsia="sk-SK"/>
                    </w:rPr>
                    <w:t>☐</w:t>
                  </w:r>
                </w:p>
              </w:tc>
              <w:tc>
                <w:tcPr>
                  <w:tcW w:w="8545" w:type="dxa"/>
                  <w:tcBorders>
                    <w:top w:val="nil"/>
                    <w:left w:val="nil"/>
                    <w:bottom w:val="nil"/>
                    <w:right w:val="nil"/>
                  </w:tcBorders>
                </w:tcPr>
                <w:p w:rsidR="00E22B16" w:rsidRPr="00FC2B55" w:rsidRDefault="00E22B16" w:rsidP="00EC4D63">
                  <w:pPr>
                    <w:rPr>
                      <w:rFonts w:ascii="Times New Roman" w:hAnsi="Times New Roman"/>
                      <w:b/>
                      <w:sz w:val="20"/>
                      <w:szCs w:val="20"/>
                      <w:lang w:eastAsia="sk-SK"/>
                    </w:rPr>
                  </w:pPr>
                  <w:r w:rsidRPr="00FC2B55">
                    <w:rPr>
                      <w:rFonts w:ascii="Times New Roman" w:hAnsi="Times New Roman"/>
                      <w:b/>
                      <w:sz w:val="20"/>
                      <w:szCs w:val="20"/>
                      <w:lang w:eastAsia="sk-SK"/>
                    </w:rPr>
                    <w:t>Áno</w:t>
                  </w:r>
                </w:p>
              </w:tc>
            </w:tr>
            <w:tr w:rsidR="00E22B16" w:rsidRPr="00FC2B55" w:rsidTr="00EC4D63">
              <w:tc>
                <w:tcPr>
                  <w:tcW w:w="436" w:type="dxa"/>
                  <w:tcBorders>
                    <w:top w:val="nil"/>
                    <w:left w:val="nil"/>
                    <w:bottom w:val="nil"/>
                    <w:right w:val="nil"/>
                  </w:tcBorders>
                </w:tcPr>
                <w:p w:rsidR="00E22B16" w:rsidRPr="00FC2B55" w:rsidRDefault="00E22B16" w:rsidP="00EC4D63">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8545" w:type="dxa"/>
                  <w:tcBorders>
                    <w:top w:val="nil"/>
                    <w:left w:val="nil"/>
                    <w:bottom w:val="nil"/>
                    <w:right w:val="nil"/>
                  </w:tcBorders>
                </w:tcPr>
                <w:p w:rsidR="00E22B16" w:rsidRPr="00FC2B55" w:rsidRDefault="00E22B16" w:rsidP="00EC4D63">
                  <w:pPr>
                    <w:rPr>
                      <w:rFonts w:ascii="Times New Roman" w:hAnsi="Times New Roman"/>
                      <w:b/>
                      <w:sz w:val="20"/>
                      <w:szCs w:val="20"/>
                      <w:lang w:eastAsia="sk-SK"/>
                    </w:rPr>
                  </w:pPr>
                  <w:r w:rsidRPr="00FC2B55">
                    <w:rPr>
                      <w:rFonts w:ascii="Times New Roman" w:hAnsi="Times New Roman"/>
                      <w:b/>
                      <w:sz w:val="20"/>
                      <w:szCs w:val="20"/>
                      <w:lang w:eastAsia="sk-SK"/>
                    </w:rPr>
                    <w:t>Nie</w:t>
                  </w:r>
                </w:p>
              </w:tc>
            </w:tr>
          </w:tbl>
          <w:p w:rsidR="00E22B16" w:rsidRPr="00FC2B55" w:rsidRDefault="00E22B16" w:rsidP="00EC4D63">
            <w:pPr>
              <w:spacing w:after="0" w:line="240" w:lineRule="auto"/>
              <w:jc w:val="center"/>
              <w:rPr>
                <w:rFonts w:ascii="Times New Roman" w:hAnsi="Times New Roman"/>
                <w:sz w:val="20"/>
                <w:szCs w:val="20"/>
                <w:lang w:eastAsia="sk-SK"/>
              </w:rPr>
            </w:pPr>
          </w:p>
        </w:tc>
        <w:tc>
          <w:tcPr>
            <w:tcW w:w="3969" w:type="dxa"/>
            <w:gridSpan w:val="4"/>
          </w:tcPr>
          <w:p w:rsidR="00E22B16" w:rsidRPr="00FC2B55" w:rsidRDefault="00E22B16" w:rsidP="00EC4D63">
            <w:pPr>
              <w:spacing w:after="0" w:line="240" w:lineRule="auto"/>
              <w:rPr>
                <w:rFonts w:ascii="Times New Roman" w:hAnsi="Times New Roman"/>
                <w:i/>
                <w:iCs/>
                <w:sz w:val="20"/>
                <w:lang w:eastAsia="sk-SK"/>
              </w:rPr>
            </w:pPr>
          </w:p>
        </w:tc>
      </w:tr>
      <w:tr w:rsidR="00E22B16" w:rsidRPr="00FC2B55" w:rsidTr="00EC4D63">
        <w:trPr>
          <w:trHeight w:val="20"/>
        </w:trPr>
        <w:tc>
          <w:tcPr>
            <w:tcW w:w="3956" w:type="dxa"/>
          </w:tcPr>
          <w:p w:rsidR="00E22B16" w:rsidRPr="00FC2B55" w:rsidRDefault="00E22B16" w:rsidP="00EC4D63">
            <w:pPr>
              <w:spacing w:after="0" w:line="240" w:lineRule="auto"/>
              <w:jc w:val="both"/>
              <w:rPr>
                <w:rFonts w:ascii="Times New Roman" w:hAnsi="Times New Roman"/>
                <w:sz w:val="20"/>
                <w:lang w:eastAsia="sk-SK"/>
              </w:rPr>
            </w:pPr>
            <w:r w:rsidRPr="00FC2B55">
              <w:rPr>
                <w:rFonts w:ascii="Times New Roman" w:hAnsi="Times New Roman"/>
                <w:b/>
                <w:bCs/>
                <w:sz w:val="20"/>
                <w:lang w:eastAsia="sk-SK"/>
              </w:rPr>
              <w:t>6.7.2.</w:t>
            </w:r>
            <w:r w:rsidRPr="00FC2B55">
              <w:rPr>
                <w:rFonts w:ascii="Times New Roman" w:hAnsi="Times New Roman"/>
                <w:sz w:val="20"/>
                <w:lang w:eastAsia="sk-SK"/>
              </w:rPr>
              <w:t xml:space="preserve"> Kedy je plánované zaradenie údajov z evidencie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E22B16" w:rsidRPr="00FC2B55" w:rsidTr="00EC4D63">
              <w:tc>
                <w:tcPr>
                  <w:tcW w:w="436" w:type="dxa"/>
                  <w:tcBorders>
                    <w:top w:val="nil"/>
                    <w:left w:val="nil"/>
                    <w:bottom w:val="nil"/>
                    <w:right w:val="nil"/>
                  </w:tcBorders>
                </w:tcPr>
                <w:p w:rsidR="00E22B16" w:rsidRPr="00FC2B55" w:rsidRDefault="00E22B16" w:rsidP="00EC4D63">
                  <w:pPr>
                    <w:jc w:val="center"/>
                    <w:rPr>
                      <w:rFonts w:ascii="Times New Roman" w:hAnsi="Times New Roman"/>
                      <w:sz w:val="20"/>
                      <w:szCs w:val="20"/>
                      <w:lang w:eastAsia="sk-SK"/>
                    </w:rPr>
                  </w:pPr>
                </w:p>
              </w:tc>
              <w:tc>
                <w:tcPr>
                  <w:tcW w:w="8545" w:type="dxa"/>
                  <w:tcBorders>
                    <w:top w:val="nil"/>
                    <w:left w:val="nil"/>
                    <w:bottom w:val="nil"/>
                    <w:right w:val="nil"/>
                  </w:tcBorders>
                </w:tcPr>
                <w:p w:rsidR="00E22B16" w:rsidRPr="00FC2B55" w:rsidRDefault="00E22B16" w:rsidP="00EC4D63">
                  <w:pPr>
                    <w:rPr>
                      <w:rFonts w:ascii="Times New Roman" w:hAnsi="Times New Roman"/>
                      <w:b/>
                      <w:sz w:val="20"/>
                      <w:szCs w:val="20"/>
                      <w:lang w:eastAsia="sk-SK"/>
                    </w:rPr>
                  </w:pPr>
                </w:p>
              </w:tc>
            </w:tr>
            <w:tr w:rsidR="00E22B16" w:rsidRPr="00FC2B55" w:rsidTr="00EC4D63">
              <w:tc>
                <w:tcPr>
                  <w:tcW w:w="436" w:type="dxa"/>
                  <w:tcBorders>
                    <w:top w:val="nil"/>
                    <w:left w:val="nil"/>
                    <w:bottom w:val="nil"/>
                    <w:right w:val="nil"/>
                  </w:tcBorders>
                </w:tcPr>
                <w:p w:rsidR="00E22B16" w:rsidRPr="00FC2B55" w:rsidRDefault="00E22B16" w:rsidP="00EC4D63">
                  <w:pPr>
                    <w:jc w:val="center"/>
                    <w:rPr>
                      <w:rFonts w:ascii="Times New Roman" w:hAnsi="Times New Roman"/>
                      <w:sz w:val="20"/>
                      <w:szCs w:val="20"/>
                      <w:lang w:eastAsia="sk-SK"/>
                    </w:rPr>
                  </w:pPr>
                </w:p>
              </w:tc>
              <w:tc>
                <w:tcPr>
                  <w:tcW w:w="8545" w:type="dxa"/>
                  <w:tcBorders>
                    <w:top w:val="nil"/>
                    <w:left w:val="nil"/>
                    <w:bottom w:val="nil"/>
                    <w:right w:val="nil"/>
                  </w:tcBorders>
                </w:tcPr>
                <w:p w:rsidR="00E22B16" w:rsidRPr="00FC2B55" w:rsidRDefault="00E22B16" w:rsidP="00EC4D63">
                  <w:pPr>
                    <w:rPr>
                      <w:rFonts w:ascii="Times New Roman" w:hAnsi="Times New Roman"/>
                      <w:b/>
                      <w:sz w:val="20"/>
                      <w:szCs w:val="20"/>
                      <w:lang w:eastAsia="sk-SK"/>
                    </w:rPr>
                  </w:pPr>
                </w:p>
              </w:tc>
            </w:tr>
          </w:tbl>
          <w:p w:rsidR="00E22B16" w:rsidRPr="00FC2B55" w:rsidRDefault="00E22B16" w:rsidP="00EC4D63">
            <w:pPr>
              <w:spacing w:after="0" w:line="240" w:lineRule="auto"/>
              <w:jc w:val="center"/>
              <w:rPr>
                <w:rFonts w:ascii="Times New Roman" w:hAnsi="Times New Roman"/>
                <w:sz w:val="20"/>
                <w:szCs w:val="20"/>
                <w:lang w:eastAsia="sk-SK"/>
              </w:rPr>
            </w:pPr>
          </w:p>
        </w:tc>
        <w:tc>
          <w:tcPr>
            <w:tcW w:w="3969" w:type="dxa"/>
            <w:gridSpan w:val="4"/>
          </w:tcPr>
          <w:p w:rsidR="00E22B16" w:rsidRPr="00FC2B55" w:rsidRDefault="00E22B16" w:rsidP="00EC4D63">
            <w:pPr>
              <w:spacing w:after="0" w:line="240" w:lineRule="auto"/>
              <w:rPr>
                <w:rFonts w:ascii="Times New Roman" w:hAnsi="Times New Roman"/>
                <w:i/>
                <w:iCs/>
                <w:sz w:val="20"/>
                <w:lang w:eastAsia="sk-SK"/>
              </w:rPr>
            </w:pPr>
          </w:p>
        </w:tc>
      </w:tr>
    </w:tbl>
    <w:p w:rsidR="002B3AE8" w:rsidRDefault="002B3AE8" w:rsidP="0004402F"/>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E22B16" w:rsidTr="00EC4D63">
        <w:trPr>
          <w:trHeight w:val="534"/>
          <w:jc w:val="center"/>
        </w:trPr>
        <w:tc>
          <w:tcPr>
            <w:tcW w:w="9060" w:type="dxa"/>
            <w:shd w:val="clear" w:color="auto" w:fill="D9D9D9"/>
          </w:tcPr>
          <w:p w:rsidR="00E22B16" w:rsidRDefault="00E22B16" w:rsidP="00EC4D63">
            <w:pPr>
              <w:spacing w:after="0" w:line="240" w:lineRule="auto"/>
              <w:ind w:left="-284" w:firstLine="284"/>
              <w:jc w:val="center"/>
              <w:rPr>
                <w:rFonts w:ascii="Times New Roman" w:hAnsi="Times New Roman"/>
                <w:b/>
              </w:rPr>
            </w:pPr>
            <w:r>
              <w:rPr>
                <w:rFonts w:ascii="Times New Roman" w:hAnsi="Times New Roman"/>
                <w:b/>
                <w:sz w:val="28"/>
                <w:szCs w:val="28"/>
              </w:rPr>
              <w:t>Analýza vplyvov na manželstvo, rodičovstvo a rodinu</w:t>
            </w:r>
          </w:p>
          <w:p w:rsidR="00E22B16" w:rsidRDefault="00E22B16" w:rsidP="00EC4D63">
            <w:pPr>
              <w:spacing w:after="0" w:line="240" w:lineRule="auto"/>
              <w:ind w:left="-284" w:firstLine="284"/>
              <w:jc w:val="center"/>
              <w:rPr>
                <w:rFonts w:ascii="Times New Roman" w:hAnsi="Times New Roman"/>
                <w:b/>
              </w:rPr>
            </w:pPr>
            <w:r>
              <w:rPr>
                <w:rFonts w:ascii="Times New Roman" w:hAnsi="Times New Roman"/>
                <w:b/>
                <w:sz w:val="24"/>
                <w:szCs w:val="24"/>
              </w:rPr>
              <w:t xml:space="preserve">Vplyvy na rodinné prostredie, vzájomnú súdržnosť členov rodiny, výchovu detí, práva rodičov voči deťom, základné zásady zákona o rodine, uzavieranie manželstva a na disponibilný príjem domácností viacdetných rodín  </w:t>
            </w:r>
          </w:p>
        </w:tc>
      </w:tr>
      <w:tr w:rsidR="00E22B16" w:rsidTr="00EC4D63">
        <w:trPr>
          <w:jc w:val="center"/>
        </w:trPr>
        <w:tc>
          <w:tcPr>
            <w:tcW w:w="9060" w:type="dxa"/>
            <w:tcBorders>
              <w:bottom w:val="nil"/>
            </w:tcBorders>
            <w:shd w:val="clear" w:color="auto" w:fill="D9D9D9"/>
          </w:tcPr>
          <w:p w:rsidR="00E22B16" w:rsidRDefault="00E22B16" w:rsidP="00EC4D63">
            <w:pPr>
              <w:spacing w:after="0" w:line="240" w:lineRule="auto"/>
              <w:rPr>
                <w:rFonts w:ascii="Times New Roman" w:hAnsi="Times New Roman"/>
                <w:b/>
                <w:sz w:val="24"/>
                <w:szCs w:val="24"/>
              </w:rPr>
            </w:pPr>
            <w:r>
              <w:rPr>
                <w:rFonts w:ascii="Times New Roman" w:hAnsi="Times New Roman"/>
                <w:b/>
                <w:sz w:val="24"/>
                <w:szCs w:val="24"/>
              </w:rPr>
              <w:t>8.1</w:t>
            </w:r>
            <w:r>
              <w:rPr>
                <w:rFonts w:ascii="Times New Roman" w:hAnsi="Times New Roman"/>
                <w:b/>
              </w:rPr>
              <w:t xml:space="preserve"> </w:t>
            </w:r>
            <w:r>
              <w:rPr>
                <w:rFonts w:ascii="Times New Roman" w:hAnsi="Times New Roman"/>
                <w:b/>
                <w:sz w:val="24"/>
                <w:szCs w:val="24"/>
              </w:rPr>
              <w:t>Identifikujte, popíšte a kvantifikujte vplyv na rodinné prostredie a špecifikujte pozitívne/negatívne vplyvy na rodinné prostredie.</w:t>
            </w:r>
          </w:p>
        </w:tc>
      </w:tr>
      <w:tr w:rsidR="00E22B16" w:rsidTr="00B95D14">
        <w:trPr>
          <w:trHeight w:val="736"/>
          <w:jc w:val="center"/>
        </w:trPr>
        <w:tc>
          <w:tcPr>
            <w:tcW w:w="9060" w:type="dxa"/>
            <w:tcBorders>
              <w:bottom w:val="nil"/>
            </w:tcBorders>
            <w:shd w:val="clear" w:color="auto" w:fill="F2F2F2"/>
          </w:tcPr>
          <w:p w:rsidR="00E22B16" w:rsidRDefault="00E22B16" w:rsidP="00EC4D63">
            <w:pPr>
              <w:shd w:val="clear" w:color="auto" w:fill="F2F2F2"/>
              <w:spacing w:after="0" w:line="240" w:lineRule="auto"/>
              <w:rPr>
                <w:i/>
                <w:sz w:val="20"/>
                <w:szCs w:val="20"/>
              </w:rPr>
            </w:pPr>
            <w:r>
              <w:rPr>
                <w:rFonts w:ascii="Times New Roman" w:hAnsi="Times New Roman"/>
                <w:i/>
                <w:sz w:val="20"/>
                <w:szCs w:val="20"/>
              </w:rPr>
              <w:t xml:space="preserve">8.1.1 Spôsobí predložený návrh zmenu rodinného prostredia? Ak áno, v akom rozsahu? Ak je to možné, doplňte kvantifikáciu, prípadne dôvod chýbajúcej kvantifikácie. </w:t>
            </w:r>
          </w:p>
          <w:p w:rsidR="00E22B16" w:rsidRDefault="00E22B16" w:rsidP="00EC4D63">
            <w:pPr>
              <w:shd w:val="clear" w:color="auto" w:fill="F2F2F2"/>
              <w:spacing w:after="0" w:line="240" w:lineRule="auto"/>
              <w:rPr>
                <w:i/>
                <w:sz w:val="20"/>
                <w:szCs w:val="20"/>
              </w:rPr>
            </w:pPr>
          </w:p>
        </w:tc>
      </w:tr>
      <w:tr w:rsidR="00E22B16" w:rsidTr="00B95D14">
        <w:trPr>
          <w:trHeight w:val="394"/>
          <w:jc w:val="center"/>
        </w:trPr>
        <w:tc>
          <w:tcPr>
            <w:tcW w:w="9060" w:type="dxa"/>
            <w:tcBorders>
              <w:top w:val="nil"/>
              <w:left w:val="single" w:sz="4" w:space="0" w:color="auto"/>
              <w:bottom w:val="nil"/>
              <w:right w:val="single" w:sz="4" w:space="0" w:color="auto"/>
            </w:tcBorders>
          </w:tcPr>
          <w:p w:rsidR="00E22B16" w:rsidRDefault="00E22B16" w:rsidP="00EC4D63">
            <w:pPr>
              <w:spacing w:after="0" w:line="240" w:lineRule="auto"/>
              <w:rPr>
                <w:rFonts w:ascii="Times New Roman" w:hAnsi="Times New Roman"/>
                <w:i/>
                <w:sz w:val="20"/>
                <w:szCs w:val="20"/>
              </w:rPr>
            </w:pPr>
            <w:r>
              <w:rPr>
                <w:rFonts w:ascii="Times New Roman" w:hAnsi="Times New Roman"/>
                <w:sz w:val="20"/>
                <w:szCs w:val="20"/>
              </w:rPr>
              <w:t>Bez vplyvu.</w:t>
            </w:r>
          </w:p>
        </w:tc>
      </w:tr>
      <w:tr w:rsidR="00E22B16" w:rsidTr="00B95D14">
        <w:trPr>
          <w:trHeight w:val="928"/>
          <w:jc w:val="center"/>
        </w:trPr>
        <w:tc>
          <w:tcPr>
            <w:tcW w:w="9060" w:type="dxa"/>
            <w:tcBorders>
              <w:top w:val="nil"/>
              <w:bottom w:val="nil"/>
            </w:tcBorders>
          </w:tcPr>
          <w:p w:rsidR="00E22B16" w:rsidRDefault="00E22B16" w:rsidP="00EC4D63">
            <w:pPr>
              <w:widowControl w:val="0"/>
              <w:spacing w:after="0" w:line="276" w:lineRule="auto"/>
              <w:rPr>
                <w:rFonts w:ascii="Times New Roman" w:hAnsi="Times New Roman"/>
                <w:i/>
                <w:sz w:val="20"/>
                <w:szCs w:val="20"/>
              </w:rPr>
            </w:pP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E22B16" w:rsidTr="00EC4D63">
              <w:trPr>
                <w:trHeight w:val="575"/>
                <w:jc w:val="center"/>
              </w:trPr>
              <w:tc>
                <w:tcPr>
                  <w:tcW w:w="9138" w:type="dxa"/>
                  <w:tcBorders>
                    <w:top w:val="single" w:sz="4" w:space="0" w:color="000000"/>
                    <w:left w:val="single" w:sz="4" w:space="0" w:color="000000"/>
                    <w:bottom w:val="single" w:sz="4" w:space="0" w:color="000000"/>
                    <w:right w:val="single" w:sz="4" w:space="0" w:color="000000"/>
                  </w:tcBorders>
                  <w:shd w:val="clear" w:color="auto" w:fill="F2F2F2"/>
                </w:tcPr>
                <w:p w:rsidR="00E22B16" w:rsidRDefault="00E22B16" w:rsidP="00EC4D63">
                  <w:pPr>
                    <w:shd w:val="clear" w:color="auto" w:fill="F2F2F2"/>
                    <w:spacing w:after="0" w:line="240" w:lineRule="auto"/>
                    <w:rPr>
                      <w:i/>
                      <w:sz w:val="20"/>
                      <w:szCs w:val="20"/>
                    </w:rPr>
                  </w:pPr>
                  <w:r>
                    <w:rPr>
                      <w:rFonts w:ascii="Times New Roman" w:hAnsi="Times New Roman"/>
                      <w:i/>
                      <w:sz w:val="20"/>
                      <w:szCs w:val="20"/>
                    </w:rPr>
                    <w:t>8.1.2 Môže dôjsť predloženým návrhom k narušeniu zdravého rodinného prostredia?</w:t>
                  </w:r>
                </w:p>
              </w:tc>
            </w:tr>
            <w:tr w:rsidR="00E22B16" w:rsidTr="00B95D14">
              <w:trPr>
                <w:trHeight w:val="425"/>
                <w:jc w:val="center"/>
              </w:trPr>
              <w:tc>
                <w:tcPr>
                  <w:tcW w:w="9138" w:type="dxa"/>
                  <w:tcBorders>
                    <w:left w:val="single" w:sz="4" w:space="0" w:color="000000"/>
                    <w:right w:val="single" w:sz="4" w:space="0" w:color="000000"/>
                  </w:tcBorders>
                </w:tcPr>
                <w:p w:rsidR="00E22B16" w:rsidRPr="009A5F75" w:rsidRDefault="00E22B16" w:rsidP="00EC4D63">
                  <w:pPr>
                    <w:spacing w:after="0" w:line="240" w:lineRule="auto"/>
                    <w:rPr>
                      <w:rFonts w:ascii="Times New Roman" w:hAnsi="Times New Roman"/>
                      <w:sz w:val="20"/>
                      <w:szCs w:val="20"/>
                    </w:rPr>
                  </w:pPr>
                  <w:r>
                    <w:rPr>
                      <w:rFonts w:ascii="Times New Roman" w:hAnsi="Times New Roman"/>
                      <w:sz w:val="20"/>
                      <w:szCs w:val="20"/>
                    </w:rPr>
                    <w:t>Bez vplyvu.</w:t>
                  </w:r>
                </w:p>
              </w:tc>
            </w:tr>
          </w:tbl>
          <w:p w:rsidR="00E22B16" w:rsidRDefault="00E22B16" w:rsidP="00EC4D63">
            <w:pPr>
              <w:spacing w:after="0" w:line="240" w:lineRule="auto"/>
              <w:rPr>
                <w:rFonts w:ascii="Times New Roman" w:hAnsi="Times New Roman"/>
                <w:i/>
                <w:sz w:val="20"/>
                <w:szCs w:val="20"/>
              </w:rPr>
            </w:pPr>
          </w:p>
        </w:tc>
      </w:tr>
      <w:tr w:rsidR="00E22B16" w:rsidTr="00EC4D63">
        <w:trPr>
          <w:trHeight w:val="575"/>
          <w:jc w:val="center"/>
        </w:trPr>
        <w:tc>
          <w:tcPr>
            <w:tcW w:w="9060" w:type="dxa"/>
            <w:shd w:val="clear" w:color="auto" w:fill="F2F2F2"/>
          </w:tcPr>
          <w:p w:rsidR="00E22B16" w:rsidRDefault="00E22B16" w:rsidP="00EC4D63">
            <w:pPr>
              <w:shd w:val="clear" w:color="auto" w:fill="F2F2F2"/>
              <w:spacing w:after="0" w:line="240" w:lineRule="auto"/>
              <w:rPr>
                <w:i/>
                <w:sz w:val="20"/>
                <w:szCs w:val="20"/>
              </w:rPr>
            </w:pPr>
            <w:r>
              <w:rPr>
                <w:rFonts w:ascii="Times New Roman" w:hAnsi="Times New Roman"/>
                <w:i/>
                <w:sz w:val="20"/>
                <w:szCs w:val="20"/>
              </w:rPr>
              <w:t xml:space="preserve">8.1.3 Má predložený návrh vplyv na demografický rast? Ak áno, aký je vplyv vzhľadom k úrovni záchovnej hodnoty populácie? </w:t>
            </w:r>
          </w:p>
        </w:tc>
      </w:tr>
      <w:tr w:rsidR="00E22B16" w:rsidTr="00EC4D63">
        <w:trPr>
          <w:trHeight w:val="920"/>
          <w:jc w:val="center"/>
        </w:trPr>
        <w:tc>
          <w:tcPr>
            <w:tcW w:w="9060" w:type="dxa"/>
            <w:tcBorders>
              <w:top w:val="nil"/>
              <w:bottom w:val="nil"/>
            </w:tcBorders>
          </w:tcPr>
          <w:p w:rsidR="00E22B16" w:rsidRDefault="00E22B16" w:rsidP="00EC4D63">
            <w:pPr>
              <w:spacing w:after="0" w:line="240" w:lineRule="auto"/>
              <w:rPr>
                <w:rFonts w:ascii="Times New Roman" w:hAnsi="Times New Roman"/>
                <w:sz w:val="20"/>
                <w:szCs w:val="20"/>
              </w:rPr>
            </w:pPr>
          </w:p>
          <w:p w:rsidR="00E22B16" w:rsidRDefault="00E22B16" w:rsidP="00EC4D63">
            <w:pPr>
              <w:spacing w:after="0" w:line="240" w:lineRule="auto"/>
              <w:rPr>
                <w:rFonts w:ascii="Times New Roman" w:hAnsi="Times New Roman"/>
                <w:sz w:val="20"/>
                <w:szCs w:val="20"/>
              </w:rPr>
            </w:pPr>
            <w:r>
              <w:rPr>
                <w:rFonts w:ascii="Times New Roman" w:hAnsi="Times New Roman"/>
                <w:sz w:val="20"/>
                <w:szCs w:val="20"/>
              </w:rPr>
              <w:t>Bez vplyvu.</w:t>
            </w: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E22B16" w:rsidTr="00EC4D63">
              <w:trPr>
                <w:trHeight w:val="575"/>
                <w:jc w:val="center"/>
              </w:trPr>
              <w:tc>
                <w:tcPr>
                  <w:tcW w:w="9138" w:type="dxa"/>
                  <w:tcBorders>
                    <w:top w:val="single" w:sz="4" w:space="0" w:color="000000"/>
                    <w:left w:val="single" w:sz="4" w:space="0" w:color="000000"/>
                    <w:bottom w:val="single" w:sz="4" w:space="0" w:color="000000"/>
                    <w:right w:val="single" w:sz="4" w:space="0" w:color="000000"/>
                  </w:tcBorders>
                  <w:shd w:val="clear" w:color="auto" w:fill="F2F2F2"/>
                </w:tcPr>
                <w:p w:rsidR="00E22B16" w:rsidRDefault="00E22B16" w:rsidP="00EC4D63">
                  <w:pPr>
                    <w:shd w:val="clear" w:color="auto" w:fill="F2F2F2"/>
                    <w:spacing w:after="0" w:line="240" w:lineRule="auto"/>
                    <w:rPr>
                      <w:i/>
                      <w:sz w:val="20"/>
                      <w:szCs w:val="20"/>
                    </w:rPr>
                  </w:pPr>
                  <w:r>
                    <w:rPr>
                      <w:rFonts w:ascii="Times New Roman" w:hAnsi="Times New Roman"/>
                      <w:i/>
                      <w:sz w:val="20"/>
                      <w:szCs w:val="20"/>
                    </w:rPr>
                    <w:t>8.1.4 Má predložený návrh vplyv na odstraňovanie prekážok, ktoré bránia pracujúcim rodičom dosiahnuť želaný počet detí?</w:t>
                  </w:r>
                </w:p>
              </w:tc>
            </w:tr>
            <w:tr w:rsidR="00E22B16" w:rsidTr="00B95D14">
              <w:trPr>
                <w:trHeight w:val="476"/>
                <w:jc w:val="center"/>
              </w:trPr>
              <w:tc>
                <w:tcPr>
                  <w:tcW w:w="9138" w:type="dxa"/>
                  <w:tcBorders>
                    <w:left w:val="single" w:sz="4" w:space="0" w:color="000000"/>
                    <w:right w:val="single" w:sz="4" w:space="0" w:color="000000"/>
                  </w:tcBorders>
                </w:tcPr>
                <w:p w:rsidR="00E22B16" w:rsidRDefault="00E22B16" w:rsidP="00EC4D63">
                  <w:pPr>
                    <w:spacing w:after="0" w:line="240" w:lineRule="auto"/>
                    <w:rPr>
                      <w:rFonts w:ascii="Times New Roman" w:hAnsi="Times New Roman"/>
                      <w:sz w:val="20"/>
                      <w:szCs w:val="20"/>
                    </w:rPr>
                  </w:pPr>
                </w:p>
                <w:p w:rsidR="00E22B16" w:rsidRDefault="00B95D14" w:rsidP="00EC4D63">
                  <w:pPr>
                    <w:spacing w:after="0" w:line="240" w:lineRule="auto"/>
                    <w:rPr>
                      <w:rFonts w:ascii="Times New Roman" w:hAnsi="Times New Roman"/>
                      <w:sz w:val="20"/>
                      <w:szCs w:val="20"/>
                    </w:rPr>
                  </w:pPr>
                  <w:r>
                    <w:rPr>
                      <w:rFonts w:ascii="Times New Roman" w:hAnsi="Times New Roman"/>
                      <w:sz w:val="20"/>
                      <w:szCs w:val="20"/>
                    </w:rPr>
                    <w:t>Bez vplyvu.</w:t>
                  </w:r>
                </w:p>
                <w:p w:rsidR="00E22B16" w:rsidRDefault="00E22B16" w:rsidP="00EC4D63">
                  <w:pPr>
                    <w:spacing w:after="0" w:line="240" w:lineRule="auto"/>
                    <w:rPr>
                      <w:rFonts w:ascii="Times New Roman" w:hAnsi="Times New Roman"/>
                      <w:i/>
                      <w:sz w:val="20"/>
                      <w:szCs w:val="20"/>
                    </w:rPr>
                  </w:pPr>
                </w:p>
              </w:tc>
            </w:tr>
          </w:tbl>
          <w:p w:rsidR="00E22B16" w:rsidRDefault="00E22B16" w:rsidP="00EC4D63">
            <w:pPr>
              <w:spacing w:after="0" w:line="240" w:lineRule="auto"/>
              <w:rPr>
                <w:rFonts w:ascii="Times New Roman" w:hAnsi="Times New Roman"/>
                <w:i/>
                <w:sz w:val="20"/>
                <w:szCs w:val="20"/>
              </w:rPr>
            </w:pPr>
          </w:p>
        </w:tc>
      </w:tr>
      <w:tr w:rsidR="00E22B16" w:rsidTr="00EC4D63">
        <w:trPr>
          <w:trHeight w:val="575"/>
          <w:jc w:val="center"/>
        </w:trPr>
        <w:tc>
          <w:tcPr>
            <w:tcW w:w="9060" w:type="dxa"/>
            <w:shd w:val="clear" w:color="auto" w:fill="F2F2F2"/>
          </w:tcPr>
          <w:p w:rsidR="00E22B16" w:rsidRDefault="00E22B16" w:rsidP="00EC4D63">
            <w:pPr>
              <w:shd w:val="clear" w:color="auto" w:fill="F2F2F2"/>
              <w:spacing w:after="0" w:line="240" w:lineRule="auto"/>
              <w:rPr>
                <w:i/>
                <w:sz w:val="20"/>
                <w:szCs w:val="20"/>
              </w:rPr>
            </w:pPr>
            <w:r>
              <w:rPr>
                <w:rFonts w:ascii="Times New Roman" w:hAnsi="Times New Roman"/>
                <w:i/>
                <w:sz w:val="20"/>
                <w:szCs w:val="20"/>
              </w:rPr>
              <w:t>8.1.5 Má predložený návrh vplyv na množstvo času alebo príležitostí pre rodičov alebo pre deti na realizáciu rodinného života?</w:t>
            </w:r>
          </w:p>
        </w:tc>
      </w:tr>
      <w:tr w:rsidR="00E22B16" w:rsidTr="00B95D14">
        <w:trPr>
          <w:trHeight w:val="512"/>
          <w:jc w:val="center"/>
        </w:trPr>
        <w:tc>
          <w:tcPr>
            <w:tcW w:w="9060" w:type="dxa"/>
            <w:tcBorders>
              <w:top w:val="nil"/>
              <w:bottom w:val="nil"/>
            </w:tcBorders>
          </w:tcPr>
          <w:p w:rsidR="00E22B16" w:rsidRDefault="00E22B16" w:rsidP="00EC4D63">
            <w:pPr>
              <w:spacing w:after="0" w:line="240" w:lineRule="auto"/>
              <w:rPr>
                <w:rFonts w:ascii="Times New Roman" w:hAnsi="Times New Roman"/>
                <w:sz w:val="20"/>
                <w:szCs w:val="20"/>
              </w:rPr>
            </w:pPr>
          </w:p>
          <w:p w:rsidR="00E22B16" w:rsidRPr="00B95D14" w:rsidRDefault="00B95D14" w:rsidP="00EC4D63">
            <w:pPr>
              <w:spacing w:after="0" w:line="240" w:lineRule="auto"/>
              <w:rPr>
                <w:rFonts w:ascii="Times New Roman" w:hAnsi="Times New Roman"/>
                <w:sz w:val="20"/>
                <w:szCs w:val="20"/>
              </w:rPr>
            </w:pPr>
            <w:r>
              <w:rPr>
                <w:rFonts w:ascii="Times New Roman" w:hAnsi="Times New Roman"/>
                <w:sz w:val="20"/>
                <w:szCs w:val="20"/>
              </w:rPr>
              <w:t>Bez vplyvu.</w:t>
            </w:r>
          </w:p>
        </w:tc>
      </w:tr>
      <w:tr w:rsidR="00E22B16" w:rsidTr="00EC4D63">
        <w:trPr>
          <w:trHeight w:val="575"/>
          <w:jc w:val="center"/>
        </w:trPr>
        <w:tc>
          <w:tcPr>
            <w:tcW w:w="9060" w:type="dxa"/>
            <w:shd w:val="clear" w:color="auto" w:fill="F2F2F2"/>
          </w:tcPr>
          <w:p w:rsidR="00E22B16" w:rsidRDefault="00E22B16" w:rsidP="00EC4D63">
            <w:pPr>
              <w:shd w:val="clear" w:color="auto" w:fill="F2F2F2"/>
              <w:spacing w:after="0" w:line="240" w:lineRule="auto"/>
              <w:rPr>
                <w:i/>
                <w:sz w:val="20"/>
                <w:szCs w:val="20"/>
              </w:rPr>
            </w:pPr>
            <w:r>
              <w:rPr>
                <w:rFonts w:ascii="Times New Roman" w:hAnsi="Times New Roman"/>
                <w:i/>
                <w:sz w:val="20"/>
                <w:szCs w:val="20"/>
              </w:rPr>
              <w:t>8.1.6 Má predložený návrh vplyv na prenikanie látkových alebo nelátkových závislostí do rodín?</w:t>
            </w:r>
          </w:p>
        </w:tc>
      </w:tr>
      <w:tr w:rsidR="00E22B16" w:rsidTr="00B95D14">
        <w:trPr>
          <w:trHeight w:val="419"/>
          <w:jc w:val="center"/>
        </w:trPr>
        <w:tc>
          <w:tcPr>
            <w:tcW w:w="9060" w:type="dxa"/>
            <w:tcBorders>
              <w:top w:val="nil"/>
            </w:tcBorders>
          </w:tcPr>
          <w:p w:rsidR="00E22B16" w:rsidRPr="00F94CFE" w:rsidRDefault="00E22B16" w:rsidP="00EC4D63">
            <w:pPr>
              <w:spacing w:after="0" w:line="240" w:lineRule="auto"/>
              <w:rPr>
                <w:rFonts w:ascii="Times New Roman" w:hAnsi="Times New Roman"/>
                <w:sz w:val="20"/>
                <w:szCs w:val="20"/>
              </w:rPr>
            </w:pPr>
            <w:r>
              <w:rPr>
                <w:rFonts w:ascii="Times New Roman" w:hAnsi="Times New Roman"/>
                <w:sz w:val="20"/>
                <w:szCs w:val="20"/>
              </w:rPr>
              <w:t>Bez vplyvu.</w:t>
            </w:r>
          </w:p>
        </w:tc>
      </w:tr>
      <w:tr w:rsidR="00B95D14" w:rsidTr="00B95D14">
        <w:trPr>
          <w:trHeight w:val="476"/>
          <w:jc w:val="center"/>
        </w:trPr>
        <w:tc>
          <w:tcPr>
            <w:tcW w:w="9060" w:type="dxa"/>
            <w:tcBorders>
              <w:top w:val="nil"/>
              <w:left w:val="single" w:sz="4" w:space="0" w:color="000000"/>
              <w:bottom w:val="single" w:sz="4" w:space="0" w:color="000000"/>
              <w:right w:val="single" w:sz="4" w:space="0" w:color="000000"/>
            </w:tcBorders>
            <w:shd w:val="clear" w:color="auto" w:fill="D9D9D9"/>
          </w:tcPr>
          <w:p w:rsidR="00B95D14" w:rsidRPr="00B95D14" w:rsidRDefault="00B95D14" w:rsidP="003E1355">
            <w:pPr>
              <w:spacing w:after="0" w:line="240" w:lineRule="auto"/>
              <w:rPr>
                <w:rFonts w:ascii="Times New Roman" w:hAnsi="Times New Roman"/>
                <w:sz w:val="20"/>
                <w:szCs w:val="20"/>
              </w:rPr>
            </w:pPr>
            <w:r w:rsidRPr="00B95D14">
              <w:rPr>
                <w:rFonts w:ascii="Times New Roman" w:hAnsi="Times New Roman"/>
                <w:sz w:val="20"/>
                <w:szCs w:val="20"/>
              </w:rPr>
              <w:lastRenderedPageBreak/>
              <w:t>8.2 Identifikujte, popíšte a kvantifikujte vplyvy na vzájomnú súdržnosť členov rodiny.</w:t>
            </w:r>
          </w:p>
        </w:tc>
      </w:tr>
      <w:tr w:rsidR="00B95D14" w:rsidTr="00B95D14">
        <w:trPr>
          <w:trHeight w:val="580"/>
          <w:jc w:val="center"/>
        </w:trPr>
        <w:tc>
          <w:tcPr>
            <w:tcW w:w="9060" w:type="dxa"/>
            <w:tcBorders>
              <w:top w:val="nil"/>
              <w:left w:val="single" w:sz="4" w:space="0" w:color="000000"/>
              <w:bottom w:val="single" w:sz="4" w:space="0" w:color="000000"/>
              <w:right w:val="single" w:sz="4" w:space="0" w:color="000000"/>
            </w:tcBorders>
            <w:shd w:val="clear" w:color="auto" w:fill="F2F2F2"/>
          </w:tcPr>
          <w:p w:rsidR="00B95D14" w:rsidRPr="00B95D14" w:rsidRDefault="00B95D14" w:rsidP="00B95D14">
            <w:pPr>
              <w:spacing w:after="0" w:line="240" w:lineRule="auto"/>
              <w:rPr>
                <w:rFonts w:ascii="Times New Roman" w:hAnsi="Times New Roman"/>
                <w:sz w:val="20"/>
                <w:szCs w:val="20"/>
              </w:rPr>
            </w:pPr>
            <w:r w:rsidRPr="00B95D14">
              <w:rPr>
                <w:rFonts w:ascii="Times New Roman" w:hAnsi="Times New Roman"/>
                <w:sz w:val="20"/>
                <w:szCs w:val="20"/>
              </w:rPr>
              <w:t>8.2.1 Má preložený návrh vplyv na vzájomnú súdržnosť členov rodiny? Ak áno, aký? Ak je to možné, doplňte kvantifikáciu, prípadne dôvod chýbajúcej kvantifikácie.</w:t>
            </w:r>
          </w:p>
        </w:tc>
      </w:tr>
      <w:tr w:rsidR="00B95D14" w:rsidTr="00B95D14">
        <w:trPr>
          <w:trHeight w:val="546"/>
          <w:jc w:val="center"/>
        </w:trPr>
        <w:tc>
          <w:tcPr>
            <w:tcW w:w="9060" w:type="dxa"/>
            <w:tcBorders>
              <w:top w:val="nil"/>
              <w:left w:val="single" w:sz="4" w:space="0" w:color="000000"/>
              <w:bottom w:val="single" w:sz="4" w:space="0" w:color="000000"/>
              <w:right w:val="single" w:sz="4" w:space="0" w:color="000000"/>
            </w:tcBorders>
            <w:shd w:val="clear" w:color="auto" w:fill="auto"/>
          </w:tcPr>
          <w:p w:rsidR="00B95D14" w:rsidRDefault="00B95D14" w:rsidP="003E1355">
            <w:pPr>
              <w:spacing w:after="0" w:line="240" w:lineRule="auto"/>
              <w:rPr>
                <w:rFonts w:ascii="Times New Roman" w:hAnsi="Times New Roman"/>
                <w:sz w:val="20"/>
                <w:szCs w:val="20"/>
              </w:rPr>
            </w:pPr>
          </w:p>
          <w:p w:rsidR="00B95D14" w:rsidRDefault="00B95D14" w:rsidP="003E1355">
            <w:pPr>
              <w:spacing w:after="0" w:line="240" w:lineRule="auto"/>
              <w:rPr>
                <w:rFonts w:ascii="Times New Roman" w:hAnsi="Times New Roman"/>
                <w:sz w:val="20"/>
                <w:szCs w:val="20"/>
              </w:rPr>
            </w:pPr>
            <w:r>
              <w:rPr>
                <w:rFonts w:ascii="Times New Roman" w:hAnsi="Times New Roman"/>
                <w:sz w:val="20"/>
                <w:szCs w:val="20"/>
              </w:rPr>
              <w:t>Bez vplyvu.</w:t>
            </w:r>
          </w:p>
          <w:p w:rsidR="00B95D14" w:rsidRDefault="00B95D14" w:rsidP="003E1355">
            <w:pPr>
              <w:spacing w:after="0" w:line="240" w:lineRule="auto"/>
              <w:rPr>
                <w:rFonts w:ascii="Times New Roman" w:hAnsi="Times New Roman"/>
                <w:sz w:val="20"/>
                <w:szCs w:val="20"/>
              </w:rPr>
            </w:pPr>
          </w:p>
        </w:tc>
      </w:tr>
      <w:tr w:rsidR="00B95D14" w:rsidTr="00B95D14">
        <w:trPr>
          <w:trHeight w:val="414"/>
          <w:jc w:val="center"/>
        </w:trPr>
        <w:tc>
          <w:tcPr>
            <w:tcW w:w="9060" w:type="dxa"/>
            <w:tcBorders>
              <w:top w:val="nil"/>
              <w:left w:val="single" w:sz="4" w:space="0" w:color="000000"/>
              <w:bottom w:val="single" w:sz="4" w:space="0" w:color="000000"/>
              <w:right w:val="single" w:sz="4" w:space="0" w:color="000000"/>
            </w:tcBorders>
            <w:shd w:val="clear" w:color="auto" w:fill="F2F2F2"/>
          </w:tcPr>
          <w:p w:rsidR="00B95D14" w:rsidRPr="00B95D14" w:rsidRDefault="00B95D14" w:rsidP="00B95D14">
            <w:pPr>
              <w:spacing w:after="0" w:line="240" w:lineRule="auto"/>
              <w:rPr>
                <w:rFonts w:ascii="Times New Roman" w:hAnsi="Times New Roman"/>
                <w:sz w:val="20"/>
                <w:szCs w:val="20"/>
              </w:rPr>
            </w:pPr>
            <w:r w:rsidRPr="00B95D14">
              <w:rPr>
                <w:rFonts w:ascii="Times New Roman" w:hAnsi="Times New Roman"/>
                <w:sz w:val="20"/>
                <w:szCs w:val="20"/>
              </w:rPr>
              <w:t>8.2.2 Má predložený návrh vplyv na posilňovanie väzieb medzi členmi rodiny?</w:t>
            </w:r>
          </w:p>
        </w:tc>
      </w:tr>
      <w:tr w:rsidR="00B95D14" w:rsidTr="00B95D14">
        <w:trPr>
          <w:trHeight w:val="3099"/>
          <w:jc w:val="center"/>
        </w:trPr>
        <w:tc>
          <w:tcPr>
            <w:tcW w:w="9060" w:type="dxa"/>
            <w:tcBorders>
              <w:top w:val="nil"/>
              <w:left w:val="single" w:sz="4" w:space="0" w:color="000000"/>
              <w:bottom w:val="single" w:sz="4" w:space="0" w:color="000000"/>
              <w:right w:val="single" w:sz="4" w:space="0" w:color="000000"/>
            </w:tcBorders>
            <w:shd w:val="clear" w:color="auto" w:fill="auto"/>
          </w:tcPr>
          <w:p w:rsidR="00B95D14" w:rsidRDefault="00B95D14" w:rsidP="003E1355">
            <w:pPr>
              <w:spacing w:after="0" w:line="240" w:lineRule="auto"/>
              <w:rPr>
                <w:rFonts w:ascii="Times New Roman" w:hAnsi="Times New Roman"/>
                <w:sz w:val="20"/>
                <w:szCs w:val="20"/>
              </w:rPr>
            </w:pPr>
          </w:p>
          <w:p w:rsidR="00B95D14" w:rsidRDefault="00B95D14" w:rsidP="003E1355">
            <w:pPr>
              <w:spacing w:after="0" w:line="240" w:lineRule="auto"/>
              <w:rPr>
                <w:rFonts w:ascii="Times New Roman" w:hAnsi="Times New Roman"/>
                <w:sz w:val="20"/>
                <w:szCs w:val="20"/>
              </w:rPr>
            </w:pPr>
            <w:r>
              <w:rPr>
                <w:rFonts w:ascii="Times New Roman" w:hAnsi="Times New Roman"/>
                <w:sz w:val="20"/>
                <w:szCs w:val="20"/>
              </w:rPr>
              <w:t>Bez vplyvu.</w:t>
            </w:r>
          </w:p>
          <w:p w:rsidR="00B95D14" w:rsidRDefault="00B95D14" w:rsidP="003E1355">
            <w:pPr>
              <w:spacing w:after="0" w:line="240" w:lineRule="auto"/>
              <w:rPr>
                <w:rFonts w:ascii="Times New Roman" w:hAnsi="Times New Roman"/>
                <w:sz w:val="20"/>
                <w:szCs w:val="20"/>
              </w:rPr>
            </w:pP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B95D14" w:rsidTr="003E1355">
              <w:trPr>
                <w:trHeight w:val="575"/>
                <w:jc w:val="center"/>
              </w:trPr>
              <w:tc>
                <w:tcPr>
                  <w:tcW w:w="9190" w:type="dxa"/>
                  <w:tcBorders>
                    <w:bottom w:val="single" w:sz="4" w:space="0" w:color="000000"/>
                  </w:tcBorders>
                  <w:shd w:val="clear" w:color="auto" w:fill="F2F2F2"/>
                </w:tcPr>
                <w:p w:rsidR="00B95D14" w:rsidRDefault="00B95D14" w:rsidP="003E1355">
                  <w:pPr>
                    <w:shd w:val="clear" w:color="auto" w:fill="F2F2F2"/>
                    <w:spacing w:after="0" w:line="240" w:lineRule="auto"/>
                    <w:rPr>
                      <w:i/>
                      <w:sz w:val="20"/>
                      <w:szCs w:val="20"/>
                    </w:rPr>
                  </w:pPr>
                  <w:r>
                    <w:rPr>
                      <w:rFonts w:ascii="Times New Roman" w:hAnsi="Times New Roman"/>
                      <w:i/>
                      <w:sz w:val="20"/>
                      <w:szCs w:val="20"/>
                    </w:rPr>
                    <w:t xml:space="preserve"> 8.2.3 Má predložený návrh vplyv na obnovovanie alebo záchranu rodín?</w:t>
                  </w:r>
                </w:p>
              </w:tc>
            </w:tr>
            <w:tr w:rsidR="00B95D14" w:rsidTr="003E1355">
              <w:trPr>
                <w:trHeight w:val="647"/>
                <w:jc w:val="center"/>
              </w:trPr>
              <w:tc>
                <w:tcPr>
                  <w:tcW w:w="9190" w:type="dxa"/>
                  <w:tcBorders>
                    <w:top w:val="nil"/>
                    <w:bottom w:val="nil"/>
                  </w:tcBorders>
                  <w:shd w:val="clear" w:color="auto" w:fill="auto"/>
                </w:tcPr>
                <w:p w:rsidR="00B95D14" w:rsidRDefault="00B95D14" w:rsidP="003E1355">
                  <w:pPr>
                    <w:spacing w:after="0" w:line="240" w:lineRule="auto"/>
                    <w:rPr>
                      <w:rFonts w:ascii="Times New Roman" w:hAnsi="Times New Roman"/>
                      <w:sz w:val="20"/>
                      <w:szCs w:val="20"/>
                    </w:rPr>
                  </w:pPr>
                </w:p>
                <w:p w:rsidR="00B95D14" w:rsidRDefault="00B95D14" w:rsidP="003E1355">
                  <w:pPr>
                    <w:spacing w:after="0" w:line="240" w:lineRule="auto"/>
                    <w:rPr>
                      <w:rFonts w:ascii="Times New Roman" w:hAnsi="Times New Roman"/>
                      <w:sz w:val="20"/>
                      <w:szCs w:val="20"/>
                    </w:rPr>
                  </w:pPr>
                  <w:r>
                    <w:rPr>
                      <w:rFonts w:ascii="Times New Roman" w:hAnsi="Times New Roman"/>
                      <w:sz w:val="20"/>
                      <w:szCs w:val="20"/>
                    </w:rPr>
                    <w:t>Bez vplyvu.</w:t>
                  </w:r>
                </w:p>
                <w:p w:rsidR="00B95D14" w:rsidRDefault="00B95D14" w:rsidP="003E1355">
                  <w:pPr>
                    <w:spacing w:after="0" w:line="240" w:lineRule="auto"/>
                    <w:rPr>
                      <w:rFonts w:ascii="Times New Roman" w:hAnsi="Times New Roman"/>
                      <w:sz w:val="20"/>
                      <w:szCs w:val="20"/>
                    </w:rPr>
                  </w:pPr>
                </w:p>
              </w:tc>
            </w:tr>
            <w:tr w:rsidR="00B95D14" w:rsidTr="003E1355">
              <w:trPr>
                <w:trHeight w:val="575"/>
                <w:jc w:val="center"/>
              </w:trPr>
              <w:tc>
                <w:tcPr>
                  <w:tcW w:w="9190" w:type="dxa"/>
                  <w:tcBorders>
                    <w:bottom w:val="single" w:sz="4" w:space="0" w:color="000000"/>
                  </w:tcBorders>
                  <w:shd w:val="clear" w:color="auto" w:fill="F2F2F2"/>
                </w:tcPr>
                <w:p w:rsidR="00B95D14" w:rsidRDefault="00B95D14" w:rsidP="003E1355">
                  <w:pPr>
                    <w:shd w:val="clear" w:color="auto" w:fill="F2F2F2"/>
                    <w:spacing w:after="0" w:line="240" w:lineRule="auto"/>
                    <w:rPr>
                      <w:i/>
                      <w:sz w:val="20"/>
                      <w:szCs w:val="20"/>
                    </w:rPr>
                  </w:pPr>
                  <w:r>
                    <w:rPr>
                      <w:rFonts w:ascii="Times New Roman" w:hAnsi="Times New Roman"/>
                      <w:i/>
                      <w:sz w:val="20"/>
                      <w:szCs w:val="20"/>
                    </w:rPr>
                    <w:t xml:space="preserve"> 8.2.4 Má predložený návrh vplyv na vznik či pretrvávanie konfliktov medzi členmi rodiny?</w:t>
                  </w:r>
                </w:p>
              </w:tc>
            </w:tr>
            <w:tr w:rsidR="00B95D14" w:rsidTr="00B95D14">
              <w:trPr>
                <w:trHeight w:val="597"/>
                <w:jc w:val="center"/>
              </w:trPr>
              <w:tc>
                <w:tcPr>
                  <w:tcW w:w="9190" w:type="dxa"/>
                  <w:tcBorders>
                    <w:top w:val="nil"/>
                    <w:bottom w:val="nil"/>
                  </w:tcBorders>
                  <w:shd w:val="clear" w:color="auto" w:fill="auto"/>
                </w:tcPr>
                <w:p w:rsidR="00B95D14" w:rsidRDefault="00B95D14" w:rsidP="003E1355">
                  <w:pPr>
                    <w:spacing w:after="0" w:line="240" w:lineRule="auto"/>
                    <w:rPr>
                      <w:rFonts w:ascii="Times New Roman" w:hAnsi="Times New Roman"/>
                      <w:sz w:val="20"/>
                      <w:szCs w:val="20"/>
                    </w:rPr>
                  </w:pPr>
                </w:p>
                <w:p w:rsidR="00B95D14" w:rsidRDefault="00B95D14" w:rsidP="003E1355">
                  <w:pPr>
                    <w:spacing w:after="0" w:line="240" w:lineRule="auto"/>
                    <w:rPr>
                      <w:rFonts w:ascii="Times New Roman" w:hAnsi="Times New Roman"/>
                      <w:sz w:val="20"/>
                      <w:szCs w:val="20"/>
                    </w:rPr>
                  </w:pPr>
                  <w:r>
                    <w:rPr>
                      <w:rFonts w:ascii="Times New Roman" w:hAnsi="Times New Roman"/>
                      <w:sz w:val="20"/>
                      <w:szCs w:val="20"/>
                    </w:rPr>
                    <w:t>Bez vplyvu.</w:t>
                  </w:r>
                </w:p>
              </w:tc>
            </w:tr>
          </w:tbl>
          <w:p w:rsidR="00B95D14" w:rsidRPr="00B95D14" w:rsidRDefault="00B95D14" w:rsidP="003E1355">
            <w:pPr>
              <w:spacing w:after="0" w:line="240" w:lineRule="auto"/>
              <w:rPr>
                <w:rFonts w:ascii="Times New Roman" w:hAnsi="Times New Roman"/>
                <w:sz w:val="20"/>
                <w:szCs w:val="20"/>
              </w:rPr>
            </w:pPr>
          </w:p>
        </w:tc>
      </w:tr>
      <w:tr w:rsidR="00B95D14" w:rsidTr="00B95D14">
        <w:trPr>
          <w:trHeight w:val="1272"/>
          <w:jc w:val="center"/>
        </w:trPr>
        <w:tc>
          <w:tcPr>
            <w:tcW w:w="9060" w:type="dxa"/>
            <w:tcBorders>
              <w:top w:val="nil"/>
              <w:left w:val="single" w:sz="4" w:space="0" w:color="000000"/>
              <w:bottom w:val="single" w:sz="4" w:space="0" w:color="000000"/>
              <w:right w:val="single" w:sz="4" w:space="0" w:color="000000"/>
            </w:tcBorders>
            <w:shd w:val="clear" w:color="auto" w:fill="auto"/>
          </w:tcPr>
          <w:p w:rsidR="00B95D14" w:rsidRPr="00B95D14" w:rsidRDefault="00B95D14" w:rsidP="00B95D14">
            <w:pPr>
              <w:spacing w:after="0" w:line="240" w:lineRule="auto"/>
              <w:rPr>
                <w:rFonts w:ascii="Times New Roman" w:hAnsi="Times New Roman"/>
                <w:sz w:val="20"/>
                <w:szCs w:val="20"/>
              </w:rPr>
            </w:pPr>
          </w:p>
          <w:tbl>
            <w:tblPr>
              <w:tblW w:w="9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6"/>
            </w:tblGrid>
            <w:tr w:rsidR="00B95D14" w:rsidTr="00B95D14">
              <w:trPr>
                <w:trHeight w:val="326"/>
                <w:jc w:val="center"/>
              </w:trPr>
              <w:tc>
                <w:tcPr>
                  <w:tcW w:w="9106" w:type="dxa"/>
                  <w:tcBorders>
                    <w:bottom w:val="single" w:sz="4" w:space="0" w:color="000000"/>
                  </w:tcBorders>
                  <w:shd w:val="clear" w:color="auto" w:fill="F2F2F2"/>
                </w:tcPr>
                <w:p w:rsidR="00B95D14" w:rsidRDefault="00B95D14" w:rsidP="003E1355">
                  <w:pPr>
                    <w:shd w:val="clear" w:color="auto" w:fill="F2F2F2"/>
                    <w:spacing w:after="0" w:line="240" w:lineRule="auto"/>
                    <w:rPr>
                      <w:i/>
                      <w:sz w:val="20"/>
                      <w:szCs w:val="20"/>
                    </w:rPr>
                  </w:pPr>
                  <w:r>
                    <w:rPr>
                      <w:rFonts w:ascii="Times New Roman" w:hAnsi="Times New Roman"/>
                      <w:i/>
                      <w:sz w:val="20"/>
                      <w:szCs w:val="20"/>
                    </w:rPr>
                    <w:t>8.2.5 Má predložený návrh vplyv na rozpad rodín?</w:t>
                  </w:r>
                </w:p>
              </w:tc>
            </w:tr>
            <w:tr w:rsidR="00B95D14" w:rsidTr="003E1355">
              <w:trPr>
                <w:trHeight w:val="920"/>
                <w:jc w:val="center"/>
              </w:trPr>
              <w:tc>
                <w:tcPr>
                  <w:tcW w:w="9106" w:type="dxa"/>
                  <w:tcBorders>
                    <w:top w:val="nil"/>
                    <w:bottom w:val="nil"/>
                  </w:tcBorders>
                  <w:shd w:val="clear" w:color="auto" w:fill="auto"/>
                </w:tcPr>
                <w:p w:rsidR="00B95D14" w:rsidRDefault="00B95D14" w:rsidP="003E1355">
                  <w:pPr>
                    <w:spacing w:after="0" w:line="240" w:lineRule="auto"/>
                    <w:rPr>
                      <w:rFonts w:ascii="Times New Roman" w:hAnsi="Times New Roman"/>
                      <w:sz w:val="20"/>
                      <w:szCs w:val="20"/>
                    </w:rPr>
                  </w:pPr>
                </w:p>
                <w:p w:rsidR="00B95D14" w:rsidRPr="00B95D14" w:rsidRDefault="00B95D14" w:rsidP="003E1355">
                  <w:pPr>
                    <w:spacing w:after="0" w:line="240" w:lineRule="auto"/>
                    <w:rPr>
                      <w:rFonts w:ascii="Times New Roman" w:hAnsi="Times New Roman"/>
                      <w:sz w:val="20"/>
                      <w:szCs w:val="20"/>
                    </w:rPr>
                  </w:pPr>
                  <w:r>
                    <w:rPr>
                      <w:rFonts w:ascii="Times New Roman" w:hAnsi="Times New Roman"/>
                      <w:sz w:val="20"/>
                      <w:szCs w:val="20"/>
                    </w:rPr>
                    <w:t>Bez vplyvu.</w:t>
                  </w:r>
                </w:p>
              </w:tc>
            </w:tr>
          </w:tbl>
          <w:p w:rsidR="00B95D14" w:rsidRPr="00B95D14" w:rsidRDefault="00B95D14" w:rsidP="00B95D14">
            <w:pPr>
              <w:spacing w:after="0" w:line="240" w:lineRule="auto"/>
              <w:rPr>
                <w:rFonts w:ascii="Times New Roman" w:hAnsi="Times New Roman"/>
                <w:sz w:val="20"/>
                <w:szCs w:val="20"/>
              </w:rPr>
            </w:pPr>
          </w:p>
        </w:tc>
      </w:tr>
      <w:tr w:rsidR="00B95D14" w:rsidTr="00B95D14">
        <w:trPr>
          <w:trHeight w:val="613"/>
          <w:jc w:val="center"/>
        </w:trPr>
        <w:tc>
          <w:tcPr>
            <w:tcW w:w="9060" w:type="dxa"/>
            <w:tcBorders>
              <w:top w:val="nil"/>
              <w:left w:val="single" w:sz="4" w:space="0" w:color="000000"/>
              <w:bottom w:val="single" w:sz="4" w:space="0" w:color="000000"/>
              <w:right w:val="single" w:sz="4" w:space="0" w:color="000000"/>
            </w:tcBorders>
            <w:shd w:val="clear" w:color="auto" w:fill="F2F2F2"/>
          </w:tcPr>
          <w:p w:rsidR="00B95D14" w:rsidRPr="00B95D14" w:rsidRDefault="00B95D14" w:rsidP="00B95D14">
            <w:pPr>
              <w:spacing w:after="0" w:line="240" w:lineRule="auto"/>
              <w:rPr>
                <w:rFonts w:ascii="Times New Roman" w:hAnsi="Times New Roman"/>
                <w:sz w:val="20"/>
                <w:szCs w:val="20"/>
              </w:rPr>
            </w:pPr>
            <w:r w:rsidRPr="00B95D14">
              <w:rPr>
                <w:rFonts w:ascii="Times New Roman" w:hAnsi="Times New Roman"/>
                <w:sz w:val="20"/>
                <w:szCs w:val="20"/>
              </w:rPr>
              <w:t>8.2.6 Má predložený návrh vplyv na poskytovanie pomoci pri odkázanosti niektorého z členov rodiny na pomoc?</w:t>
            </w:r>
          </w:p>
        </w:tc>
      </w:tr>
      <w:tr w:rsidR="00B95D14" w:rsidTr="00B95D14">
        <w:trPr>
          <w:trHeight w:val="565"/>
          <w:jc w:val="center"/>
        </w:trPr>
        <w:tc>
          <w:tcPr>
            <w:tcW w:w="9060" w:type="dxa"/>
            <w:tcBorders>
              <w:top w:val="nil"/>
              <w:left w:val="single" w:sz="4" w:space="0" w:color="000000"/>
              <w:bottom w:val="single" w:sz="4" w:space="0" w:color="000000"/>
              <w:right w:val="single" w:sz="4" w:space="0" w:color="000000"/>
            </w:tcBorders>
            <w:shd w:val="clear" w:color="auto" w:fill="auto"/>
          </w:tcPr>
          <w:p w:rsidR="00B95D14" w:rsidRDefault="00B95D14" w:rsidP="003E1355">
            <w:pPr>
              <w:spacing w:after="0" w:line="240" w:lineRule="auto"/>
              <w:rPr>
                <w:rFonts w:ascii="Times New Roman" w:hAnsi="Times New Roman"/>
                <w:sz w:val="20"/>
                <w:szCs w:val="20"/>
              </w:rPr>
            </w:pPr>
          </w:p>
          <w:p w:rsidR="00B95D14" w:rsidRDefault="00B95D14" w:rsidP="003E1355">
            <w:pPr>
              <w:spacing w:after="0" w:line="240" w:lineRule="auto"/>
              <w:rPr>
                <w:rFonts w:ascii="Times New Roman" w:hAnsi="Times New Roman"/>
                <w:sz w:val="20"/>
                <w:szCs w:val="20"/>
              </w:rPr>
            </w:pPr>
            <w:r>
              <w:rPr>
                <w:rFonts w:ascii="Times New Roman" w:hAnsi="Times New Roman"/>
                <w:sz w:val="20"/>
                <w:szCs w:val="20"/>
              </w:rPr>
              <w:t>Bez vplyvu.</w:t>
            </w:r>
          </w:p>
          <w:p w:rsidR="00B95D14" w:rsidRDefault="00B95D14" w:rsidP="003E1355">
            <w:pPr>
              <w:spacing w:after="0" w:line="240" w:lineRule="auto"/>
              <w:rPr>
                <w:rFonts w:ascii="Times New Roman" w:hAnsi="Times New Roman"/>
                <w:sz w:val="20"/>
                <w:szCs w:val="20"/>
              </w:rPr>
            </w:pPr>
          </w:p>
        </w:tc>
      </w:tr>
      <w:tr w:rsidR="00B95D14" w:rsidTr="00B95D14">
        <w:trPr>
          <w:trHeight w:val="561"/>
          <w:jc w:val="center"/>
        </w:trPr>
        <w:tc>
          <w:tcPr>
            <w:tcW w:w="9060" w:type="dxa"/>
            <w:tcBorders>
              <w:top w:val="nil"/>
              <w:left w:val="single" w:sz="4" w:space="0" w:color="000000"/>
              <w:bottom w:val="single" w:sz="4" w:space="0" w:color="000000"/>
              <w:right w:val="single" w:sz="4" w:space="0" w:color="000000"/>
            </w:tcBorders>
            <w:shd w:val="clear" w:color="auto" w:fill="auto"/>
          </w:tcPr>
          <w:p w:rsidR="00B95D14" w:rsidRPr="00B95D14" w:rsidRDefault="00B95D14" w:rsidP="003E1355">
            <w:pPr>
              <w:spacing w:after="0" w:line="240" w:lineRule="auto"/>
              <w:rPr>
                <w:rFonts w:ascii="Times New Roman" w:hAnsi="Times New Roman"/>
                <w:sz w:val="20"/>
                <w:szCs w:val="20"/>
              </w:rPr>
            </w:pPr>
            <w:r w:rsidRPr="00B95D14">
              <w:rPr>
                <w:rFonts w:ascii="Times New Roman" w:hAnsi="Times New Roman"/>
                <w:sz w:val="20"/>
                <w:szCs w:val="20"/>
              </w:rPr>
              <w:t>8.3 Identifikujte a popíšte vplyvy na výchovu detí.</w:t>
            </w:r>
          </w:p>
        </w:tc>
      </w:tr>
      <w:tr w:rsidR="00B95D14" w:rsidTr="00B95D14">
        <w:trPr>
          <w:trHeight w:val="413"/>
          <w:jc w:val="center"/>
        </w:trPr>
        <w:tc>
          <w:tcPr>
            <w:tcW w:w="9060" w:type="dxa"/>
            <w:tcBorders>
              <w:top w:val="nil"/>
              <w:left w:val="single" w:sz="4" w:space="0" w:color="000000"/>
              <w:bottom w:val="single" w:sz="4" w:space="0" w:color="000000"/>
              <w:right w:val="single" w:sz="4" w:space="0" w:color="000000"/>
            </w:tcBorders>
            <w:shd w:val="clear" w:color="auto" w:fill="auto"/>
          </w:tcPr>
          <w:p w:rsidR="00B95D14" w:rsidRPr="00B95D14" w:rsidRDefault="00B95D14" w:rsidP="00B95D14">
            <w:pPr>
              <w:spacing w:after="0" w:line="240" w:lineRule="auto"/>
              <w:rPr>
                <w:rFonts w:ascii="Times New Roman" w:hAnsi="Times New Roman"/>
                <w:sz w:val="20"/>
                <w:szCs w:val="20"/>
              </w:rPr>
            </w:pPr>
            <w:r w:rsidRPr="00B95D14">
              <w:rPr>
                <w:rFonts w:ascii="Times New Roman" w:hAnsi="Times New Roman"/>
                <w:sz w:val="20"/>
                <w:szCs w:val="20"/>
              </w:rPr>
              <w:t>8.3.1 Má predložený návrh vplyv na výchovu detí? Ak áno, aký?</w:t>
            </w:r>
          </w:p>
        </w:tc>
      </w:tr>
      <w:tr w:rsidR="00B95D14" w:rsidTr="00B95D14">
        <w:trPr>
          <w:trHeight w:val="567"/>
          <w:jc w:val="center"/>
        </w:trPr>
        <w:tc>
          <w:tcPr>
            <w:tcW w:w="9060" w:type="dxa"/>
            <w:tcBorders>
              <w:top w:val="nil"/>
              <w:left w:val="single" w:sz="4" w:space="0" w:color="000000"/>
              <w:bottom w:val="single" w:sz="4" w:space="0" w:color="000000"/>
              <w:right w:val="single" w:sz="4" w:space="0" w:color="000000"/>
            </w:tcBorders>
            <w:shd w:val="clear" w:color="auto" w:fill="auto"/>
          </w:tcPr>
          <w:p w:rsidR="00B95D14" w:rsidRDefault="00B95D14" w:rsidP="003E1355">
            <w:pPr>
              <w:spacing w:after="0" w:line="240" w:lineRule="auto"/>
              <w:rPr>
                <w:rFonts w:ascii="Times New Roman" w:hAnsi="Times New Roman"/>
                <w:sz w:val="20"/>
                <w:szCs w:val="20"/>
              </w:rPr>
            </w:pPr>
          </w:p>
          <w:p w:rsidR="00B95D14" w:rsidRDefault="00B95D14" w:rsidP="003E1355">
            <w:pPr>
              <w:spacing w:after="0" w:line="240" w:lineRule="auto"/>
              <w:rPr>
                <w:rFonts w:ascii="Times New Roman" w:hAnsi="Times New Roman"/>
                <w:sz w:val="20"/>
                <w:szCs w:val="20"/>
              </w:rPr>
            </w:pPr>
            <w:r>
              <w:rPr>
                <w:rFonts w:ascii="Times New Roman" w:hAnsi="Times New Roman"/>
                <w:sz w:val="20"/>
                <w:szCs w:val="20"/>
              </w:rPr>
              <w:t>Bez vplyvu.</w:t>
            </w:r>
          </w:p>
        </w:tc>
      </w:tr>
      <w:tr w:rsidR="00B95D14" w:rsidTr="00B95D14">
        <w:trPr>
          <w:trHeight w:val="567"/>
          <w:jc w:val="center"/>
        </w:trPr>
        <w:tc>
          <w:tcPr>
            <w:tcW w:w="9060" w:type="dxa"/>
            <w:tcBorders>
              <w:top w:val="nil"/>
              <w:left w:val="single" w:sz="4" w:space="0" w:color="000000"/>
              <w:bottom w:val="single" w:sz="4" w:space="0" w:color="000000"/>
              <w:right w:val="single" w:sz="4" w:space="0" w:color="000000"/>
            </w:tcBorders>
            <w:shd w:val="clear" w:color="auto" w:fill="auto"/>
          </w:tcPr>
          <w:p w:rsidR="00B95D14" w:rsidRPr="00B95D14" w:rsidRDefault="00B95D14" w:rsidP="00B95D14">
            <w:pPr>
              <w:spacing w:after="0" w:line="240" w:lineRule="auto"/>
              <w:rPr>
                <w:rFonts w:ascii="Times New Roman" w:hAnsi="Times New Roman"/>
                <w:sz w:val="20"/>
                <w:szCs w:val="20"/>
              </w:rPr>
            </w:pPr>
            <w:r w:rsidRPr="00B95D14">
              <w:rPr>
                <w:rFonts w:ascii="Times New Roman" w:hAnsi="Times New Roman"/>
                <w:sz w:val="20"/>
                <w:szCs w:val="20"/>
              </w:rPr>
              <w:t>8.3.2 Má predložený návrh vplyv na výchovu detí v rodinách?</w:t>
            </w:r>
          </w:p>
        </w:tc>
      </w:tr>
      <w:tr w:rsidR="00B95D14" w:rsidTr="00B95D14">
        <w:trPr>
          <w:trHeight w:val="920"/>
          <w:jc w:val="center"/>
        </w:trPr>
        <w:tc>
          <w:tcPr>
            <w:tcW w:w="9060" w:type="dxa"/>
            <w:tcBorders>
              <w:top w:val="nil"/>
              <w:left w:val="single" w:sz="4" w:space="0" w:color="000000"/>
              <w:bottom w:val="single" w:sz="4" w:space="0" w:color="000000"/>
              <w:right w:val="single" w:sz="4" w:space="0" w:color="000000"/>
            </w:tcBorders>
            <w:shd w:val="clear" w:color="auto" w:fill="auto"/>
          </w:tcPr>
          <w:p w:rsidR="00B95D14" w:rsidRDefault="00B95D14" w:rsidP="003E1355">
            <w:pPr>
              <w:spacing w:after="0" w:line="240" w:lineRule="auto"/>
              <w:rPr>
                <w:rFonts w:ascii="Times New Roman" w:hAnsi="Times New Roman"/>
                <w:sz w:val="20"/>
                <w:szCs w:val="20"/>
              </w:rPr>
            </w:pPr>
          </w:p>
          <w:p w:rsidR="00B95D14" w:rsidRDefault="00B95D14" w:rsidP="003E1355">
            <w:pPr>
              <w:spacing w:after="0" w:line="240" w:lineRule="auto"/>
              <w:rPr>
                <w:rFonts w:ascii="Times New Roman" w:hAnsi="Times New Roman"/>
                <w:sz w:val="20"/>
                <w:szCs w:val="20"/>
              </w:rPr>
            </w:pPr>
            <w:r>
              <w:rPr>
                <w:rFonts w:ascii="Times New Roman" w:hAnsi="Times New Roman"/>
                <w:sz w:val="20"/>
                <w:szCs w:val="20"/>
              </w:rPr>
              <w:t>Bez vplyvu.</w:t>
            </w:r>
          </w:p>
          <w:p w:rsidR="00B95D14" w:rsidRDefault="00B95D14" w:rsidP="003E1355">
            <w:pPr>
              <w:spacing w:after="0" w:line="240" w:lineRule="auto"/>
              <w:rPr>
                <w:rFonts w:ascii="Times New Roman" w:hAnsi="Times New Roman"/>
                <w:sz w:val="20"/>
                <w:szCs w:val="20"/>
              </w:rPr>
            </w:pPr>
          </w:p>
        </w:tc>
      </w:tr>
      <w:tr w:rsidR="00B95D14" w:rsidTr="00B95D14">
        <w:trPr>
          <w:trHeight w:val="353"/>
          <w:jc w:val="center"/>
        </w:trPr>
        <w:tc>
          <w:tcPr>
            <w:tcW w:w="9060" w:type="dxa"/>
            <w:tcBorders>
              <w:top w:val="nil"/>
              <w:left w:val="single" w:sz="4" w:space="0" w:color="000000"/>
              <w:bottom w:val="single" w:sz="4" w:space="0" w:color="000000"/>
              <w:right w:val="single" w:sz="4" w:space="0" w:color="000000"/>
            </w:tcBorders>
            <w:shd w:val="clear" w:color="auto" w:fill="auto"/>
          </w:tcPr>
          <w:p w:rsidR="00B95D14" w:rsidRPr="00B95D14" w:rsidRDefault="00B95D14" w:rsidP="00B95D14">
            <w:pPr>
              <w:spacing w:after="0" w:line="240" w:lineRule="auto"/>
              <w:rPr>
                <w:rFonts w:ascii="Times New Roman" w:hAnsi="Times New Roman"/>
                <w:sz w:val="20"/>
                <w:szCs w:val="20"/>
              </w:rPr>
            </w:pPr>
            <w:r w:rsidRPr="00B95D14">
              <w:rPr>
                <w:rFonts w:ascii="Times New Roman" w:hAnsi="Times New Roman"/>
                <w:sz w:val="20"/>
                <w:szCs w:val="20"/>
              </w:rPr>
              <w:t>8.3.3 Má predložený návrh vplyv na výchovu detí k manželstvu a rodičovstvu?</w:t>
            </w:r>
          </w:p>
        </w:tc>
      </w:tr>
      <w:tr w:rsidR="00B95D14" w:rsidTr="00B95D14">
        <w:trPr>
          <w:trHeight w:val="698"/>
          <w:jc w:val="center"/>
        </w:trPr>
        <w:tc>
          <w:tcPr>
            <w:tcW w:w="9060" w:type="dxa"/>
            <w:tcBorders>
              <w:top w:val="nil"/>
              <w:left w:val="single" w:sz="4" w:space="0" w:color="000000"/>
              <w:bottom w:val="single" w:sz="4" w:space="0" w:color="000000"/>
              <w:right w:val="single" w:sz="4" w:space="0" w:color="000000"/>
            </w:tcBorders>
            <w:shd w:val="clear" w:color="auto" w:fill="auto"/>
          </w:tcPr>
          <w:p w:rsidR="00B95D14" w:rsidRDefault="00B95D14" w:rsidP="003E1355">
            <w:pPr>
              <w:spacing w:after="0" w:line="240" w:lineRule="auto"/>
              <w:rPr>
                <w:rFonts w:ascii="Times New Roman" w:hAnsi="Times New Roman"/>
                <w:sz w:val="20"/>
                <w:szCs w:val="20"/>
              </w:rPr>
            </w:pPr>
            <w:r>
              <w:rPr>
                <w:rFonts w:ascii="Times New Roman" w:hAnsi="Times New Roman"/>
                <w:sz w:val="20"/>
                <w:szCs w:val="20"/>
              </w:rPr>
              <w:t>Bez vplyvu.</w:t>
            </w:r>
          </w:p>
          <w:p w:rsidR="00B95D14" w:rsidRDefault="00B95D14" w:rsidP="003E1355">
            <w:pPr>
              <w:spacing w:after="0" w:line="240" w:lineRule="auto"/>
              <w:rPr>
                <w:rFonts w:ascii="Times New Roman" w:hAnsi="Times New Roman"/>
                <w:sz w:val="20"/>
                <w:szCs w:val="20"/>
              </w:rPr>
            </w:pPr>
          </w:p>
        </w:tc>
      </w:tr>
      <w:tr w:rsidR="00B95D14" w:rsidTr="00B95D14">
        <w:trPr>
          <w:trHeight w:val="410"/>
          <w:jc w:val="center"/>
        </w:trPr>
        <w:tc>
          <w:tcPr>
            <w:tcW w:w="9060" w:type="dxa"/>
            <w:tcBorders>
              <w:top w:val="nil"/>
              <w:left w:val="single" w:sz="4" w:space="0" w:color="000000"/>
              <w:bottom w:val="single" w:sz="4" w:space="0" w:color="000000"/>
              <w:right w:val="single" w:sz="4" w:space="0" w:color="000000"/>
            </w:tcBorders>
            <w:shd w:val="clear" w:color="auto" w:fill="auto"/>
          </w:tcPr>
          <w:p w:rsidR="00B95D14" w:rsidRPr="00B95D14" w:rsidRDefault="00B95D14" w:rsidP="003E1355">
            <w:pPr>
              <w:spacing w:after="0" w:line="240" w:lineRule="auto"/>
              <w:rPr>
                <w:rFonts w:ascii="Times New Roman" w:hAnsi="Times New Roman"/>
                <w:sz w:val="20"/>
                <w:szCs w:val="20"/>
              </w:rPr>
            </w:pPr>
            <w:r w:rsidRPr="00B95D14">
              <w:rPr>
                <w:rFonts w:ascii="Times New Roman" w:hAnsi="Times New Roman"/>
                <w:sz w:val="20"/>
                <w:szCs w:val="20"/>
              </w:rPr>
              <w:t>8.4 Identifikujte a popíšte vplyvy na práva rodičov voči deťom.</w:t>
            </w:r>
          </w:p>
        </w:tc>
      </w:tr>
      <w:tr w:rsidR="00B95D14" w:rsidTr="00B95D14">
        <w:trPr>
          <w:trHeight w:val="415"/>
          <w:jc w:val="center"/>
        </w:trPr>
        <w:tc>
          <w:tcPr>
            <w:tcW w:w="9060" w:type="dxa"/>
            <w:tcBorders>
              <w:top w:val="nil"/>
              <w:left w:val="single" w:sz="4" w:space="0" w:color="000000"/>
              <w:bottom w:val="single" w:sz="4" w:space="0" w:color="000000"/>
              <w:right w:val="single" w:sz="4" w:space="0" w:color="000000"/>
            </w:tcBorders>
            <w:shd w:val="clear" w:color="auto" w:fill="auto"/>
          </w:tcPr>
          <w:p w:rsidR="00B95D14" w:rsidRPr="00B95D14" w:rsidRDefault="00B95D14" w:rsidP="00B95D14">
            <w:pPr>
              <w:spacing w:after="0" w:line="240" w:lineRule="auto"/>
              <w:rPr>
                <w:rFonts w:ascii="Times New Roman" w:hAnsi="Times New Roman"/>
                <w:sz w:val="20"/>
                <w:szCs w:val="20"/>
              </w:rPr>
            </w:pPr>
            <w:r w:rsidRPr="00B95D14">
              <w:rPr>
                <w:rFonts w:ascii="Times New Roman" w:hAnsi="Times New Roman"/>
                <w:sz w:val="20"/>
                <w:szCs w:val="20"/>
              </w:rPr>
              <w:t>8.4.1 Má predložený návrh vplyv na práva alebo zodpovednosť rodičov voči deťom? Ak áno, aký?</w:t>
            </w:r>
          </w:p>
        </w:tc>
      </w:tr>
      <w:tr w:rsidR="00B95D14" w:rsidTr="00B95D14">
        <w:trPr>
          <w:trHeight w:val="422"/>
          <w:jc w:val="center"/>
        </w:trPr>
        <w:tc>
          <w:tcPr>
            <w:tcW w:w="9060" w:type="dxa"/>
            <w:tcBorders>
              <w:top w:val="nil"/>
              <w:left w:val="single" w:sz="4" w:space="0" w:color="000000"/>
              <w:bottom w:val="single" w:sz="4" w:space="0" w:color="000000"/>
              <w:right w:val="single" w:sz="4" w:space="0" w:color="000000"/>
            </w:tcBorders>
            <w:shd w:val="clear" w:color="auto" w:fill="auto"/>
          </w:tcPr>
          <w:p w:rsidR="00B95D14" w:rsidRPr="00F94CFE" w:rsidRDefault="00B95D14" w:rsidP="00B95D14">
            <w:pPr>
              <w:spacing w:after="0" w:line="240" w:lineRule="auto"/>
              <w:rPr>
                <w:rFonts w:ascii="Times New Roman" w:hAnsi="Times New Roman"/>
                <w:sz w:val="20"/>
                <w:szCs w:val="20"/>
              </w:rPr>
            </w:pPr>
            <w:r>
              <w:rPr>
                <w:rFonts w:ascii="Times New Roman" w:hAnsi="Times New Roman"/>
                <w:sz w:val="20"/>
                <w:szCs w:val="20"/>
              </w:rPr>
              <w:t>Bez vplyvu</w:t>
            </w:r>
            <w:r w:rsidRPr="00F94CFE">
              <w:rPr>
                <w:rFonts w:ascii="Times New Roman" w:hAnsi="Times New Roman"/>
                <w:sz w:val="20"/>
                <w:szCs w:val="20"/>
              </w:rPr>
              <w:t>.</w:t>
            </w:r>
          </w:p>
        </w:tc>
      </w:tr>
      <w:tr w:rsidR="00B95D14" w:rsidTr="00B95D14">
        <w:trPr>
          <w:trHeight w:val="556"/>
          <w:jc w:val="center"/>
        </w:trPr>
        <w:tc>
          <w:tcPr>
            <w:tcW w:w="9060" w:type="dxa"/>
            <w:tcBorders>
              <w:top w:val="nil"/>
              <w:left w:val="single" w:sz="4" w:space="0" w:color="000000"/>
              <w:bottom w:val="single" w:sz="4" w:space="0" w:color="000000"/>
              <w:right w:val="single" w:sz="4" w:space="0" w:color="000000"/>
            </w:tcBorders>
            <w:shd w:val="clear" w:color="auto" w:fill="auto"/>
          </w:tcPr>
          <w:p w:rsidR="00B95D14" w:rsidRPr="00B95D14" w:rsidRDefault="00B95D14" w:rsidP="003E1355">
            <w:pPr>
              <w:spacing w:after="0" w:line="240" w:lineRule="auto"/>
              <w:rPr>
                <w:rFonts w:ascii="Times New Roman" w:hAnsi="Times New Roman"/>
                <w:sz w:val="20"/>
                <w:szCs w:val="20"/>
              </w:rPr>
            </w:pPr>
            <w:r w:rsidRPr="00B95D14">
              <w:rPr>
                <w:rFonts w:ascii="Times New Roman" w:hAnsi="Times New Roman"/>
                <w:sz w:val="20"/>
                <w:szCs w:val="20"/>
              </w:rPr>
              <w:lastRenderedPageBreak/>
              <w:t>8.5 Identifikujte a popíšte vplyvy na základné zásady zákona o rodine.</w:t>
            </w:r>
          </w:p>
        </w:tc>
      </w:tr>
      <w:tr w:rsidR="00B95D14" w:rsidTr="00B95D14">
        <w:trPr>
          <w:trHeight w:val="550"/>
          <w:jc w:val="center"/>
        </w:trPr>
        <w:tc>
          <w:tcPr>
            <w:tcW w:w="9060" w:type="dxa"/>
            <w:tcBorders>
              <w:top w:val="nil"/>
              <w:left w:val="single" w:sz="4" w:space="0" w:color="000000"/>
              <w:bottom w:val="single" w:sz="4" w:space="0" w:color="000000"/>
              <w:right w:val="single" w:sz="4" w:space="0" w:color="000000"/>
            </w:tcBorders>
            <w:shd w:val="clear" w:color="auto" w:fill="auto"/>
          </w:tcPr>
          <w:p w:rsidR="00B95D14" w:rsidRPr="00B95D14" w:rsidRDefault="00B95D14" w:rsidP="00B95D14">
            <w:pPr>
              <w:spacing w:after="0" w:line="240" w:lineRule="auto"/>
              <w:rPr>
                <w:rFonts w:ascii="Times New Roman" w:hAnsi="Times New Roman"/>
                <w:sz w:val="20"/>
                <w:szCs w:val="20"/>
              </w:rPr>
            </w:pPr>
            <w:r w:rsidRPr="00B95D14">
              <w:rPr>
                <w:rFonts w:ascii="Times New Roman" w:hAnsi="Times New Roman"/>
                <w:sz w:val="20"/>
                <w:szCs w:val="20"/>
              </w:rPr>
              <w:t>8.5.1 Má predložený návrh vplyv na chránené záujmy obsiahnuté v základných zásadách zákona o rodine? Ak áno, aký?</w:t>
            </w:r>
          </w:p>
        </w:tc>
      </w:tr>
      <w:tr w:rsidR="00B95D14" w:rsidTr="00B95D14">
        <w:trPr>
          <w:trHeight w:val="416"/>
          <w:jc w:val="center"/>
        </w:trPr>
        <w:tc>
          <w:tcPr>
            <w:tcW w:w="9060" w:type="dxa"/>
            <w:tcBorders>
              <w:top w:val="nil"/>
              <w:left w:val="single" w:sz="4" w:space="0" w:color="000000"/>
              <w:bottom w:val="single" w:sz="4" w:space="0" w:color="000000"/>
              <w:right w:val="single" w:sz="4" w:space="0" w:color="000000"/>
            </w:tcBorders>
            <w:shd w:val="clear" w:color="auto" w:fill="auto"/>
          </w:tcPr>
          <w:p w:rsidR="00B95D14" w:rsidRPr="00F94CFE" w:rsidRDefault="00B95D14" w:rsidP="00B95D14">
            <w:pPr>
              <w:spacing w:after="0" w:line="240" w:lineRule="auto"/>
              <w:rPr>
                <w:rFonts w:ascii="Times New Roman" w:hAnsi="Times New Roman"/>
                <w:sz w:val="20"/>
                <w:szCs w:val="20"/>
              </w:rPr>
            </w:pPr>
            <w:r w:rsidRPr="00F94CFE">
              <w:rPr>
                <w:rFonts w:ascii="Times New Roman" w:hAnsi="Times New Roman"/>
                <w:sz w:val="20"/>
                <w:szCs w:val="20"/>
              </w:rPr>
              <w:t>Bez vplyvu.</w:t>
            </w:r>
          </w:p>
          <w:p w:rsidR="00B95D14" w:rsidRPr="00B95D14" w:rsidRDefault="00B95D14" w:rsidP="00B95D14">
            <w:pPr>
              <w:spacing w:after="0" w:line="240" w:lineRule="auto"/>
              <w:rPr>
                <w:rFonts w:ascii="Times New Roman" w:hAnsi="Times New Roman"/>
                <w:sz w:val="20"/>
                <w:szCs w:val="20"/>
              </w:rPr>
            </w:pPr>
          </w:p>
        </w:tc>
      </w:tr>
      <w:tr w:rsidR="00B95D14" w:rsidTr="00B95D14">
        <w:trPr>
          <w:trHeight w:val="380"/>
          <w:jc w:val="center"/>
        </w:trPr>
        <w:tc>
          <w:tcPr>
            <w:tcW w:w="9060" w:type="dxa"/>
            <w:tcBorders>
              <w:top w:val="nil"/>
              <w:left w:val="single" w:sz="4" w:space="0" w:color="000000"/>
              <w:bottom w:val="single" w:sz="4" w:space="0" w:color="000000"/>
              <w:right w:val="single" w:sz="4" w:space="0" w:color="000000"/>
            </w:tcBorders>
            <w:shd w:val="clear" w:color="auto" w:fill="auto"/>
          </w:tcPr>
          <w:p w:rsidR="00B95D14" w:rsidRPr="00B95D14" w:rsidRDefault="00B95D14" w:rsidP="003E1355">
            <w:pPr>
              <w:spacing w:after="0" w:line="240" w:lineRule="auto"/>
              <w:rPr>
                <w:rFonts w:ascii="Times New Roman" w:hAnsi="Times New Roman"/>
                <w:sz w:val="20"/>
                <w:szCs w:val="20"/>
              </w:rPr>
            </w:pPr>
            <w:r w:rsidRPr="00B95D14">
              <w:rPr>
                <w:rFonts w:ascii="Times New Roman" w:hAnsi="Times New Roman"/>
                <w:sz w:val="20"/>
                <w:szCs w:val="20"/>
              </w:rPr>
              <w:t>8.6 Identifikujte a popíšte vplyvy na uzavieranie manželstva.</w:t>
            </w:r>
          </w:p>
        </w:tc>
      </w:tr>
      <w:tr w:rsidR="00B95D14" w:rsidTr="00B95D14">
        <w:trPr>
          <w:trHeight w:val="413"/>
          <w:jc w:val="center"/>
        </w:trPr>
        <w:tc>
          <w:tcPr>
            <w:tcW w:w="9060" w:type="dxa"/>
            <w:tcBorders>
              <w:top w:val="nil"/>
              <w:left w:val="single" w:sz="4" w:space="0" w:color="000000"/>
              <w:bottom w:val="single" w:sz="4" w:space="0" w:color="000000"/>
              <w:right w:val="single" w:sz="4" w:space="0" w:color="000000"/>
            </w:tcBorders>
            <w:shd w:val="clear" w:color="auto" w:fill="auto"/>
          </w:tcPr>
          <w:p w:rsidR="00B95D14" w:rsidRPr="00B95D14" w:rsidRDefault="00B95D14" w:rsidP="00B95D14">
            <w:pPr>
              <w:spacing w:after="0" w:line="240" w:lineRule="auto"/>
              <w:rPr>
                <w:rFonts w:ascii="Times New Roman" w:hAnsi="Times New Roman"/>
                <w:sz w:val="20"/>
                <w:szCs w:val="20"/>
              </w:rPr>
            </w:pPr>
            <w:r w:rsidRPr="00B95D14">
              <w:rPr>
                <w:rFonts w:ascii="Times New Roman" w:hAnsi="Times New Roman"/>
                <w:sz w:val="20"/>
                <w:szCs w:val="20"/>
              </w:rPr>
              <w:t>8.6.1 Má predložený návrh vplyv na uzavieranie manželstva? Ak áno, aký?</w:t>
            </w:r>
          </w:p>
        </w:tc>
      </w:tr>
      <w:tr w:rsidR="00B95D14" w:rsidTr="00B95D14">
        <w:trPr>
          <w:trHeight w:val="920"/>
          <w:jc w:val="center"/>
        </w:trPr>
        <w:tc>
          <w:tcPr>
            <w:tcW w:w="9060" w:type="dxa"/>
            <w:tcBorders>
              <w:top w:val="nil"/>
              <w:left w:val="single" w:sz="4" w:space="0" w:color="000000"/>
              <w:bottom w:val="single" w:sz="4" w:space="0" w:color="000000"/>
              <w:right w:val="single" w:sz="4" w:space="0" w:color="000000"/>
            </w:tcBorders>
            <w:shd w:val="clear" w:color="auto" w:fill="auto"/>
          </w:tcPr>
          <w:p w:rsidR="00B95D14" w:rsidRDefault="00B95D14" w:rsidP="00B95D14">
            <w:pPr>
              <w:spacing w:after="0" w:line="240" w:lineRule="auto"/>
              <w:rPr>
                <w:rFonts w:ascii="Times New Roman" w:hAnsi="Times New Roman"/>
                <w:sz w:val="20"/>
                <w:szCs w:val="20"/>
              </w:rPr>
            </w:pPr>
            <w:r w:rsidRPr="00F94CFE">
              <w:rPr>
                <w:rFonts w:ascii="Times New Roman" w:hAnsi="Times New Roman"/>
                <w:sz w:val="20"/>
                <w:szCs w:val="20"/>
              </w:rPr>
              <w:t xml:space="preserve">Vzhľadom na platné znenie zákona o dani z príjmov, na účel uplatnenia nároku na daňový bonus sa za vyživované dieťa daňovníka považuje vlastné, osvojené, dieťa prevzaté do starostlivosti nahrádzajúcej starostlivosť rodičov na základe rozhodnutia príslušného orgánu a dieťa druhého z manželov. </w:t>
            </w:r>
          </w:p>
          <w:p w:rsidR="00B95D14" w:rsidRPr="00F94CFE" w:rsidRDefault="00B95D14" w:rsidP="00B95D14">
            <w:pPr>
              <w:spacing w:after="0" w:line="240" w:lineRule="auto"/>
              <w:rPr>
                <w:rFonts w:ascii="Times New Roman" w:hAnsi="Times New Roman"/>
                <w:sz w:val="20"/>
                <w:szCs w:val="20"/>
              </w:rPr>
            </w:pPr>
            <w:r w:rsidRPr="00F94CFE">
              <w:rPr>
                <w:rFonts w:ascii="Times New Roman" w:hAnsi="Times New Roman"/>
                <w:sz w:val="20"/>
                <w:szCs w:val="20"/>
              </w:rPr>
              <w:t>Dá sa predpokladať, že možnosť uplatnenia nároku na daňový bonus na dieťa druhého z manželov môže aj vzhľadom na navrhovanú legislatívnu úpravu, t. j. posudzovanie čiastkového základu dane spoločne u oboch daňovníkov</w:t>
            </w:r>
            <w:r>
              <w:rPr>
                <w:rFonts w:ascii="Times New Roman" w:hAnsi="Times New Roman"/>
                <w:sz w:val="20"/>
                <w:szCs w:val="20"/>
              </w:rPr>
              <w:t xml:space="preserve"> čím sa dosiahne vyššia suma daňového bonusu na dieťa a teda vyšší príjem rodiny</w:t>
            </w:r>
            <w:r w:rsidRPr="00F94CFE">
              <w:rPr>
                <w:rFonts w:ascii="Times New Roman" w:hAnsi="Times New Roman"/>
                <w:sz w:val="20"/>
                <w:szCs w:val="20"/>
              </w:rPr>
              <w:t>, pozitívne vplývať na uzatváranie manželstiev</w:t>
            </w:r>
            <w:r>
              <w:rPr>
                <w:rFonts w:ascii="Times New Roman" w:hAnsi="Times New Roman"/>
                <w:sz w:val="20"/>
                <w:szCs w:val="20"/>
              </w:rPr>
              <w:t>.</w:t>
            </w:r>
          </w:p>
          <w:p w:rsidR="00B95D14" w:rsidRPr="00F94CFE" w:rsidRDefault="00B95D14" w:rsidP="003E1355">
            <w:pPr>
              <w:spacing w:after="0" w:line="240" w:lineRule="auto"/>
              <w:rPr>
                <w:rFonts w:ascii="Times New Roman" w:hAnsi="Times New Roman"/>
                <w:sz w:val="20"/>
                <w:szCs w:val="20"/>
              </w:rPr>
            </w:pPr>
          </w:p>
        </w:tc>
      </w:tr>
      <w:tr w:rsidR="00B95D14" w:rsidTr="00B95D14">
        <w:trPr>
          <w:trHeight w:val="545"/>
          <w:jc w:val="center"/>
        </w:trPr>
        <w:tc>
          <w:tcPr>
            <w:tcW w:w="9060" w:type="dxa"/>
            <w:tcBorders>
              <w:top w:val="nil"/>
              <w:left w:val="single" w:sz="4" w:space="0" w:color="000000"/>
              <w:bottom w:val="single" w:sz="4" w:space="0" w:color="000000"/>
              <w:right w:val="single" w:sz="4" w:space="0" w:color="000000"/>
            </w:tcBorders>
            <w:shd w:val="clear" w:color="auto" w:fill="auto"/>
          </w:tcPr>
          <w:p w:rsidR="00B95D14" w:rsidRPr="00B95D14" w:rsidRDefault="00B95D14" w:rsidP="00B95D14">
            <w:pPr>
              <w:spacing w:after="0" w:line="240" w:lineRule="auto"/>
              <w:rPr>
                <w:rFonts w:ascii="Times New Roman" w:hAnsi="Times New Roman"/>
                <w:sz w:val="20"/>
                <w:szCs w:val="20"/>
              </w:rPr>
            </w:pPr>
            <w:r w:rsidRPr="00B95D14">
              <w:rPr>
                <w:rFonts w:ascii="Times New Roman" w:hAnsi="Times New Roman"/>
                <w:sz w:val="20"/>
                <w:szCs w:val="20"/>
              </w:rPr>
              <w:t>8.6.2 Má predložený návrh vplyv na preferovaný čas vstupu do manželstva?</w:t>
            </w:r>
          </w:p>
        </w:tc>
      </w:tr>
      <w:tr w:rsidR="00B95D14" w:rsidTr="00B95D14">
        <w:trPr>
          <w:trHeight w:val="3388"/>
          <w:jc w:val="center"/>
        </w:trPr>
        <w:tc>
          <w:tcPr>
            <w:tcW w:w="9060" w:type="dxa"/>
            <w:tcBorders>
              <w:top w:val="nil"/>
              <w:left w:val="single" w:sz="4" w:space="0" w:color="000000"/>
              <w:bottom w:val="single" w:sz="4" w:space="0" w:color="000000"/>
              <w:right w:val="single" w:sz="4" w:space="0" w:color="000000"/>
            </w:tcBorders>
            <w:shd w:val="clear" w:color="auto" w:fill="auto"/>
          </w:tcPr>
          <w:p w:rsidR="00B95D14" w:rsidRDefault="00B95D14" w:rsidP="003E1355">
            <w:pPr>
              <w:spacing w:after="0" w:line="240" w:lineRule="auto"/>
              <w:rPr>
                <w:rFonts w:ascii="Times New Roman" w:hAnsi="Times New Roman"/>
                <w:sz w:val="20"/>
                <w:szCs w:val="20"/>
              </w:rPr>
            </w:pPr>
          </w:p>
          <w:p w:rsidR="00B95D14" w:rsidRDefault="00B95D14" w:rsidP="003E1355">
            <w:pPr>
              <w:spacing w:after="0" w:line="240" w:lineRule="auto"/>
              <w:rPr>
                <w:rFonts w:ascii="Times New Roman" w:hAnsi="Times New Roman"/>
                <w:sz w:val="20"/>
                <w:szCs w:val="20"/>
              </w:rPr>
            </w:pPr>
            <w:r>
              <w:rPr>
                <w:rFonts w:ascii="Times New Roman" w:hAnsi="Times New Roman"/>
                <w:sz w:val="20"/>
                <w:szCs w:val="20"/>
              </w:rPr>
              <w:t>Bez vplyvu.</w:t>
            </w:r>
          </w:p>
          <w:p w:rsidR="00B95D14" w:rsidRDefault="00B95D14" w:rsidP="003E1355">
            <w:pPr>
              <w:spacing w:after="0" w:line="240" w:lineRule="auto"/>
              <w:rPr>
                <w:rFonts w:ascii="Times New Roman" w:hAnsi="Times New Roman"/>
                <w:sz w:val="20"/>
                <w:szCs w:val="20"/>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B95D14" w:rsidTr="003E1355">
              <w:trPr>
                <w:trHeight w:val="575"/>
                <w:jc w:val="center"/>
              </w:trPr>
              <w:tc>
                <w:tcPr>
                  <w:tcW w:w="9205" w:type="dxa"/>
                  <w:tcBorders>
                    <w:bottom w:val="single" w:sz="4" w:space="0" w:color="000000"/>
                  </w:tcBorders>
                  <w:shd w:val="clear" w:color="auto" w:fill="F2F2F2"/>
                </w:tcPr>
                <w:p w:rsidR="00B95D14" w:rsidRDefault="00B95D14" w:rsidP="003E1355">
                  <w:pPr>
                    <w:shd w:val="clear" w:color="auto" w:fill="F2F2F2"/>
                    <w:spacing w:after="0" w:line="240" w:lineRule="auto"/>
                    <w:rPr>
                      <w:i/>
                      <w:sz w:val="20"/>
                      <w:szCs w:val="20"/>
                    </w:rPr>
                  </w:pPr>
                  <w:r>
                    <w:rPr>
                      <w:rFonts w:ascii="Times New Roman" w:hAnsi="Times New Roman"/>
                      <w:i/>
                      <w:sz w:val="20"/>
                      <w:szCs w:val="20"/>
                    </w:rPr>
                    <w:t xml:space="preserve"> 8.6.3 Má predložený návrh vplyv na informovanosť ohľadom povahy manželstva a záväzkov medzi manželmi a založenia rodiny?</w:t>
                  </w:r>
                </w:p>
              </w:tc>
            </w:tr>
            <w:tr w:rsidR="00B95D14" w:rsidTr="003E1355">
              <w:trPr>
                <w:trHeight w:val="647"/>
                <w:jc w:val="center"/>
              </w:trPr>
              <w:tc>
                <w:tcPr>
                  <w:tcW w:w="9205" w:type="dxa"/>
                  <w:tcBorders>
                    <w:top w:val="nil"/>
                    <w:bottom w:val="nil"/>
                  </w:tcBorders>
                  <w:shd w:val="clear" w:color="auto" w:fill="auto"/>
                </w:tcPr>
                <w:p w:rsidR="00B95D14" w:rsidRDefault="00B95D14" w:rsidP="003E1355">
                  <w:pPr>
                    <w:spacing w:after="0" w:line="240" w:lineRule="auto"/>
                    <w:rPr>
                      <w:rFonts w:ascii="Times New Roman" w:hAnsi="Times New Roman"/>
                      <w:sz w:val="20"/>
                      <w:szCs w:val="20"/>
                    </w:rPr>
                  </w:pPr>
                </w:p>
                <w:p w:rsidR="00B95D14" w:rsidRDefault="00B95D14" w:rsidP="003E1355">
                  <w:pPr>
                    <w:spacing w:after="0" w:line="240" w:lineRule="auto"/>
                    <w:rPr>
                      <w:rFonts w:ascii="Times New Roman" w:hAnsi="Times New Roman"/>
                      <w:sz w:val="20"/>
                      <w:szCs w:val="20"/>
                    </w:rPr>
                  </w:pPr>
                  <w:r>
                    <w:rPr>
                      <w:rFonts w:ascii="Times New Roman" w:hAnsi="Times New Roman"/>
                      <w:sz w:val="20"/>
                      <w:szCs w:val="20"/>
                    </w:rPr>
                    <w:t>Bez vplyvu.</w:t>
                  </w:r>
                </w:p>
              </w:tc>
            </w:tr>
          </w:tbl>
          <w:p w:rsidR="00B95D14" w:rsidRDefault="00B95D14" w:rsidP="003E1355">
            <w:pPr>
              <w:spacing w:after="0" w:line="240" w:lineRule="auto"/>
              <w:rPr>
                <w:rFonts w:ascii="Times New Roman" w:hAnsi="Times New Roman"/>
                <w:sz w:val="20"/>
                <w:szCs w:val="20"/>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B95D14" w:rsidTr="003E1355">
              <w:trPr>
                <w:trHeight w:val="575"/>
                <w:jc w:val="center"/>
              </w:trPr>
              <w:tc>
                <w:tcPr>
                  <w:tcW w:w="9205" w:type="dxa"/>
                  <w:tcBorders>
                    <w:bottom w:val="single" w:sz="4" w:space="0" w:color="000000"/>
                  </w:tcBorders>
                  <w:shd w:val="clear" w:color="auto" w:fill="F2F2F2"/>
                </w:tcPr>
                <w:p w:rsidR="00B95D14" w:rsidRDefault="00B95D14" w:rsidP="003E1355">
                  <w:pPr>
                    <w:shd w:val="clear" w:color="auto" w:fill="F2F2F2"/>
                    <w:spacing w:after="0" w:line="240" w:lineRule="auto"/>
                    <w:rPr>
                      <w:i/>
                      <w:sz w:val="20"/>
                      <w:szCs w:val="20"/>
                    </w:rPr>
                  </w:pPr>
                  <w:r>
                    <w:rPr>
                      <w:rFonts w:ascii="Times New Roman" w:hAnsi="Times New Roman"/>
                      <w:i/>
                      <w:sz w:val="20"/>
                      <w:szCs w:val="20"/>
                    </w:rPr>
                    <w:t xml:space="preserve"> 8.6.4 Má predložený návrh vplyv na predchádzanie rozpadom manželstiev?</w:t>
                  </w:r>
                </w:p>
              </w:tc>
            </w:tr>
            <w:tr w:rsidR="00B95D14" w:rsidTr="003E1355">
              <w:trPr>
                <w:trHeight w:val="920"/>
                <w:jc w:val="center"/>
              </w:trPr>
              <w:tc>
                <w:tcPr>
                  <w:tcW w:w="9205" w:type="dxa"/>
                  <w:tcBorders>
                    <w:top w:val="nil"/>
                    <w:bottom w:val="nil"/>
                  </w:tcBorders>
                  <w:shd w:val="clear" w:color="auto" w:fill="auto"/>
                </w:tcPr>
                <w:p w:rsidR="00B95D14" w:rsidRDefault="00B95D14" w:rsidP="003E1355">
                  <w:pPr>
                    <w:spacing w:after="0" w:line="240" w:lineRule="auto"/>
                    <w:rPr>
                      <w:rFonts w:ascii="Times New Roman" w:hAnsi="Times New Roman"/>
                      <w:sz w:val="20"/>
                      <w:szCs w:val="20"/>
                    </w:rPr>
                  </w:pPr>
                </w:p>
                <w:p w:rsidR="00B95D14" w:rsidRDefault="00B95D14" w:rsidP="003E1355">
                  <w:pPr>
                    <w:spacing w:after="0" w:line="240" w:lineRule="auto"/>
                    <w:rPr>
                      <w:rFonts w:ascii="Times New Roman" w:hAnsi="Times New Roman"/>
                      <w:sz w:val="20"/>
                      <w:szCs w:val="20"/>
                    </w:rPr>
                  </w:pPr>
                  <w:r>
                    <w:rPr>
                      <w:rFonts w:ascii="Times New Roman" w:hAnsi="Times New Roman"/>
                      <w:sz w:val="20"/>
                      <w:szCs w:val="20"/>
                    </w:rPr>
                    <w:t>Bez vplyvu.</w:t>
                  </w:r>
                </w:p>
                <w:p w:rsidR="00B95D14" w:rsidRDefault="00B95D14" w:rsidP="003E1355">
                  <w:pPr>
                    <w:spacing w:after="0" w:line="240" w:lineRule="auto"/>
                    <w:rPr>
                      <w:rFonts w:ascii="Times New Roman" w:hAnsi="Times New Roman"/>
                      <w:sz w:val="20"/>
                      <w:szCs w:val="20"/>
                    </w:rPr>
                  </w:pPr>
                </w:p>
              </w:tc>
            </w:tr>
          </w:tbl>
          <w:p w:rsidR="00B95D14" w:rsidRPr="00B95D14" w:rsidRDefault="00B95D14" w:rsidP="003E1355">
            <w:pPr>
              <w:spacing w:after="0" w:line="240" w:lineRule="auto"/>
              <w:rPr>
                <w:rFonts w:ascii="Times New Roman" w:hAnsi="Times New Roman"/>
                <w:sz w:val="20"/>
                <w:szCs w:val="20"/>
              </w:rPr>
            </w:pPr>
          </w:p>
        </w:tc>
      </w:tr>
      <w:tr w:rsidR="00B95D14" w:rsidTr="00B95D14">
        <w:trPr>
          <w:trHeight w:val="550"/>
          <w:jc w:val="center"/>
        </w:trPr>
        <w:tc>
          <w:tcPr>
            <w:tcW w:w="9060" w:type="dxa"/>
            <w:tcBorders>
              <w:top w:val="nil"/>
              <w:left w:val="single" w:sz="4" w:space="0" w:color="000000"/>
              <w:bottom w:val="single" w:sz="4" w:space="0" w:color="000000"/>
              <w:right w:val="single" w:sz="4" w:space="0" w:color="000000"/>
            </w:tcBorders>
            <w:shd w:val="clear" w:color="auto" w:fill="auto"/>
          </w:tcPr>
          <w:p w:rsidR="00B95D14" w:rsidRPr="00B95D14" w:rsidRDefault="00B95D14" w:rsidP="003E1355">
            <w:pPr>
              <w:spacing w:after="0" w:line="240" w:lineRule="auto"/>
              <w:rPr>
                <w:rFonts w:ascii="Times New Roman" w:hAnsi="Times New Roman"/>
                <w:sz w:val="20"/>
                <w:szCs w:val="20"/>
              </w:rPr>
            </w:pPr>
            <w:r w:rsidRPr="00B95D14">
              <w:rPr>
                <w:rFonts w:ascii="Times New Roman" w:hAnsi="Times New Roman"/>
                <w:sz w:val="20"/>
                <w:szCs w:val="20"/>
              </w:rPr>
              <w:t>8.7 Identifikujte, popíšte a kvantifikujte vplyvy na disponibilný príjem domácností viacdetných rodín.</w:t>
            </w:r>
          </w:p>
        </w:tc>
      </w:tr>
      <w:tr w:rsidR="00B95D14" w:rsidTr="00B95D14">
        <w:trPr>
          <w:trHeight w:val="920"/>
          <w:jc w:val="center"/>
        </w:trPr>
        <w:tc>
          <w:tcPr>
            <w:tcW w:w="9060" w:type="dxa"/>
            <w:tcBorders>
              <w:top w:val="nil"/>
              <w:left w:val="single" w:sz="4" w:space="0" w:color="000000"/>
              <w:bottom w:val="single" w:sz="4" w:space="0" w:color="000000"/>
              <w:right w:val="single" w:sz="4" w:space="0" w:color="000000"/>
            </w:tcBorders>
            <w:shd w:val="clear" w:color="auto" w:fill="auto"/>
          </w:tcPr>
          <w:p w:rsidR="00B95D14" w:rsidRPr="00B95D14" w:rsidRDefault="00B95D14" w:rsidP="00B95D14">
            <w:pPr>
              <w:spacing w:after="0" w:line="240" w:lineRule="auto"/>
              <w:rPr>
                <w:rFonts w:ascii="Times New Roman" w:hAnsi="Times New Roman"/>
                <w:sz w:val="20"/>
                <w:szCs w:val="20"/>
              </w:rPr>
            </w:pPr>
            <w:r w:rsidRPr="00B95D14">
              <w:rPr>
                <w:rFonts w:ascii="Times New Roman" w:hAnsi="Times New Roman"/>
                <w:sz w:val="20"/>
                <w:szCs w:val="20"/>
              </w:rPr>
              <w:t xml:space="preserve">8.7.1 Má predložený návrh vplyv na disponibilný príjem domácností viacdetných rodín? Ak áno, špecifikujte tento vplyv s prihliadnutím na počet detí v rodine, ich špeciálne potreby vzhľadom k veku, zdravotnému stavu a prípadne iným okolnostiam. Ak je to možné, doplňte kvantifikáciu, prípadne dôvod chýbajúcej kvantifikácie. </w:t>
            </w:r>
          </w:p>
        </w:tc>
      </w:tr>
      <w:tr w:rsidR="00B95D14" w:rsidTr="00B95D14">
        <w:trPr>
          <w:trHeight w:val="920"/>
          <w:jc w:val="center"/>
        </w:trPr>
        <w:tc>
          <w:tcPr>
            <w:tcW w:w="9060" w:type="dxa"/>
            <w:tcBorders>
              <w:top w:val="nil"/>
              <w:left w:val="single" w:sz="4" w:space="0" w:color="000000"/>
              <w:bottom w:val="single" w:sz="4" w:space="0" w:color="000000"/>
              <w:right w:val="single" w:sz="4" w:space="0" w:color="000000"/>
            </w:tcBorders>
            <w:shd w:val="clear" w:color="auto" w:fill="auto"/>
          </w:tcPr>
          <w:p w:rsidR="00B95D14" w:rsidRDefault="00B95D14" w:rsidP="00B95D14">
            <w:pPr>
              <w:spacing w:after="0" w:line="240" w:lineRule="auto"/>
              <w:rPr>
                <w:rFonts w:ascii="Times New Roman" w:hAnsi="Times New Roman"/>
                <w:sz w:val="20"/>
                <w:szCs w:val="20"/>
              </w:rPr>
            </w:pPr>
            <w:r w:rsidRPr="00F94CFE">
              <w:rPr>
                <w:rFonts w:ascii="Times New Roman" w:hAnsi="Times New Roman"/>
                <w:sz w:val="20"/>
                <w:szCs w:val="20"/>
              </w:rPr>
              <w:t xml:space="preserve">Áno. </w:t>
            </w:r>
            <w:r w:rsidRPr="00B40047">
              <w:rPr>
                <w:rFonts w:ascii="Times New Roman" w:hAnsi="Times New Roman"/>
                <w:sz w:val="20"/>
                <w:szCs w:val="20"/>
              </w:rPr>
              <w:t>Navrhované opatrenie upravuje spôsob „dopočítania“ sumy daňového bonusu tak, že pri uplatnení nároku a výpočte sumy daňového bonusu na dieťa (deti) za kalendárny rok, daňovník môže zohľadniť aj príjem, resp. čiastkový základ dane z príjmu za zdaňovacie obdobie dosiahnutý u ďalšej osoby (napr. druhého z rodičov) oprávnenej na uplatnenie nároku na daňový bonus.</w:t>
            </w:r>
            <w:r>
              <w:rPr>
                <w:rFonts w:ascii="Times New Roman" w:hAnsi="Times New Roman"/>
                <w:sz w:val="20"/>
                <w:szCs w:val="20"/>
              </w:rPr>
              <w:t xml:space="preserve"> </w:t>
            </w:r>
            <w:r w:rsidRPr="00F94CFE">
              <w:rPr>
                <w:rFonts w:ascii="Times New Roman" w:hAnsi="Times New Roman"/>
                <w:sz w:val="20"/>
                <w:szCs w:val="20"/>
              </w:rPr>
              <w:t xml:space="preserve">Z titulu možného spoločného posudzovania čiastkového základu dane u daňovníka a ďalšej osoby oprávnenej na uplatnenie nároku na daňový bonus môže </w:t>
            </w:r>
            <w:r>
              <w:rPr>
                <w:rFonts w:ascii="Times New Roman" w:hAnsi="Times New Roman"/>
                <w:sz w:val="20"/>
                <w:szCs w:val="20"/>
              </w:rPr>
              <w:t xml:space="preserve">s účinnosťou od 1. januára 2023 </w:t>
            </w:r>
            <w:r w:rsidRPr="00F94CFE">
              <w:rPr>
                <w:rFonts w:ascii="Times New Roman" w:hAnsi="Times New Roman"/>
                <w:sz w:val="20"/>
                <w:szCs w:val="20"/>
              </w:rPr>
              <w:t xml:space="preserve">výpočtom dôjsť k uplatneniu vyššej sumy daňového bonusu na </w:t>
            </w:r>
            <w:r w:rsidRPr="009664A6">
              <w:rPr>
                <w:rFonts w:ascii="Times New Roman" w:hAnsi="Times New Roman"/>
                <w:sz w:val="20"/>
                <w:szCs w:val="20"/>
              </w:rPr>
              <w:t>dieťa (maximálne 100 eur, ak vyživované dieťa nedovŕšilo 15 rokov a maximálne 50 eur, ak vyživované dieťa dovŕšilo 15 rokov veku)</w:t>
            </w:r>
            <w:r w:rsidRPr="00F94CFE">
              <w:rPr>
                <w:rFonts w:ascii="Times New Roman" w:hAnsi="Times New Roman"/>
                <w:sz w:val="20"/>
                <w:szCs w:val="20"/>
              </w:rPr>
              <w:t xml:space="preserve">, čím sa zvýši </w:t>
            </w:r>
            <w:r>
              <w:rPr>
                <w:rFonts w:ascii="Times New Roman" w:hAnsi="Times New Roman"/>
                <w:sz w:val="20"/>
                <w:szCs w:val="20"/>
              </w:rPr>
              <w:t xml:space="preserve">čistý </w:t>
            </w:r>
            <w:r w:rsidRPr="00F94CFE">
              <w:rPr>
                <w:rFonts w:ascii="Times New Roman" w:hAnsi="Times New Roman"/>
                <w:sz w:val="20"/>
                <w:szCs w:val="20"/>
              </w:rPr>
              <w:t xml:space="preserve">disponibilný príjem rodín. </w:t>
            </w:r>
          </w:p>
          <w:p w:rsidR="00B95D14" w:rsidRDefault="00B95D14" w:rsidP="00B95D14">
            <w:pPr>
              <w:spacing w:after="0" w:line="240" w:lineRule="auto"/>
              <w:rPr>
                <w:rFonts w:ascii="Times New Roman" w:hAnsi="Times New Roman"/>
                <w:sz w:val="20"/>
                <w:szCs w:val="20"/>
              </w:rPr>
            </w:pPr>
            <w:r w:rsidRPr="00F94CFE">
              <w:rPr>
                <w:rFonts w:ascii="Times New Roman" w:hAnsi="Times New Roman"/>
                <w:sz w:val="20"/>
                <w:szCs w:val="20"/>
              </w:rPr>
              <w:t xml:space="preserve">Takáto legislatívna </w:t>
            </w:r>
            <w:r>
              <w:rPr>
                <w:rFonts w:ascii="Times New Roman" w:hAnsi="Times New Roman"/>
                <w:sz w:val="20"/>
                <w:szCs w:val="20"/>
              </w:rPr>
              <w:t>úprava</w:t>
            </w:r>
            <w:r w:rsidRPr="00F94CFE">
              <w:rPr>
                <w:rFonts w:ascii="Times New Roman" w:hAnsi="Times New Roman"/>
                <w:sz w:val="20"/>
                <w:szCs w:val="20"/>
              </w:rPr>
              <w:t xml:space="preserve"> sa prejaví </w:t>
            </w:r>
            <w:r>
              <w:rPr>
                <w:rFonts w:ascii="Times New Roman" w:hAnsi="Times New Roman"/>
                <w:sz w:val="20"/>
                <w:szCs w:val="20"/>
              </w:rPr>
              <w:t xml:space="preserve">pozitívne </w:t>
            </w:r>
            <w:r w:rsidRPr="00F94CFE">
              <w:rPr>
                <w:rFonts w:ascii="Times New Roman" w:hAnsi="Times New Roman"/>
                <w:sz w:val="20"/>
                <w:szCs w:val="20"/>
              </w:rPr>
              <w:t>predovšetkým pri viacdetných rodinách.</w:t>
            </w:r>
          </w:p>
          <w:p w:rsidR="00B95D14" w:rsidRPr="00F94CFE" w:rsidRDefault="00B95D14" w:rsidP="00B95D14">
            <w:pPr>
              <w:spacing w:after="0" w:line="240" w:lineRule="auto"/>
              <w:rPr>
                <w:rFonts w:ascii="Times New Roman" w:hAnsi="Times New Roman"/>
                <w:sz w:val="20"/>
                <w:szCs w:val="20"/>
              </w:rPr>
            </w:pPr>
          </w:p>
          <w:p w:rsidR="00B95D14" w:rsidRPr="00F94CFE" w:rsidRDefault="00B95D14" w:rsidP="00B95D14">
            <w:pPr>
              <w:spacing w:after="0" w:line="240" w:lineRule="auto"/>
              <w:rPr>
                <w:rFonts w:ascii="Times New Roman" w:hAnsi="Times New Roman"/>
                <w:sz w:val="20"/>
                <w:szCs w:val="20"/>
              </w:rPr>
            </w:pPr>
            <w:r w:rsidRPr="00184CE8">
              <w:rPr>
                <w:rFonts w:ascii="Times New Roman" w:hAnsi="Times New Roman"/>
                <w:sz w:val="20"/>
                <w:szCs w:val="20"/>
              </w:rPr>
              <w:t xml:space="preserve">Odhadovaný počet rodín, ktoré požiadajú o doplatok daňového bonusu za rok 2023 je 26 803, </w:t>
            </w:r>
            <w:r>
              <w:rPr>
                <w:rFonts w:ascii="Times New Roman" w:hAnsi="Times New Roman"/>
                <w:sz w:val="20"/>
                <w:szCs w:val="20"/>
              </w:rPr>
              <w:t>za rok</w:t>
            </w:r>
            <w:r w:rsidRPr="00184CE8">
              <w:rPr>
                <w:rFonts w:ascii="Times New Roman" w:hAnsi="Times New Roman"/>
                <w:sz w:val="20"/>
                <w:szCs w:val="20"/>
              </w:rPr>
              <w:t xml:space="preserve"> 2024 je 24 404 a</w:t>
            </w:r>
            <w:r>
              <w:rPr>
                <w:rFonts w:ascii="Times New Roman" w:hAnsi="Times New Roman"/>
                <w:sz w:val="20"/>
                <w:szCs w:val="20"/>
              </w:rPr>
              <w:t> za rok</w:t>
            </w:r>
            <w:r w:rsidRPr="00184CE8">
              <w:rPr>
                <w:rFonts w:ascii="Times New Roman" w:hAnsi="Times New Roman"/>
                <w:sz w:val="20"/>
                <w:szCs w:val="20"/>
              </w:rPr>
              <w:t xml:space="preserve"> 2025 je to 22 256 rodín.</w:t>
            </w:r>
            <w:r>
              <w:rPr>
                <w:rFonts w:ascii="Times New Roman" w:hAnsi="Times New Roman"/>
                <w:sz w:val="20"/>
                <w:szCs w:val="20"/>
              </w:rPr>
              <w:t xml:space="preserve"> </w:t>
            </w:r>
            <w:r w:rsidRPr="00184CE8">
              <w:rPr>
                <w:rFonts w:ascii="Times New Roman" w:hAnsi="Times New Roman"/>
                <w:sz w:val="20"/>
                <w:szCs w:val="20"/>
              </w:rPr>
              <w:t>Nakoľko sa nedá odhadnúť výška dosiahnutého príjmu, resp. čiastkového základu dane z príjmu zo závislej činnosti a z podnikania resp. samostatnej zárobkovej činnosti v rodine (t.j. za obidve posudzované oprávnené osoby), nie je možné posúdiť a kvantifikovať finančný vplyv na rodinu a rodinné prostredie. S určitosťou však pôjde o pozitívny vplyv na disponibilný príjem v rodinách.</w:t>
            </w:r>
          </w:p>
        </w:tc>
      </w:tr>
    </w:tbl>
    <w:p w:rsidR="002B3AE8" w:rsidRDefault="002B3AE8" w:rsidP="0004402F"/>
    <w:p w:rsidR="00EC4D63" w:rsidRPr="00EC4D63" w:rsidRDefault="00EC4D63" w:rsidP="00EC4D63">
      <w:pPr>
        <w:spacing w:after="0" w:line="240" w:lineRule="auto"/>
        <w:jc w:val="center"/>
        <w:rPr>
          <w:rFonts w:ascii="Times New Roman" w:hAnsi="Times New Roman"/>
          <w:b/>
          <w:bCs/>
          <w:sz w:val="24"/>
          <w:szCs w:val="24"/>
        </w:rPr>
      </w:pPr>
      <w:r w:rsidRPr="00EC4D63">
        <w:rPr>
          <w:rFonts w:ascii="Times New Roman" w:hAnsi="Times New Roman"/>
          <w:b/>
          <w:bCs/>
          <w:sz w:val="24"/>
          <w:szCs w:val="24"/>
        </w:rPr>
        <w:lastRenderedPageBreak/>
        <w:t>DOLOŽKA ZLUČITEĽNOSTI</w:t>
      </w:r>
    </w:p>
    <w:p w:rsidR="00EC4D63" w:rsidRPr="00EC4D63" w:rsidRDefault="00EC4D63" w:rsidP="00EC4D63">
      <w:pPr>
        <w:pBdr>
          <w:bottom w:val="single" w:sz="12" w:space="1" w:color="auto"/>
        </w:pBdr>
        <w:spacing w:after="0" w:line="240" w:lineRule="auto"/>
        <w:jc w:val="center"/>
        <w:rPr>
          <w:rFonts w:ascii="Times New Roman" w:hAnsi="Times New Roman"/>
          <w:b/>
          <w:bCs/>
          <w:sz w:val="24"/>
          <w:szCs w:val="24"/>
        </w:rPr>
      </w:pPr>
      <w:r w:rsidRPr="00EC4D63">
        <w:rPr>
          <w:rFonts w:ascii="Times New Roman" w:hAnsi="Times New Roman"/>
          <w:b/>
          <w:bCs/>
          <w:sz w:val="24"/>
          <w:szCs w:val="24"/>
        </w:rPr>
        <w:t>návrhu zákona s právom Európskej únie</w:t>
      </w:r>
    </w:p>
    <w:p w:rsidR="00EC4D63" w:rsidRPr="00EC4D63" w:rsidRDefault="00EC4D63" w:rsidP="00EC4D63">
      <w:pPr>
        <w:spacing w:after="0" w:line="240" w:lineRule="auto"/>
        <w:jc w:val="center"/>
        <w:rPr>
          <w:rFonts w:ascii="Times New Roman" w:hAnsi="Times New Roman"/>
          <w:sz w:val="24"/>
          <w:szCs w:val="24"/>
        </w:rPr>
      </w:pPr>
    </w:p>
    <w:p w:rsidR="00EC4D63" w:rsidRPr="00EC4D63" w:rsidRDefault="00EC4D63" w:rsidP="00EC4D63">
      <w:pPr>
        <w:numPr>
          <w:ilvl w:val="0"/>
          <w:numId w:val="13"/>
        </w:numPr>
        <w:spacing w:after="0" w:line="240" w:lineRule="auto"/>
        <w:jc w:val="both"/>
        <w:rPr>
          <w:rFonts w:ascii="Times New Roman" w:hAnsi="Times New Roman"/>
          <w:sz w:val="24"/>
          <w:szCs w:val="24"/>
        </w:rPr>
      </w:pPr>
      <w:r w:rsidRPr="00EC4D63">
        <w:rPr>
          <w:rFonts w:ascii="Times New Roman" w:hAnsi="Times New Roman"/>
          <w:b/>
          <w:bCs/>
          <w:sz w:val="24"/>
          <w:szCs w:val="24"/>
        </w:rPr>
        <w:t>Navrhovateľ zákona:</w:t>
      </w:r>
    </w:p>
    <w:p w:rsidR="00EC4D63" w:rsidRPr="00EC4D63" w:rsidRDefault="00EC4D63" w:rsidP="00EC4D63">
      <w:pPr>
        <w:spacing w:after="0" w:line="240" w:lineRule="auto"/>
        <w:ind w:firstLine="425"/>
        <w:jc w:val="both"/>
        <w:rPr>
          <w:rFonts w:ascii="Times New Roman" w:hAnsi="Times New Roman"/>
          <w:sz w:val="24"/>
          <w:szCs w:val="24"/>
        </w:rPr>
      </w:pPr>
      <w:r w:rsidRPr="00EC4D63">
        <w:rPr>
          <w:rFonts w:ascii="Times New Roman" w:hAnsi="Times New Roman"/>
          <w:sz w:val="24"/>
          <w:szCs w:val="24"/>
        </w:rPr>
        <w:t xml:space="preserve">Vláda Slovenskej republiky. </w:t>
      </w:r>
    </w:p>
    <w:p w:rsidR="00EC4D63" w:rsidRPr="00EC4D63" w:rsidRDefault="00EC4D63" w:rsidP="00EC4D63">
      <w:pPr>
        <w:spacing w:after="0" w:line="240" w:lineRule="auto"/>
        <w:jc w:val="both"/>
        <w:rPr>
          <w:rFonts w:ascii="Times New Roman" w:hAnsi="Times New Roman"/>
          <w:b/>
          <w:bCs/>
          <w:sz w:val="24"/>
          <w:szCs w:val="24"/>
        </w:rPr>
      </w:pPr>
      <w:bookmarkStart w:id="2" w:name="_GoBack"/>
      <w:bookmarkEnd w:id="2"/>
    </w:p>
    <w:p w:rsidR="00EC4D63" w:rsidRPr="00EC4D63" w:rsidRDefault="00EC4D63" w:rsidP="00EC4D63">
      <w:pPr>
        <w:numPr>
          <w:ilvl w:val="0"/>
          <w:numId w:val="13"/>
        </w:numPr>
        <w:spacing w:after="0" w:line="240" w:lineRule="auto"/>
        <w:jc w:val="both"/>
        <w:rPr>
          <w:rFonts w:ascii="Times New Roman" w:hAnsi="Times New Roman"/>
          <w:b/>
          <w:bCs/>
          <w:sz w:val="24"/>
          <w:szCs w:val="24"/>
        </w:rPr>
      </w:pPr>
      <w:r w:rsidRPr="00EC4D63">
        <w:rPr>
          <w:rFonts w:ascii="Times New Roman" w:hAnsi="Times New Roman"/>
          <w:b/>
          <w:bCs/>
          <w:sz w:val="24"/>
          <w:szCs w:val="24"/>
        </w:rPr>
        <w:t>Názov návrhu zákona:</w:t>
      </w:r>
    </w:p>
    <w:p w:rsidR="00EC4D63" w:rsidRPr="00EC4D63" w:rsidRDefault="00EC4D63" w:rsidP="00EC4D63">
      <w:pPr>
        <w:spacing w:after="0" w:line="240" w:lineRule="auto"/>
        <w:ind w:left="426"/>
        <w:jc w:val="both"/>
        <w:rPr>
          <w:rFonts w:ascii="Times New Roman" w:hAnsi="Times New Roman"/>
          <w:bCs/>
          <w:sz w:val="24"/>
          <w:szCs w:val="24"/>
        </w:rPr>
      </w:pPr>
      <w:r w:rsidRPr="00EC4D63">
        <w:rPr>
          <w:rFonts w:ascii="Times New Roman" w:hAnsi="Times New Roman"/>
          <w:bCs/>
          <w:sz w:val="24"/>
          <w:szCs w:val="24"/>
        </w:rPr>
        <w:t>Návrh zákona, ktorým sa mení a dopĺňa zákon č. 595/2003 Z. z. o dani z príjmov v znení neskorších predpisov a ktorým sa mení a dopĺňa zákon č. 563/2009 Z. z. o správe daní (daňový poriadok) v znení neskorších predpisov</w:t>
      </w:r>
      <w:r w:rsidRPr="00EC4D63">
        <w:rPr>
          <w:rFonts w:ascii="Times New Roman" w:hAnsi="Times New Roman"/>
          <w:sz w:val="24"/>
          <w:szCs w:val="24"/>
        </w:rPr>
        <w:t xml:space="preserve">. </w:t>
      </w:r>
    </w:p>
    <w:p w:rsidR="00EC4D63" w:rsidRPr="00EC4D63" w:rsidRDefault="00EC4D63" w:rsidP="00EC4D63">
      <w:pPr>
        <w:spacing w:after="0" w:line="240" w:lineRule="auto"/>
        <w:jc w:val="both"/>
        <w:rPr>
          <w:rFonts w:ascii="Times New Roman" w:hAnsi="Times New Roman"/>
          <w:b/>
          <w:bCs/>
          <w:sz w:val="24"/>
          <w:szCs w:val="24"/>
        </w:rPr>
      </w:pPr>
    </w:p>
    <w:p w:rsidR="00EC4D63" w:rsidRPr="00EC4D63" w:rsidRDefault="00EC4D63" w:rsidP="00EC4D63">
      <w:pPr>
        <w:numPr>
          <w:ilvl w:val="0"/>
          <w:numId w:val="13"/>
        </w:numPr>
        <w:spacing w:after="0" w:line="240" w:lineRule="auto"/>
        <w:jc w:val="both"/>
        <w:rPr>
          <w:rFonts w:ascii="Times New Roman" w:hAnsi="Times New Roman"/>
          <w:b/>
          <w:bCs/>
          <w:sz w:val="24"/>
          <w:szCs w:val="24"/>
        </w:rPr>
      </w:pPr>
      <w:r w:rsidRPr="00EC4D63">
        <w:rPr>
          <w:rFonts w:ascii="Times New Roman" w:hAnsi="Times New Roman"/>
          <w:b/>
          <w:bCs/>
          <w:sz w:val="24"/>
          <w:szCs w:val="24"/>
        </w:rPr>
        <w:t xml:space="preserve">Predmet návrhu zákona </w:t>
      </w:r>
      <w:r w:rsidRPr="00EC4D63">
        <w:rPr>
          <w:rFonts w:ascii="Times New Roman" w:hAnsi="Times New Roman"/>
          <w:b/>
          <w:sz w:val="24"/>
          <w:szCs w:val="24"/>
          <w:lang w:eastAsia="cs-CZ"/>
        </w:rPr>
        <w:t>je upravený v práve Európskej únie:</w:t>
      </w:r>
    </w:p>
    <w:p w:rsidR="00EC4D63" w:rsidRPr="00EC4D63" w:rsidRDefault="00EC4D63" w:rsidP="00EC4D63">
      <w:pPr>
        <w:numPr>
          <w:ilvl w:val="1"/>
          <w:numId w:val="13"/>
        </w:numPr>
        <w:spacing w:after="0" w:line="240" w:lineRule="auto"/>
        <w:rPr>
          <w:rFonts w:ascii="Times New Roman" w:hAnsi="Times New Roman"/>
          <w:sz w:val="24"/>
          <w:szCs w:val="24"/>
          <w:lang w:eastAsia="cs-CZ"/>
        </w:rPr>
      </w:pPr>
      <w:r w:rsidRPr="00EC4D63">
        <w:rPr>
          <w:rFonts w:ascii="Times New Roman" w:hAnsi="Times New Roman"/>
          <w:b/>
          <w:bCs/>
          <w:iCs/>
          <w:sz w:val="24"/>
          <w:szCs w:val="24"/>
          <w:lang w:eastAsia="cs-CZ"/>
        </w:rPr>
        <w:t>Primárne právo:</w:t>
      </w:r>
    </w:p>
    <w:p w:rsidR="00EC4D63" w:rsidRPr="00EC4D63" w:rsidRDefault="00EC4D63" w:rsidP="00EC4D63">
      <w:pPr>
        <w:pStyle w:val="Odsekzoznamu"/>
        <w:numPr>
          <w:ilvl w:val="0"/>
          <w:numId w:val="17"/>
        </w:numPr>
        <w:spacing w:after="0" w:line="240" w:lineRule="auto"/>
        <w:ind w:left="851"/>
        <w:jc w:val="both"/>
        <w:rPr>
          <w:rFonts w:ascii="Times New Roman" w:hAnsi="Times New Roman"/>
          <w:sz w:val="24"/>
          <w:szCs w:val="24"/>
          <w:lang w:eastAsia="cs-CZ"/>
        </w:rPr>
      </w:pPr>
      <w:r w:rsidRPr="00EC4D63">
        <w:rPr>
          <w:rFonts w:ascii="Times New Roman" w:hAnsi="Times New Roman"/>
          <w:sz w:val="24"/>
          <w:szCs w:val="24"/>
          <w:lang w:eastAsia="cs-CZ"/>
        </w:rPr>
        <w:t xml:space="preserve">čl. 110 až 112 a čl. 115 Zmluvy o fungovaní Európskej únie </w:t>
      </w:r>
      <w:r w:rsidRPr="00EC4D63">
        <w:rPr>
          <w:rFonts w:ascii="Times New Roman" w:hAnsi="Times New Roman"/>
          <w:sz w:val="24"/>
          <w:szCs w:val="24"/>
        </w:rPr>
        <w:t>(</w:t>
      </w:r>
      <w:r w:rsidRPr="00EC4D63">
        <w:rPr>
          <w:rStyle w:val="awspan1"/>
          <w:rFonts w:ascii="Times New Roman" w:hAnsi="Times New Roman"/>
          <w:szCs w:val="24"/>
        </w:rPr>
        <w:t>Ú. v. EÚ C 202, 7.6.2016) v platnom znení</w:t>
      </w:r>
      <w:r w:rsidRPr="00EC4D63">
        <w:rPr>
          <w:rFonts w:ascii="Times New Roman" w:hAnsi="Times New Roman"/>
          <w:sz w:val="24"/>
          <w:szCs w:val="24"/>
          <w:lang w:eastAsia="cs-CZ"/>
        </w:rPr>
        <w:t>.</w:t>
      </w:r>
    </w:p>
    <w:p w:rsidR="00EC4D63" w:rsidRPr="00EC4D63" w:rsidRDefault="00EC4D63" w:rsidP="00EC4D63">
      <w:pPr>
        <w:numPr>
          <w:ilvl w:val="1"/>
          <w:numId w:val="13"/>
        </w:numPr>
        <w:spacing w:after="0" w:line="240" w:lineRule="auto"/>
        <w:rPr>
          <w:rFonts w:ascii="Times New Roman" w:hAnsi="Times New Roman"/>
          <w:sz w:val="24"/>
          <w:szCs w:val="24"/>
          <w:lang w:eastAsia="cs-CZ"/>
        </w:rPr>
      </w:pPr>
      <w:r w:rsidRPr="00EC4D63">
        <w:rPr>
          <w:rFonts w:ascii="Times New Roman" w:hAnsi="Times New Roman"/>
          <w:b/>
          <w:bCs/>
          <w:iCs/>
          <w:sz w:val="24"/>
          <w:szCs w:val="24"/>
        </w:rPr>
        <w:t>Sekundárne právo:</w:t>
      </w:r>
    </w:p>
    <w:p w:rsidR="00EC4D63" w:rsidRPr="00EC4D63" w:rsidRDefault="00EC4D63" w:rsidP="00EC4D63">
      <w:pPr>
        <w:numPr>
          <w:ilvl w:val="0"/>
          <w:numId w:val="14"/>
        </w:numPr>
        <w:autoSpaceDE w:val="0"/>
        <w:autoSpaceDN w:val="0"/>
        <w:adjustRightInd w:val="0"/>
        <w:spacing w:after="0" w:line="240" w:lineRule="auto"/>
        <w:jc w:val="both"/>
        <w:rPr>
          <w:rFonts w:ascii="Times New Roman" w:hAnsi="Times New Roman"/>
          <w:sz w:val="24"/>
          <w:szCs w:val="24"/>
          <w:lang w:eastAsia="cs-CZ"/>
        </w:rPr>
      </w:pPr>
      <w:r w:rsidRPr="00EC4D63">
        <w:rPr>
          <w:rFonts w:ascii="Times New Roman" w:hAnsi="Times New Roman"/>
          <w:bCs/>
          <w:sz w:val="24"/>
          <w:szCs w:val="24"/>
          <w:bdr w:val="none" w:sz="0" w:space="0" w:color="auto" w:frame="1"/>
          <w:shd w:val="clear" w:color="auto" w:fill="FFFFFF"/>
        </w:rPr>
        <w:t xml:space="preserve">smernica Rady (EÚ) </w:t>
      </w:r>
      <w:r w:rsidRPr="00EC4D63">
        <w:rPr>
          <w:rFonts w:ascii="Times New Roman" w:hAnsi="Times New Roman"/>
          <w:bCs/>
          <w:sz w:val="24"/>
          <w:szCs w:val="24"/>
          <w:u w:val="single"/>
          <w:bdr w:val="none" w:sz="0" w:space="0" w:color="auto" w:frame="1"/>
          <w:shd w:val="clear" w:color="auto" w:fill="FFFFFF"/>
        </w:rPr>
        <w:t>2016/1164</w:t>
      </w:r>
      <w:r w:rsidRPr="00EC4D63">
        <w:rPr>
          <w:rFonts w:ascii="Times New Roman" w:hAnsi="Times New Roman"/>
          <w:bCs/>
          <w:sz w:val="24"/>
          <w:szCs w:val="24"/>
          <w:bdr w:val="none" w:sz="0" w:space="0" w:color="auto" w:frame="1"/>
          <w:shd w:val="clear" w:color="auto" w:fill="FFFFFF"/>
        </w:rPr>
        <w:t xml:space="preserve"> z 12. júla 2016, ktorou sa stanovujú pravidlá proti praktikám vyhýbania sa daňovým povinnostiam, ktoré majú priamy vplyv na fungovanie vnútorného trhu (</w:t>
      </w:r>
      <w:r w:rsidRPr="00EC4D63">
        <w:rPr>
          <w:rFonts w:ascii="Times New Roman" w:hAnsi="Times New Roman"/>
          <w:iCs/>
          <w:sz w:val="24"/>
          <w:szCs w:val="24"/>
        </w:rPr>
        <w:t xml:space="preserve">Ú. v. EÚ L 193, 19.7.2016) v znení smernice Rady (EÚ) 2017/952 z 29. mája 2017 (Ú. V. EÚ L 144, 7.6.2017), </w:t>
      </w:r>
      <w:r w:rsidRPr="00EC4D63">
        <w:rPr>
          <w:rFonts w:ascii="Times New Roman" w:hAnsi="Times New Roman"/>
          <w:sz w:val="24"/>
          <w:szCs w:val="24"/>
        </w:rPr>
        <w:t>v platnom znení</w:t>
      </w:r>
      <w:r w:rsidRPr="00EC4D63">
        <w:rPr>
          <w:rFonts w:ascii="Times New Roman" w:hAnsi="Times New Roman"/>
          <w:bCs/>
          <w:iCs/>
          <w:sz w:val="24"/>
          <w:szCs w:val="24"/>
        </w:rPr>
        <w:t>, gestor: MF SR.</w:t>
      </w:r>
    </w:p>
    <w:p w:rsidR="00EC4D63" w:rsidRPr="00EC4D63" w:rsidRDefault="00EC4D63" w:rsidP="00EC4D63">
      <w:pPr>
        <w:numPr>
          <w:ilvl w:val="0"/>
          <w:numId w:val="14"/>
        </w:numPr>
        <w:autoSpaceDE w:val="0"/>
        <w:autoSpaceDN w:val="0"/>
        <w:adjustRightInd w:val="0"/>
        <w:spacing w:after="0" w:line="240" w:lineRule="auto"/>
        <w:jc w:val="both"/>
        <w:rPr>
          <w:rFonts w:ascii="Times New Roman" w:hAnsi="Times New Roman"/>
          <w:sz w:val="24"/>
          <w:szCs w:val="24"/>
          <w:lang w:eastAsia="cs-CZ"/>
        </w:rPr>
      </w:pPr>
      <w:r w:rsidRPr="00EC4D63">
        <w:rPr>
          <w:rFonts w:ascii="Times New Roman" w:hAnsi="Times New Roman"/>
          <w:sz w:val="24"/>
          <w:szCs w:val="24"/>
          <w:lang w:eastAsia="cs-CZ"/>
        </w:rPr>
        <w:t xml:space="preserve"> je obsiahnutá v judikatúre Súdneho dvora Európskej únie:</w:t>
      </w:r>
    </w:p>
    <w:p w:rsidR="00EC4D63" w:rsidRPr="00EC4D63" w:rsidRDefault="00EC4D63" w:rsidP="00EC4D63">
      <w:pPr>
        <w:numPr>
          <w:ilvl w:val="0"/>
          <w:numId w:val="15"/>
        </w:numPr>
        <w:spacing w:after="0" w:line="240" w:lineRule="auto"/>
        <w:jc w:val="both"/>
        <w:rPr>
          <w:rFonts w:ascii="Times New Roman" w:hAnsi="Times New Roman"/>
          <w:sz w:val="24"/>
          <w:szCs w:val="24"/>
          <w:lang w:eastAsia="cs-CZ"/>
        </w:rPr>
      </w:pPr>
      <w:r w:rsidRPr="00EC4D63">
        <w:rPr>
          <w:rFonts w:ascii="Times New Roman" w:hAnsi="Times New Roman"/>
          <w:sz w:val="24"/>
          <w:szCs w:val="24"/>
        </w:rPr>
        <w:t>rozhodnutie Súdneho dvora v s</w:t>
      </w:r>
      <w:r w:rsidRPr="00EC4D63">
        <w:rPr>
          <w:rFonts w:ascii="Times New Roman" w:hAnsi="Times New Roman"/>
          <w:bCs/>
          <w:sz w:val="24"/>
          <w:szCs w:val="24"/>
        </w:rPr>
        <w:t>pojených veciach C - 53/13 a C - 80/13</w:t>
      </w:r>
      <w:r w:rsidRPr="00EC4D63">
        <w:rPr>
          <w:rFonts w:ascii="Times New Roman" w:hAnsi="Times New Roman"/>
          <w:sz w:val="24"/>
          <w:szCs w:val="24"/>
        </w:rPr>
        <w:t xml:space="preserve">, </w:t>
      </w:r>
      <w:r w:rsidRPr="00EC4D63">
        <w:rPr>
          <w:rFonts w:ascii="Times New Roman" w:hAnsi="Times New Roman"/>
          <w:bCs/>
          <w:sz w:val="24"/>
          <w:szCs w:val="24"/>
        </w:rPr>
        <w:t>Strojírny Prostějov a.s., ACO Industries Tábor proti Odvolacímu finančnímu ředitelství, [2014].</w:t>
      </w:r>
    </w:p>
    <w:p w:rsidR="00EC4D63" w:rsidRPr="00EC4D63" w:rsidRDefault="00EC4D63" w:rsidP="00EC4D63">
      <w:pPr>
        <w:spacing w:after="0" w:line="240" w:lineRule="auto"/>
        <w:ind w:left="870"/>
        <w:jc w:val="both"/>
        <w:rPr>
          <w:rFonts w:ascii="Times New Roman" w:hAnsi="Times New Roman"/>
          <w:bCs/>
          <w:sz w:val="24"/>
          <w:szCs w:val="24"/>
        </w:rPr>
      </w:pPr>
      <w:r w:rsidRPr="00EC4D63">
        <w:rPr>
          <w:rFonts w:ascii="Times New Roman" w:hAnsi="Times New Roman"/>
          <w:bCs/>
          <w:sz w:val="24"/>
          <w:szCs w:val="24"/>
        </w:rPr>
        <w:t>Výrok rozhodnutia:</w:t>
      </w:r>
    </w:p>
    <w:p w:rsidR="00EC4D63" w:rsidRPr="00EC4D63" w:rsidRDefault="00EC4D63" w:rsidP="00EC4D63">
      <w:pPr>
        <w:spacing w:after="0" w:line="240" w:lineRule="auto"/>
        <w:ind w:left="870"/>
        <w:jc w:val="both"/>
        <w:rPr>
          <w:rFonts w:ascii="Times New Roman" w:hAnsi="Times New Roman"/>
          <w:bCs/>
          <w:sz w:val="24"/>
          <w:szCs w:val="24"/>
        </w:rPr>
      </w:pPr>
      <w:r w:rsidRPr="00EC4D63">
        <w:rPr>
          <w:rFonts w:ascii="Times New Roman" w:hAnsi="Times New Roman"/>
          <w:bCs/>
          <w:sz w:val="24"/>
          <w:szCs w:val="24"/>
        </w:rPr>
        <w:t>Článok 56 ZFEÚ bráni právnej úprave, o akú ide vo veci samej, podľa ktorej spoločnosti usadené v prvom členskom štáte, ktoré využívajú pracovníkov zamestnaných a pridelených agentúrami dočasného zamestnávania usadenými v druhom členskom štáte, ale podnikajú v prvom členskom štáte prostredníctvom pobočky, sú povinné vykonať zrážku preddavku na daň z príjmov splatnú uvedenými pracovníkmi a uhradiť ju prvému uvedenému členskému štátu, hoci tú istú povinnosť nemajú spoločnosti usadené v prvom členskom štáte, ktoré využívajú služby agentúr dočasného zamestnávania, ktoré sú usadené v tom istom členskom štáte.</w:t>
      </w:r>
    </w:p>
    <w:p w:rsidR="00EC4D63" w:rsidRPr="00EC4D63" w:rsidRDefault="00EC4D63" w:rsidP="00EC4D63">
      <w:pPr>
        <w:numPr>
          <w:ilvl w:val="0"/>
          <w:numId w:val="15"/>
        </w:numPr>
        <w:spacing w:after="0" w:line="240" w:lineRule="auto"/>
        <w:jc w:val="both"/>
        <w:rPr>
          <w:rFonts w:ascii="Times New Roman" w:hAnsi="Times New Roman"/>
          <w:sz w:val="24"/>
          <w:szCs w:val="24"/>
          <w:lang w:eastAsia="cs-CZ"/>
        </w:rPr>
      </w:pPr>
      <w:r w:rsidRPr="00EC4D63">
        <w:rPr>
          <w:rFonts w:ascii="Times New Roman" w:hAnsi="Times New Roman"/>
          <w:sz w:val="24"/>
          <w:szCs w:val="24"/>
        </w:rPr>
        <w:t xml:space="preserve">rozhodnutie Súdneho dvora vo veci </w:t>
      </w:r>
      <w:r w:rsidRPr="00EC4D63">
        <w:rPr>
          <w:rFonts w:ascii="Times New Roman" w:hAnsi="Times New Roman"/>
          <w:bCs/>
          <w:sz w:val="24"/>
          <w:szCs w:val="24"/>
        </w:rPr>
        <w:t>C - 650/16, A/S Bevola, Jens W. Trock ApS proti Skatteministeriet, [2018].</w:t>
      </w:r>
    </w:p>
    <w:p w:rsidR="00EC4D63" w:rsidRPr="00EC4D63" w:rsidRDefault="00EC4D63" w:rsidP="00EC4D63">
      <w:pPr>
        <w:pStyle w:val="Odsekzoznamu"/>
        <w:spacing w:after="0" w:line="240" w:lineRule="auto"/>
        <w:ind w:left="870"/>
        <w:jc w:val="both"/>
        <w:rPr>
          <w:rFonts w:ascii="Times New Roman" w:hAnsi="Times New Roman"/>
          <w:bCs/>
          <w:sz w:val="24"/>
          <w:szCs w:val="24"/>
        </w:rPr>
      </w:pPr>
      <w:r w:rsidRPr="00EC4D63">
        <w:rPr>
          <w:rFonts w:ascii="Times New Roman" w:hAnsi="Times New Roman"/>
          <w:bCs/>
          <w:sz w:val="24"/>
          <w:szCs w:val="24"/>
        </w:rPr>
        <w:t>Výrok rozhodnutia:</w:t>
      </w:r>
    </w:p>
    <w:p w:rsidR="00EC4D63" w:rsidRPr="00EC4D63" w:rsidRDefault="00EC4D63" w:rsidP="00EC4D63">
      <w:pPr>
        <w:spacing w:after="0" w:line="240" w:lineRule="auto"/>
        <w:ind w:left="870"/>
        <w:jc w:val="both"/>
        <w:rPr>
          <w:rFonts w:ascii="Times New Roman" w:hAnsi="Times New Roman"/>
          <w:bCs/>
          <w:sz w:val="24"/>
          <w:szCs w:val="24"/>
        </w:rPr>
      </w:pPr>
      <w:r w:rsidRPr="00EC4D63">
        <w:rPr>
          <w:rFonts w:ascii="Times New Roman" w:hAnsi="Times New Roman"/>
          <w:bCs/>
          <w:sz w:val="24"/>
          <w:szCs w:val="24"/>
        </w:rPr>
        <w:t>Článok 49 ZFEÚ sa má vykladať v tom zmysle, že bráni právnej úprave členského štátu, ktorá vylučuje možnosť spoločnosti rezidenta, ktorá si nezvolila režim medzinárodného spoločného zdaňovania, ako je ten vo veci samej, odpočítať straty, ktoré vznikli jej stálej prevádzkarni nachádzajúcej sa v inom členskom štáte, od svojho zdaniteľného príjmu, napriek tomu, že jednak táto spoločnosť vyčerpala všetky možnosti odpočítania týchto strát, ktoré jej poskytuje právo členského štátu, v ktorom sa daná prevádzkareň nachádza, a jednak prestala dostávať od tejto prevádzkarne akýkoľvek príjem, takže už neexistuje žiadna možnosť, aby dané straty mohli byť zohľadnené v členskom štáte sídla prevádzkarne, čo prináleží overiť vnútroštátnemu súdu.</w:t>
      </w:r>
    </w:p>
    <w:p w:rsidR="00EC4D63" w:rsidRPr="00EC4D63" w:rsidRDefault="00EC4D63" w:rsidP="00EC4D63">
      <w:pPr>
        <w:numPr>
          <w:ilvl w:val="0"/>
          <w:numId w:val="15"/>
        </w:numPr>
        <w:spacing w:after="0" w:line="240" w:lineRule="auto"/>
        <w:jc w:val="both"/>
        <w:rPr>
          <w:rFonts w:ascii="Times New Roman" w:hAnsi="Times New Roman"/>
          <w:sz w:val="24"/>
          <w:szCs w:val="24"/>
          <w:lang w:eastAsia="cs-CZ"/>
        </w:rPr>
      </w:pPr>
      <w:r w:rsidRPr="00EC4D63">
        <w:rPr>
          <w:rFonts w:ascii="Times New Roman" w:hAnsi="Times New Roman"/>
          <w:sz w:val="24"/>
          <w:szCs w:val="24"/>
        </w:rPr>
        <w:t>rozhodnutie Súdneho dvora v s</w:t>
      </w:r>
      <w:r w:rsidRPr="00EC4D63">
        <w:rPr>
          <w:rFonts w:ascii="Times New Roman" w:hAnsi="Times New Roman"/>
          <w:bCs/>
          <w:sz w:val="24"/>
          <w:szCs w:val="24"/>
        </w:rPr>
        <w:t xml:space="preserve">pojených veciach </w:t>
      </w:r>
      <w:r w:rsidRPr="00EC4D63">
        <w:rPr>
          <w:rFonts w:ascii="Times New Roman" w:hAnsi="Times New Roman"/>
          <w:sz w:val="24"/>
          <w:szCs w:val="24"/>
        </w:rPr>
        <w:t xml:space="preserve">C </w:t>
      </w:r>
      <w:r w:rsidRPr="00EC4D63">
        <w:rPr>
          <w:rFonts w:ascii="Times New Roman" w:hAnsi="Times New Roman"/>
          <w:sz w:val="24"/>
          <w:szCs w:val="24"/>
        </w:rPr>
        <w:noBreakHyphen/>
        <w:t xml:space="preserve"> 398/16 a C </w:t>
      </w:r>
      <w:r w:rsidRPr="00EC4D63">
        <w:rPr>
          <w:rFonts w:ascii="Times New Roman" w:hAnsi="Times New Roman"/>
          <w:sz w:val="24"/>
          <w:szCs w:val="24"/>
        </w:rPr>
        <w:noBreakHyphen/>
        <w:t xml:space="preserve"> 399/16, </w:t>
      </w:r>
      <w:r w:rsidRPr="00EC4D63">
        <w:rPr>
          <w:rFonts w:ascii="Times New Roman" w:hAnsi="Times New Roman"/>
          <w:bCs/>
          <w:sz w:val="24"/>
          <w:szCs w:val="24"/>
        </w:rPr>
        <w:t>X BV, X NV proti Staatssecretaris van Financiën, [2018].</w:t>
      </w:r>
    </w:p>
    <w:p w:rsidR="00EC4D63" w:rsidRPr="00EC4D63" w:rsidRDefault="00EC4D63" w:rsidP="00EC4D63">
      <w:pPr>
        <w:pStyle w:val="Odsekzoznamu"/>
        <w:spacing w:after="0" w:line="240" w:lineRule="auto"/>
        <w:ind w:left="870"/>
        <w:jc w:val="both"/>
        <w:rPr>
          <w:rFonts w:ascii="Times New Roman" w:hAnsi="Times New Roman"/>
          <w:bCs/>
          <w:sz w:val="24"/>
          <w:szCs w:val="24"/>
        </w:rPr>
      </w:pPr>
      <w:r w:rsidRPr="00EC4D63">
        <w:rPr>
          <w:rFonts w:ascii="Times New Roman" w:hAnsi="Times New Roman"/>
          <w:bCs/>
          <w:sz w:val="24"/>
          <w:szCs w:val="24"/>
        </w:rPr>
        <w:t>Výrok rozhodnutia:</w:t>
      </w:r>
    </w:p>
    <w:p w:rsidR="00EC4D63" w:rsidRPr="00EC4D63" w:rsidRDefault="00EC4D63" w:rsidP="00EC4D63">
      <w:pPr>
        <w:pStyle w:val="c08dispositif"/>
        <w:spacing w:before="0" w:beforeAutospacing="0" w:after="0"/>
        <w:ind w:left="851" w:firstLine="0"/>
        <w:rPr>
          <w:b w:val="0"/>
        </w:rPr>
      </w:pPr>
      <w:r w:rsidRPr="00EC4D63">
        <w:rPr>
          <w:b w:val="0"/>
        </w:rPr>
        <w:lastRenderedPageBreak/>
        <w:t>1.Články 49 a 54 ZFEÚ sa majú vykladať v tom zmysle, že bránia takej vnútroštátnej právnej úprave, o akú ide vo veci samej, podľa ktorej materská spoločnosť usadená v členskom štáte nemôže odpočítať úroky z úveru poskytnutého spriaznenou spoločnosťou s cieľom financovania kapitálového vkladu do dcérskej spoločnosti usadenej v inom členskom štáte, hoci, keby bola dcérska spoločnosť usadená v tom istom členskom štáte, materská spoločnosť by mohla mať nárok na toto odpočítanie tak, že by s ňou vytvorila integrovanú daňovú jednotku.</w:t>
      </w:r>
    </w:p>
    <w:p w:rsidR="00EC4D63" w:rsidRPr="00EC4D63" w:rsidRDefault="00EC4D63" w:rsidP="00EC4D63">
      <w:pPr>
        <w:pStyle w:val="c08dispositif"/>
        <w:spacing w:before="0" w:beforeAutospacing="0" w:after="0"/>
        <w:ind w:left="851" w:firstLine="0"/>
        <w:rPr>
          <w:b w:val="0"/>
        </w:rPr>
      </w:pPr>
      <w:r w:rsidRPr="00EC4D63">
        <w:rPr>
          <w:b w:val="0"/>
        </w:rPr>
        <w:t>2.Články 49 a 54 ZFEÚ sa majú vykladať v tom zmysle, že nebránia takej vnútroštátnej právnej úprave, o akú ide vo veci samej, podľa ktorej materská spoločnosť usadená v členskom štáte nie je oprávnená odpočítať od svojho celkového zisku stratu vyplývajúcu zo zmeny výmenného kurzu, v súvislosti s hodnotou jej podielov v dcérskej spoločnosti usadenej v inom členskom štáte, keď podľa tejto istej právnej úpravy nepodlieha dani symetricky zisk vyplývajúci z týchto zmien.</w:t>
      </w:r>
    </w:p>
    <w:p w:rsidR="00EC4D63" w:rsidRPr="00EC4D63" w:rsidRDefault="00EC4D63" w:rsidP="00EC4D63">
      <w:pPr>
        <w:numPr>
          <w:ilvl w:val="0"/>
          <w:numId w:val="15"/>
        </w:numPr>
        <w:spacing w:after="0" w:line="240" w:lineRule="auto"/>
        <w:jc w:val="both"/>
        <w:rPr>
          <w:rFonts w:ascii="Times New Roman" w:hAnsi="Times New Roman"/>
          <w:sz w:val="24"/>
          <w:szCs w:val="24"/>
        </w:rPr>
      </w:pPr>
      <w:r w:rsidRPr="00EC4D63">
        <w:rPr>
          <w:rFonts w:ascii="Times New Roman" w:hAnsi="Times New Roman"/>
          <w:sz w:val="24"/>
          <w:szCs w:val="24"/>
        </w:rPr>
        <w:t>rozhodnutie Súdneho dvora vo veci C – 405/18 AURES Holdings a. s. proti Odvolacímu finančnímu ředitelství,</w:t>
      </w:r>
      <w:r w:rsidRPr="00EC4D63">
        <w:rPr>
          <w:rFonts w:ascii="Times New Roman" w:hAnsi="Times New Roman"/>
          <w:bCs/>
          <w:sz w:val="24"/>
          <w:szCs w:val="24"/>
        </w:rPr>
        <w:t xml:space="preserve"> [2020].</w:t>
      </w:r>
    </w:p>
    <w:p w:rsidR="00EC4D63" w:rsidRPr="00EC4D63" w:rsidRDefault="00EC4D63" w:rsidP="00EC4D63">
      <w:pPr>
        <w:spacing w:after="0" w:line="240" w:lineRule="auto"/>
        <w:ind w:left="870"/>
        <w:jc w:val="both"/>
        <w:rPr>
          <w:rFonts w:ascii="Times New Roman" w:hAnsi="Times New Roman"/>
          <w:bCs/>
          <w:sz w:val="24"/>
          <w:szCs w:val="24"/>
        </w:rPr>
      </w:pPr>
      <w:r w:rsidRPr="00EC4D63">
        <w:rPr>
          <w:rFonts w:ascii="Times New Roman" w:hAnsi="Times New Roman"/>
          <w:bCs/>
          <w:sz w:val="24"/>
          <w:szCs w:val="24"/>
        </w:rPr>
        <w:t>Výrok rozhodnutia:</w:t>
      </w:r>
    </w:p>
    <w:p w:rsidR="00EC4D63" w:rsidRPr="00EC4D63" w:rsidRDefault="00EC4D63" w:rsidP="00EC4D63">
      <w:pPr>
        <w:spacing w:after="0" w:line="240" w:lineRule="auto"/>
        <w:ind w:left="870"/>
        <w:jc w:val="both"/>
        <w:rPr>
          <w:rFonts w:ascii="Times New Roman" w:hAnsi="Times New Roman"/>
          <w:sz w:val="24"/>
          <w:szCs w:val="24"/>
        </w:rPr>
      </w:pPr>
      <w:r w:rsidRPr="00EC4D63">
        <w:rPr>
          <w:rFonts w:ascii="Times New Roman" w:hAnsi="Times New Roman"/>
          <w:sz w:val="24"/>
          <w:szCs w:val="24"/>
        </w:rPr>
        <w:t>1.Článok 49 ZFEÚ sa má vykladať v tom zmysle, že spoločnosť založená podľa práva jedného členského štátu, ktorá premiestňuje miesto svojho skutočného vedenia do iného členského štátu bez toho, aby toto premiestnenie malo vplyv na jej postavenie ako spoločnosti založenej podľa práva prvého členského štátu, sa môže odvolávať na tento článok s cieľom napadnúť rozhodnutie, ktorým jej bol v druhom členskom štáte odmietnutý prevod strát, ktoré predchádzali tomuto premiestneniu.</w:t>
      </w:r>
    </w:p>
    <w:p w:rsidR="00EC4D63" w:rsidRDefault="00EC4D63" w:rsidP="00EC4D63">
      <w:pPr>
        <w:spacing w:after="0" w:line="240" w:lineRule="auto"/>
        <w:ind w:left="870"/>
        <w:jc w:val="both"/>
        <w:rPr>
          <w:rFonts w:ascii="Times New Roman" w:hAnsi="Times New Roman"/>
          <w:sz w:val="24"/>
          <w:szCs w:val="24"/>
        </w:rPr>
      </w:pPr>
      <w:r w:rsidRPr="00EC4D63">
        <w:rPr>
          <w:rFonts w:ascii="Times New Roman" w:hAnsi="Times New Roman"/>
          <w:sz w:val="24"/>
          <w:szCs w:val="24"/>
        </w:rPr>
        <w:t>2.Článok 49 ZFEÚ sa má vykladať v tom zmysle, že nebráni právnej úprave členského štátu, ktorá vylučuje možnosť, aby spoločnosť, ktorá premiestnila miesto svojho skutočného vedenia, a tým aj svoju daňovú rezidenciu do tohto členského štátu, uplatnila daňovú stratu vzniknutú pred týmto premiestnením v inom členskom štáte, v ktorom si táto spoločnosť ponecháva svoje sídlo.</w:t>
      </w:r>
    </w:p>
    <w:p w:rsidR="00EC4D63" w:rsidRPr="00EC4D63" w:rsidRDefault="00EC4D63" w:rsidP="00EC4D63">
      <w:pPr>
        <w:spacing w:after="0" w:line="240" w:lineRule="auto"/>
        <w:ind w:left="870"/>
        <w:jc w:val="both"/>
        <w:rPr>
          <w:rFonts w:ascii="Times New Roman" w:hAnsi="Times New Roman"/>
          <w:sz w:val="24"/>
          <w:szCs w:val="24"/>
        </w:rPr>
      </w:pPr>
    </w:p>
    <w:p w:rsidR="00EC4D63" w:rsidRPr="00EC4D63" w:rsidRDefault="00EC4D63" w:rsidP="00EC4D63">
      <w:pPr>
        <w:numPr>
          <w:ilvl w:val="0"/>
          <w:numId w:val="13"/>
        </w:numPr>
        <w:spacing w:after="0" w:line="240" w:lineRule="auto"/>
        <w:jc w:val="both"/>
        <w:rPr>
          <w:rFonts w:ascii="Times New Roman" w:hAnsi="Times New Roman"/>
          <w:b/>
          <w:bCs/>
          <w:sz w:val="24"/>
          <w:szCs w:val="24"/>
        </w:rPr>
      </w:pPr>
      <w:r w:rsidRPr="00EC4D63">
        <w:rPr>
          <w:rFonts w:ascii="Times New Roman" w:hAnsi="Times New Roman"/>
          <w:b/>
          <w:bCs/>
          <w:sz w:val="24"/>
          <w:szCs w:val="24"/>
        </w:rPr>
        <w:t>Záväzky Slovenskej republiky vo vzťahu k Európskej únii:</w:t>
      </w:r>
    </w:p>
    <w:p w:rsidR="00EC4D63" w:rsidRPr="00EC4D63" w:rsidRDefault="00EC4D63" w:rsidP="00EC4D63">
      <w:pPr>
        <w:numPr>
          <w:ilvl w:val="0"/>
          <w:numId w:val="16"/>
        </w:numPr>
        <w:tabs>
          <w:tab w:val="left" w:pos="425"/>
        </w:tabs>
        <w:spacing w:after="0" w:line="240" w:lineRule="auto"/>
        <w:ind w:left="425" w:hanging="425"/>
        <w:jc w:val="both"/>
        <w:rPr>
          <w:rFonts w:ascii="Times New Roman" w:hAnsi="Times New Roman"/>
          <w:sz w:val="24"/>
          <w:szCs w:val="24"/>
          <w:lang w:eastAsia="cs-CZ"/>
        </w:rPr>
      </w:pPr>
      <w:r w:rsidRPr="00EC4D63">
        <w:rPr>
          <w:rFonts w:ascii="Times New Roman" w:hAnsi="Times New Roman"/>
          <w:sz w:val="24"/>
          <w:szCs w:val="24"/>
          <w:lang w:eastAsia="cs-CZ"/>
        </w:rPr>
        <w:t xml:space="preserve">Lehota na prebratie smernice (EÚ) 2016/1164 bola stanovená do 31.12.2018 a u článku 4 je lehota na prebratie stanovená najneskôr do 1.1.2024. </w:t>
      </w:r>
    </w:p>
    <w:p w:rsidR="00EC4D63" w:rsidRPr="00EC4D63" w:rsidRDefault="00EC4D63" w:rsidP="00EC4D63">
      <w:pPr>
        <w:tabs>
          <w:tab w:val="num" w:pos="426"/>
        </w:tabs>
        <w:spacing w:after="0" w:line="240" w:lineRule="auto"/>
        <w:ind w:left="426"/>
        <w:jc w:val="both"/>
        <w:rPr>
          <w:rFonts w:ascii="Times New Roman" w:hAnsi="Times New Roman"/>
          <w:sz w:val="24"/>
          <w:szCs w:val="24"/>
          <w:lang w:eastAsia="cs-CZ"/>
        </w:rPr>
      </w:pPr>
      <w:r w:rsidRPr="00EC4D63">
        <w:rPr>
          <w:rFonts w:ascii="Times New Roman" w:hAnsi="Times New Roman"/>
          <w:sz w:val="24"/>
          <w:szCs w:val="24"/>
          <w:lang w:eastAsia="cs-CZ"/>
        </w:rPr>
        <w:t xml:space="preserve">Slovenská republika pri prevzatí článku 4 smernice (EÚ) 2016/1164 využila výnimku podľa čl. 11 ods. 6 smernice, na základe ktorej si ponechala v účinnosti ustanovenia § 21a zákona č. </w:t>
      </w:r>
      <w:r w:rsidRPr="00EC4D63">
        <w:rPr>
          <w:rFonts w:ascii="Times New Roman" w:hAnsi="Times New Roman"/>
          <w:sz w:val="24"/>
          <w:szCs w:val="24"/>
        </w:rPr>
        <w:t>595/2003 Z. z. o dani z príjmov v znení neskorších predpisov</w:t>
      </w:r>
      <w:r w:rsidRPr="00EC4D63">
        <w:rPr>
          <w:rFonts w:ascii="Times New Roman" w:hAnsi="Times New Roman"/>
          <w:sz w:val="24"/>
          <w:szCs w:val="24"/>
          <w:lang w:eastAsia="cs-CZ"/>
        </w:rPr>
        <w:t xml:space="preserve"> do konca roka 2023. </w:t>
      </w:r>
      <w:r w:rsidRPr="00EC4D63">
        <w:rPr>
          <w:rFonts w:ascii="Times New Roman" w:hAnsi="Times New Roman"/>
          <w:sz w:val="24"/>
          <w:szCs w:val="24"/>
        </w:rPr>
        <w:t xml:space="preserve">Pravidlá uvedené v §21a splnili podmienku stanovenú v článku 11 ods. 6 cit. smernice a boli zo strany EK vyhodnotené ako rovnako účinné ako pravidlo o obmedzení zahrnutia úrokov stanovené v cit. smernici. Od 1.1.2024 </w:t>
      </w:r>
      <w:r w:rsidRPr="00EC4D63">
        <w:rPr>
          <w:rFonts w:ascii="Times New Roman" w:hAnsi="Times New Roman"/>
          <w:sz w:val="24"/>
          <w:szCs w:val="24"/>
          <w:lang w:eastAsia="cs-CZ"/>
        </w:rPr>
        <w:t xml:space="preserve">však budú všetky členské štáty EÚ povinné uplatňovať pravidlá článku 4 smernice (EÚ) 2016/1164, a preto SR pristupuje k transpozícii článku 4 cit. smernice doplnením nového ustanovenia § 17k zákona </w:t>
      </w:r>
      <w:r w:rsidRPr="00EC4D63">
        <w:rPr>
          <w:rFonts w:ascii="Times New Roman" w:hAnsi="Times New Roman"/>
          <w:bCs/>
          <w:sz w:val="24"/>
          <w:szCs w:val="24"/>
        </w:rPr>
        <w:t>č. 595/2003 Z. z. o dani z príjmov v znení neskorších predpisov</w:t>
      </w:r>
      <w:r w:rsidRPr="00EC4D63">
        <w:rPr>
          <w:rFonts w:ascii="Times New Roman" w:hAnsi="Times New Roman"/>
          <w:sz w:val="24"/>
          <w:szCs w:val="24"/>
          <w:lang w:eastAsia="cs-CZ"/>
        </w:rPr>
        <w:t>.</w:t>
      </w:r>
    </w:p>
    <w:p w:rsidR="00EC4D63" w:rsidRPr="00EC4D63" w:rsidRDefault="00EC4D63" w:rsidP="00EC4D63">
      <w:pPr>
        <w:tabs>
          <w:tab w:val="left" w:pos="425"/>
        </w:tabs>
        <w:spacing w:after="0" w:line="240" w:lineRule="auto"/>
        <w:ind w:left="425"/>
        <w:jc w:val="both"/>
        <w:rPr>
          <w:rFonts w:ascii="Times New Roman" w:hAnsi="Times New Roman"/>
          <w:sz w:val="24"/>
          <w:szCs w:val="24"/>
          <w:lang w:eastAsia="cs-CZ"/>
        </w:rPr>
      </w:pPr>
      <w:r w:rsidRPr="00EC4D63">
        <w:rPr>
          <w:rFonts w:ascii="Times New Roman" w:hAnsi="Times New Roman"/>
          <w:sz w:val="24"/>
          <w:szCs w:val="24"/>
          <w:lang w:eastAsia="cs-CZ"/>
        </w:rPr>
        <w:t xml:space="preserve">Lehota na prebratie smernice (EÚ) 2017/952 bola stanovená do 31.12.2019 okrem čl. 2 ods. 3, u ktorého je lehota na prebratie stanovená do 31.12.2021. Niektoré ustanovenia článku 4 smernice (EÚ) 2016/1164 boli zmenené smernicou (EÚ) 2017/952 v čase, keď SR uplatňovala výnimku podľa čl. 11 ods. 6 smernice (EÚ) 2016/1164, preto sa aktuálne smernica (EÚ) 2016/1164 notifikuje v znení </w:t>
      </w:r>
      <w:r w:rsidRPr="00EC4D63">
        <w:rPr>
          <w:rFonts w:ascii="Times New Roman" w:hAnsi="Times New Roman"/>
          <w:iCs/>
          <w:sz w:val="24"/>
          <w:szCs w:val="24"/>
        </w:rPr>
        <w:t>smernice (EÚ) 2017/952</w:t>
      </w:r>
      <w:r w:rsidRPr="00EC4D63">
        <w:rPr>
          <w:rFonts w:ascii="Times New Roman" w:hAnsi="Times New Roman"/>
          <w:sz w:val="24"/>
          <w:szCs w:val="24"/>
          <w:lang w:eastAsia="cs-CZ"/>
        </w:rPr>
        <w:t>.</w:t>
      </w:r>
    </w:p>
    <w:p w:rsidR="00EC4D63" w:rsidRPr="00EC4D63" w:rsidRDefault="00EC4D63" w:rsidP="00EC4D63">
      <w:pPr>
        <w:tabs>
          <w:tab w:val="num" w:pos="426"/>
        </w:tabs>
        <w:spacing w:after="0" w:line="240" w:lineRule="auto"/>
        <w:ind w:left="426"/>
        <w:jc w:val="both"/>
        <w:rPr>
          <w:rFonts w:ascii="Times New Roman" w:hAnsi="Times New Roman"/>
          <w:sz w:val="24"/>
          <w:szCs w:val="24"/>
          <w:lang w:eastAsia="cs-CZ"/>
        </w:rPr>
      </w:pPr>
    </w:p>
    <w:p w:rsidR="00EC4D63" w:rsidRPr="00EC4D63" w:rsidRDefault="00EC4D63" w:rsidP="00EC4D63">
      <w:pPr>
        <w:numPr>
          <w:ilvl w:val="0"/>
          <w:numId w:val="16"/>
        </w:numPr>
        <w:tabs>
          <w:tab w:val="left" w:pos="425"/>
        </w:tabs>
        <w:spacing w:after="0" w:line="240" w:lineRule="auto"/>
        <w:ind w:left="425" w:hanging="425"/>
        <w:jc w:val="both"/>
        <w:rPr>
          <w:rFonts w:ascii="Times New Roman" w:hAnsi="Times New Roman"/>
          <w:sz w:val="24"/>
          <w:szCs w:val="24"/>
          <w:lang w:eastAsia="cs-CZ"/>
        </w:rPr>
      </w:pPr>
      <w:r w:rsidRPr="00EC4D63">
        <w:rPr>
          <w:rFonts w:ascii="Times New Roman" w:hAnsi="Times New Roman"/>
          <w:sz w:val="24"/>
          <w:szCs w:val="24"/>
          <w:lang w:eastAsia="cs-CZ"/>
        </w:rPr>
        <w:t xml:space="preserve">Proti SR nebolo </w:t>
      </w:r>
      <w:r w:rsidRPr="00EC4D63">
        <w:rPr>
          <w:rFonts w:ascii="Times New Roman" w:hAnsi="Times New Roman"/>
          <w:sz w:val="24"/>
          <w:szCs w:val="24"/>
        </w:rPr>
        <w:t xml:space="preserve">začaté konanie v rámci „EÚ Pilot“, ani nebol začatý postup EK ako aj nebolo </w:t>
      </w:r>
      <w:r w:rsidRPr="00EC4D63">
        <w:rPr>
          <w:rFonts w:ascii="Times New Roman" w:hAnsi="Times New Roman"/>
          <w:sz w:val="24"/>
          <w:szCs w:val="24"/>
          <w:lang w:eastAsia="cs-CZ"/>
        </w:rPr>
        <w:t>začaté konanie o porušení Zmluvy o fungovaní Európskej únie podľa čl. 258 až 260.</w:t>
      </w:r>
    </w:p>
    <w:p w:rsidR="00EC4D63" w:rsidRPr="00EC4D63" w:rsidRDefault="00EC4D63" w:rsidP="00EC4D63">
      <w:pPr>
        <w:numPr>
          <w:ilvl w:val="0"/>
          <w:numId w:val="16"/>
        </w:numPr>
        <w:tabs>
          <w:tab w:val="left" w:pos="425"/>
        </w:tabs>
        <w:spacing w:after="0" w:line="240" w:lineRule="auto"/>
        <w:ind w:left="425" w:hanging="425"/>
        <w:jc w:val="both"/>
        <w:rPr>
          <w:rFonts w:ascii="Times New Roman" w:hAnsi="Times New Roman"/>
          <w:sz w:val="24"/>
          <w:szCs w:val="24"/>
        </w:rPr>
      </w:pPr>
      <w:r w:rsidRPr="00EC4D63">
        <w:rPr>
          <w:rFonts w:ascii="Times New Roman" w:hAnsi="Times New Roman"/>
          <w:sz w:val="24"/>
          <w:szCs w:val="24"/>
          <w:lang w:eastAsia="cs-CZ"/>
        </w:rPr>
        <w:lastRenderedPageBreak/>
        <w:t>Smernica (EÚ) 2016/1164 bola prebratá do zákona č. 595/2003 Z. z. o dani z príjmov v znení neskorších predpisov, do z</w:t>
      </w:r>
      <w:r w:rsidRPr="00EC4D63">
        <w:rPr>
          <w:rFonts w:ascii="Times New Roman" w:hAnsi="Times New Roman"/>
          <w:sz w:val="24"/>
          <w:szCs w:val="24"/>
        </w:rPr>
        <w:t>ákona č. 563/2009 Z. z. o správe daní (daňový poriadok) a o zmene a doplnení niektorých zákonov v znení neskorších predpisov, do zákona č. 483/2001 Z. z. o bankách a o zmene a doplnení niektorých zákonov v znení neskorších predpisov, do zákona č. 566/2001 Z. z. o cenných papieroch a investičných službách a o zmene a doplnení niektorých zákonov (zákon o cenných papieroch) v znení neskorších predpisov, do zákona č. 203/2011 Z. z. o kolektívnom investovaní v znení neskorších predpisov, do zákona č. 39/2015 Z. z. o poisťovníctve a o zmene a doplnení niektorých zákonov v znení neskorších predpisov, do zákona č. 650/2004 Z. z. o doplnkovom dôchodkovom sporení a o zmene a doplnení niektorých zákonov v znení neskorších predpisov, do zákona č. 461/2003 Z. z. o sociálnom poistení znení neskorších predpisov, do zákona č. 43/2004 Z. z. o starobnom dôchodkovom sporení a o zmene a doplnení niektorých zákonov v znení neskorších predpisov, do zákona č. 429/2002 Z. z. o burze cenných papierov v znení neskorších predpisov a do zákona č. 431/2002 Z. z. o účtovníctve v znení neskorších predpisov.</w:t>
      </w:r>
    </w:p>
    <w:p w:rsidR="00EC4D63" w:rsidRDefault="00EC4D63" w:rsidP="00EC4D63">
      <w:pPr>
        <w:tabs>
          <w:tab w:val="left" w:pos="425"/>
        </w:tabs>
        <w:spacing w:after="0" w:line="240" w:lineRule="auto"/>
        <w:ind w:left="425"/>
        <w:jc w:val="both"/>
        <w:rPr>
          <w:rFonts w:ascii="Times New Roman" w:hAnsi="Times New Roman"/>
          <w:sz w:val="24"/>
          <w:szCs w:val="24"/>
        </w:rPr>
      </w:pPr>
      <w:r w:rsidRPr="00EC4D63">
        <w:rPr>
          <w:rFonts w:ascii="Times New Roman" w:hAnsi="Times New Roman"/>
          <w:sz w:val="24"/>
          <w:szCs w:val="24"/>
          <w:lang w:eastAsia="cs-CZ"/>
        </w:rPr>
        <w:t xml:space="preserve">Smernica (EÚ) </w:t>
      </w:r>
      <w:r w:rsidRPr="00EC4D63">
        <w:rPr>
          <w:rFonts w:ascii="Times New Roman" w:hAnsi="Times New Roman"/>
          <w:sz w:val="24"/>
          <w:szCs w:val="24"/>
        </w:rPr>
        <w:t xml:space="preserve">2017/952 </w:t>
      </w:r>
      <w:r w:rsidRPr="00EC4D63">
        <w:rPr>
          <w:rFonts w:ascii="Times New Roman" w:hAnsi="Times New Roman"/>
          <w:sz w:val="24"/>
          <w:szCs w:val="24"/>
          <w:lang w:eastAsia="cs-CZ"/>
        </w:rPr>
        <w:t xml:space="preserve">bola prebratá do zákona č. </w:t>
      </w:r>
      <w:r w:rsidRPr="00EC4D63">
        <w:rPr>
          <w:rFonts w:ascii="Times New Roman" w:hAnsi="Times New Roman"/>
          <w:sz w:val="24"/>
          <w:szCs w:val="24"/>
        </w:rPr>
        <w:t>595/2003 Z. z. o dani z príjmov v znení neskorších predpisov, do zákona č. 566/2001 Z. z. o cenných papieroch a investičných službách a o zmene a doplnení niektorých zákonov v znení neskorších predpisov a do zákona č. 431/2002 Z. z. o účtovníctve v znení neskorších predpisov.</w:t>
      </w:r>
    </w:p>
    <w:p w:rsidR="00EC4D63" w:rsidRPr="00EC4D63" w:rsidRDefault="00EC4D63" w:rsidP="00EC4D63">
      <w:pPr>
        <w:tabs>
          <w:tab w:val="left" w:pos="425"/>
        </w:tabs>
        <w:spacing w:after="0" w:line="240" w:lineRule="auto"/>
        <w:ind w:left="425"/>
        <w:jc w:val="both"/>
        <w:rPr>
          <w:rFonts w:ascii="Times New Roman" w:hAnsi="Times New Roman"/>
          <w:sz w:val="24"/>
          <w:szCs w:val="24"/>
        </w:rPr>
      </w:pPr>
    </w:p>
    <w:p w:rsidR="00EC4D63" w:rsidRPr="00EC4D63" w:rsidRDefault="00EC4D63" w:rsidP="00EC4D63">
      <w:pPr>
        <w:numPr>
          <w:ilvl w:val="0"/>
          <w:numId w:val="13"/>
        </w:numPr>
        <w:spacing w:after="0" w:line="240" w:lineRule="auto"/>
        <w:jc w:val="both"/>
        <w:rPr>
          <w:rFonts w:ascii="Times New Roman" w:hAnsi="Times New Roman"/>
          <w:b/>
          <w:bCs/>
          <w:sz w:val="24"/>
          <w:szCs w:val="24"/>
        </w:rPr>
      </w:pPr>
      <w:r w:rsidRPr="00EC4D63">
        <w:rPr>
          <w:rFonts w:ascii="Times New Roman" w:hAnsi="Times New Roman"/>
          <w:b/>
          <w:bCs/>
          <w:sz w:val="24"/>
          <w:szCs w:val="24"/>
        </w:rPr>
        <w:t>Návrh zákona je zlučiteľný s právom Európskej únie:</w:t>
      </w:r>
    </w:p>
    <w:p w:rsidR="00EC4D63" w:rsidRPr="00EC4D63" w:rsidRDefault="00EC4D63" w:rsidP="00EC4D63">
      <w:pPr>
        <w:spacing w:after="0" w:line="240" w:lineRule="auto"/>
        <w:ind w:left="425"/>
        <w:jc w:val="both"/>
        <w:rPr>
          <w:rFonts w:ascii="Times New Roman" w:hAnsi="Times New Roman"/>
          <w:sz w:val="24"/>
          <w:szCs w:val="24"/>
        </w:rPr>
      </w:pPr>
      <w:r w:rsidRPr="00EC4D63">
        <w:rPr>
          <w:rFonts w:ascii="Times New Roman" w:hAnsi="Times New Roman"/>
          <w:sz w:val="24"/>
          <w:szCs w:val="24"/>
        </w:rPr>
        <w:t>Úplne.</w:t>
      </w:r>
    </w:p>
    <w:p w:rsidR="00EC4D63" w:rsidRDefault="00EC4D63" w:rsidP="00EC4D63">
      <w:pPr>
        <w:spacing w:after="0" w:line="240" w:lineRule="auto"/>
        <w:rPr>
          <w:rFonts w:ascii="Times New Roman" w:hAnsi="Times New Roman"/>
          <w:sz w:val="24"/>
          <w:szCs w:val="24"/>
        </w:rPr>
      </w:pPr>
    </w:p>
    <w:p w:rsidR="00EC4D63" w:rsidRDefault="00EC4D63" w:rsidP="00EC4D63">
      <w:pPr>
        <w:spacing w:after="0" w:line="240" w:lineRule="auto"/>
        <w:rPr>
          <w:rFonts w:ascii="Times New Roman" w:hAnsi="Times New Roman"/>
          <w:sz w:val="24"/>
          <w:szCs w:val="24"/>
        </w:rPr>
      </w:pPr>
    </w:p>
    <w:p w:rsidR="00D904E5" w:rsidRDefault="00D904E5" w:rsidP="00EC4D63">
      <w:pPr>
        <w:spacing w:after="0" w:line="240" w:lineRule="auto"/>
        <w:rPr>
          <w:rFonts w:ascii="Times New Roman" w:hAnsi="Times New Roman"/>
          <w:sz w:val="24"/>
          <w:szCs w:val="24"/>
        </w:rPr>
      </w:pPr>
    </w:p>
    <w:p w:rsidR="00D904E5" w:rsidRDefault="00D904E5" w:rsidP="00EC4D63">
      <w:pPr>
        <w:spacing w:after="0" w:line="240" w:lineRule="auto"/>
        <w:rPr>
          <w:rFonts w:ascii="Times New Roman" w:hAnsi="Times New Roman"/>
          <w:sz w:val="24"/>
          <w:szCs w:val="24"/>
        </w:rPr>
      </w:pPr>
    </w:p>
    <w:p w:rsidR="00D904E5" w:rsidRDefault="00D904E5" w:rsidP="00EC4D63">
      <w:pPr>
        <w:spacing w:after="0" w:line="240" w:lineRule="auto"/>
        <w:rPr>
          <w:rFonts w:ascii="Times New Roman" w:hAnsi="Times New Roman"/>
          <w:sz w:val="24"/>
          <w:szCs w:val="24"/>
        </w:rPr>
      </w:pPr>
    </w:p>
    <w:p w:rsidR="00D904E5" w:rsidRDefault="00D904E5" w:rsidP="00EC4D63">
      <w:pPr>
        <w:spacing w:after="0" w:line="240" w:lineRule="auto"/>
        <w:rPr>
          <w:rFonts w:ascii="Times New Roman" w:hAnsi="Times New Roman"/>
          <w:sz w:val="24"/>
          <w:szCs w:val="24"/>
        </w:rPr>
      </w:pPr>
    </w:p>
    <w:p w:rsidR="00D904E5" w:rsidRDefault="00D904E5" w:rsidP="00EC4D63">
      <w:pPr>
        <w:spacing w:after="0" w:line="240" w:lineRule="auto"/>
        <w:rPr>
          <w:rFonts w:ascii="Times New Roman" w:hAnsi="Times New Roman"/>
          <w:sz w:val="24"/>
          <w:szCs w:val="24"/>
        </w:rPr>
      </w:pPr>
    </w:p>
    <w:p w:rsidR="00D904E5" w:rsidRDefault="00D904E5" w:rsidP="00EC4D63">
      <w:pPr>
        <w:spacing w:after="0" w:line="240" w:lineRule="auto"/>
        <w:rPr>
          <w:rFonts w:ascii="Times New Roman" w:hAnsi="Times New Roman"/>
          <w:sz w:val="24"/>
          <w:szCs w:val="24"/>
        </w:rPr>
      </w:pPr>
    </w:p>
    <w:p w:rsidR="00D904E5" w:rsidRDefault="00D904E5" w:rsidP="00EC4D63">
      <w:pPr>
        <w:spacing w:after="0" w:line="240" w:lineRule="auto"/>
        <w:rPr>
          <w:rFonts w:ascii="Times New Roman" w:hAnsi="Times New Roman"/>
          <w:sz w:val="24"/>
          <w:szCs w:val="24"/>
        </w:rPr>
      </w:pPr>
    </w:p>
    <w:p w:rsidR="00D904E5" w:rsidRDefault="00D904E5" w:rsidP="00EC4D63">
      <w:pPr>
        <w:spacing w:after="0" w:line="240" w:lineRule="auto"/>
        <w:rPr>
          <w:rFonts w:ascii="Times New Roman" w:hAnsi="Times New Roman"/>
          <w:sz w:val="24"/>
          <w:szCs w:val="24"/>
        </w:rPr>
      </w:pPr>
    </w:p>
    <w:p w:rsidR="00D904E5" w:rsidRDefault="00D904E5" w:rsidP="00EC4D63">
      <w:pPr>
        <w:spacing w:after="0" w:line="240" w:lineRule="auto"/>
        <w:rPr>
          <w:rFonts w:ascii="Times New Roman" w:hAnsi="Times New Roman"/>
          <w:sz w:val="24"/>
          <w:szCs w:val="24"/>
        </w:rPr>
      </w:pPr>
    </w:p>
    <w:p w:rsidR="00D904E5" w:rsidRDefault="00D904E5" w:rsidP="00EC4D63">
      <w:pPr>
        <w:spacing w:after="0" w:line="240" w:lineRule="auto"/>
        <w:rPr>
          <w:rFonts w:ascii="Times New Roman" w:hAnsi="Times New Roman"/>
          <w:sz w:val="24"/>
          <w:szCs w:val="24"/>
        </w:rPr>
      </w:pPr>
    </w:p>
    <w:p w:rsidR="00D904E5" w:rsidRDefault="00D904E5" w:rsidP="00EC4D63">
      <w:pPr>
        <w:spacing w:after="0" w:line="240" w:lineRule="auto"/>
        <w:rPr>
          <w:rFonts w:ascii="Times New Roman" w:hAnsi="Times New Roman"/>
          <w:sz w:val="24"/>
          <w:szCs w:val="24"/>
        </w:rPr>
      </w:pPr>
    </w:p>
    <w:p w:rsidR="00D904E5" w:rsidRDefault="00D904E5" w:rsidP="00EC4D63">
      <w:pPr>
        <w:spacing w:after="0" w:line="240" w:lineRule="auto"/>
        <w:rPr>
          <w:rFonts w:ascii="Times New Roman" w:hAnsi="Times New Roman"/>
          <w:sz w:val="24"/>
          <w:szCs w:val="24"/>
        </w:rPr>
      </w:pPr>
    </w:p>
    <w:p w:rsidR="00D904E5" w:rsidRDefault="00D904E5" w:rsidP="00EC4D63">
      <w:pPr>
        <w:spacing w:after="0" w:line="240" w:lineRule="auto"/>
        <w:rPr>
          <w:rFonts w:ascii="Times New Roman" w:hAnsi="Times New Roman"/>
          <w:sz w:val="24"/>
          <w:szCs w:val="24"/>
        </w:rPr>
      </w:pPr>
    </w:p>
    <w:p w:rsidR="00D904E5" w:rsidRDefault="00D904E5" w:rsidP="00EC4D63">
      <w:pPr>
        <w:spacing w:after="0" w:line="240" w:lineRule="auto"/>
        <w:rPr>
          <w:rFonts w:ascii="Times New Roman" w:hAnsi="Times New Roman"/>
          <w:sz w:val="24"/>
          <w:szCs w:val="24"/>
        </w:rPr>
      </w:pPr>
    </w:p>
    <w:p w:rsidR="00D904E5" w:rsidRDefault="00D904E5" w:rsidP="00EC4D63">
      <w:pPr>
        <w:spacing w:after="0" w:line="240" w:lineRule="auto"/>
        <w:rPr>
          <w:rFonts w:ascii="Times New Roman" w:hAnsi="Times New Roman"/>
          <w:sz w:val="24"/>
          <w:szCs w:val="24"/>
        </w:rPr>
      </w:pPr>
    </w:p>
    <w:p w:rsidR="00D904E5" w:rsidRDefault="00D904E5" w:rsidP="00EC4D63">
      <w:pPr>
        <w:spacing w:after="0" w:line="240" w:lineRule="auto"/>
        <w:rPr>
          <w:rFonts w:ascii="Times New Roman" w:hAnsi="Times New Roman"/>
          <w:sz w:val="24"/>
          <w:szCs w:val="24"/>
        </w:rPr>
      </w:pPr>
    </w:p>
    <w:p w:rsidR="00D904E5" w:rsidRDefault="00D904E5" w:rsidP="00EC4D63">
      <w:pPr>
        <w:spacing w:after="0" w:line="240" w:lineRule="auto"/>
        <w:rPr>
          <w:rFonts w:ascii="Times New Roman" w:hAnsi="Times New Roman"/>
          <w:sz w:val="24"/>
          <w:szCs w:val="24"/>
        </w:rPr>
      </w:pPr>
    </w:p>
    <w:p w:rsidR="00D904E5" w:rsidRDefault="00D904E5" w:rsidP="00EC4D63">
      <w:pPr>
        <w:spacing w:after="0" w:line="240" w:lineRule="auto"/>
        <w:rPr>
          <w:rFonts w:ascii="Times New Roman" w:hAnsi="Times New Roman"/>
          <w:sz w:val="24"/>
          <w:szCs w:val="24"/>
        </w:rPr>
      </w:pPr>
    </w:p>
    <w:p w:rsidR="00D904E5" w:rsidRDefault="00D904E5" w:rsidP="00EC4D63">
      <w:pPr>
        <w:spacing w:after="0" w:line="240" w:lineRule="auto"/>
        <w:rPr>
          <w:rFonts w:ascii="Times New Roman" w:hAnsi="Times New Roman"/>
          <w:sz w:val="24"/>
          <w:szCs w:val="24"/>
        </w:rPr>
      </w:pPr>
    </w:p>
    <w:p w:rsidR="00D904E5" w:rsidRDefault="00D904E5" w:rsidP="00EC4D63">
      <w:pPr>
        <w:spacing w:after="0" w:line="240" w:lineRule="auto"/>
        <w:rPr>
          <w:rFonts w:ascii="Times New Roman" w:hAnsi="Times New Roman"/>
          <w:sz w:val="24"/>
          <w:szCs w:val="24"/>
        </w:rPr>
      </w:pPr>
    </w:p>
    <w:p w:rsidR="00D904E5" w:rsidRDefault="00D904E5" w:rsidP="00EC4D63">
      <w:pPr>
        <w:spacing w:after="0" w:line="240" w:lineRule="auto"/>
        <w:rPr>
          <w:rFonts w:ascii="Times New Roman" w:hAnsi="Times New Roman"/>
          <w:sz w:val="24"/>
          <w:szCs w:val="24"/>
        </w:rPr>
      </w:pPr>
    </w:p>
    <w:p w:rsidR="00D904E5" w:rsidRDefault="00D904E5" w:rsidP="00EC4D63">
      <w:pPr>
        <w:spacing w:after="0" w:line="240" w:lineRule="auto"/>
        <w:rPr>
          <w:rFonts w:ascii="Times New Roman" w:hAnsi="Times New Roman"/>
          <w:sz w:val="24"/>
          <w:szCs w:val="24"/>
        </w:rPr>
      </w:pPr>
    </w:p>
    <w:p w:rsidR="00D904E5" w:rsidRDefault="00D904E5" w:rsidP="00EC4D63">
      <w:pPr>
        <w:spacing w:after="0" w:line="240" w:lineRule="auto"/>
        <w:rPr>
          <w:rFonts w:ascii="Times New Roman" w:hAnsi="Times New Roman"/>
          <w:sz w:val="24"/>
          <w:szCs w:val="24"/>
        </w:rPr>
      </w:pPr>
    </w:p>
    <w:p w:rsidR="00D904E5" w:rsidRDefault="00D904E5" w:rsidP="00EC4D63">
      <w:pPr>
        <w:spacing w:after="0" w:line="240" w:lineRule="auto"/>
        <w:rPr>
          <w:rFonts w:ascii="Times New Roman" w:hAnsi="Times New Roman"/>
          <w:sz w:val="24"/>
          <w:szCs w:val="24"/>
        </w:rPr>
      </w:pPr>
    </w:p>
    <w:p w:rsidR="00D904E5" w:rsidRDefault="00D904E5" w:rsidP="00EC4D63">
      <w:pPr>
        <w:spacing w:after="0" w:line="240" w:lineRule="auto"/>
        <w:rPr>
          <w:rFonts w:ascii="Times New Roman" w:hAnsi="Times New Roman"/>
          <w:sz w:val="24"/>
          <w:szCs w:val="24"/>
        </w:rPr>
      </w:pPr>
    </w:p>
    <w:p w:rsidR="00D904E5" w:rsidRDefault="00D904E5" w:rsidP="00EC4D63">
      <w:pPr>
        <w:spacing w:after="0" w:line="240" w:lineRule="auto"/>
        <w:rPr>
          <w:rFonts w:ascii="Times New Roman" w:hAnsi="Times New Roman"/>
          <w:sz w:val="24"/>
          <w:szCs w:val="24"/>
        </w:rPr>
      </w:pP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lastRenderedPageBreak/>
        <w:t>B. Osobitná časť</w:t>
      </w:r>
    </w:p>
    <w:p w:rsidR="00D904E5" w:rsidRPr="00845EB7" w:rsidRDefault="00D904E5" w:rsidP="00D904E5"/>
    <w:p w:rsidR="00D904E5" w:rsidRPr="00845EB7" w:rsidRDefault="00D904E5" w:rsidP="00D904E5">
      <w:pPr>
        <w:rPr>
          <w:rFonts w:ascii="Times New Roman" w:hAnsi="Times New Roman"/>
          <w:b/>
          <w:sz w:val="24"/>
          <w:szCs w:val="24"/>
        </w:rPr>
      </w:pPr>
      <w:r w:rsidRPr="00845EB7">
        <w:rPr>
          <w:rFonts w:ascii="Times New Roman" w:hAnsi="Times New Roman"/>
          <w:b/>
          <w:sz w:val="24"/>
          <w:szCs w:val="24"/>
        </w:rPr>
        <w:t>Čl. I Zákon č. 595/2003 Z. z. o dani z príjmov v znení neskorších predpisov</w:t>
      </w: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t>K bodu 1 - § 2 písm. o)</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Znenie § 2 písm. o) ZDP sa dopĺňa o spočítavanie podielov blízkych osôb na účely určenia ekonomického prepojenia. Ide o situácie, ak má napríklad manžel podiel 100% v spoločnosti A, 15% v spoločnosti B a manželka má podiel 15% v spoločnosti B. Podľa doterajšieho znenia ustanovenia spoločnosti A a B neboli prepojené, na základe nového ustanovenia sa už považujú za prepojené spoločnosti. </w:t>
      </w:r>
    </w:p>
    <w:p w:rsidR="00D904E5" w:rsidRPr="00845EB7" w:rsidRDefault="00D904E5" w:rsidP="00D904E5">
      <w:pPr>
        <w:spacing w:after="0" w:line="240" w:lineRule="auto"/>
        <w:jc w:val="both"/>
        <w:rPr>
          <w:rFonts w:ascii="Times New Roman" w:hAnsi="Times New Roman"/>
          <w:sz w:val="24"/>
          <w:szCs w:val="24"/>
        </w:rPr>
      </w:pP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t>K bodu 2 - § 2 písm. r)</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Znenie § 2 písm. r) sa upravuje vzhľadom na definíciu zahraničnej závislej osoby, pričom pojem zahraničnej závislej osoby nie je ďalej použitý v ZDP. Vzhľadom na uvedené, navrhované znenie definuje ekonomické prepojenie v prípade stálych prevádzkarní, ktoré absentuje v aktuálnom znení ZDP.  </w:t>
      </w:r>
    </w:p>
    <w:p w:rsidR="00D904E5" w:rsidRPr="00845EB7" w:rsidRDefault="00D904E5" w:rsidP="00D904E5">
      <w:pPr>
        <w:spacing w:after="0" w:line="240" w:lineRule="auto"/>
        <w:jc w:val="both"/>
        <w:rPr>
          <w:rFonts w:ascii="Times New Roman" w:hAnsi="Times New Roman"/>
          <w:sz w:val="24"/>
          <w:szCs w:val="24"/>
        </w:rPr>
      </w:pP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t>K bodu 3 - § 2  písm. ab)</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Do ustanovenia sa dopĺňa negatívne vymedzenie kontrolovanej transakcie. Za kontrolovanú transakciu sa všeobecne nepovažuje závislá činnosť, z ktorej príjmy spadajú pod § 5 ZDP, a to bez ohľadu na to, či je vykonávaná zamestnancom závislej osoby, spoločníkom alebo konateľom. Zároveň sa ustanovenie technicky upravuje v nadväznosti na zmenu § 2 písm. r), pričom za kontrolovanú transakciu sa naďalej považuje aj vzťah medzi daňovníkom s neobmedzenou daňovou povinnosťou a jeho stálymi prevádzkarňami v zahraničí, ako aj vzťah medzi daňovníkom s obmedzenou daňovou povinnosťou a jeho stálymi prevádzkarňami na území Slovenskej republiky a vzťah medzi stálymi prevádzkarňami daňovníkov, ktorí sú vzájomne prepojení podľa písmena n) a vzájomný vzťah medzi týmito stálymi prevádzkarňami a týmito daňovníkmi.  </w:t>
      </w:r>
    </w:p>
    <w:p w:rsidR="00D904E5" w:rsidRPr="00845EB7" w:rsidRDefault="00D904E5" w:rsidP="00D904E5">
      <w:pPr>
        <w:spacing w:after="0" w:line="240" w:lineRule="auto"/>
        <w:jc w:val="both"/>
        <w:rPr>
          <w:rFonts w:ascii="Times New Roman" w:hAnsi="Times New Roman"/>
          <w:sz w:val="24"/>
          <w:szCs w:val="24"/>
        </w:rPr>
      </w:pP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t>K bodom 4 a 5 - § 17 ods. 1 písmeno d) a e)</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Zmena ustanovenia § 17 ods. 1 písm. d) a e) umožňuje zahraničným daňovníkom, ktorí podnikajú na území SR prostredníctvom stálej prevádzkarne, aby pri určení základu dane tejto stálej prevádzkarne vychádzali z rozdielu medzi výnosmi a nákladmi priraditeľnými stálej prevádzkarni. Príslušné výnosy a náklady by boli zistené z účtovnej alebo inej obdobnej evidencie zahraničného daňovníka.</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Uvedená zmena prispeje k zlepšeniu postavenia daňovníkov, ktorí majú na území SR stálu prevádzkareň, avšak nie sú povinní viesť účtovníctvo podľa slovenských účtovných predpisov. Ide o daňovníkov, ktorí nemajú povinnosť zaregistrovať organizačnú zložku v obchodnom registri, pretože napríklad podnikajú na území SR dočasne v súvislosti so stavebnými alebo montážnymi projektmi, alebo inými projektmi dočasného charakteru. Pre týchto daňovníkov existujú dve možnosti:</w:t>
      </w:r>
    </w:p>
    <w:p w:rsidR="00D904E5" w:rsidRPr="00845EB7" w:rsidRDefault="00D904E5" w:rsidP="00D904E5">
      <w:pPr>
        <w:pStyle w:val="Odsekzoznamu"/>
        <w:numPr>
          <w:ilvl w:val="0"/>
          <w:numId w:val="18"/>
        </w:numPr>
        <w:spacing w:after="0" w:line="240" w:lineRule="auto"/>
        <w:jc w:val="both"/>
        <w:rPr>
          <w:rFonts w:ascii="Times New Roman" w:hAnsi="Times New Roman"/>
          <w:sz w:val="24"/>
          <w:szCs w:val="24"/>
        </w:rPr>
      </w:pPr>
      <w:r w:rsidRPr="00845EB7">
        <w:rPr>
          <w:rFonts w:ascii="Times New Roman" w:hAnsi="Times New Roman"/>
          <w:sz w:val="24"/>
          <w:szCs w:val="24"/>
        </w:rPr>
        <w:t xml:space="preserve">viesť účtovníctvo podľa slovenských predpisov dobrovoľne, </w:t>
      </w:r>
    </w:p>
    <w:p w:rsidR="00D904E5" w:rsidRPr="00845EB7" w:rsidRDefault="00D904E5" w:rsidP="00D904E5">
      <w:pPr>
        <w:pStyle w:val="Odsekzoznamu"/>
        <w:numPr>
          <w:ilvl w:val="0"/>
          <w:numId w:val="18"/>
        </w:numPr>
        <w:spacing w:after="0" w:line="240" w:lineRule="auto"/>
        <w:jc w:val="both"/>
        <w:rPr>
          <w:rFonts w:ascii="Times New Roman" w:hAnsi="Times New Roman"/>
          <w:sz w:val="24"/>
          <w:szCs w:val="24"/>
        </w:rPr>
      </w:pPr>
      <w:r w:rsidRPr="00845EB7">
        <w:rPr>
          <w:rFonts w:ascii="Times New Roman" w:hAnsi="Times New Roman"/>
          <w:sz w:val="24"/>
          <w:szCs w:val="24"/>
        </w:rPr>
        <w:t xml:space="preserve">vykazovať základ dane na základe rozdielu medzi príjmami a výdavkami, pričom však účtovníctvo zahraničného daňovníka (u právnickej osoby) je spravidla nastavené na vykazovanie </w:t>
      </w:r>
      <w:r w:rsidRPr="00845EB7">
        <w:rPr>
          <w:rFonts w:ascii="Times New Roman" w:hAnsi="Times New Roman"/>
          <w:sz w:val="24"/>
          <w:szCs w:val="24"/>
          <w:u w:val="single"/>
        </w:rPr>
        <w:t>výnosov a nákladov.</w:t>
      </w:r>
      <w:r w:rsidRPr="00845EB7">
        <w:rPr>
          <w:rFonts w:ascii="Times New Roman" w:hAnsi="Times New Roman"/>
          <w:sz w:val="24"/>
          <w:szCs w:val="24"/>
        </w:rPr>
        <w:t xml:space="preserve"> Obe možnosti predstavujú pre takýchto daňovníkov dodatočnú administratívnu záťaž.</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Celkovo tak súčasná úprava komplikuje podnikanie na území v SR prostredníctvom stálej prevádzkarne a vytvára neopodstatnený rozdiel medzi tuzemskými daňovníkmi (napríklad dcérskymi spoločnosťami zahraničných spoločností) a stálymi prevádzkarňami zahraničných daňovníkov. </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lastRenderedPageBreak/>
        <w:t>Pri zisťovaní základu dane u daňovníka s obmedzenou daňovou povinnosťou, ktorý nemá povinnosť viesť účtovníctvo podľa osobitného predpisu sa má postupovať podľa zahraničnej evidencie daňovníka. Vo väčšine prípadov sa predpokladá akruálny princíp, t. j. rozdiel medzi výnosmi a nákladmi. Na hotovostnom princípe budú základ dane vykazovať fyzické osoby a právnické osoby, ktoré nevedú účtovníctvo na akruálnom princípe.</w:t>
      </w:r>
    </w:p>
    <w:p w:rsidR="00D904E5" w:rsidRPr="00845EB7" w:rsidRDefault="00D904E5" w:rsidP="00D904E5">
      <w:pPr>
        <w:spacing w:after="0" w:line="240" w:lineRule="auto"/>
        <w:jc w:val="both"/>
        <w:rPr>
          <w:rFonts w:ascii="Times New Roman" w:hAnsi="Times New Roman"/>
          <w:sz w:val="24"/>
          <w:szCs w:val="24"/>
        </w:rPr>
      </w:pP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t>K bodu 6 - § 17 ods. 5</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Uvedenou úpravou § 17 ods. 5 sa spresňujú pravidlá pri úprave základu dane v prípade nedodržania princípu nezávislého vzťahu a pravidlá pri úprave zahrnovania nákladov vynaložených inou závislou osobou do základu dane daňovníka. Rozdelením ustanovenia do dvoch samostatných bodov sa odstránia problémy pri daňových kontrolách, napríklad zámena významu týchto dvoch pravidiel, nejednoznačné označenie titulu dorubenia dodatočnej dane pri službách prijatých od závislých osôb a pod. </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Uvedenou úpravou § 17 ods. 5 sa ďalej dopĺňa definícia významnej kontrolovanej transakcie (alebo skupiny kontrolovaných transakcií), za ktorú sa nepovažuje právny vzťah alebo iný obdobný vzťah, na základe ktorého ani jedna závislá osoba nedosiahne zdaniteľný príjem (výnos), ani daňový výdavok v príslušnom zdaňovacom období v hodnote prevyšujúcej 10 000 eur (to neplatí, ak ide o úver alebo pôžičku s istinou nad 50 000 eur). Pod skupinou  kontrolovaných transakcií sa rozumie viacero kontrolovaných transakcií, ktoré sú rovnakého druhu a sú uzatvorené za porovnateľných podmienok, sú vzájomne úzko prepojené a vzájomne podmienené, alebo porovnateľné z hľadiska využívaného majetku, funkcií a rizík. </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Účelom tejto úpravy je zníženie administratívnej záťaže malých podnikateľov pri transakciách s nízkou hodnotou. </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V prípadoch zahrnovania nákladov vynaložených inou osobou v prospech daňovníka do základu dane je potrebné znenie ustanovenia zosúladiť s metodikou uvedenou v kapitole VII Smernice OECD o transferovom oceňovaní pre nadnárodné spoločnosti a správu daní (ďalej len „Smernica OECD“), ktorá bola aktualizovaná v roku 2017.</w:t>
      </w:r>
    </w:p>
    <w:p w:rsidR="00D904E5" w:rsidRPr="00845EB7" w:rsidRDefault="00D904E5" w:rsidP="00D904E5">
      <w:pPr>
        <w:spacing w:after="0" w:line="240" w:lineRule="auto"/>
        <w:jc w:val="both"/>
        <w:rPr>
          <w:rFonts w:ascii="Times New Roman" w:hAnsi="Times New Roman"/>
          <w:sz w:val="24"/>
          <w:szCs w:val="24"/>
        </w:rPr>
      </w:pP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Pre lepšie objasnenie uvedeného ustanovenia uvádzame nasledovné príklady:</w:t>
      </w:r>
    </w:p>
    <w:p w:rsidR="00D904E5" w:rsidRPr="00845EB7" w:rsidRDefault="00D904E5" w:rsidP="00D904E5">
      <w:pPr>
        <w:spacing w:after="0" w:line="240" w:lineRule="auto"/>
        <w:jc w:val="both"/>
        <w:rPr>
          <w:rFonts w:ascii="Times New Roman" w:hAnsi="Times New Roman"/>
          <w:i/>
          <w:sz w:val="24"/>
          <w:szCs w:val="24"/>
        </w:rPr>
      </w:pPr>
      <w:r w:rsidRPr="00845EB7">
        <w:rPr>
          <w:rFonts w:ascii="Times New Roman" w:hAnsi="Times New Roman"/>
          <w:i/>
          <w:sz w:val="24"/>
          <w:szCs w:val="24"/>
        </w:rPr>
        <w:t>Príklad 1:</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Daňovník  má so závislou osobou uzatvorenú dohodu o poskytnutí poradenských služieb, v rámci ktorej mu závislá osoba poskytuje poradenské služby. V príslušnom zdaňovacom období daňovník zaúčtoval v nákladoch sumu 20 000 eur, avšak reálne uhradil len 5 000 eur. V zmysle § 19 ods. 19 zákona výdavky na poradenské služby sú súčasťou základu dane až po zaplatení.</w:t>
      </w:r>
    </w:p>
    <w:p w:rsidR="00D904E5" w:rsidRPr="00845EB7" w:rsidRDefault="00D904E5" w:rsidP="00D904E5">
      <w:pPr>
        <w:spacing w:after="120" w:line="240" w:lineRule="auto"/>
        <w:jc w:val="both"/>
        <w:rPr>
          <w:rFonts w:ascii="Times New Roman" w:hAnsi="Times New Roman"/>
          <w:sz w:val="24"/>
          <w:szCs w:val="24"/>
        </w:rPr>
      </w:pPr>
      <w:r w:rsidRPr="00845EB7">
        <w:rPr>
          <w:rFonts w:ascii="Times New Roman" w:hAnsi="Times New Roman"/>
          <w:sz w:val="24"/>
          <w:szCs w:val="24"/>
        </w:rPr>
        <w:t>Za významnú kontrolovanú transakciu sa nepovažuje právny vzťah alebo iný obdobný vzťah, na základe ktorého v príslušnom zdaňovacom období ani jedna zo závislých osôb nedosiahne zdaniteľný príjem (výnos), alebo daňový výdavok (náklad) v hodnote prevyšujúcej 10 000 eur.  Táto dohoda o poskytnutí poradenských služieb bude významnou kontrolovanou transakciou, pretože poskytovateľ poradenských služieb dosiahne v zdaňovacom období zdaniteľný výnos v hodnote 20 000 eur.</w:t>
      </w:r>
    </w:p>
    <w:p w:rsidR="00D904E5" w:rsidRPr="00845EB7" w:rsidRDefault="00D904E5" w:rsidP="00D904E5">
      <w:pPr>
        <w:spacing w:after="0" w:line="240" w:lineRule="auto"/>
        <w:jc w:val="both"/>
        <w:rPr>
          <w:rFonts w:ascii="Times New Roman" w:hAnsi="Times New Roman"/>
          <w:sz w:val="24"/>
          <w:szCs w:val="24"/>
        </w:rPr>
      </w:pPr>
    </w:p>
    <w:p w:rsidR="00D904E5" w:rsidRPr="00845EB7" w:rsidRDefault="00D904E5" w:rsidP="00D904E5">
      <w:pPr>
        <w:spacing w:after="0" w:line="240" w:lineRule="auto"/>
        <w:jc w:val="both"/>
        <w:rPr>
          <w:rFonts w:ascii="Times New Roman" w:hAnsi="Times New Roman"/>
          <w:i/>
          <w:sz w:val="24"/>
          <w:szCs w:val="24"/>
        </w:rPr>
      </w:pPr>
      <w:r w:rsidRPr="00845EB7">
        <w:rPr>
          <w:rFonts w:ascii="Times New Roman" w:hAnsi="Times New Roman"/>
          <w:i/>
          <w:sz w:val="24"/>
          <w:szCs w:val="24"/>
        </w:rPr>
        <w:t>Príklad 2:</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Daňovník od závislej osoby kúpi montovanú budovu za 108 000 eur. Táto budova sa daňovo odpisuje v 4. odpisovej skupine počas 12 rokov. Ročný daňový odpis na strane daňovníka je 9 000 eur. Táto transakcia bude významnou kontrolovanou transakciou v roku nákupu/predaja budovy, pretože predávajúci dosiahne v zdaňovacom období zdaniteľný výnos z tejto transakcie v hodnote 108 000 eur. V nasledujúcich zdaňovacích obdobiach, keď daňovník uplatní ročný daňový odpis v hodnote 9 000 eur, sa táto transakcia nebude považovať za významnú kontrolovanú transakciu.</w:t>
      </w:r>
    </w:p>
    <w:p w:rsidR="00D904E5" w:rsidRPr="00845EB7" w:rsidRDefault="00D904E5" w:rsidP="00D904E5">
      <w:pPr>
        <w:spacing w:after="0" w:line="240" w:lineRule="auto"/>
        <w:jc w:val="both"/>
        <w:rPr>
          <w:rFonts w:ascii="Times New Roman" w:hAnsi="Times New Roman"/>
          <w:sz w:val="24"/>
          <w:szCs w:val="24"/>
        </w:rPr>
      </w:pP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lastRenderedPageBreak/>
        <w:t>K bodu 7 - § 17 ods. 6</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Do odseku 6 sa dopĺňa nárok na korešpondujúcu úpravu základu dane v prípadoch, keď primárna úprava je vykonaná v slovenskej právnickej osobe a protistranou transakcie je slovenská stála prevádzkareň nerezidenta. </w:t>
      </w:r>
    </w:p>
    <w:p w:rsidR="00D904E5" w:rsidRPr="00845EB7" w:rsidRDefault="00D904E5" w:rsidP="00D904E5">
      <w:pPr>
        <w:spacing w:after="0" w:line="240" w:lineRule="auto"/>
        <w:jc w:val="both"/>
        <w:rPr>
          <w:rFonts w:ascii="Times New Roman" w:hAnsi="Times New Roman"/>
          <w:sz w:val="24"/>
          <w:szCs w:val="24"/>
        </w:rPr>
      </w:pP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t>K bodu 8 - § 17 ods. 7</w:t>
      </w:r>
    </w:p>
    <w:p w:rsidR="00D904E5" w:rsidRPr="00845EB7" w:rsidRDefault="00D904E5" w:rsidP="00D904E5">
      <w:pPr>
        <w:keepNext/>
        <w:spacing w:after="0" w:line="240" w:lineRule="auto"/>
        <w:jc w:val="both"/>
        <w:rPr>
          <w:rFonts w:ascii="Times New Roman" w:hAnsi="Times New Roman"/>
          <w:sz w:val="24"/>
          <w:szCs w:val="24"/>
        </w:rPr>
      </w:pPr>
      <w:r w:rsidRPr="00845EB7">
        <w:rPr>
          <w:rFonts w:ascii="Times New Roman" w:hAnsi="Times New Roman"/>
          <w:sz w:val="24"/>
          <w:szCs w:val="24"/>
        </w:rPr>
        <w:t xml:space="preserve">Ustanovenie § 17 ods. 7 ZDP sa upravuje vzhľadom na potrebu zosúladenia znenia s aktuálnou metodikou Smernice OECD pri stanovení základu dane stálej prevádzkarne. Doterajšie znenie neprešlo zásadnými zmenami od pôvodnej verzie ZDP z roku 2004. Naopak, v rámci OECD bola v roku 2010 vydaná správa o zdaňovaní stálych prevádzkarní. Súčasná metodika OECD je striktne založená na princípe nezávislého vzťahu. Tento princíp je síce zakotvený v prvej vete § 17 ods. 7 ZDP, avšak ďalšie ustanovenia v tomto odseku uvádzajú postupnosť metód, ktoré nie sú vo všetkých prípadoch v súlade s princípom nezávislého vzťahu. Účelom navrhovaných zmien je spresnenie znenia zákona, zosúladenie zákona s metodikou OECD, a to vrátane posudzovania výdavkov (nákladov) preukázateľne vynaložených zriaďovateľom stálej prevádzkarne na účely tejto stálej prevádzkarne vrátane výdavkov (nákladov) na vedenie a všeobecných správnych výdavkov (nákladov). Okrem toho návrh zabezpečuje používanie rovnakých pojmov a spresňuje dokumentačnú povinnosť týkajúcu sa určenia základu dane stálej prevádzkarne. Návrh zákona upravuje postup zahrnutia príjmov (výnosov) a výdavkov (nákladov), ktoré sú vykázané po zániku stálej prevádzkarne, do základu dane. </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Akákoľvek odchýlka od zaužívaného spôsobu vykazovania základu dane stálej prevádzkarne v iných štátoch vytvára priestor pre dvojité zdanenie a následné daňové spory so štátmi, v ktorých sú príslušní daňovníci rezidenti. Uvedená úprava prispieva aj k zlepšeniu efektivity riešenia cezhraničných daňových sporov. </w:t>
      </w:r>
    </w:p>
    <w:p w:rsidR="00D904E5" w:rsidRPr="00845EB7" w:rsidRDefault="00D904E5" w:rsidP="00D904E5">
      <w:pPr>
        <w:keepNext/>
        <w:spacing w:after="0" w:line="240" w:lineRule="auto"/>
        <w:jc w:val="both"/>
        <w:rPr>
          <w:rFonts w:ascii="Times New Roman" w:hAnsi="Times New Roman"/>
          <w:sz w:val="24"/>
          <w:szCs w:val="24"/>
        </w:rPr>
      </w:pPr>
      <w:r w:rsidRPr="00845EB7">
        <w:rPr>
          <w:rFonts w:ascii="Times New Roman" w:hAnsi="Times New Roman"/>
          <w:sz w:val="24"/>
          <w:szCs w:val="24"/>
        </w:rPr>
        <w:t>Úpravy v bodoch 7 a 8 nemajú vplyv na doterajší prístup SR k článku 7 (Zisky podnikov) Modelovej zmluvy OECD a príslušnú výhradu SR.</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Naďalej pre účely stanovenia základu dane stálej prevádzkarne v SR nie je možné zahrnúť ziskovú prirážku k vlastným nákladom na vedenie a všeobecným správnym výdavkom (nákladom), ani úroky alebo licenčné poplatky účtované zriaďovateľom voči stálej prevádzkarni s výnimkou priradenia príslušnej časti úrokov alebo licenčných poplatkov, ktoré zriaďovateľ uhrádza inej osobe.</w:t>
      </w:r>
    </w:p>
    <w:p w:rsidR="00D904E5"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O použitej metóde úpravy základu dane stálej prevádzkarne vo vzťahu k zriaďovateľovi a iným závislým osobám je daňovník s obmedzenou daňovou povinnosťou povinný viesť dokumentáciu. Nejde o novú dokumentačnú povinnosť, iba o špecifikáciu pre stálu prevádzkareň ako podmnožinu závislých osôb vzhľadom na osobitosti úpravy základu dane stálej prevádzkarne (napr. alokácia voľného kapitálu, vzťahy so zriaďovateľom atď.).</w:t>
      </w:r>
    </w:p>
    <w:p w:rsidR="00D904E5" w:rsidRDefault="00D904E5" w:rsidP="00D904E5">
      <w:pPr>
        <w:spacing w:after="0" w:line="240" w:lineRule="auto"/>
        <w:jc w:val="both"/>
        <w:rPr>
          <w:rFonts w:ascii="Times New Roman" w:hAnsi="Times New Roman"/>
          <w:sz w:val="24"/>
          <w:szCs w:val="24"/>
        </w:rPr>
      </w:pPr>
    </w:p>
    <w:p w:rsidR="00D904E5"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t>K bodu 9 - § 17 ods. 8 písm. a) a § 17 ods. 12 písm. b) a c)</w:t>
      </w:r>
    </w:p>
    <w:p w:rsidR="000212DB" w:rsidRDefault="00D904E5" w:rsidP="000212DB">
      <w:pPr>
        <w:spacing w:after="0" w:line="240" w:lineRule="auto"/>
        <w:jc w:val="both"/>
        <w:rPr>
          <w:rFonts w:ascii="Times New Roman" w:hAnsi="Times New Roman"/>
          <w:sz w:val="24"/>
          <w:szCs w:val="24"/>
        </w:rPr>
      </w:pPr>
      <w:r w:rsidRPr="00845EB7">
        <w:rPr>
          <w:rFonts w:ascii="Times New Roman" w:hAnsi="Times New Roman"/>
          <w:sz w:val="24"/>
          <w:szCs w:val="24"/>
        </w:rPr>
        <w:t>Ide o legislatívno-technickú úpravu v nadväznosti na zmeny vykonané v § 19 ods. 2 písm. h) zákona.</w:t>
      </w:r>
    </w:p>
    <w:p w:rsidR="000212DB" w:rsidRDefault="000212DB" w:rsidP="000212DB">
      <w:pPr>
        <w:spacing w:after="0" w:line="240" w:lineRule="auto"/>
        <w:jc w:val="both"/>
        <w:rPr>
          <w:rFonts w:ascii="Times New Roman" w:hAnsi="Times New Roman"/>
          <w:sz w:val="24"/>
          <w:szCs w:val="24"/>
        </w:rPr>
      </w:pPr>
    </w:p>
    <w:p w:rsidR="000212DB" w:rsidRDefault="00D904E5" w:rsidP="000212DB">
      <w:pPr>
        <w:spacing w:after="0" w:line="240" w:lineRule="auto"/>
        <w:jc w:val="both"/>
        <w:rPr>
          <w:rFonts w:ascii="Times New Roman" w:hAnsi="Times New Roman"/>
          <w:b/>
          <w:sz w:val="24"/>
          <w:szCs w:val="24"/>
        </w:rPr>
      </w:pPr>
      <w:r w:rsidRPr="00845EB7">
        <w:rPr>
          <w:rFonts w:ascii="Times New Roman" w:hAnsi="Times New Roman"/>
          <w:b/>
          <w:sz w:val="24"/>
          <w:szCs w:val="24"/>
        </w:rPr>
        <w:t>K bodu 10 - § 17 ods. 38</w:t>
      </w:r>
    </w:p>
    <w:p w:rsidR="000212DB" w:rsidRDefault="00D904E5" w:rsidP="000212DB">
      <w:pPr>
        <w:spacing w:after="0" w:line="240" w:lineRule="auto"/>
        <w:jc w:val="both"/>
        <w:rPr>
          <w:rFonts w:ascii="Times New Roman" w:hAnsi="Times New Roman"/>
          <w:sz w:val="24"/>
          <w:szCs w:val="24"/>
        </w:rPr>
      </w:pPr>
      <w:r w:rsidRPr="00845EB7">
        <w:rPr>
          <w:rFonts w:ascii="Times New Roman" w:hAnsi="Times New Roman"/>
          <w:sz w:val="24"/>
          <w:szCs w:val="24"/>
        </w:rPr>
        <w:t xml:space="preserve">Ide o legislatívno-technickú úpravu, ktorá nadväzuje na zavedenie pravidiel obmedzenia čistých úrokových nákladov v § 17k. </w:t>
      </w:r>
    </w:p>
    <w:p w:rsidR="000212DB" w:rsidRDefault="000212DB" w:rsidP="000212DB">
      <w:pPr>
        <w:spacing w:after="0" w:line="240" w:lineRule="auto"/>
        <w:jc w:val="both"/>
        <w:rPr>
          <w:rFonts w:ascii="Times New Roman" w:hAnsi="Times New Roman"/>
          <w:sz w:val="24"/>
          <w:szCs w:val="24"/>
        </w:rPr>
      </w:pPr>
    </w:p>
    <w:p w:rsidR="000212DB" w:rsidRDefault="00D904E5" w:rsidP="000212DB">
      <w:pPr>
        <w:spacing w:after="0" w:line="240" w:lineRule="auto"/>
        <w:jc w:val="both"/>
        <w:rPr>
          <w:rFonts w:ascii="Times New Roman" w:hAnsi="Times New Roman"/>
          <w:b/>
          <w:sz w:val="24"/>
          <w:szCs w:val="24"/>
        </w:rPr>
      </w:pPr>
      <w:r w:rsidRPr="00845EB7">
        <w:rPr>
          <w:rFonts w:ascii="Times New Roman" w:hAnsi="Times New Roman"/>
          <w:b/>
          <w:sz w:val="24"/>
          <w:szCs w:val="24"/>
        </w:rPr>
        <w:t>K bodu 11 – § 17h ods. 4, § 18 ods. 1 a 11, § 18a ods. 1 a</w:t>
      </w:r>
      <w:r w:rsidR="000212DB">
        <w:rPr>
          <w:rFonts w:ascii="Times New Roman" w:hAnsi="Times New Roman"/>
          <w:b/>
          <w:sz w:val="24"/>
          <w:szCs w:val="24"/>
        </w:rPr>
        <w:t> </w:t>
      </w:r>
      <w:r w:rsidRPr="00845EB7">
        <w:rPr>
          <w:rFonts w:ascii="Times New Roman" w:hAnsi="Times New Roman"/>
          <w:b/>
          <w:sz w:val="24"/>
          <w:szCs w:val="24"/>
        </w:rPr>
        <w:t>3</w:t>
      </w:r>
    </w:p>
    <w:p w:rsidR="00D904E5" w:rsidRPr="00845EB7" w:rsidRDefault="00D904E5" w:rsidP="000212DB">
      <w:pPr>
        <w:spacing w:after="0" w:line="240" w:lineRule="auto"/>
        <w:jc w:val="both"/>
        <w:rPr>
          <w:rFonts w:ascii="Times New Roman" w:hAnsi="Times New Roman"/>
          <w:b/>
          <w:sz w:val="24"/>
          <w:szCs w:val="24"/>
        </w:rPr>
      </w:pPr>
      <w:r w:rsidRPr="00845EB7">
        <w:rPr>
          <w:rFonts w:ascii="Times New Roman" w:hAnsi="Times New Roman"/>
          <w:sz w:val="24"/>
          <w:szCs w:val="24"/>
        </w:rPr>
        <w:t>Ide o</w:t>
      </w:r>
      <w:r w:rsidRPr="00845EB7">
        <w:rPr>
          <w:rFonts w:ascii="Times New Roman" w:hAnsi="Times New Roman"/>
          <w:b/>
          <w:sz w:val="24"/>
          <w:szCs w:val="24"/>
        </w:rPr>
        <w:t xml:space="preserve"> </w:t>
      </w:r>
      <w:r w:rsidRPr="00845EB7">
        <w:rPr>
          <w:rFonts w:ascii="Times New Roman" w:hAnsi="Times New Roman"/>
          <w:sz w:val="24"/>
          <w:szCs w:val="24"/>
        </w:rPr>
        <w:t>legislatívno-technickú úpravu, ktorá nadväzuje na úpravu v § 17 ods. 5.</w:t>
      </w:r>
    </w:p>
    <w:p w:rsidR="00D904E5" w:rsidRPr="00845EB7" w:rsidRDefault="00D904E5" w:rsidP="00D904E5">
      <w:pPr>
        <w:keepNext/>
        <w:spacing w:after="0" w:line="240" w:lineRule="auto"/>
        <w:jc w:val="both"/>
        <w:rPr>
          <w:rFonts w:ascii="Times New Roman" w:hAnsi="Times New Roman"/>
          <w:b/>
          <w:sz w:val="24"/>
          <w:szCs w:val="24"/>
        </w:rPr>
      </w:pPr>
    </w:p>
    <w:p w:rsidR="00D904E5" w:rsidRPr="00845EB7" w:rsidRDefault="00D904E5" w:rsidP="00D904E5">
      <w:pPr>
        <w:keepNext/>
        <w:spacing w:after="0" w:line="240" w:lineRule="auto"/>
        <w:jc w:val="both"/>
        <w:rPr>
          <w:rFonts w:ascii="Times New Roman" w:hAnsi="Times New Roman"/>
          <w:b/>
          <w:sz w:val="24"/>
          <w:szCs w:val="24"/>
        </w:rPr>
      </w:pPr>
      <w:r w:rsidRPr="00845EB7">
        <w:rPr>
          <w:rFonts w:ascii="Times New Roman" w:hAnsi="Times New Roman"/>
          <w:b/>
          <w:sz w:val="24"/>
          <w:szCs w:val="24"/>
        </w:rPr>
        <w:t>K bodu 12 - § 17k</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V § 17k sa do ZDP transponuje článok 4 smernice Rady (EÚ) 2016/1164 z 12. júla 2016, ktorou sa stanovujú pravidlá proti praktikám vyhýbania sa daňovým povinnostiam, ktoré majú priamy vplyv na fungovanie vnútorného trhu (ďalej len „smernica ATAD“) a ktorého účelom je  obmedzenie čistých úrokových nákladov u právnických osôb s cieľom zabrániť umelému znižovaniu základu dane z príjmov právnických osôb prostredníctvom dlhového financovania. Do konca roku 2023 sa v SR uplatňuje výnimka podľa čl. 11 ods. 6 smernice ATAD, na základe ktorej sa limitácia úrokových nákladov podľa § 21a týka výlučne závislých osôb. S účinnosťou od 1.1.2024 sa zavádza nové pravidlo o limitácii čistých úrokových nákladov, ktoré sa bude uplatňovať prednostne pred pravidlami podľa § 21a.</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Podľa ods. 1 sa pravidlo o obmedzení zahrnovania čistých úrokových nákladov do základu dane v § 17k uplatňuje u právnických osôb so sídlom alebo miestom skutočného vedenia na území SR (daňovník s neobmedzenou daňovou povinnosťou) alebo právnických osôb, ktorými sú daňovníci s obmedzenou daňovou povinnosťou, ktorí majú na území SR zriadenú stálu prevádzkareň (§ 16 ods. 2 ZDP). Daňovníci, na ktorých sa nové pravidlo nevzťahuje, sú vymedzení v odseku 8. Limitácia čistých úrokových nákladov sa neuplatní u daňovníkov, u ktorých suma čistých úrokových nákladov nepresiahne čiastku 3 000 000 eur vrátane (tzv. bezpečný prístav). Ak sú čisté úrokové náklady záporné, t. j. zdaniteľné úrokové výnosy sú vyššie ako daňovo uznateľné úrokové náklady, potom daňovník nepostupuje podľa § 17k a všetky úrokové náklady sú daňovými výdavkami, ak nepríde k ich obmedzeniu podľa § 21a. </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Spôsob výpočtu sumy úrokových nákladov podliehajúcich limitácii je vymedzený v ods. 2.  Daňovník, na ktorého sa nevzťahuje výnimka z dôvodu bezpečného prístavu, je povinný zvýšiť základ dane o úroky, ktoré presiahnu 30 % hodnoty ukazovateľa tzv. daňová EBITDA (EBITDA = zisk pred zdanením, úrokmi a odpismi), ktorý vychádza z daňových položiek. Všeobecne používaný ukazovateľ EBITDA vychádza z účtovných položiek na rozdiel od EBITDA podľa článku 4 smernice ATAD, ktorý sa použije pre účely limitácie úrokových nákladov a ktorý vychádza z daňových položiek.     </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Pre účely limitácie nákladových úrokov sa ukazovateľ daňový EBITDA za príslušné zdaňovacie obdobie vypočíta ako súčet:</w:t>
      </w:r>
    </w:p>
    <w:p w:rsidR="00D904E5" w:rsidRPr="00845EB7" w:rsidRDefault="00D904E5" w:rsidP="00D904E5">
      <w:pPr>
        <w:pStyle w:val="Odsekzoznamu"/>
        <w:numPr>
          <w:ilvl w:val="1"/>
          <w:numId w:val="19"/>
        </w:numPr>
        <w:spacing w:after="0" w:line="240" w:lineRule="auto"/>
        <w:ind w:left="284" w:hanging="284"/>
        <w:jc w:val="both"/>
        <w:rPr>
          <w:rFonts w:ascii="Times New Roman" w:hAnsi="Times New Roman"/>
          <w:sz w:val="24"/>
          <w:szCs w:val="24"/>
        </w:rPr>
      </w:pPr>
      <w:r w:rsidRPr="00845EB7">
        <w:rPr>
          <w:rFonts w:ascii="Times New Roman" w:hAnsi="Times New Roman"/>
          <w:sz w:val="24"/>
          <w:szCs w:val="24"/>
        </w:rPr>
        <w:t xml:space="preserve">jednotlivých druhov základov dane uvedených v odseku 6 (pred vykonaním úpravy podľa pravidla o obmedzení úrokových nákladov), </w:t>
      </w:r>
    </w:p>
    <w:p w:rsidR="00D904E5" w:rsidRPr="00845EB7" w:rsidRDefault="00D904E5" w:rsidP="00D904E5">
      <w:pPr>
        <w:pStyle w:val="Odsekzoznamu"/>
        <w:numPr>
          <w:ilvl w:val="1"/>
          <w:numId w:val="19"/>
        </w:numPr>
        <w:spacing w:after="0" w:line="240" w:lineRule="auto"/>
        <w:ind w:left="284" w:hanging="284"/>
        <w:jc w:val="both"/>
        <w:rPr>
          <w:rFonts w:ascii="Times New Roman" w:hAnsi="Times New Roman"/>
          <w:sz w:val="24"/>
          <w:szCs w:val="24"/>
        </w:rPr>
      </w:pPr>
      <w:r w:rsidRPr="00845EB7">
        <w:rPr>
          <w:rFonts w:ascii="Times New Roman" w:hAnsi="Times New Roman"/>
          <w:sz w:val="24"/>
          <w:szCs w:val="24"/>
        </w:rPr>
        <w:t>čistých úrokových nákladov a</w:t>
      </w:r>
    </w:p>
    <w:p w:rsidR="00D904E5" w:rsidRPr="00845EB7" w:rsidRDefault="00D904E5" w:rsidP="00D904E5">
      <w:pPr>
        <w:pStyle w:val="Odsekzoznamu"/>
        <w:numPr>
          <w:ilvl w:val="1"/>
          <w:numId w:val="19"/>
        </w:numPr>
        <w:spacing w:after="0" w:line="240" w:lineRule="auto"/>
        <w:ind w:left="284" w:hanging="284"/>
        <w:jc w:val="both"/>
        <w:rPr>
          <w:rFonts w:ascii="Times New Roman" w:hAnsi="Times New Roman"/>
          <w:sz w:val="24"/>
          <w:szCs w:val="24"/>
        </w:rPr>
      </w:pPr>
      <w:r w:rsidRPr="00845EB7">
        <w:rPr>
          <w:rFonts w:ascii="Times New Roman" w:hAnsi="Times New Roman"/>
          <w:sz w:val="24"/>
          <w:szCs w:val="24"/>
        </w:rPr>
        <w:t xml:space="preserve">daňových odpisov majetku. </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V odseku 3 je uvedený spôsob výpočtu čistých úrokových nákladov, ktoré sa vypočítajú ako kladný rozdiel medzi úrokovými nákladmi (napríklad účet 562, 563, 566, 568), ktoré sú v príslušnom zdaňovacom období daňovými výdavkami a zdaniteľnými výnosmi (napríklad účet 662, 663, 666, 668), ktoré má dlžník zaúčtované v účtovníctve alebo ich vykazuje podľa IFRS. Do výpočtu čistých úrokových nákladov sú zahrnuté len zdaniteľné úrokové príjmy, tzn. do výpočtu čistých úrokových nákladov nevstupujú príjmy, ktoré sú od dane oslobodené alebo nie sú predmetom dane.</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Jednotlivé druhy výdavkov (nákladov) za prijaté úvery a pôžičky u dlžníka vymedzuje ods. 4. Na rozdiel od § 21a sa do čistých úrokových nákladov započítavajú aj úroky, ktoré sú súčasťou obstarávacej ceny alebo vlastných nákladov majetku (tzv. kapitalizované úroky). Daňovník pri vyčíslení úrokových nákladov postupuje v súlade s princípom vecnej a časovej súvislosti, tzn. do výpočtu úrokových nákladov sa zahrnujú všetky finančné náklady a príjmy, ktoré v príslušnom zdaňovacom období ovplyvňujú základ dane.  </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Pre výpočet čistých úrokových nákladov sú v odseku 5 zadefinované úrokové výnosy a iné príjmy obdobného ekonomického charakteru, ktoré vznikajú u daňovníka, ktorý je veriteľom. </w:t>
      </w:r>
      <w:r w:rsidRPr="00845EB7">
        <w:rPr>
          <w:rFonts w:ascii="Times New Roman" w:hAnsi="Times New Roman"/>
          <w:sz w:val="24"/>
          <w:szCs w:val="24"/>
        </w:rPr>
        <w:lastRenderedPageBreak/>
        <w:t xml:space="preserve">Úrokový náklad u dlžníka na jednej strane predstavuje u veriteľa na druhej strane úrokový výnos. Do výpočtu čistých úrokových nákladov vstupujú  všetky zdaniteľné príjmy z úrokových výnosov, ktoré ovplyvňujú základ dane v príslušnom zdaňovacom období, tzn. nevstupujú tam príjmy, ktoré sú od dane oslobodené alebo príjmy, ktoré nie sú predmetom dane.  </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Pod príjmami rovnocennými úrokovým výnosom sa rozumejú príjmy (výnosy), ktorých podstata spĺňa charakteristiky úrokového príjmu. Medzi takéto príjmy možno zaradiť pomyselné úroky z alternatívnych spôsobov dlhového financovania alebo príjmy z rôznych úverových finančných nástrojov (napríklad islamské financovanie, ktoré zakazuje úrok a nahrádza ho inou formou platby), atď. </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V odseku 6 sú uvedené jednotlivé druhy základov dane, ktoré vstupujú do súhrnu základov dane pre výpočet daňového EBITDA na účely limitácie úrokových nákladov:</w:t>
      </w:r>
    </w:p>
    <w:p w:rsidR="00D904E5" w:rsidRPr="00845EB7" w:rsidRDefault="00D904E5" w:rsidP="00D904E5">
      <w:pPr>
        <w:pStyle w:val="Odsekzoznamu"/>
        <w:numPr>
          <w:ilvl w:val="1"/>
          <w:numId w:val="19"/>
        </w:numPr>
        <w:spacing w:after="0" w:line="240" w:lineRule="auto"/>
        <w:ind w:left="284" w:hanging="284"/>
        <w:jc w:val="both"/>
        <w:rPr>
          <w:rFonts w:ascii="Times New Roman" w:hAnsi="Times New Roman"/>
          <w:sz w:val="24"/>
          <w:szCs w:val="24"/>
        </w:rPr>
      </w:pPr>
      <w:r w:rsidRPr="00845EB7">
        <w:rPr>
          <w:rFonts w:ascii="Times New Roman" w:hAnsi="Times New Roman"/>
          <w:sz w:val="24"/>
          <w:szCs w:val="24"/>
        </w:rPr>
        <w:t>základ dane zistený podľa § 17 až 29 znížený o úhrn vyňatých príjmov (základov dane) podliehajúcich zdaneniu v zahraničí (riadok 400 daňového priznania k dani z príjmov právnickej osoby),</w:t>
      </w:r>
    </w:p>
    <w:p w:rsidR="00D904E5" w:rsidRPr="00845EB7" w:rsidRDefault="00D904E5" w:rsidP="00D904E5">
      <w:pPr>
        <w:pStyle w:val="Odsekzoznamu"/>
        <w:numPr>
          <w:ilvl w:val="1"/>
          <w:numId w:val="19"/>
        </w:numPr>
        <w:spacing w:after="0" w:line="240" w:lineRule="auto"/>
        <w:ind w:left="284" w:hanging="284"/>
        <w:jc w:val="both"/>
        <w:rPr>
          <w:rFonts w:ascii="Times New Roman" w:hAnsi="Times New Roman"/>
          <w:sz w:val="24"/>
          <w:szCs w:val="24"/>
        </w:rPr>
      </w:pPr>
      <w:r w:rsidRPr="00845EB7">
        <w:rPr>
          <w:rFonts w:ascii="Times New Roman" w:hAnsi="Times New Roman"/>
          <w:sz w:val="24"/>
          <w:szCs w:val="24"/>
        </w:rPr>
        <w:t>základ dane pre účely zdanenia pri odchode (exit tax) - § 17f</w:t>
      </w:r>
    </w:p>
    <w:p w:rsidR="00D904E5" w:rsidRPr="00845EB7" w:rsidRDefault="00D904E5" w:rsidP="00D904E5">
      <w:pPr>
        <w:pStyle w:val="Odsekzoznamu"/>
        <w:numPr>
          <w:ilvl w:val="1"/>
          <w:numId w:val="19"/>
        </w:numPr>
        <w:spacing w:after="0" w:line="240" w:lineRule="auto"/>
        <w:ind w:left="284" w:hanging="284"/>
        <w:jc w:val="both"/>
        <w:rPr>
          <w:rFonts w:ascii="Times New Roman" w:hAnsi="Times New Roman"/>
          <w:sz w:val="24"/>
          <w:szCs w:val="24"/>
        </w:rPr>
      </w:pPr>
      <w:r w:rsidRPr="00845EB7">
        <w:rPr>
          <w:rFonts w:ascii="Times New Roman" w:hAnsi="Times New Roman"/>
          <w:sz w:val="24"/>
          <w:szCs w:val="24"/>
        </w:rPr>
        <w:t>osobitný základ dane z podielu na zisku (dividendy) - § 51e</w:t>
      </w:r>
    </w:p>
    <w:p w:rsidR="00D904E5" w:rsidRPr="00845EB7" w:rsidRDefault="00D904E5" w:rsidP="00D904E5">
      <w:pPr>
        <w:pStyle w:val="Odsekzoznamu"/>
        <w:numPr>
          <w:ilvl w:val="1"/>
          <w:numId w:val="19"/>
        </w:numPr>
        <w:spacing w:after="0" w:line="240" w:lineRule="auto"/>
        <w:ind w:left="284" w:hanging="284"/>
        <w:jc w:val="both"/>
        <w:rPr>
          <w:rFonts w:ascii="Times New Roman" w:hAnsi="Times New Roman"/>
          <w:sz w:val="24"/>
          <w:szCs w:val="24"/>
        </w:rPr>
      </w:pPr>
      <w:r w:rsidRPr="00845EB7">
        <w:rPr>
          <w:rFonts w:ascii="Times New Roman" w:hAnsi="Times New Roman"/>
          <w:sz w:val="24"/>
          <w:szCs w:val="24"/>
        </w:rPr>
        <w:t xml:space="preserve">základ dane z príjmov, z ktorých sa daň vyberá zrážkou a vybratím dane je splnená daňová povinnosť. </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Ak úhrn jednotlivých základov dane pre výpočet EBITDA pre účely limitácie nákladových úrokov napríklad vplyvom záporného hospodárskeho výsledku nedosiahne kladnú hodnotu, pre účely limitácie úrokových nákladov sa základ dane zvýši o sumu čistých úrokových nákladov, ktorá prevyšuje hodnotu 3 000 000 eur podľa odseku 2.</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Odsek 7 upravuje prenos nevyčerpanej úrokovej kapacity do nasledujúcich zdaňovacích období. Zámerom tohto ustanovenia je podporiť daňovníkov, ktorí si dlhovým financovaním umelo neznižujú základ dane, aby si mali možnosť v nasledujúcich obdobiach uplatniť neuznané úrokové náklady. Daňovník si môže odpočítať vylúčené neuplatnené čisté úrokové náklady najviac v piatich bezprostredne po sebe nasledujúcich zdaňovacích obdobiach po prvom zdaňovacom období, v ktorom si úroky nemohol uplatniť ako daňový výdavok. Zároveň platí, že aj v nasledujúcich zdaňovacích obdobiach musí byť dodržaná podmienka, že celková suma čistých úrokových nákladov nepresiahne limit vypočítaný podľa odseku 2.</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V odseku 8 sú taxatívne vymenované výnimky, na ktoré sa nevzťahuje pravidlo o obmedzení nákladových úrokov. Ide predovšetkým finančné inštitúcie, ktorých podnikateľská činnosť sa špecificky zameriava na dlhové financovanie. Okrem finančných inštitúcií pod výnimku z nového pravidla spadajú aj dlžníci, ktorí sú právnickými osobami a ktorých závislými osobami sú výlučne fyzické osoby.</w:t>
      </w: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sz w:val="24"/>
          <w:szCs w:val="24"/>
        </w:rPr>
        <w:t>Podľa odsekov 9 a 10 spoločník verejnej obchodnej spoločnosti a rovnako aj komplementár komanditnej spoločnosti, ktorý je právnickou osobou, daňovníkom s neobmedzenou daňovou povinnosťou, pri výpočte EBITDA pre účely limitácie nákladových úrokov vylúči zo svojho úhrnu základov dane tú časť základu dane (daňovej straty), ktorá je súčasťou základu dane (daňovej straty) týchto osobných spoločností.</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  </w:t>
      </w:r>
    </w:p>
    <w:p w:rsidR="00D904E5" w:rsidRPr="00845EB7" w:rsidRDefault="00D904E5" w:rsidP="00D904E5">
      <w:pPr>
        <w:keepNext/>
        <w:spacing w:after="0" w:line="240" w:lineRule="auto"/>
        <w:jc w:val="both"/>
        <w:rPr>
          <w:rFonts w:ascii="Times New Roman" w:hAnsi="Times New Roman"/>
          <w:b/>
          <w:sz w:val="24"/>
          <w:szCs w:val="24"/>
        </w:rPr>
      </w:pPr>
      <w:r w:rsidRPr="00845EB7">
        <w:rPr>
          <w:rFonts w:ascii="Times New Roman" w:hAnsi="Times New Roman"/>
          <w:b/>
          <w:sz w:val="24"/>
          <w:szCs w:val="24"/>
        </w:rPr>
        <w:t>K bodu 13 - § 18 ods. 1</w:t>
      </w:r>
    </w:p>
    <w:p w:rsidR="00D904E5" w:rsidRPr="00845EB7" w:rsidRDefault="00D904E5" w:rsidP="00D904E5">
      <w:pPr>
        <w:keepNext/>
        <w:spacing w:after="0" w:line="240" w:lineRule="auto"/>
        <w:jc w:val="both"/>
        <w:rPr>
          <w:rFonts w:ascii="Times New Roman" w:hAnsi="Times New Roman"/>
          <w:sz w:val="24"/>
          <w:szCs w:val="24"/>
        </w:rPr>
      </w:pPr>
      <w:r w:rsidRPr="00845EB7">
        <w:rPr>
          <w:rFonts w:ascii="Times New Roman" w:hAnsi="Times New Roman"/>
          <w:sz w:val="24"/>
          <w:szCs w:val="24"/>
          <w:shd w:val="clear" w:color="auto" w:fill="FFFFFF"/>
        </w:rPr>
        <w:t xml:space="preserve">Navrhovanou zmenou sa v záujme právnej istoty pri určovaní základu dane podľa § 17 ods. 5 do zákona dopĺňa použitie metodiky OECD o transferovom oceňovaní, t. j. Smernice o transferovom oceňovaní pre nadnárodné spoločnosti a správu daní („Transfer Pricing Guidelines for Multinational Enterprises and Tax Administrations“), ktorá sa všeobecne využíva ako výkladová pomôcka v oblasti transferového oceňovania. </w:t>
      </w:r>
      <w:r w:rsidRPr="00845EB7">
        <w:rPr>
          <w:rFonts w:ascii="Times New Roman" w:hAnsi="Times New Roman"/>
          <w:sz w:val="24"/>
          <w:szCs w:val="24"/>
        </w:rPr>
        <w:t xml:space="preserve">Vláda Slovenskej republiky na svojom zasadnutí dňa 10. júna 1997 uznesením č. 428 súhlasila s prijatím Odporúčania Rady OECD pre vymedzenie ocenenia transferu medzi prepojenými spoločnosťami z 13. júla 1995 - C(95)126/Final. Navrhovaná úprava nemá zámer vytvoriť zo </w:t>
      </w:r>
      <w:r w:rsidRPr="00845EB7">
        <w:rPr>
          <w:rFonts w:ascii="Times New Roman" w:hAnsi="Times New Roman"/>
          <w:sz w:val="24"/>
          <w:szCs w:val="24"/>
        </w:rPr>
        <w:lastRenderedPageBreak/>
        <w:t xml:space="preserve">smernice OECD priamo záväzný prameň práva v SR, čo vyplýva priamo z jej charakteru, nakoľko nepredstavuje normatívny text. Na účely oboznámenia sa s obsahom tejto smernice bude príslušný hypertextový odkaz dostupný na webovom sídle ministerstva financií. </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Do ustanovenia sa zároveň z dôvodu právnej istoty dopĺňa postup správcu dane v situáciách, kedy ceny použité daňovým subjektom v transakcii so závislou osobou nezodpovedajú princípu nezávislého vzťahu podľa §17 ods. 5 písm. a), zvlášť keď ceny zodpovedajúce princípu nezávislého vzťahu sa zisťujú ako interval pozorovaných nezávislých hodnôt a hodnota použitá daňovým subjektom je mimo nezávislého intervalu. Pokiaľ daňovník preukáže, že vzhľadom na okolnosti prípadu je vhodnejšia úprava na inú hodnotu v rámci rozpätia nezávislých hodnôt, základ dane sa upraví podľa tejto hodnoty.</w:t>
      </w:r>
    </w:p>
    <w:p w:rsidR="00D904E5" w:rsidRPr="00845EB7" w:rsidRDefault="00D904E5" w:rsidP="00D904E5">
      <w:pPr>
        <w:spacing w:after="0" w:line="240" w:lineRule="auto"/>
        <w:jc w:val="both"/>
        <w:rPr>
          <w:rFonts w:ascii="Times New Roman" w:hAnsi="Times New Roman"/>
          <w:sz w:val="24"/>
          <w:szCs w:val="24"/>
        </w:rPr>
      </w:pPr>
    </w:p>
    <w:p w:rsidR="00D904E5" w:rsidRPr="00845EB7" w:rsidRDefault="00D904E5" w:rsidP="00D904E5">
      <w:pPr>
        <w:keepNext/>
        <w:spacing w:after="0" w:line="240" w:lineRule="auto"/>
        <w:jc w:val="both"/>
        <w:rPr>
          <w:rFonts w:ascii="Times New Roman" w:hAnsi="Times New Roman"/>
          <w:b/>
          <w:sz w:val="24"/>
          <w:szCs w:val="24"/>
        </w:rPr>
      </w:pPr>
      <w:r w:rsidRPr="00845EB7">
        <w:rPr>
          <w:rFonts w:ascii="Times New Roman" w:hAnsi="Times New Roman"/>
          <w:b/>
          <w:sz w:val="24"/>
          <w:szCs w:val="24"/>
        </w:rPr>
        <w:t xml:space="preserve">K bodom 14 až 18 - § 18 ods. 2 a 3 </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V § 18 ods. 2 písm. c) ZDP ide o legislatívno-technickú úpravu v súvislosti so zmenou definície v § 17 ods. 5 ZDP, v rámci ktorej sa pojem „obchodný vzťah“ nahradil pojmom „právny vzťah alebo iný obdobný vzťah“. </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Ustanovenia § 18 ods. 2 a 3 ZDP sa upravujú vzhľadom na potrebu zosúladenia znenia s aktuálnou metodikou Smernice OECD. V § 18 ods. 2 písm. b) a c) sa uvedené pojmy nahrádzajú novými, z dôvodu vhodnejšieho odlišovania metódy následného predaja a metódy zvýšených nákladov od metódy čistého obchodného rozpätia podľa § 18 ods. 3 písm. b) ZDP. </w:t>
      </w:r>
    </w:p>
    <w:p w:rsidR="00D904E5" w:rsidRPr="00845EB7" w:rsidRDefault="00D904E5" w:rsidP="00D904E5">
      <w:pPr>
        <w:spacing w:after="0" w:line="240" w:lineRule="auto"/>
        <w:jc w:val="both"/>
        <w:rPr>
          <w:rFonts w:ascii="Times New Roman" w:hAnsi="Times New Roman"/>
          <w:sz w:val="24"/>
          <w:szCs w:val="24"/>
        </w:rPr>
      </w:pP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t>K bodu 19 - § 18 ods. 5</w:t>
      </w:r>
    </w:p>
    <w:p w:rsidR="00D904E5"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Za účelom odstránenia problémov pri vydávaní rozhodnutí o bilaterálnych a multilaterálnych odsúhlaseniach použitia metódy ocenenia, v prípade, ak sa príslušné orgány dohodli na použití metódy ocenenia aj za zdaňovacie obdobia pred podaním žiadosti (tzv. „rollback“) sa dopĺňa možnosť vydať rozhodnutie aj na viac ako päť zdaňovacích období.</w:t>
      </w:r>
    </w:p>
    <w:p w:rsidR="00D904E5" w:rsidRDefault="00D904E5" w:rsidP="00D904E5">
      <w:pPr>
        <w:spacing w:after="0" w:line="240" w:lineRule="auto"/>
        <w:jc w:val="both"/>
        <w:rPr>
          <w:rFonts w:ascii="Times New Roman" w:hAnsi="Times New Roman"/>
          <w:sz w:val="24"/>
          <w:szCs w:val="24"/>
        </w:rPr>
      </w:pPr>
    </w:p>
    <w:p w:rsidR="00D904E5"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t>K bodu 20 - § 18 ods. 11</w:t>
      </w:r>
    </w:p>
    <w:p w:rsidR="00D904E5"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Za účelom odstránenia pretrvávajúcich problémov, ktoré v praxi spôsobuje aktuálne znenie § 18 ods. 11 ZDP sa mení postup predkladania dokumentácie, a to tak, aby bolo možné dokumentáciu najprv predložiť v cudzom jazyku a následne, ak by správca dane požadoval dokumentáciu aj v štátnom jazyku, tak má možnosť vyzvať daňovníka a ten by bol povinný v lehote do 15 dní odo dňa doručenia výzvy predložiť dokumentáciu v štátnom jazyku. </w:t>
      </w:r>
    </w:p>
    <w:p w:rsidR="00D904E5"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Uvedenou zmenou sa vyrieši problém pri predkladaní dokumentácie ako na strane daňovníka tak aj na strane správcu dane, alebo finančného riaditeľstva.  </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Zároveň sa vypúšťa slovné spojenie „v odôvodnených prípadoch“. Správca dane alebo finančné riaditeľstvo vydáva výzvu na predloženie dokumentácie na základe vlastnej úvahy, spravidla po predbežnom vyhodnotení miery rizika nesprávneho nastavenia transferových cien u daňového subjektu.</w:t>
      </w:r>
    </w:p>
    <w:p w:rsidR="00D904E5" w:rsidRDefault="00D904E5" w:rsidP="00D904E5">
      <w:pPr>
        <w:keepNext/>
        <w:spacing w:after="0" w:line="240" w:lineRule="auto"/>
        <w:jc w:val="both"/>
        <w:rPr>
          <w:rFonts w:ascii="Times New Roman" w:hAnsi="Times New Roman"/>
          <w:b/>
          <w:sz w:val="24"/>
          <w:szCs w:val="24"/>
        </w:rPr>
      </w:pPr>
    </w:p>
    <w:p w:rsidR="00D904E5" w:rsidRPr="00845EB7" w:rsidRDefault="00D904E5" w:rsidP="00D904E5">
      <w:pPr>
        <w:keepNext/>
        <w:spacing w:after="0" w:line="240" w:lineRule="auto"/>
        <w:jc w:val="both"/>
        <w:rPr>
          <w:rFonts w:ascii="Times New Roman" w:hAnsi="Times New Roman"/>
          <w:b/>
          <w:sz w:val="24"/>
          <w:szCs w:val="24"/>
        </w:rPr>
      </w:pPr>
      <w:r w:rsidRPr="00845EB7">
        <w:rPr>
          <w:rFonts w:ascii="Times New Roman" w:hAnsi="Times New Roman"/>
          <w:b/>
          <w:sz w:val="24"/>
          <w:szCs w:val="24"/>
        </w:rPr>
        <w:t>K bodu 21 - § 19 ods. 2 písm. h) siedmy bod</w:t>
      </w:r>
    </w:p>
    <w:p w:rsidR="00D904E5" w:rsidRPr="00845EB7" w:rsidRDefault="00D904E5" w:rsidP="00D904E5">
      <w:pPr>
        <w:shd w:val="clear" w:color="auto" w:fill="FFFFFF"/>
        <w:spacing w:after="0" w:line="240" w:lineRule="auto"/>
        <w:jc w:val="both"/>
        <w:rPr>
          <w:rFonts w:ascii="Times New Roman" w:hAnsi="Times New Roman"/>
          <w:bCs/>
          <w:kern w:val="36"/>
          <w:sz w:val="24"/>
          <w:szCs w:val="24"/>
          <w:lang w:eastAsia="cs-CZ"/>
        </w:rPr>
      </w:pPr>
      <w:r w:rsidRPr="00845EB7">
        <w:rPr>
          <w:rFonts w:ascii="Times New Roman" w:hAnsi="Times New Roman"/>
          <w:bCs/>
          <w:kern w:val="36"/>
          <w:sz w:val="24"/>
          <w:szCs w:val="24"/>
          <w:lang w:eastAsia="cs-CZ"/>
        </w:rPr>
        <w:t xml:space="preserve">Do ustanovenia § 19 ods. 2 písm. h) zákona č. 595/2003 Z. z. o dani z príjmov v znení neskorších predpisov, ktorý upravuje situácie tzv. zákonného a daňovo uznaného odpisu pohľadávok, sa dopĺňa situácia zániku pohľadávky v dôsledku jej odpustenia pri tzv. preventívnej reštrukturalizácii podľa zákona č. 111/2022 Z. z. o riešení hroziaceho úpadku a o zmene a doplnení niektorých zákonov. Predmetom zákona o riešení hroziaceho úpadku, ktorý upravuje inštitúty verejnej a neverejnej preventívnej reštrukturalizácie a ktorý je transpozíciou smernice Európskeho parlamentu a Rady EÚ 2019/1023 z 20. júna 2019 o rámcoch preventívnej reštrukturalizácie, o oddlžení a diskvalifikácii a o opatreniach na zvýšenie účinnosti reštrukturalizačných, konkurzných a oddlžovacích konaní a o zmene smernice (EÚ) 2017/1132 (Smernica o reštrukturalizácii a insolvencii) (Ú. v. EÚ L 172, </w:t>
      </w:r>
      <w:r w:rsidRPr="00845EB7">
        <w:rPr>
          <w:rFonts w:ascii="Times New Roman" w:hAnsi="Times New Roman"/>
          <w:bCs/>
          <w:kern w:val="36"/>
          <w:sz w:val="24"/>
          <w:szCs w:val="24"/>
          <w:lang w:eastAsia="cs-CZ"/>
        </w:rPr>
        <w:lastRenderedPageBreak/>
        <w:t xml:space="preserve">26.6.2019), je riešiť hroziaci úpadok v preventívnom konaní prostredníctvom súboru reštrukturalizačných opatrení. Jedným z reštrukturalizačných opatrení je aj odpustenie, resp. čiastočné odpustenie záväzku (pohľadávky). Preventívna reštrukturalizácia spočíva na aktívnom jednaní dlžníka, ktorý podáva návrh na jej začatie. Úlohou je vypracovať plán, ktorý obsahuje reštrukturalizačné opatrenia, a v rámci nich môže obsahovať aj odpustenie záväzku dlžníka. Takéto odpustenie záväzku v preventívnej reštrukturalizácii je u veriteľa porovnateľné s ostatnými situáciami odpisu pohľadávky uvedenými v ostatných bodoch v § 19 ods. 2 písm. h) zákona o dani z príjmov. Preto pohľadávka bude v rozsahu, v akom je záväzok (dlh) podľa potvrdeného plánu odpustený, u veriteľa daňovým výdavkom. Na strane dlžníka sa bude naďalej postupovať štandardne, ako zákon o dani z príjmov pri odpise záväzku predpokladá (buď ako súčasť výsledku hospodárenia alebo uplatnením § 17 ods. 32). </w:t>
      </w:r>
    </w:p>
    <w:p w:rsidR="00D904E5" w:rsidRPr="00845EB7" w:rsidRDefault="00D904E5" w:rsidP="00D904E5">
      <w:pPr>
        <w:shd w:val="clear" w:color="auto" w:fill="FFFFFF"/>
        <w:spacing w:after="0" w:line="240" w:lineRule="auto"/>
        <w:jc w:val="both"/>
        <w:rPr>
          <w:rFonts w:ascii="Times New Roman" w:hAnsi="Times New Roman"/>
          <w:bCs/>
          <w:kern w:val="36"/>
          <w:sz w:val="24"/>
          <w:szCs w:val="24"/>
          <w:lang w:eastAsia="cs-CZ"/>
        </w:rPr>
      </w:pPr>
    </w:p>
    <w:p w:rsidR="00D904E5" w:rsidRPr="00845EB7" w:rsidRDefault="00D904E5" w:rsidP="00D904E5">
      <w:pPr>
        <w:shd w:val="clear" w:color="auto" w:fill="FFFFFF"/>
        <w:spacing w:after="0" w:line="240" w:lineRule="auto"/>
        <w:jc w:val="both"/>
        <w:rPr>
          <w:rFonts w:ascii="Times New Roman" w:hAnsi="Times New Roman"/>
          <w:bCs/>
          <w:kern w:val="36"/>
          <w:sz w:val="24"/>
          <w:szCs w:val="24"/>
          <w:lang w:eastAsia="cs-CZ"/>
        </w:rPr>
      </w:pPr>
      <w:r w:rsidRPr="00845EB7">
        <w:rPr>
          <w:rFonts w:ascii="Times New Roman" w:hAnsi="Times New Roman"/>
          <w:b/>
          <w:sz w:val="24"/>
          <w:szCs w:val="24"/>
        </w:rPr>
        <w:t xml:space="preserve">K bodom 22 a 24 až 26 - § 20 ods. 2 písm. c), § 20 ods. 11, 12 a 24 </w:t>
      </w:r>
    </w:p>
    <w:p w:rsidR="00D904E5" w:rsidRPr="00845EB7" w:rsidRDefault="00D904E5" w:rsidP="00D904E5">
      <w:pPr>
        <w:shd w:val="clear" w:color="auto" w:fill="FFFFFF"/>
        <w:spacing w:after="0" w:line="240" w:lineRule="auto"/>
        <w:jc w:val="both"/>
        <w:rPr>
          <w:rFonts w:ascii="Times New Roman" w:hAnsi="Times New Roman"/>
          <w:bCs/>
          <w:kern w:val="36"/>
          <w:sz w:val="24"/>
          <w:szCs w:val="24"/>
          <w:lang w:eastAsia="cs-CZ"/>
        </w:rPr>
      </w:pPr>
      <w:r w:rsidRPr="00845EB7">
        <w:rPr>
          <w:rFonts w:ascii="Times New Roman" w:hAnsi="Times New Roman"/>
          <w:bCs/>
          <w:kern w:val="36"/>
          <w:sz w:val="24"/>
          <w:szCs w:val="24"/>
          <w:lang w:eastAsia="cs-CZ"/>
        </w:rPr>
        <w:t xml:space="preserve">Do ustanovenia § 20 sa v ods. 2 písm. c) a ods. 24 dopĺňa možnosť zahrnovania tvorby opravných položiek k pohľadávkam voči dlžníkovi v preventívnom reštrukturalizačnom konaní do daňových výdavkov, a to obdobne, ako je tomu v prípade pohľadávok voči dlžníkovi v tzv. klasickej (úpadkovej) reštrukturalizácii. V ustanovení § 20 odsekoch 11 a 12 boli vykonané nadväzujúce úpravy. </w:t>
      </w:r>
    </w:p>
    <w:p w:rsidR="00D904E5" w:rsidRPr="00845EB7" w:rsidRDefault="00D904E5" w:rsidP="00D904E5">
      <w:pPr>
        <w:shd w:val="clear" w:color="auto" w:fill="FFFFFF"/>
        <w:spacing w:after="0" w:line="240" w:lineRule="auto"/>
        <w:jc w:val="both"/>
        <w:rPr>
          <w:rFonts w:ascii="Times New Roman" w:hAnsi="Times New Roman"/>
          <w:bCs/>
          <w:kern w:val="36"/>
          <w:sz w:val="24"/>
          <w:szCs w:val="24"/>
          <w:lang w:eastAsia="cs-CZ"/>
        </w:rPr>
      </w:pPr>
    </w:p>
    <w:p w:rsidR="00D904E5" w:rsidRPr="00845EB7" w:rsidRDefault="00D904E5" w:rsidP="00D904E5">
      <w:pPr>
        <w:shd w:val="clear" w:color="auto" w:fill="FFFFFF"/>
        <w:spacing w:after="0" w:line="240" w:lineRule="auto"/>
        <w:jc w:val="both"/>
        <w:rPr>
          <w:rFonts w:ascii="Times New Roman" w:hAnsi="Times New Roman"/>
          <w:b/>
          <w:bCs/>
          <w:kern w:val="36"/>
          <w:sz w:val="24"/>
          <w:szCs w:val="24"/>
          <w:lang w:eastAsia="cs-CZ"/>
        </w:rPr>
      </w:pPr>
      <w:r w:rsidRPr="00845EB7">
        <w:rPr>
          <w:rFonts w:ascii="Times New Roman" w:hAnsi="Times New Roman"/>
          <w:b/>
          <w:bCs/>
          <w:kern w:val="36"/>
          <w:sz w:val="24"/>
          <w:szCs w:val="24"/>
          <w:lang w:eastAsia="cs-CZ"/>
        </w:rPr>
        <w:t>K bodu 23 - § 20 ods. 8</w:t>
      </w:r>
    </w:p>
    <w:p w:rsidR="00D904E5" w:rsidRPr="00845EB7" w:rsidRDefault="00D904E5" w:rsidP="00D904E5">
      <w:pPr>
        <w:shd w:val="clear" w:color="auto" w:fill="FFFFFF"/>
        <w:spacing w:after="0" w:line="240" w:lineRule="auto"/>
        <w:jc w:val="both"/>
        <w:rPr>
          <w:rFonts w:ascii="Times New Roman" w:hAnsi="Times New Roman"/>
          <w:bCs/>
          <w:sz w:val="24"/>
          <w:szCs w:val="24"/>
        </w:rPr>
      </w:pPr>
      <w:r w:rsidRPr="00845EB7">
        <w:rPr>
          <w:rFonts w:ascii="Times New Roman" w:hAnsi="Times New Roman"/>
          <w:sz w:val="24"/>
          <w:szCs w:val="24"/>
          <w:lang w:eastAsia="cs-CZ"/>
        </w:rPr>
        <w:t xml:space="preserve">V nadväznosti na prijatie nového medzinárodného štandardu finančného výkazníctva (IFRS 17) – Poistné zmluvy, ktorý nahrádza dočasný IFRS 4 – Poistné zmluvy sa navrhuje úprava znenia § 20 ods. 8 zákona o dani z príjmov, ktorý doteraz upravuje zahrnovanie technických rezerv vytváraných v poisťovníctve do daňových výdavkov. Doterajší daňový režim v § 20 ods. 8 nadväzoval aj na účtovnú tvorbu technických rezerv a ich zúčtovanie, t. j. rozpustenie alebo použitie s tým, že zákon o dani z príjmov limitoval iba výšku takto vykázaných technických rezerv a pri ich rozpustení alebo použití podľa toho, ako boli vykázané podľa IFRS v účtovníctve upravoval vplyv na základ dane. Zákon o dani z príjmov však neupravoval spôsob a výpočet ich tvorby – uvedené vychádzalo zo zákona o poisťovníctve. IFRS 17 oproti IFRS 4 upravuje celkový prístup vykazovania poistných zmlúv. Vykazovanie spočíva predovšetkým v naviazaní vybraných položiek na diskontované cash-flow. Menia sa zložky vstupujúce do výpočtu záväzkov, ak aj finančné a iné riziká brané do úvahy pri ich výpočte a mení sa ich celkové vykazovanie. Podľa IFRS 17 už nevykazuje poisťovňa technické rezervy ako budúce očakávané odhadované záväzky. Poisťovňa bude vykazovať záväzky z poistných zmlúv priebežne počas trvania poistnej zmluvy diskontovaním cash-flow na súčasnú hodnotu. Vzhľadom k tomu, že poisťovne uplatnením IFRS 17 nebudú vykazovať technické rezervy, t. j. budúce odhadované záväzky, ale vykážu záväzky na základe diskontovaného cash-flow, takto vykázané náklady už nespĺňajú definíciu rezervy, a tak ako iné záväzky, budú daňovým výdavkom v súlade s účtovníctvom. Zároveň ide o zjednodušenie zisťovania základu prostredníctvom odstraňovania rozdielov medzi účtovným a daňovým posúdením nákladov a výnosov. Prijatím tejto úpravy v oblasti vykazovania záväzkov z poistných zmlúv, ostávajú ostatné ustanovenia zákona o dani z príjmov nedotknuté, napr. ustanovenia týkajúce sa opravných položiek k pohľadávkam, odpisu pohľadávok, úprav základu dane pri neuhradených záväzkoch a pod.  Pri prvotnom uplatnení štandardov z dôvodu zmeny účtovnej metódy, ktorou je aj zmena vo vykazovaní poistných zmlúv, zmeny vykázané vo vlastnom imaní, ktoré by mali vplyv na zdaniteľné príjmy alebo daňové výdavky sa zahrnú do základu dane v súlade s navrhovaným prechodným ustanovením § 52zzn ods. 1 a zároveň sa pri prvotnom uplatnení štandardu z dôvodu zmeny účtovnej metódy neuplatní postup podľa prvej vety § 17 ods. 15 zákona o dani z príjmov. </w:t>
      </w:r>
    </w:p>
    <w:p w:rsidR="00D904E5" w:rsidRPr="00845EB7" w:rsidRDefault="00D904E5" w:rsidP="00D904E5">
      <w:pPr>
        <w:shd w:val="clear" w:color="auto" w:fill="FFFFFF"/>
        <w:spacing w:after="0" w:line="240" w:lineRule="auto"/>
        <w:jc w:val="both"/>
        <w:rPr>
          <w:rFonts w:ascii="Times New Roman" w:hAnsi="Times New Roman"/>
          <w:bCs/>
          <w:kern w:val="36"/>
          <w:sz w:val="24"/>
          <w:szCs w:val="24"/>
          <w:lang w:eastAsia="cs-CZ"/>
        </w:rPr>
      </w:pPr>
    </w:p>
    <w:p w:rsidR="00D904E5" w:rsidRPr="00845EB7" w:rsidRDefault="00D904E5" w:rsidP="00D904E5">
      <w:pPr>
        <w:shd w:val="clear" w:color="auto" w:fill="FFFFFF"/>
        <w:spacing w:after="0" w:line="240" w:lineRule="auto"/>
        <w:jc w:val="both"/>
        <w:rPr>
          <w:rFonts w:ascii="Times New Roman" w:hAnsi="Times New Roman"/>
          <w:b/>
          <w:bCs/>
          <w:kern w:val="36"/>
          <w:sz w:val="24"/>
          <w:szCs w:val="24"/>
          <w:lang w:eastAsia="cs-CZ"/>
        </w:rPr>
      </w:pPr>
      <w:r w:rsidRPr="00845EB7">
        <w:rPr>
          <w:rFonts w:ascii="Times New Roman" w:hAnsi="Times New Roman"/>
          <w:b/>
          <w:bCs/>
          <w:kern w:val="36"/>
          <w:sz w:val="24"/>
          <w:szCs w:val="24"/>
          <w:lang w:eastAsia="cs-CZ"/>
        </w:rPr>
        <w:lastRenderedPageBreak/>
        <w:t>K bodom 27 a 28 - § 21a ods. 1 a 4</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V § 21a ods. 1 sa v nadväznosti na zavedenie § 17k v nadväznosti na aplikačnú prax spresňuje, že § 21a sa neaplikuje ani na úrokové náklady kapitalizované do majetku v ocenení vlastnými nákladmi. V novom odseku 4 sa odstraňuje kolízia uplatnenia § 17k a § 21a tak, že pri zisťovaní základu dane sa prednostne skúma aplikovateľnosť § 17k a ak daňovník zvýši základ dane podľa § 17k, následne sa už neuplatní § 21a.</w:t>
      </w:r>
    </w:p>
    <w:p w:rsidR="00D904E5" w:rsidRPr="00845EB7" w:rsidRDefault="00D904E5" w:rsidP="00D904E5">
      <w:pPr>
        <w:spacing w:after="0" w:line="240" w:lineRule="auto"/>
        <w:jc w:val="both"/>
        <w:rPr>
          <w:rFonts w:ascii="Times New Roman" w:hAnsi="Times New Roman"/>
          <w:sz w:val="24"/>
          <w:szCs w:val="24"/>
        </w:rPr>
      </w:pP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t xml:space="preserve">K bodom 29 až 31 - § 32 ods. 6 a § 33 ods. 9, 11 a 12 </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Navrhovanou úpravou sa umožní oprávnenej osobe douplatňovať celý nárok na daňový bonus na vyživované dieťa (deti) v prípade, ak jej nepostačuje základ dane (čiastkový základ dane) z príjmov podľa § 5 alebo základ dane (čiastkový základ dane) z príjmov podľa § 6 ods. 1 a 2 alebo ich úhrn na uplatnenie celej výšky daňového bonusu stanovenej v odseku 1 písm. a) a b). Táto oprávnená osoba si pre účely uplatnenia daňového bonusu môže sčítavať svoj základ dane (čiastkový základ dane) z príjmov podľa § 5 alebo základ dane (čiastkový základ dane) z príjmov podľa § 6 ods. 1 a 2 alebo ich úhrn spolu so základom dane (čiastkovým základom dane) druhou osobou, ktorá žije v domácnosti s vyživovaným dieťaťom, pričom toto navýšenie vykoná sama výlučne cez daňové priznanie. Ak druhá oprávnená osoba, ktorej základ dane (čiastkový základ dane) sa má pripočítať k základu dane (čiastkového základu dane) oprávnenej osoby, ktorá si uplatňuje daňový bonus, spĺňa podmienky pre uplatnenie daňového bonusu len časť zdaňovacieho obdobia, je možné pripočítať u oprávnenej osoby, ktorá si uplatňuje nárok na daňový bonus len pomernú časť základu dane druhej oprávnenej osoby zodpovedajúcu pomernej časti pripadajúcej k  počtu mesiacov, na začiatku ktorých táto druhá oprávnená osoby splnila podmienky na uplatnenie daňového bonusu.</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V navrhovanej úprave odseku 11 sa uvádza postup výpočtu v prípadoch, ak v priebehu zdaňovacieho obdobia sa mení počet vyživovaných deti pre účely uplatnenia daňového bonusu. </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V odseku 12 sa navrhuje spresnenie prípadov, keď daňovníkovi (zamestnancovi) zamestnávateľ v priebehu roka priznal vyšší nárok na daňový bonus ako mu vyšiel po skončení zdaňovacieho obdobia pri vykonanom ročnom zúčtovaní alebo podaní daňového priznania, podľa ktorého sa nárok na už priznaný daňový bonus nestráca.</w:t>
      </w: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t>K bodu 32 - § 43 ods. 2</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Ide o legislatívno-technickú úpravu. </w:t>
      </w:r>
    </w:p>
    <w:p w:rsidR="00D904E5" w:rsidRPr="00845EB7" w:rsidRDefault="00D904E5" w:rsidP="00D904E5">
      <w:pPr>
        <w:spacing w:after="0" w:line="240" w:lineRule="auto"/>
        <w:jc w:val="both"/>
        <w:rPr>
          <w:rFonts w:ascii="Times New Roman" w:hAnsi="Times New Roman"/>
          <w:sz w:val="24"/>
          <w:szCs w:val="24"/>
        </w:rPr>
      </w:pP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t>K bodu 33 - § 49 ods. 8</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Ide o legislatívno-technickú úpravu. </w:t>
      </w:r>
    </w:p>
    <w:p w:rsidR="00D904E5" w:rsidRPr="00845EB7" w:rsidRDefault="00D904E5" w:rsidP="00D904E5">
      <w:pPr>
        <w:spacing w:after="0" w:line="240" w:lineRule="auto"/>
        <w:jc w:val="both"/>
        <w:rPr>
          <w:rFonts w:ascii="Times New Roman" w:hAnsi="Times New Roman"/>
          <w:sz w:val="24"/>
          <w:szCs w:val="24"/>
        </w:rPr>
      </w:pP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t>K bodom 34 až 36 - § 49a ods. 1, 2, 12 a 13</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Upravuje sa spôsob registrácie daňovníkov na daň z príjmov. Od 1. 1. 2023 bude správca dane registrovať daňovníkov na daň z príjmov z úradnej moci na základe údajov z registra právnických osôb, podnikateľov a orgánov verejnej moci a to tie, ktoré boli, resp. budú exportované do tohto registra zo zdrojových registrov, ktorými sú obchodný register a živnostenský register. Správca dane bude registrovať daňovníkov na daň z príjmov z úradnej moci  na základe údajov zapísaných do registra právnických osôb, podnikateľov a orgánov verejnej moci z iných registrov ako je obchodný register a živnostenský register na základe oznámenia, ktoré bude zverejnené na webovom sídle Finančného riaditeľstva SR. </w:t>
      </w:r>
    </w:p>
    <w:p w:rsidR="00D904E5" w:rsidRPr="00845EB7" w:rsidRDefault="00D904E5" w:rsidP="00D904E5">
      <w:pPr>
        <w:spacing w:after="0" w:line="240" w:lineRule="auto"/>
        <w:jc w:val="both"/>
        <w:rPr>
          <w:rFonts w:ascii="Times New Roman" w:hAnsi="Times New Roman"/>
          <w:sz w:val="24"/>
          <w:szCs w:val="24"/>
        </w:rPr>
      </w:pPr>
    </w:p>
    <w:p w:rsidR="000212DB" w:rsidRDefault="000212DB" w:rsidP="00D904E5">
      <w:pPr>
        <w:spacing w:after="0" w:line="240" w:lineRule="auto"/>
        <w:jc w:val="both"/>
        <w:rPr>
          <w:rFonts w:ascii="Times New Roman" w:hAnsi="Times New Roman"/>
          <w:b/>
          <w:sz w:val="24"/>
          <w:szCs w:val="24"/>
        </w:rPr>
      </w:pP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t>K bodu 37 - § 52zzn ods. 1</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Úpravou dochádza k spresneniu ustanovenia v nadväznosti na doplnenie nových odsekov 15 a 16. Ide o legislatívno-technické spresneniu z dôvodu výpočtu daňového bonusu, ak sa v priebehu roku mení počet vyživovaných detí, na ktoré sa uplatňuje daňový bonus, ktoré sa </w:t>
      </w:r>
      <w:r w:rsidRPr="00845EB7">
        <w:rPr>
          <w:rFonts w:ascii="Times New Roman" w:hAnsi="Times New Roman"/>
          <w:sz w:val="24"/>
          <w:szCs w:val="24"/>
        </w:rPr>
        <w:lastRenderedPageBreak/>
        <w:t xml:space="preserve">bude vykonávať pri ročnom zúčtovaní v roku 2023 za zdaňovacie obdobie 2022 a pri podaní daňovom priznaní podávanom v roku 2023 za zdaňovacie obdobie 2022. </w:t>
      </w:r>
    </w:p>
    <w:p w:rsidR="00D904E5" w:rsidRPr="00845EB7" w:rsidRDefault="00D904E5" w:rsidP="00D904E5">
      <w:pPr>
        <w:spacing w:after="0" w:line="240" w:lineRule="auto"/>
        <w:jc w:val="both"/>
        <w:rPr>
          <w:rFonts w:ascii="Times New Roman" w:hAnsi="Times New Roman"/>
          <w:b/>
          <w:sz w:val="24"/>
          <w:szCs w:val="24"/>
        </w:rPr>
      </w:pP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t>K bodu 38 - § 52zzn ods. 15 a 16</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Uvedenou úpravou dochádza k spresneniu už schváleného výpočtu daňového bonusu pri ročnom zúčtovaní za rok 2022, ktoré sa bude vykonávať v roku 2023 alebo pri daňovom priznaní za zdaňovacie obdobie 2022, ktoré sa bude podávať v roku 2023. </w:t>
      </w:r>
    </w:p>
    <w:p w:rsidR="00D904E5" w:rsidRPr="00845EB7" w:rsidRDefault="00D904E5" w:rsidP="00D904E5">
      <w:pPr>
        <w:spacing w:after="0" w:line="240" w:lineRule="auto"/>
        <w:jc w:val="both"/>
        <w:rPr>
          <w:rFonts w:ascii="Times New Roman" w:hAnsi="Times New Roman"/>
          <w:sz w:val="24"/>
          <w:szCs w:val="24"/>
        </w:rPr>
      </w:pPr>
    </w:p>
    <w:p w:rsidR="00D904E5" w:rsidRPr="00845EB7" w:rsidRDefault="00D904E5" w:rsidP="00D904E5">
      <w:pPr>
        <w:spacing w:after="0" w:line="240" w:lineRule="auto"/>
        <w:jc w:val="both"/>
        <w:rPr>
          <w:rFonts w:ascii="Times New Roman" w:hAnsi="Times New Roman"/>
          <w:sz w:val="24"/>
          <w:szCs w:val="24"/>
          <w:u w:val="single"/>
        </w:rPr>
      </w:pPr>
      <w:r w:rsidRPr="00845EB7">
        <w:rPr>
          <w:rFonts w:ascii="Times New Roman" w:hAnsi="Times New Roman"/>
          <w:sz w:val="24"/>
          <w:szCs w:val="24"/>
          <w:u w:val="single"/>
        </w:rPr>
        <w:t>Príklad</w:t>
      </w:r>
    </w:p>
    <w:p w:rsidR="00D904E5" w:rsidRPr="00845EB7" w:rsidRDefault="00D904E5" w:rsidP="00D904E5">
      <w:pPr>
        <w:tabs>
          <w:tab w:val="left" w:pos="5670"/>
        </w:tabs>
        <w:spacing w:after="0" w:line="240" w:lineRule="auto"/>
        <w:jc w:val="both"/>
        <w:rPr>
          <w:rFonts w:ascii="Times New Roman" w:hAnsi="Times New Roman"/>
          <w:i/>
          <w:sz w:val="24"/>
          <w:szCs w:val="24"/>
        </w:rPr>
      </w:pPr>
      <w:r w:rsidRPr="00845EB7">
        <w:rPr>
          <w:rFonts w:ascii="Times New Roman" w:hAnsi="Times New Roman"/>
          <w:i/>
          <w:sz w:val="24"/>
          <w:szCs w:val="24"/>
        </w:rPr>
        <w:t xml:space="preserve">Zamestnanec poberal príjmy zo závislej činnosti od jedného zamestnávateľa v mesiacoch január a február, ktorý mu uplatnil daňový bonus na tri deti vo veku do 6 rokov v sume 141,42 € mesačne (47,14 € x 3 deti). V mesiacoch marec až júl bol zamestnanec nezamestnaný, ale od augusta začal poberať príjmy zo závislej činnosti od nového zamestnávateľa. V septembri sa zamestnanec oženil, a od októbra si začal uplatňovať nárok na daňový bonus aj na manželkine dve deti vo veku nad 15 rokov. Zamestnanec, pri uplatnení daňového bonusu u nového zamestnávateľa, vo vyhlásení podľa § 36 ods. 6 ZDP uviedol aj tú skutočnosť, že závislú činnosť, z ktorej dosahuje zdaniteľné príjmy podľa § 5 ZDP vykonával aj v prvom polroku 2022. Zamestnávatelia v priebehu roka vyplatil zamestnancovi daňový bonus (pozri tabuľku č. 1). V akej sume má zamestnanec nárok na daňový bonus za celý rok 2022, ak nemá iné príjmy podľa § 5 ani príjmy podľa § 6 ods. 1 a 2 ZDP? </w:t>
      </w:r>
    </w:p>
    <w:p w:rsidR="00D904E5" w:rsidRPr="00845EB7" w:rsidRDefault="00D904E5" w:rsidP="00D904E5">
      <w:pPr>
        <w:pStyle w:val="Normlny1"/>
        <w:spacing w:after="0" w:line="240" w:lineRule="auto"/>
        <w:ind w:left="284"/>
        <w:jc w:val="both"/>
        <w:rPr>
          <w:rFonts w:ascii="Times New Roman" w:hAnsi="Times New Roman" w:cs="Times New Roman"/>
          <w:i/>
          <w:color w:val="auto"/>
          <w:sz w:val="24"/>
          <w:szCs w:val="24"/>
        </w:rPr>
      </w:pPr>
    </w:p>
    <w:p w:rsidR="00D904E5" w:rsidRPr="00845EB7" w:rsidRDefault="00D904E5" w:rsidP="00D904E5">
      <w:pPr>
        <w:pStyle w:val="Normlny1"/>
        <w:spacing w:after="0" w:line="240" w:lineRule="auto"/>
        <w:ind w:left="284"/>
        <w:jc w:val="both"/>
        <w:rPr>
          <w:rFonts w:ascii="Arial Narrow" w:hAnsi="Arial Narrow" w:cs="Arial Narrow"/>
          <w:i/>
          <w:color w:val="auto"/>
          <w:sz w:val="18"/>
          <w:szCs w:val="18"/>
        </w:rPr>
      </w:pPr>
      <w:r w:rsidRPr="00845EB7">
        <w:rPr>
          <w:rFonts w:ascii="Arial Narrow" w:hAnsi="Arial Narrow" w:cs="Arial Narrow"/>
          <w:i/>
          <w:color w:val="auto"/>
          <w:sz w:val="18"/>
          <w:szCs w:val="18"/>
        </w:rPr>
        <w:t>Tabuľka č. 1 Uplatnenie daňového bonusu v priebehu zdaňovacieho obdobia a súhrnné údaje za celý rok</w:t>
      </w:r>
    </w:p>
    <w:tbl>
      <w:tblPr>
        <w:tblW w:w="9527" w:type="dxa"/>
        <w:tblInd w:w="137" w:type="dxa"/>
        <w:tblLayout w:type="fixed"/>
        <w:tblCellMar>
          <w:left w:w="70" w:type="dxa"/>
          <w:right w:w="70" w:type="dxa"/>
        </w:tblCellMar>
        <w:tblLook w:val="04A0" w:firstRow="1" w:lastRow="0" w:firstColumn="1" w:lastColumn="0" w:noHBand="0" w:noVBand="1"/>
      </w:tblPr>
      <w:tblGrid>
        <w:gridCol w:w="851"/>
        <w:gridCol w:w="992"/>
        <w:gridCol w:w="850"/>
        <w:gridCol w:w="851"/>
        <w:gridCol w:w="992"/>
        <w:gridCol w:w="992"/>
        <w:gridCol w:w="993"/>
        <w:gridCol w:w="992"/>
        <w:gridCol w:w="992"/>
        <w:gridCol w:w="1022"/>
      </w:tblGrid>
      <w:tr w:rsidR="00D904E5" w:rsidRPr="00845EB7" w:rsidTr="00331E6D">
        <w:trPr>
          <w:trHeight w:val="331"/>
        </w:trPr>
        <w:tc>
          <w:tcPr>
            <w:tcW w:w="1843" w:type="dxa"/>
            <w:gridSpan w:val="2"/>
            <w:tcBorders>
              <w:top w:val="single" w:sz="4" w:space="0" w:color="auto"/>
              <w:left w:val="single" w:sz="4" w:space="0" w:color="auto"/>
              <w:bottom w:val="single" w:sz="4" w:space="0" w:color="auto"/>
              <w:right w:val="single" w:sz="4" w:space="0" w:color="auto"/>
            </w:tcBorders>
            <w:noWrap/>
            <w:vAlign w:val="bottom"/>
            <w:hideMark/>
          </w:tcPr>
          <w:p w:rsidR="00D904E5" w:rsidRPr="00845EB7" w:rsidRDefault="00D904E5" w:rsidP="00331E6D">
            <w:pPr>
              <w:spacing w:after="0" w:line="240" w:lineRule="auto"/>
              <w:rPr>
                <w:rFonts w:ascii="Times New Roman" w:hAnsi="Times New Roman"/>
                <w:i/>
                <w:lang w:eastAsia="sk-SK"/>
              </w:rPr>
            </w:pPr>
            <w:r w:rsidRPr="00845EB7">
              <w:rPr>
                <w:rFonts w:ascii="Times New Roman" w:hAnsi="Times New Roman"/>
                <w:i/>
                <w:lang w:eastAsia="sk-SK"/>
              </w:rPr>
              <w:t> </w:t>
            </w:r>
          </w:p>
        </w:tc>
        <w:tc>
          <w:tcPr>
            <w:tcW w:w="850" w:type="dxa"/>
            <w:tcBorders>
              <w:top w:val="single" w:sz="4" w:space="0" w:color="auto"/>
              <w:left w:val="nil"/>
              <w:bottom w:val="single" w:sz="4" w:space="0" w:color="auto"/>
              <w:right w:val="single" w:sz="4" w:space="0" w:color="auto"/>
            </w:tcBorders>
            <w:noWrap/>
            <w:vAlign w:val="bottom"/>
            <w:hideMark/>
          </w:tcPr>
          <w:p w:rsidR="00D904E5" w:rsidRPr="00845EB7" w:rsidRDefault="00D904E5" w:rsidP="00331E6D">
            <w:pPr>
              <w:spacing w:after="0" w:line="240" w:lineRule="auto"/>
              <w:rPr>
                <w:rFonts w:ascii="Times New Roman" w:hAnsi="Times New Roman"/>
                <w:i/>
                <w:lang w:eastAsia="sk-SK"/>
              </w:rPr>
            </w:pPr>
            <w:r w:rsidRPr="00845EB7">
              <w:rPr>
                <w:rFonts w:ascii="Times New Roman" w:hAnsi="Times New Roman"/>
                <w:i/>
                <w:lang w:eastAsia="sk-SK"/>
              </w:rPr>
              <w:t>Január</w:t>
            </w:r>
          </w:p>
        </w:tc>
        <w:tc>
          <w:tcPr>
            <w:tcW w:w="851" w:type="dxa"/>
            <w:tcBorders>
              <w:top w:val="single" w:sz="4" w:space="0" w:color="auto"/>
              <w:left w:val="nil"/>
              <w:bottom w:val="single" w:sz="4" w:space="0" w:color="auto"/>
              <w:right w:val="single" w:sz="4" w:space="0" w:color="auto"/>
            </w:tcBorders>
            <w:noWrap/>
            <w:vAlign w:val="bottom"/>
            <w:hideMark/>
          </w:tcPr>
          <w:p w:rsidR="00D904E5" w:rsidRPr="00845EB7" w:rsidRDefault="00D904E5" w:rsidP="00331E6D">
            <w:pPr>
              <w:spacing w:after="0" w:line="240" w:lineRule="auto"/>
              <w:rPr>
                <w:rFonts w:ascii="Times New Roman" w:hAnsi="Times New Roman"/>
                <w:i/>
                <w:lang w:eastAsia="sk-SK"/>
              </w:rPr>
            </w:pPr>
            <w:r w:rsidRPr="00845EB7">
              <w:rPr>
                <w:rFonts w:ascii="Times New Roman" w:hAnsi="Times New Roman"/>
                <w:i/>
                <w:lang w:eastAsia="sk-SK"/>
              </w:rPr>
              <w:t>Február</w:t>
            </w:r>
          </w:p>
        </w:tc>
        <w:tc>
          <w:tcPr>
            <w:tcW w:w="992" w:type="dxa"/>
            <w:tcBorders>
              <w:top w:val="single" w:sz="4" w:space="0" w:color="auto"/>
              <w:left w:val="nil"/>
              <w:bottom w:val="single" w:sz="4" w:space="0" w:color="auto"/>
              <w:right w:val="single" w:sz="4" w:space="0" w:color="auto"/>
            </w:tcBorders>
            <w:noWrap/>
            <w:vAlign w:val="bottom"/>
            <w:hideMark/>
          </w:tcPr>
          <w:p w:rsidR="00D904E5" w:rsidRPr="00845EB7" w:rsidRDefault="00D904E5" w:rsidP="00331E6D">
            <w:pPr>
              <w:spacing w:after="0" w:line="240" w:lineRule="auto"/>
              <w:rPr>
                <w:rFonts w:ascii="Times New Roman" w:hAnsi="Times New Roman"/>
                <w:i/>
                <w:lang w:eastAsia="sk-SK"/>
              </w:rPr>
            </w:pPr>
            <w:r w:rsidRPr="00845EB7">
              <w:rPr>
                <w:rFonts w:ascii="Times New Roman" w:hAnsi="Times New Roman"/>
                <w:i/>
                <w:lang w:eastAsia="sk-SK"/>
              </w:rPr>
              <w:t>August</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904E5" w:rsidRPr="00845EB7" w:rsidRDefault="00D904E5" w:rsidP="00331E6D">
            <w:pPr>
              <w:spacing w:after="0" w:line="240" w:lineRule="auto"/>
              <w:rPr>
                <w:rFonts w:ascii="Times New Roman" w:hAnsi="Times New Roman"/>
                <w:i/>
                <w:lang w:eastAsia="sk-SK"/>
              </w:rPr>
            </w:pPr>
            <w:r w:rsidRPr="00845EB7">
              <w:rPr>
                <w:rFonts w:ascii="Times New Roman" w:hAnsi="Times New Roman"/>
                <w:i/>
                <w:lang w:eastAsia="sk-SK"/>
              </w:rPr>
              <w:t>September</w:t>
            </w:r>
          </w:p>
        </w:tc>
        <w:tc>
          <w:tcPr>
            <w:tcW w:w="993" w:type="dxa"/>
            <w:tcBorders>
              <w:top w:val="single" w:sz="4" w:space="0" w:color="auto"/>
              <w:left w:val="nil"/>
              <w:bottom w:val="single" w:sz="4" w:space="0" w:color="auto"/>
              <w:right w:val="single" w:sz="4" w:space="0" w:color="auto"/>
            </w:tcBorders>
            <w:noWrap/>
            <w:vAlign w:val="bottom"/>
            <w:hideMark/>
          </w:tcPr>
          <w:p w:rsidR="00D904E5" w:rsidRPr="00845EB7" w:rsidRDefault="00D904E5" w:rsidP="00331E6D">
            <w:pPr>
              <w:spacing w:after="0" w:line="240" w:lineRule="auto"/>
              <w:rPr>
                <w:rFonts w:ascii="Times New Roman" w:hAnsi="Times New Roman"/>
                <w:bCs/>
                <w:i/>
                <w:lang w:eastAsia="sk-SK"/>
              </w:rPr>
            </w:pPr>
            <w:r w:rsidRPr="00845EB7">
              <w:rPr>
                <w:rFonts w:ascii="Times New Roman" w:hAnsi="Times New Roman"/>
                <w:bCs/>
                <w:i/>
                <w:lang w:eastAsia="sk-SK"/>
              </w:rPr>
              <w:t>Október</w:t>
            </w:r>
          </w:p>
        </w:tc>
        <w:tc>
          <w:tcPr>
            <w:tcW w:w="992" w:type="dxa"/>
            <w:tcBorders>
              <w:top w:val="single" w:sz="4" w:space="0" w:color="auto"/>
              <w:left w:val="nil"/>
              <w:bottom w:val="single" w:sz="4" w:space="0" w:color="auto"/>
              <w:right w:val="single" w:sz="4" w:space="0" w:color="auto"/>
            </w:tcBorders>
            <w:noWrap/>
            <w:vAlign w:val="bottom"/>
            <w:hideMark/>
          </w:tcPr>
          <w:p w:rsidR="00D904E5" w:rsidRPr="00845EB7" w:rsidRDefault="00D904E5" w:rsidP="00331E6D">
            <w:pPr>
              <w:spacing w:after="0" w:line="240" w:lineRule="auto"/>
              <w:rPr>
                <w:rFonts w:ascii="Times New Roman" w:hAnsi="Times New Roman"/>
                <w:bCs/>
                <w:i/>
                <w:lang w:eastAsia="sk-SK"/>
              </w:rPr>
            </w:pPr>
            <w:r w:rsidRPr="00845EB7">
              <w:rPr>
                <w:rFonts w:ascii="Times New Roman" w:hAnsi="Times New Roman"/>
                <w:bCs/>
                <w:i/>
                <w:lang w:eastAsia="sk-SK"/>
              </w:rPr>
              <w:t>November</w:t>
            </w:r>
          </w:p>
        </w:tc>
        <w:tc>
          <w:tcPr>
            <w:tcW w:w="992" w:type="dxa"/>
            <w:tcBorders>
              <w:top w:val="single" w:sz="4" w:space="0" w:color="auto"/>
              <w:left w:val="nil"/>
              <w:bottom w:val="single" w:sz="4" w:space="0" w:color="auto"/>
              <w:right w:val="single" w:sz="4" w:space="0" w:color="auto"/>
            </w:tcBorders>
            <w:noWrap/>
            <w:vAlign w:val="bottom"/>
            <w:hideMark/>
          </w:tcPr>
          <w:p w:rsidR="00D904E5" w:rsidRPr="00845EB7" w:rsidRDefault="00D904E5" w:rsidP="00331E6D">
            <w:pPr>
              <w:spacing w:after="0" w:line="240" w:lineRule="auto"/>
              <w:rPr>
                <w:rFonts w:ascii="Times New Roman" w:hAnsi="Times New Roman"/>
                <w:bCs/>
                <w:i/>
                <w:lang w:eastAsia="sk-SK"/>
              </w:rPr>
            </w:pPr>
            <w:r w:rsidRPr="00845EB7">
              <w:rPr>
                <w:rFonts w:ascii="Times New Roman" w:hAnsi="Times New Roman"/>
                <w:bCs/>
                <w:i/>
                <w:lang w:eastAsia="sk-SK"/>
              </w:rPr>
              <w:t>December</w:t>
            </w:r>
          </w:p>
        </w:tc>
        <w:tc>
          <w:tcPr>
            <w:tcW w:w="1022" w:type="dxa"/>
            <w:tcBorders>
              <w:top w:val="single" w:sz="4" w:space="0" w:color="auto"/>
              <w:left w:val="nil"/>
              <w:bottom w:val="single" w:sz="4" w:space="0" w:color="auto"/>
              <w:right w:val="single" w:sz="4" w:space="0" w:color="auto"/>
            </w:tcBorders>
            <w:noWrap/>
            <w:vAlign w:val="bottom"/>
            <w:hideMark/>
          </w:tcPr>
          <w:p w:rsidR="00D904E5" w:rsidRPr="00845EB7" w:rsidRDefault="00D904E5" w:rsidP="00331E6D">
            <w:pPr>
              <w:spacing w:after="0" w:line="240" w:lineRule="auto"/>
              <w:rPr>
                <w:rFonts w:ascii="Times New Roman" w:hAnsi="Times New Roman"/>
                <w:b/>
                <w:bCs/>
                <w:i/>
                <w:lang w:eastAsia="sk-SK"/>
              </w:rPr>
            </w:pPr>
            <w:r w:rsidRPr="00845EB7">
              <w:rPr>
                <w:rFonts w:ascii="Times New Roman" w:hAnsi="Times New Roman"/>
                <w:b/>
                <w:bCs/>
                <w:i/>
                <w:lang w:eastAsia="sk-SK"/>
              </w:rPr>
              <w:t>Spolu</w:t>
            </w:r>
          </w:p>
        </w:tc>
      </w:tr>
      <w:tr w:rsidR="00D904E5" w:rsidRPr="00845EB7" w:rsidTr="00331E6D">
        <w:trPr>
          <w:trHeight w:val="331"/>
        </w:trPr>
        <w:tc>
          <w:tcPr>
            <w:tcW w:w="1843" w:type="dxa"/>
            <w:gridSpan w:val="2"/>
            <w:tcBorders>
              <w:top w:val="nil"/>
              <w:left w:val="single" w:sz="4" w:space="0" w:color="auto"/>
              <w:bottom w:val="single" w:sz="4" w:space="0" w:color="auto"/>
              <w:right w:val="single" w:sz="4" w:space="0" w:color="auto"/>
            </w:tcBorders>
            <w:noWrap/>
            <w:vAlign w:val="bottom"/>
            <w:hideMark/>
          </w:tcPr>
          <w:p w:rsidR="00D904E5" w:rsidRPr="00845EB7" w:rsidRDefault="00D904E5" w:rsidP="00331E6D">
            <w:pPr>
              <w:spacing w:after="0" w:line="240" w:lineRule="auto"/>
              <w:rPr>
                <w:rFonts w:ascii="Times New Roman" w:hAnsi="Times New Roman"/>
                <w:i/>
                <w:lang w:eastAsia="sk-SK"/>
              </w:rPr>
            </w:pPr>
            <w:r w:rsidRPr="00845EB7">
              <w:rPr>
                <w:rFonts w:ascii="Times New Roman" w:hAnsi="Times New Roman"/>
                <w:i/>
                <w:lang w:eastAsia="sk-SK"/>
              </w:rPr>
              <w:t>Príjem zo ZČ</w:t>
            </w:r>
          </w:p>
        </w:tc>
        <w:tc>
          <w:tcPr>
            <w:tcW w:w="850" w:type="dxa"/>
            <w:tcBorders>
              <w:top w:val="nil"/>
              <w:left w:val="nil"/>
              <w:bottom w:val="single" w:sz="4" w:space="0" w:color="auto"/>
              <w:right w:val="single" w:sz="4" w:space="0" w:color="auto"/>
            </w:tcBorders>
            <w:noWrap/>
            <w:vAlign w:val="bottom"/>
            <w:hideMark/>
          </w:tcPr>
          <w:p w:rsidR="00D904E5" w:rsidRPr="00845EB7" w:rsidRDefault="00D904E5" w:rsidP="00331E6D">
            <w:pPr>
              <w:spacing w:after="0" w:line="240" w:lineRule="auto"/>
              <w:jc w:val="right"/>
              <w:rPr>
                <w:rFonts w:ascii="Times New Roman" w:hAnsi="Times New Roman"/>
                <w:i/>
                <w:lang w:eastAsia="sk-SK"/>
              </w:rPr>
            </w:pPr>
            <w:r w:rsidRPr="00845EB7">
              <w:rPr>
                <w:rFonts w:ascii="Times New Roman" w:hAnsi="Times New Roman"/>
                <w:i/>
                <w:lang w:eastAsia="sk-SK"/>
              </w:rPr>
              <w:t>600 €</w:t>
            </w:r>
          </w:p>
        </w:tc>
        <w:tc>
          <w:tcPr>
            <w:tcW w:w="851" w:type="dxa"/>
            <w:tcBorders>
              <w:top w:val="nil"/>
              <w:left w:val="nil"/>
              <w:bottom w:val="single" w:sz="4" w:space="0" w:color="auto"/>
              <w:right w:val="single" w:sz="4" w:space="0" w:color="auto"/>
            </w:tcBorders>
            <w:noWrap/>
            <w:vAlign w:val="bottom"/>
            <w:hideMark/>
          </w:tcPr>
          <w:p w:rsidR="00D904E5" w:rsidRPr="00845EB7" w:rsidRDefault="00D904E5" w:rsidP="00331E6D">
            <w:pPr>
              <w:spacing w:after="0" w:line="240" w:lineRule="auto"/>
              <w:jc w:val="right"/>
              <w:rPr>
                <w:rFonts w:ascii="Times New Roman" w:hAnsi="Times New Roman"/>
                <w:i/>
                <w:lang w:eastAsia="sk-SK"/>
              </w:rPr>
            </w:pPr>
            <w:r w:rsidRPr="00845EB7">
              <w:rPr>
                <w:rFonts w:ascii="Times New Roman" w:hAnsi="Times New Roman"/>
                <w:i/>
                <w:lang w:eastAsia="sk-SK"/>
              </w:rPr>
              <w:t>600 €</w:t>
            </w:r>
          </w:p>
        </w:tc>
        <w:tc>
          <w:tcPr>
            <w:tcW w:w="992" w:type="dxa"/>
            <w:tcBorders>
              <w:top w:val="nil"/>
              <w:left w:val="nil"/>
              <w:bottom w:val="single" w:sz="4" w:space="0" w:color="auto"/>
              <w:right w:val="single" w:sz="4" w:space="0" w:color="auto"/>
            </w:tcBorders>
            <w:noWrap/>
            <w:vAlign w:val="bottom"/>
            <w:hideMark/>
          </w:tcPr>
          <w:p w:rsidR="00D904E5" w:rsidRPr="00845EB7" w:rsidRDefault="00D904E5" w:rsidP="00331E6D">
            <w:pPr>
              <w:spacing w:after="0" w:line="240" w:lineRule="auto"/>
              <w:jc w:val="right"/>
              <w:rPr>
                <w:rFonts w:ascii="Times New Roman" w:hAnsi="Times New Roman"/>
                <w:i/>
                <w:lang w:eastAsia="sk-SK"/>
              </w:rPr>
            </w:pPr>
            <w:r w:rsidRPr="00845EB7">
              <w:rPr>
                <w:rFonts w:ascii="Times New Roman" w:hAnsi="Times New Roman"/>
                <w:i/>
                <w:lang w:eastAsia="sk-SK"/>
              </w:rPr>
              <w:t>780 €</w:t>
            </w:r>
          </w:p>
        </w:tc>
        <w:tc>
          <w:tcPr>
            <w:tcW w:w="992" w:type="dxa"/>
            <w:tcBorders>
              <w:top w:val="nil"/>
              <w:left w:val="single" w:sz="4" w:space="0" w:color="auto"/>
              <w:bottom w:val="single" w:sz="4" w:space="0" w:color="auto"/>
              <w:right w:val="single" w:sz="4" w:space="0" w:color="auto"/>
            </w:tcBorders>
            <w:noWrap/>
            <w:vAlign w:val="bottom"/>
            <w:hideMark/>
          </w:tcPr>
          <w:p w:rsidR="00D904E5" w:rsidRPr="00845EB7" w:rsidRDefault="00D904E5" w:rsidP="00331E6D">
            <w:pPr>
              <w:spacing w:after="0" w:line="240" w:lineRule="auto"/>
              <w:jc w:val="right"/>
              <w:rPr>
                <w:rFonts w:ascii="Times New Roman" w:hAnsi="Times New Roman"/>
                <w:i/>
                <w:lang w:eastAsia="sk-SK"/>
              </w:rPr>
            </w:pPr>
            <w:r w:rsidRPr="00845EB7">
              <w:rPr>
                <w:rFonts w:ascii="Times New Roman" w:hAnsi="Times New Roman"/>
                <w:i/>
                <w:lang w:eastAsia="sk-SK"/>
              </w:rPr>
              <w:t>780 €</w:t>
            </w:r>
          </w:p>
        </w:tc>
        <w:tc>
          <w:tcPr>
            <w:tcW w:w="993" w:type="dxa"/>
            <w:tcBorders>
              <w:top w:val="nil"/>
              <w:left w:val="nil"/>
              <w:bottom w:val="single" w:sz="4" w:space="0" w:color="auto"/>
              <w:right w:val="single" w:sz="4" w:space="0" w:color="auto"/>
            </w:tcBorders>
            <w:noWrap/>
            <w:vAlign w:val="bottom"/>
            <w:hideMark/>
          </w:tcPr>
          <w:p w:rsidR="00D904E5" w:rsidRPr="00845EB7" w:rsidRDefault="00D904E5" w:rsidP="00331E6D">
            <w:pPr>
              <w:spacing w:after="0" w:line="240" w:lineRule="auto"/>
              <w:jc w:val="right"/>
              <w:rPr>
                <w:rFonts w:ascii="Times New Roman" w:hAnsi="Times New Roman"/>
                <w:i/>
                <w:lang w:eastAsia="sk-SK"/>
              </w:rPr>
            </w:pPr>
            <w:r w:rsidRPr="00845EB7">
              <w:rPr>
                <w:rFonts w:ascii="Times New Roman" w:hAnsi="Times New Roman"/>
                <w:i/>
                <w:lang w:eastAsia="sk-SK"/>
              </w:rPr>
              <w:t>650 €</w:t>
            </w:r>
          </w:p>
        </w:tc>
        <w:tc>
          <w:tcPr>
            <w:tcW w:w="992" w:type="dxa"/>
            <w:tcBorders>
              <w:top w:val="nil"/>
              <w:left w:val="nil"/>
              <w:bottom w:val="single" w:sz="4" w:space="0" w:color="auto"/>
              <w:right w:val="single" w:sz="4" w:space="0" w:color="auto"/>
            </w:tcBorders>
            <w:noWrap/>
            <w:vAlign w:val="bottom"/>
            <w:hideMark/>
          </w:tcPr>
          <w:p w:rsidR="00D904E5" w:rsidRPr="00845EB7" w:rsidRDefault="00D904E5" w:rsidP="00331E6D">
            <w:pPr>
              <w:spacing w:after="0" w:line="240" w:lineRule="auto"/>
              <w:jc w:val="right"/>
              <w:rPr>
                <w:rFonts w:ascii="Times New Roman" w:hAnsi="Times New Roman"/>
                <w:i/>
                <w:lang w:eastAsia="sk-SK"/>
              </w:rPr>
            </w:pPr>
            <w:r w:rsidRPr="00845EB7">
              <w:rPr>
                <w:rFonts w:ascii="Times New Roman" w:hAnsi="Times New Roman"/>
                <w:i/>
                <w:lang w:eastAsia="sk-SK"/>
              </w:rPr>
              <w:t>650 €</w:t>
            </w:r>
          </w:p>
        </w:tc>
        <w:tc>
          <w:tcPr>
            <w:tcW w:w="992" w:type="dxa"/>
            <w:tcBorders>
              <w:top w:val="nil"/>
              <w:left w:val="nil"/>
              <w:bottom w:val="single" w:sz="4" w:space="0" w:color="auto"/>
              <w:right w:val="single" w:sz="4" w:space="0" w:color="auto"/>
            </w:tcBorders>
            <w:noWrap/>
            <w:vAlign w:val="bottom"/>
            <w:hideMark/>
          </w:tcPr>
          <w:p w:rsidR="00D904E5" w:rsidRPr="00845EB7" w:rsidRDefault="00D904E5" w:rsidP="00331E6D">
            <w:pPr>
              <w:spacing w:after="0" w:line="240" w:lineRule="auto"/>
              <w:jc w:val="right"/>
              <w:rPr>
                <w:rFonts w:ascii="Times New Roman" w:hAnsi="Times New Roman"/>
                <w:i/>
                <w:lang w:eastAsia="sk-SK"/>
              </w:rPr>
            </w:pPr>
            <w:r w:rsidRPr="00845EB7">
              <w:rPr>
                <w:rFonts w:ascii="Times New Roman" w:hAnsi="Times New Roman"/>
                <w:i/>
                <w:lang w:eastAsia="sk-SK"/>
              </w:rPr>
              <w:t>1600 €</w:t>
            </w:r>
          </w:p>
        </w:tc>
        <w:tc>
          <w:tcPr>
            <w:tcW w:w="1022" w:type="dxa"/>
            <w:tcBorders>
              <w:top w:val="nil"/>
              <w:left w:val="nil"/>
              <w:bottom w:val="single" w:sz="4" w:space="0" w:color="auto"/>
              <w:right w:val="single" w:sz="4" w:space="0" w:color="auto"/>
            </w:tcBorders>
            <w:noWrap/>
            <w:vAlign w:val="bottom"/>
            <w:hideMark/>
          </w:tcPr>
          <w:p w:rsidR="00D904E5" w:rsidRPr="00845EB7" w:rsidRDefault="00D904E5" w:rsidP="00331E6D">
            <w:pPr>
              <w:spacing w:after="0" w:line="240" w:lineRule="auto"/>
              <w:jc w:val="right"/>
              <w:rPr>
                <w:rFonts w:ascii="Times New Roman" w:hAnsi="Times New Roman"/>
                <w:b/>
                <w:bCs/>
                <w:i/>
                <w:lang w:eastAsia="sk-SK"/>
              </w:rPr>
            </w:pPr>
            <w:r w:rsidRPr="00845EB7">
              <w:rPr>
                <w:rFonts w:ascii="Times New Roman" w:hAnsi="Times New Roman"/>
                <w:b/>
                <w:bCs/>
                <w:i/>
                <w:lang w:eastAsia="sk-SK"/>
              </w:rPr>
              <w:t>5 660 €</w:t>
            </w:r>
          </w:p>
        </w:tc>
      </w:tr>
      <w:tr w:rsidR="00D904E5" w:rsidRPr="00845EB7" w:rsidTr="00331E6D">
        <w:trPr>
          <w:trHeight w:val="331"/>
        </w:trPr>
        <w:tc>
          <w:tcPr>
            <w:tcW w:w="1843" w:type="dxa"/>
            <w:gridSpan w:val="2"/>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D904E5" w:rsidRPr="00845EB7" w:rsidRDefault="00D904E5" w:rsidP="00331E6D">
            <w:pPr>
              <w:spacing w:after="0" w:line="240" w:lineRule="auto"/>
              <w:rPr>
                <w:rFonts w:ascii="Times New Roman" w:hAnsi="Times New Roman"/>
                <w:b/>
                <w:bCs/>
                <w:i/>
                <w:lang w:eastAsia="sk-SK"/>
              </w:rPr>
            </w:pPr>
            <w:r w:rsidRPr="00845EB7">
              <w:rPr>
                <w:rFonts w:ascii="Times New Roman" w:hAnsi="Times New Roman"/>
                <w:b/>
                <w:bCs/>
                <w:i/>
                <w:lang w:eastAsia="sk-SK"/>
              </w:rPr>
              <w:t>ČZD</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hideMark/>
          </w:tcPr>
          <w:p w:rsidR="00D904E5" w:rsidRPr="00845EB7" w:rsidRDefault="00D904E5" w:rsidP="00331E6D">
            <w:pPr>
              <w:spacing w:after="0" w:line="240" w:lineRule="auto"/>
              <w:jc w:val="right"/>
              <w:rPr>
                <w:rFonts w:ascii="Times New Roman" w:hAnsi="Times New Roman"/>
                <w:b/>
                <w:bCs/>
                <w:i/>
                <w:lang w:eastAsia="sk-SK"/>
              </w:rPr>
            </w:pPr>
            <w:r w:rsidRPr="00845EB7">
              <w:rPr>
                <w:rFonts w:ascii="Times New Roman" w:hAnsi="Times New Roman"/>
                <w:b/>
                <w:bCs/>
                <w:i/>
                <w:lang w:eastAsia="sk-SK"/>
              </w:rPr>
              <w:t>519,60 €</w:t>
            </w:r>
          </w:p>
        </w:tc>
        <w:tc>
          <w:tcPr>
            <w:tcW w:w="851" w:type="dxa"/>
            <w:tcBorders>
              <w:top w:val="nil"/>
              <w:left w:val="nil"/>
              <w:bottom w:val="single" w:sz="4" w:space="0" w:color="auto"/>
              <w:right w:val="single" w:sz="4" w:space="0" w:color="auto"/>
            </w:tcBorders>
            <w:shd w:val="clear" w:color="auto" w:fill="F2F2F2" w:themeFill="background1" w:themeFillShade="F2"/>
            <w:noWrap/>
            <w:vAlign w:val="bottom"/>
            <w:hideMark/>
          </w:tcPr>
          <w:p w:rsidR="00D904E5" w:rsidRPr="00845EB7" w:rsidRDefault="00D904E5" w:rsidP="00331E6D">
            <w:pPr>
              <w:spacing w:after="0" w:line="240" w:lineRule="auto"/>
              <w:jc w:val="right"/>
              <w:rPr>
                <w:rFonts w:ascii="Times New Roman" w:hAnsi="Times New Roman"/>
                <w:b/>
                <w:bCs/>
                <w:i/>
                <w:lang w:eastAsia="sk-SK"/>
              </w:rPr>
            </w:pPr>
            <w:r w:rsidRPr="00845EB7">
              <w:rPr>
                <w:rFonts w:ascii="Times New Roman" w:hAnsi="Times New Roman"/>
                <w:b/>
                <w:bCs/>
                <w:i/>
                <w:lang w:eastAsia="sk-SK"/>
              </w:rPr>
              <w:t>519,6 €</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hideMark/>
          </w:tcPr>
          <w:p w:rsidR="00D904E5" w:rsidRPr="00845EB7" w:rsidRDefault="00D904E5" w:rsidP="00331E6D">
            <w:pPr>
              <w:spacing w:after="0" w:line="240" w:lineRule="auto"/>
              <w:jc w:val="right"/>
              <w:rPr>
                <w:rFonts w:ascii="Times New Roman" w:hAnsi="Times New Roman"/>
                <w:b/>
                <w:bCs/>
                <w:i/>
                <w:lang w:eastAsia="sk-SK"/>
              </w:rPr>
            </w:pPr>
            <w:r w:rsidRPr="00845EB7">
              <w:rPr>
                <w:rFonts w:ascii="Times New Roman" w:hAnsi="Times New Roman"/>
                <w:b/>
                <w:bCs/>
                <w:i/>
                <w:lang w:eastAsia="sk-SK"/>
              </w:rPr>
              <w:t>675,48€</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D904E5" w:rsidRPr="00845EB7" w:rsidRDefault="00D904E5" w:rsidP="00331E6D">
            <w:pPr>
              <w:spacing w:after="0" w:line="240" w:lineRule="auto"/>
              <w:jc w:val="right"/>
              <w:rPr>
                <w:rFonts w:ascii="Times New Roman" w:hAnsi="Times New Roman"/>
                <w:b/>
                <w:bCs/>
                <w:i/>
                <w:lang w:eastAsia="sk-SK"/>
              </w:rPr>
            </w:pPr>
            <w:r w:rsidRPr="00845EB7">
              <w:rPr>
                <w:rFonts w:ascii="Times New Roman" w:hAnsi="Times New Roman"/>
                <w:b/>
                <w:bCs/>
                <w:i/>
                <w:lang w:eastAsia="sk-SK"/>
              </w:rPr>
              <w:t>675,48 €</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hideMark/>
          </w:tcPr>
          <w:p w:rsidR="00D904E5" w:rsidRPr="00845EB7" w:rsidRDefault="00D904E5" w:rsidP="00331E6D">
            <w:pPr>
              <w:spacing w:after="0" w:line="240" w:lineRule="auto"/>
              <w:jc w:val="right"/>
              <w:rPr>
                <w:rFonts w:ascii="Times New Roman" w:hAnsi="Times New Roman"/>
                <w:b/>
                <w:bCs/>
                <w:i/>
                <w:lang w:eastAsia="sk-SK"/>
              </w:rPr>
            </w:pPr>
            <w:r w:rsidRPr="00845EB7">
              <w:rPr>
                <w:rFonts w:ascii="Times New Roman" w:hAnsi="Times New Roman"/>
                <w:b/>
                <w:bCs/>
                <w:i/>
                <w:lang w:eastAsia="sk-SK"/>
              </w:rPr>
              <w:t>562,90 €</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hideMark/>
          </w:tcPr>
          <w:p w:rsidR="00D904E5" w:rsidRPr="00845EB7" w:rsidRDefault="00D904E5" w:rsidP="00331E6D">
            <w:pPr>
              <w:spacing w:after="0" w:line="240" w:lineRule="auto"/>
              <w:jc w:val="right"/>
              <w:rPr>
                <w:rFonts w:ascii="Times New Roman" w:hAnsi="Times New Roman"/>
                <w:b/>
                <w:bCs/>
                <w:i/>
                <w:lang w:eastAsia="sk-SK"/>
              </w:rPr>
            </w:pPr>
            <w:r w:rsidRPr="00845EB7">
              <w:rPr>
                <w:rFonts w:ascii="Times New Roman" w:hAnsi="Times New Roman"/>
                <w:b/>
                <w:bCs/>
                <w:i/>
                <w:lang w:eastAsia="sk-SK"/>
              </w:rPr>
              <w:t>562,90 €</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hideMark/>
          </w:tcPr>
          <w:p w:rsidR="00D904E5" w:rsidRPr="00845EB7" w:rsidRDefault="00D904E5" w:rsidP="00331E6D">
            <w:pPr>
              <w:spacing w:after="0" w:line="240" w:lineRule="auto"/>
              <w:jc w:val="right"/>
              <w:rPr>
                <w:rFonts w:ascii="Times New Roman" w:hAnsi="Times New Roman"/>
                <w:b/>
                <w:bCs/>
                <w:i/>
                <w:lang w:eastAsia="sk-SK"/>
              </w:rPr>
            </w:pPr>
            <w:r w:rsidRPr="00845EB7">
              <w:rPr>
                <w:rFonts w:ascii="Times New Roman" w:hAnsi="Times New Roman"/>
                <w:b/>
                <w:bCs/>
                <w:i/>
                <w:lang w:eastAsia="sk-SK"/>
              </w:rPr>
              <w:t xml:space="preserve">1385,60 € </w:t>
            </w:r>
          </w:p>
        </w:tc>
        <w:tc>
          <w:tcPr>
            <w:tcW w:w="1022" w:type="dxa"/>
            <w:tcBorders>
              <w:top w:val="nil"/>
              <w:left w:val="nil"/>
              <w:bottom w:val="single" w:sz="4" w:space="0" w:color="auto"/>
              <w:right w:val="single" w:sz="4" w:space="0" w:color="auto"/>
            </w:tcBorders>
            <w:shd w:val="clear" w:color="auto" w:fill="F2F2F2" w:themeFill="background1" w:themeFillShade="F2"/>
            <w:noWrap/>
            <w:vAlign w:val="bottom"/>
            <w:hideMark/>
          </w:tcPr>
          <w:p w:rsidR="00D904E5" w:rsidRPr="00845EB7" w:rsidRDefault="00D904E5" w:rsidP="00331E6D">
            <w:pPr>
              <w:spacing w:after="0" w:line="240" w:lineRule="auto"/>
              <w:jc w:val="right"/>
              <w:rPr>
                <w:rFonts w:ascii="Times New Roman" w:hAnsi="Times New Roman"/>
                <w:b/>
                <w:bCs/>
                <w:i/>
                <w:lang w:eastAsia="sk-SK"/>
              </w:rPr>
            </w:pPr>
            <w:r w:rsidRPr="00845EB7">
              <w:rPr>
                <w:rFonts w:ascii="Times New Roman" w:hAnsi="Times New Roman"/>
                <w:b/>
                <w:bCs/>
                <w:i/>
                <w:lang w:eastAsia="sk-SK"/>
              </w:rPr>
              <w:t>4 901,56 €</w:t>
            </w:r>
          </w:p>
        </w:tc>
      </w:tr>
      <w:tr w:rsidR="00D904E5" w:rsidRPr="00845EB7" w:rsidTr="00331E6D">
        <w:trPr>
          <w:trHeight w:val="331"/>
        </w:trPr>
        <w:tc>
          <w:tcPr>
            <w:tcW w:w="1843" w:type="dxa"/>
            <w:gridSpan w:val="2"/>
            <w:tcBorders>
              <w:top w:val="nil"/>
              <w:left w:val="single" w:sz="4" w:space="0" w:color="auto"/>
              <w:bottom w:val="single" w:sz="4" w:space="0" w:color="auto"/>
              <w:right w:val="single" w:sz="4" w:space="0" w:color="auto"/>
            </w:tcBorders>
            <w:noWrap/>
            <w:vAlign w:val="bottom"/>
            <w:hideMark/>
          </w:tcPr>
          <w:p w:rsidR="00D904E5" w:rsidRPr="00845EB7" w:rsidRDefault="00D904E5" w:rsidP="00331E6D">
            <w:pPr>
              <w:spacing w:after="0" w:line="240" w:lineRule="auto"/>
              <w:rPr>
                <w:rFonts w:ascii="Times New Roman" w:hAnsi="Times New Roman"/>
                <w:i/>
                <w:lang w:eastAsia="sk-SK"/>
              </w:rPr>
            </w:pPr>
            <w:r w:rsidRPr="00845EB7">
              <w:rPr>
                <w:rFonts w:ascii="Times New Roman" w:hAnsi="Times New Roman"/>
                <w:i/>
                <w:lang w:eastAsia="sk-SK"/>
              </w:rPr>
              <w:t>Preddavok na daň</w:t>
            </w:r>
          </w:p>
        </w:tc>
        <w:tc>
          <w:tcPr>
            <w:tcW w:w="850" w:type="dxa"/>
            <w:tcBorders>
              <w:top w:val="nil"/>
              <w:left w:val="nil"/>
              <w:bottom w:val="single" w:sz="4" w:space="0" w:color="auto"/>
              <w:right w:val="single" w:sz="4" w:space="0" w:color="auto"/>
            </w:tcBorders>
            <w:noWrap/>
            <w:vAlign w:val="bottom"/>
            <w:hideMark/>
          </w:tcPr>
          <w:p w:rsidR="00D904E5" w:rsidRPr="00845EB7" w:rsidRDefault="00D904E5" w:rsidP="00331E6D">
            <w:pPr>
              <w:spacing w:after="0" w:line="240" w:lineRule="auto"/>
              <w:jc w:val="right"/>
              <w:rPr>
                <w:rFonts w:ascii="Times New Roman" w:hAnsi="Times New Roman"/>
                <w:i/>
                <w:lang w:eastAsia="sk-SK"/>
              </w:rPr>
            </w:pPr>
            <w:r w:rsidRPr="00845EB7">
              <w:rPr>
                <w:rFonts w:ascii="Times New Roman" w:hAnsi="Times New Roman"/>
                <w:i/>
                <w:lang w:eastAsia="sk-SK"/>
              </w:rPr>
              <w:t>26,22 €</w:t>
            </w:r>
          </w:p>
        </w:tc>
        <w:tc>
          <w:tcPr>
            <w:tcW w:w="851" w:type="dxa"/>
            <w:tcBorders>
              <w:top w:val="nil"/>
              <w:left w:val="nil"/>
              <w:bottom w:val="single" w:sz="4" w:space="0" w:color="auto"/>
              <w:right w:val="single" w:sz="4" w:space="0" w:color="auto"/>
            </w:tcBorders>
            <w:noWrap/>
            <w:vAlign w:val="bottom"/>
            <w:hideMark/>
          </w:tcPr>
          <w:p w:rsidR="00D904E5" w:rsidRPr="00845EB7" w:rsidRDefault="00D904E5" w:rsidP="00331E6D">
            <w:pPr>
              <w:spacing w:after="0" w:line="240" w:lineRule="auto"/>
              <w:jc w:val="right"/>
              <w:rPr>
                <w:rFonts w:ascii="Times New Roman" w:hAnsi="Times New Roman"/>
                <w:i/>
                <w:lang w:eastAsia="sk-SK"/>
              </w:rPr>
            </w:pPr>
            <w:r w:rsidRPr="00845EB7">
              <w:rPr>
                <w:rFonts w:ascii="Times New Roman" w:hAnsi="Times New Roman"/>
                <w:i/>
                <w:lang w:eastAsia="sk-SK"/>
              </w:rPr>
              <w:t>26,22 €</w:t>
            </w:r>
          </w:p>
        </w:tc>
        <w:tc>
          <w:tcPr>
            <w:tcW w:w="992" w:type="dxa"/>
            <w:tcBorders>
              <w:top w:val="nil"/>
              <w:left w:val="nil"/>
              <w:bottom w:val="single" w:sz="4" w:space="0" w:color="auto"/>
              <w:right w:val="single" w:sz="4" w:space="0" w:color="auto"/>
            </w:tcBorders>
            <w:noWrap/>
            <w:vAlign w:val="bottom"/>
            <w:hideMark/>
          </w:tcPr>
          <w:p w:rsidR="00D904E5" w:rsidRPr="00845EB7" w:rsidRDefault="00D904E5" w:rsidP="00331E6D">
            <w:pPr>
              <w:spacing w:after="0" w:line="240" w:lineRule="auto"/>
              <w:jc w:val="right"/>
              <w:rPr>
                <w:rFonts w:ascii="Times New Roman" w:hAnsi="Times New Roman"/>
                <w:i/>
                <w:lang w:eastAsia="sk-SK"/>
              </w:rPr>
            </w:pPr>
            <w:r w:rsidRPr="00845EB7">
              <w:rPr>
                <w:rFonts w:ascii="Times New Roman" w:hAnsi="Times New Roman"/>
                <w:i/>
                <w:lang w:eastAsia="sk-SK"/>
              </w:rPr>
              <w:t>55,84 €</w:t>
            </w:r>
          </w:p>
        </w:tc>
        <w:tc>
          <w:tcPr>
            <w:tcW w:w="992" w:type="dxa"/>
            <w:tcBorders>
              <w:top w:val="nil"/>
              <w:left w:val="single" w:sz="4" w:space="0" w:color="auto"/>
              <w:bottom w:val="single" w:sz="4" w:space="0" w:color="auto"/>
              <w:right w:val="single" w:sz="4" w:space="0" w:color="auto"/>
            </w:tcBorders>
            <w:noWrap/>
            <w:vAlign w:val="bottom"/>
            <w:hideMark/>
          </w:tcPr>
          <w:p w:rsidR="00D904E5" w:rsidRPr="00845EB7" w:rsidRDefault="00D904E5" w:rsidP="00331E6D">
            <w:pPr>
              <w:spacing w:after="0" w:line="240" w:lineRule="auto"/>
              <w:jc w:val="right"/>
              <w:rPr>
                <w:rFonts w:ascii="Times New Roman" w:hAnsi="Times New Roman"/>
                <w:i/>
                <w:lang w:eastAsia="sk-SK"/>
              </w:rPr>
            </w:pPr>
            <w:r w:rsidRPr="00845EB7">
              <w:rPr>
                <w:rFonts w:ascii="Times New Roman" w:hAnsi="Times New Roman"/>
                <w:i/>
                <w:lang w:eastAsia="sk-SK"/>
              </w:rPr>
              <w:t>55,84 €</w:t>
            </w:r>
          </w:p>
        </w:tc>
        <w:tc>
          <w:tcPr>
            <w:tcW w:w="993" w:type="dxa"/>
            <w:tcBorders>
              <w:top w:val="nil"/>
              <w:left w:val="nil"/>
              <w:bottom w:val="single" w:sz="4" w:space="0" w:color="auto"/>
              <w:right w:val="single" w:sz="4" w:space="0" w:color="auto"/>
            </w:tcBorders>
            <w:noWrap/>
            <w:vAlign w:val="bottom"/>
            <w:hideMark/>
          </w:tcPr>
          <w:p w:rsidR="00D904E5" w:rsidRPr="00845EB7" w:rsidRDefault="00D904E5" w:rsidP="00331E6D">
            <w:pPr>
              <w:spacing w:after="0" w:line="240" w:lineRule="auto"/>
              <w:jc w:val="right"/>
              <w:rPr>
                <w:rFonts w:ascii="Times New Roman" w:hAnsi="Times New Roman"/>
                <w:i/>
                <w:lang w:eastAsia="sk-SK"/>
              </w:rPr>
            </w:pPr>
            <w:r w:rsidRPr="00845EB7">
              <w:rPr>
                <w:rFonts w:ascii="Times New Roman" w:hAnsi="Times New Roman"/>
                <w:i/>
                <w:lang w:eastAsia="sk-SK"/>
              </w:rPr>
              <w:t>34,45 €</w:t>
            </w:r>
          </w:p>
        </w:tc>
        <w:tc>
          <w:tcPr>
            <w:tcW w:w="992" w:type="dxa"/>
            <w:tcBorders>
              <w:top w:val="nil"/>
              <w:left w:val="nil"/>
              <w:bottom w:val="single" w:sz="4" w:space="0" w:color="auto"/>
              <w:right w:val="single" w:sz="4" w:space="0" w:color="auto"/>
            </w:tcBorders>
            <w:noWrap/>
            <w:vAlign w:val="bottom"/>
            <w:hideMark/>
          </w:tcPr>
          <w:p w:rsidR="00D904E5" w:rsidRPr="00845EB7" w:rsidRDefault="00D904E5" w:rsidP="00331E6D">
            <w:pPr>
              <w:spacing w:after="0" w:line="240" w:lineRule="auto"/>
              <w:jc w:val="right"/>
              <w:rPr>
                <w:rFonts w:ascii="Times New Roman" w:hAnsi="Times New Roman"/>
                <w:i/>
                <w:lang w:eastAsia="sk-SK"/>
              </w:rPr>
            </w:pPr>
            <w:r w:rsidRPr="00845EB7">
              <w:rPr>
                <w:rFonts w:ascii="Times New Roman" w:hAnsi="Times New Roman"/>
                <w:i/>
                <w:lang w:eastAsia="sk-SK"/>
              </w:rPr>
              <w:t>34,45 €</w:t>
            </w:r>
          </w:p>
        </w:tc>
        <w:tc>
          <w:tcPr>
            <w:tcW w:w="992" w:type="dxa"/>
            <w:tcBorders>
              <w:top w:val="nil"/>
              <w:left w:val="nil"/>
              <w:bottom w:val="single" w:sz="4" w:space="0" w:color="auto"/>
              <w:right w:val="single" w:sz="4" w:space="0" w:color="auto"/>
            </w:tcBorders>
            <w:noWrap/>
            <w:vAlign w:val="bottom"/>
            <w:hideMark/>
          </w:tcPr>
          <w:p w:rsidR="00D904E5" w:rsidRPr="00845EB7" w:rsidRDefault="00D904E5" w:rsidP="00331E6D">
            <w:pPr>
              <w:spacing w:after="0" w:line="240" w:lineRule="auto"/>
              <w:jc w:val="right"/>
              <w:rPr>
                <w:rFonts w:ascii="Times New Roman" w:hAnsi="Times New Roman"/>
                <w:i/>
                <w:lang w:eastAsia="sk-SK"/>
              </w:rPr>
            </w:pPr>
            <w:r w:rsidRPr="00845EB7">
              <w:rPr>
                <w:rFonts w:ascii="Times New Roman" w:hAnsi="Times New Roman"/>
                <w:i/>
                <w:lang w:eastAsia="sk-SK"/>
              </w:rPr>
              <w:t>190,76 €</w:t>
            </w:r>
          </w:p>
        </w:tc>
        <w:tc>
          <w:tcPr>
            <w:tcW w:w="1022" w:type="dxa"/>
            <w:tcBorders>
              <w:top w:val="nil"/>
              <w:left w:val="nil"/>
              <w:bottom w:val="single" w:sz="4" w:space="0" w:color="auto"/>
              <w:right w:val="single" w:sz="4" w:space="0" w:color="auto"/>
            </w:tcBorders>
            <w:noWrap/>
            <w:vAlign w:val="bottom"/>
            <w:hideMark/>
          </w:tcPr>
          <w:p w:rsidR="00D904E5" w:rsidRPr="00845EB7" w:rsidRDefault="00D904E5" w:rsidP="00331E6D">
            <w:pPr>
              <w:spacing w:after="0" w:line="240" w:lineRule="auto"/>
              <w:jc w:val="right"/>
              <w:rPr>
                <w:rFonts w:ascii="Times New Roman" w:hAnsi="Times New Roman"/>
                <w:i/>
                <w:lang w:eastAsia="sk-SK"/>
              </w:rPr>
            </w:pPr>
            <w:r w:rsidRPr="00845EB7">
              <w:rPr>
                <w:rFonts w:ascii="Times New Roman" w:hAnsi="Times New Roman"/>
                <w:i/>
                <w:lang w:eastAsia="sk-SK"/>
              </w:rPr>
              <w:t>371,32 €</w:t>
            </w:r>
          </w:p>
        </w:tc>
      </w:tr>
      <w:tr w:rsidR="00D904E5" w:rsidRPr="00845EB7" w:rsidTr="00331E6D">
        <w:trPr>
          <w:trHeight w:val="180"/>
        </w:trPr>
        <w:tc>
          <w:tcPr>
            <w:tcW w:w="851" w:type="dxa"/>
            <w:vMerge w:val="restart"/>
            <w:tcBorders>
              <w:top w:val="nil"/>
              <w:left w:val="single" w:sz="4" w:space="0" w:color="auto"/>
              <w:right w:val="single" w:sz="4" w:space="0" w:color="auto"/>
            </w:tcBorders>
            <w:noWrap/>
            <w:vAlign w:val="center"/>
            <w:hideMark/>
          </w:tcPr>
          <w:p w:rsidR="00D904E5" w:rsidRPr="00845EB7" w:rsidRDefault="00D904E5" w:rsidP="00331E6D">
            <w:pPr>
              <w:spacing w:after="0" w:line="240" w:lineRule="auto"/>
              <w:rPr>
                <w:rFonts w:ascii="Times New Roman" w:hAnsi="Times New Roman"/>
                <w:i/>
                <w:lang w:eastAsia="sk-SK"/>
              </w:rPr>
            </w:pPr>
            <w:r w:rsidRPr="00845EB7">
              <w:rPr>
                <w:rFonts w:ascii="Times New Roman" w:hAnsi="Times New Roman"/>
                <w:i/>
                <w:lang w:eastAsia="sk-SK"/>
              </w:rPr>
              <w:t xml:space="preserve">Duma DB  </w:t>
            </w:r>
          </w:p>
        </w:tc>
        <w:tc>
          <w:tcPr>
            <w:tcW w:w="992" w:type="dxa"/>
            <w:tcBorders>
              <w:top w:val="nil"/>
              <w:left w:val="single" w:sz="4" w:space="0" w:color="auto"/>
              <w:bottom w:val="single" w:sz="4" w:space="0" w:color="auto"/>
              <w:right w:val="single" w:sz="4" w:space="0" w:color="auto"/>
            </w:tcBorders>
            <w:vAlign w:val="center"/>
          </w:tcPr>
          <w:p w:rsidR="00D904E5" w:rsidRPr="00845EB7" w:rsidRDefault="00D904E5" w:rsidP="00331E6D">
            <w:pPr>
              <w:spacing w:after="0" w:line="240" w:lineRule="auto"/>
              <w:rPr>
                <w:rFonts w:ascii="Times New Roman" w:hAnsi="Times New Roman"/>
                <w:i/>
                <w:lang w:eastAsia="sk-SK"/>
              </w:rPr>
            </w:pPr>
            <w:r w:rsidRPr="00845EB7">
              <w:rPr>
                <w:rFonts w:ascii="Times New Roman" w:hAnsi="Times New Roman"/>
                <w:i/>
                <w:lang w:eastAsia="sk-SK"/>
              </w:rPr>
              <w:t>do 30.06.</w:t>
            </w:r>
          </w:p>
        </w:tc>
        <w:tc>
          <w:tcPr>
            <w:tcW w:w="850" w:type="dxa"/>
            <w:tcBorders>
              <w:top w:val="nil"/>
              <w:left w:val="nil"/>
              <w:bottom w:val="single" w:sz="4" w:space="0" w:color="auto"/>
              <w:right w:val="single" w:sz="4" w:space="0" w:color="auto"/>
            </w:tcBorders>
            <w:noWrap/>
            <w:vAlign w:val="bottom"/>
            <w:hideMark/>
          </w:tcPr>
          <w:p w:rsidR="00D904E5" w:rsidRPr="00845EB7" w:rsidRDefault="00D904E5" w:rsidP="00331E6D">
            <w:pPr>
              <w:spacing w:after="0" w:line="240" w:lineRule="auto"/>
              <w:jc w:val="right"/>
              <w:rPr>
                <w:rFonts w:ascii="Times New Roman" w:hAnsi="Times New Roman"/>
                <w:i/>
                <w:lang w:eastAsia="sk-SK"/>
              </w:rPr>
            </w:pPr>
            <w:r w:rsidRPr="00845EB7">
              <w:rPr>
                <w:rFonts w:ascii="Times New Roman" w:hAnsi="Times New Roman"/>
                <w:i/>
                <w:lang w:eastAsia="sk-SK"/>
              </w:rPr>
              <w:t xml:space="preserve">141,42 € </w:t>
            </w:r>
            <w:r w:rsidRPr="00845EB7">
              <w:rPr>
                <w:rFonts w:ascii="Times New Roman" w:hAnsi="Times New Roman"/>
                <w:i/>
                <w:vertAlign w:val="superscript"/>
                <w:lang w:eastAsia="sk-SK"/>
              </w:rPr>
              <w:t>1)</w:t>
            </w:r>
          </w:p>
        </w:tc>
        <w:tc>
          <w:tcPr>
            <w:tcW w:w="851" w:type="dxa"/>
            <w:tcBorders>
              <w:top w:val="nil"/>
              <w:left w:val="nil"/>
              <w:bottom w:val="single" w:sz="4" w:space="0" w:color="auto"/>
              <w:right w:val="single" w:sz="4" w:space="0" w:color="auto"/>
            </w:tcBorders>
            <w:noWrap/>
            <w:vAlign w:val="bottom"/>
            <w:hideMark/>
          </w:tcPr>
          <w:p w:rsidR="00D904E5" w:rsidRPr="00845EB7" w:rsidRDefault="00D904E5" w:rsidP="00331E6D">
            <w:pPr>
              <w:spacing w:after="0" w:line="240" w:lineRule="auto"/>
              <w:jc w:val="right"/>
              <w:rPr>
                <w:rFonts w:ascii="Times New Roman" w:hAnsi="Times New Roman"/>
                <w:i/>
                <w:lang w:eastAsia="sk-SK"/>
              </w:rPr>
            </w:pPr>
            <w:r w:rsidRPr="00845EB7">
              <w:rPr>
                <w:rFonts w:ascii="Times New Roman" w:hAnsi="Times New Roman"/>
                <w:i/>
                <w:lang w:eastAsia="sk-SK"/>
              </w:rPr>
              <w:t xml:space="preserve">141,42 € </w:t>
            </w:r>
            <w:r w:rsidRPr="00845EB7">
              <w:rPr>
                <w:rFonts w:ascii="Times New Roman" w:hAnsi="Times New Roman"/>
                <w:i/>
                <w:vertAlign w:val="superscript"/>
                <w:lang w:eastAsia="sk-SK"/>
              </w:rPr>
              <w:t>1)</w:t>
            </w:r>
          </w:p>
        </w:tc>
        <w:tc>
          <w:tcPr>
            <w:tcW w:w="992" w:type="dxa"/>
            <w:tcBorders>
              <w:top w:val="nil"/>
              <w:left w:val="nil"/>
              <w:bottom w:val="single" w:sz="4" w:space="0" w:color="auto"/>
              <w:right w:val="single" w:sz="4" w:space="0" w:color="auto"/>
            </w:tcBorders>
            <w:noWrap/>
            <w:vAlign w:val="bottom"/>
            <w:hideMark/>
          </w:tcPr>
          <w:p w:rsidR="00D904E5" w:rsidRPr="00845EB7" w:rsidRDefault="00D904E5" w:rsidP="00331E6D">
            <w:pPr>
              <w:spacing w:after="0" w:line="240" w:lineRule="auto"/>
              <w:jc w:val="right"/>
              <w:rPr>
                <w:rFonts w:ascii="Times New Roman" w:hAnsi="Times New Roman"/>
                <w:i/>
                <w:lang w:eastAsia="sk-SK"/>
              </w:rPr>
            </w:pPr>
            <w:r w:rsidRPr="00845EB7">
              <w:rPr>
                <w:rFonts w:ascii="Times New Roman" w:hAnsi="Times New Roman"/>
                <w:i/>
                <w:lang w:eastAsia="sk-SK"/>
              </w:rPr>
              <w:t xml:space="preserve">141,42 € </w:t>
            </w:r>
            <w:r w:rsidRPr="00845EB7">
              <w:rPr>
                <w:rFonts w:ascii="Times New Roman" w:hAnsi="Times New Roman"/>
                <w:i/>
                <w:vertAlign w:val="superscript"/>
                <w:lang w:eastAsia="sk-SK"/>
              </w:rPr>
              <w:t>1)</w:t>
            </w:r>
          </w:p>
        </w:tc>
        <w:tc>
          <w:tcPr>
            <w:tcW w:w="992" w:type="dxa"/>
            <w:tcBorders>
              <w:top w:val="nil"/>
              <w:left w:val="single" w:sz="4" w:space="0" w:color="auto"/>
              <w:bottom w:val="single" w:sz="4" w:space="0" w:color="auto"/>
              <w:right w:val="single" w:sz="4" w:space="0" w:color="auto"/>
            </w:tcBorders>
            <w:noWrap/>
            <w:vAlign w:val="bottom"/>
            <w:hideMark/>
          </w:tcPr>
          <w:p w:rsidR="00D904E5" w:rsidRPr="00845EB7" w:rsidRDefault="00D904E5" w:rsidP="00331E6D">
            <w:pPr>
              <w:spacing w:after="0" w:line="240" w:lineRule="auto"/>
              <w:jc w:val="right"/>
              <w:rPr>
                <w:rFonts w:ascii="Times New Roman" w:hAnsi="Times New Roman"/>
                <w:i/>
                <w:lang w:eastAsia="sk-SK"/>
              </w:rPr>
            </w:pPr>
            <w:r w:rsidRPr="00845EB7">
              <w:rPr>
                <w:rFonts w:ascii="Times New Roman" w:hAnsi="Times New Roman"/>
                <w:i/>
                <w:lang w:eastAsia="sk-SK"/>
              </w:rPr>
              <w:t xml:space="preserve">141,42 € </w:t>
            </w:r>
            <w:r w:rsidRPr="00845EB7">
              <w:rPr>
                <w:rFonts w:ascii="Times New Roman" w:hAnsi="Times New Roman"/>
                <w:i/>
                <w:vertAlign w:val="superscript"/>
                <w:lang w:eastAsia="sk-SK"/>
              </w:rPr>
              <w:t>1)</w:t>
            </w:r>
          </w:p>
        </w:tc>
        <w:tc>
          <w:tcPr>
            <w:tcW w:w="993" w:type="dxa"/>
            <w:tcBorders>
              <w:top w:val="nil"/>
              <w:left w:val="nil"/>
              <w:bottom w:val="single" w:sz="4" w:space="0" w:color="auto"/>
              <w:right w:val="single" w:sz="4" w:space="0" w:color="auto"/>
            </w:tcBorders>
            <w:noWrap/>
            <w:vAlign w:val="bottom"/>
          </w:tcPr>
          <w:p w:rsidR="00D904E5" w:rsidRPr="00845EB7" w:rsidRDefault="00D904E5" w:rsidP="00331E6D">
            <w:pPr>
              <w:spacing w:after="0" w:line="240" w:lineRule="auto"/>
              <w:jc w:val="right"/>
              <w:rPr>
                <w:rFonts w:ascii="Times New Roman" w:hAnsi="Times New Roman"/>
                <w:i/>
                <w:lang w:eastAsia="sk-SK"/>
              </w:rPr>
            </w:pPr>
            <w:r w:rsidRPr="00845EB7">
              <w:rPr>
                <w:rFonts w:ascii="Times New Roman" w:hAnsi="Times New Roman"/>
                <w:i/>
                <w:lang w:eastAsia="sk-SK"/>
              </w:rPr>
              <w:t>188,56 €</w:t>
            </w:r>
            <w:r w:rsidRPr="00845EB7">
              <w:rPr>
                <w:rFonts w:ascii="Times New Roman" w:hAnsi="Times New Roman"/>
                <w:i/>
                <w:vertAlign w:val="superscript"/>
                <w:lang w:eastAsia="sk-SK"/>
              </w:rPr>
              <w:t>2)</w:t>
            </w:r>
          </w:p>
        </w:tc>
        <w:tc>
          <w:tcPr>
            <w:tcW w:w="992" w:type="dxa"/>
            <w:tcBorders>
              <w:top w:val="nil"/>
              <w:left w:val="nil"/>
              <w:bottom w:val="single" w:sz="4" w:space="0" w:color="auto"/>
              <w:right w:val="single" w:sz="4" w:space="0" w:color="auto"/>
            </w:tcBorders>
            <w:noWrap/>
            <w:vAlign w:val="bottom"/>
            <w:hideMark/>
          </w:tcPr>
          <w:p w:rsidR="00D904E5" w:rsidRPr="00845EB7" w:rsidRDefault="00D904E5" w:rsidP="00331E6D">
            <w:pPr>
              <w:spacing w:after="0" w:line="240" w:lineRule="auto"/>
              <w:jc w:val="right"/>
              <w:rPr>
                <w:rFonts w:ascii="Times New Roman" w:hAnsi="Times New Roman"/>
                <w:i/>
                <w:lang w:eastAsia="sk-SK"/>
              </w:rPr>
            </w:pPr>
            <w:r w:rsidRPr="00845EB7">
              <w:rPr>
                <w:rFonts w:ascii="Times New Roman" w:hAnsi="Times New Roman"/>
                <w:i/>
                <w:lang w:eastAsia="sk-SK"/>
              </w:rPr>
              <w:t>188,56</w:t>
            </w:r>
            <w:r w:rsidRPr="00845EB7">
              <w:rPr>
                <w:rFonts w:ascii="Times New Roman" w:hAnsi="Times New Roman"/>
                <w:i/>
                <w:vertAlign w:val="superscript"/>
                <w:lang w:eastAsia="sk-SK"/>
              </w:rPr>
              <w:t>2)</w:t>
            </w:r>
          </w:p>
        </w:tc>
        <w:tc>
          <w:tcPr>
            <w:tcW w:w="992" w:type="dxa"/>
            <w:tcBorders>
              <w:top w:val="nil"/>
              <w:left w:val="nil"/>
              <w:bottom w:val="single" w:sz="4" w:space="0" w:color="auto"/>
              <w:right w:val="single" w:sz="4" w:space="0" w:color="auto"/>
            </w:tcBorders>
            <w:noWrap/>
            <w:vAlign w:val="bottom"/>
            <w:hideMark/>
          </w:tcPr>
          <w:p w:rsidR="00D904E5" w:rsidRPr="00845EB7" w:rsidRDefault="00D904E5" w:rsidP="00331E6D">
            <w:pPr>
              <w:spacing w:after="0" w:line="240" w:lineRule="auto"/>
              <w:jc w:val="right"/>
              <w:rPr>
                <w:rFonts w:ascii="Times New Roman" w:hAnsi="Times New Roman"/>
                <w:i/>
                <w:lang w:eastAsia="sk-SK"/>
              </w:rPr>
            </w:pPr>
            <w:r w:rsidRPr="00845EB7">
              <w:rPr>
                <w:rFonts w:ascii="Times New Roman" w:hAnsi="Times New Roman"/>
                <w:i/>
                <w:lang w:eastAsia="sk-SK"/>
              </w:rPr>
              <w:t>188,56</w:t>
            </w:r>
            <w:r w:rsidRPr="00845EB7">
              <w:rPr>
                <w:rFonts w:ascii="Times New Roman" w:hAnsi="Times New Roman"/>
                <w:i/>
                <w:vertAlign w:val="superscript"/>
                <w:lang w:eastAsia="sk-SK"/>
              </w:rPr>
              <w:t>2)</w:t>
            </w:r>
          </w:p>
        </w:tc>
        <w:tc>
          <w:tcPr>
            <w:tcW w:w="1022" w:type="dxa"/>
            <w:tcBorders>
              <w:top w:val="nil"/>
              <w:left w:val="nil"/>
              <w:bottom w:val="single" w:sz="4" w:space="0" w:color="auto"/>
              <w:right w:val="single" w:sz="4" w:space="0" w:color="auto"/>
            </w:tcBorders>
            <w:noWrap/>
            <w:vAlign w:val="bottom"/>
            <w:hideMark/>
          </w:tcPr>
          <w:p w:rsidR="00D904E5" w:rsidRPr="00845EB7" w:rsidRDefault="00D904E5" w:rsidP="00331E6D">
            <w:pPr>
              <w:spacing w:after="0" w:line="240" w:lineRule="auto"/>
              <w:jc w:val="right"/>
              <w:rPr>
                <w:rFonts w:ascii="Times New Roman" w:hAnsi="Times New Roman"/>
                <w:b/>
                <w:bCs/>
                <w:i/>
                <w:lang w:eastAsia="sk-SK"/>
              </w:rPr>
            </w:pPr>
          </w:p>
        </w:tc>
      </w:tr>
      <w:tr w:rsidR="00D904E5" w:rsidRPr="00845EB7" w:rsidTr="00D904E5">
        <w:trPr>
          <w:trHeight w:val="653"/>
        </w:trPr>
        <w:tc>
          <w:tcPr>
            <w:tcW w:w="851" w:type="dxa"/>
            <w:vMerge/>
            <w:tcBorders>
              <w:left w:val="single" w:sz="4" w:space="0" w:color="auto"/>
              <w:bottom w:val="single" w:sz="4" w:space="0" w:color="auto"/>
              <w:right w:val="single" w:sz="4" w:space="0" w:color="auto"/>
            </w:tcBorders>
            <w:noWrap/>
            <w:vAlign w:val="center"/>
          </w:tcPr>
          <w:p w:rsidR="00D904E5" w:rsidRPr="00845EB7" w:rsidRDefault="00D904E5" w:rsidP="00331E6D">
            <w:pPr>
              <w:spacing w:after="0" w:line="240" w:lineRule="auto"/>
              <w:rPr>
                <w:rFonts w:ascii="Times New Roman" w:hAnsi="Times New Roman"/>
                <w:i/>
                <w:lang w:eastAsia="sk-SK"/>
              </w:rPr>
            </w:pPr>
          </w:p>
        </w:tc>
        <w:tc>
          <w:tcPr>
            <w:tcW w:w="992" w:type="dxa"/>
            <w:tcBorders>
              <w:top w:val="single" w:sz="4" w:space="0" w:color="auto"/>
              <w:left w:val="single" w:sz="4" w:space="0" w:color="auto"/>
              <w:bottom w:val="single" w:sz="4" w:space="0" w:color="auto"/>
              <w:right w:val="single" w:sz="4" w:space="0" w:color="auto"/>
            </w:tcBorders>
            <w:vAlign w:val="center"/>
          </w:tcPr>
          <w:p w:rsidR="00D904E5" w:rsidRPr="00845EB7" w:rsidRDefault="00D904E5" w:rsidP="00331E6D">
            <w:pPr>
              <w:spacing w:after="0" w:line="240" w:lineRule="auto"/>
              <w:rPr>
                <w:rFonts w:ascii="Times New Roman" w:hAnsi="Times New Roman"/>
                <w:i/>
                <w:lang w:eastAsia="sk-SK"/>
              </w:rPr>
            </w:pPr>
            <w:r w:rsidRPr="00845EB7">
              <w:rPr>
                <w:rFonts w:ascii="Times New Roman" w:hAnsi="Times New Roman"/>
                <w:i/>
                <w:lang w:eastAsia="sk-SK"/>
              </w:rPr>
              <w:t>od 01.07.</w:t>
            </w:r>
          </w:p>
        </w:tc>
        <w:tc>
          <w:tcPr>
            <w:tcW w:w="850" w:type="dxa"/>
            <w:tcBorders>
              <w:top w:val="single" w:sz="4" w:space="0" w:color="auto"/>
              <w:left w:val="nil"/>
              <w:bottom w:val="single" w:sz="4" w:space="0" w:color="auto"/>
              <w:right w:val="single" w:sz="4" w:space="0" w:color="auto"/>
              <w:tl2br w:val="single" w:sz="4" w:space="0" w:color="auto"/>
            </w:tcBorders>
            <w:noWrap/>
            <w:vAlign w:val="bottom"/>
          </w:tcPr>
          <w:p w:rsidR="00D904E5" w:rsidRPr="00845EB7" w:rsidRDefault="00D904E5" w:rsidP="00331E6D">
            <w:pPr>
              <w:spacing w:after="0" w:line="240" w:lineRule="auto"/>
              <w:jc w:val="right"/>
              <w:rPr>
                <w:rFonts w:ascii="Times New Roman" w:hAnsi="Times New Roman"/>
                <w:i/>
                <w:lang w:eastAsia="sk-SK"/>
              </w:rPr>
            </w:pPr>
            <w:r w:rsidRPr="00845EB7">
              <w:rPr>
                <w:rFonts w:ascii="Times New Roman" w:hAnsi="Times New Roman"/>
                <w:i/>
                <w:lang w:eastAsia="sk-SK"/>
              </w:rPr>
              <w:t xml:space="preserve"> </w:t>
            </w:r>
          </w:p>
        </w:tc>
        <w:tc>
          <w:tcPr>
            <w:tcW w:w="851" w:type="dxa"/>
            <w:tcBorders>
              <w:top w:val="single" w:sz="4" w:space="0" w:color="auto"/>
              <w:left w:val="nil"/>
              <w:bottom w:val="single" w:sz="4" w:space="0" w:color="auto"/>
              <w:right w:val="single" w:sz="4" w:space="0" w:color="auto"/>
              <w:tl2br w:val="single" w:sz="4" w:space="0" w:color="auto"/>
            </w:tcBorders>
            <w:noWrap/>
            <w:vAlign w:val="bottom"/>
          </w:tcPr>
          <w:p w:rsidR="00D904E5" w:rsidRPr="00845EB7" w:rsidRDefault="00D904E5" w:rsidP="00331E6D">
            <w:pPr>
              <w:spacing w:after="0" w:line="240" w:lineRule="auto"/>
              <w:jc w:val="right"/>
              <w:rPr>
                <w:rFonts w:ascii="Times New Roman" w:hAnsi="Times New Roman"/>
                <w:i/>
                <w:lang w:eastAsia="sk-SK"/>
              </w:rPr>
            </w:pPr>
          </w:p>
        </w:tc>
        <w:tc>
          <w:tcPr>
            <w:tcW w:w="1984" w:type="dxa"/>
            <w:gridSpan w:val="2"/>
            <w:tcBorders>
              <w:top w:val="single" w:sz="4" w:space="0" w:color="auto"/>
              <w:left w:val="nil"/>
              <w:bottom w:val="single" w:sz="4" w:space="0" w:color="auto"/>
              <w:right w:val="single" w:sz="4" w:space="0" w:color="auto"/>
            </w:tcBorders>
            <w:noWrap/>
            <w:vAlign w:val="center"/>
          </w:tcPr>
          <w:p w:rsidR="00D904E5" w:rsidRPr="00845EB7" w:rsidRDefault="00D904E5" w:rsidP="00331E6D">
            <w:pPr>
              <w:spacing w:after="0" w:line="240" w:lineRule="auto"/>
              <w:rPr>
                <w:rFonts w:ascii="Times New Roman" w:hAnsi="Times New Roman"/>
                <w:i/>
                <w:sz w:val="20"/>
                <w:szCs w:val="20"/>
                <w:lang w:eastAsia="sk-SK"/>
              </w:rPr>
            </w:pPr>
            <w:r w:rsidRPr="00845EB7">
              <w:rPr>
                <w:rFonts w:ascii="Times New Roman" w:hAnsi="Times New Roman"/>
                <w:i/>
                <w:sz w:val="20"/>
                <w:szCs w:val="20"/>
                <w:lang w:eastAsia="sk-SK"/>
              </w:rPr>
              <w:t xml:space="preserve">210 €, max. 34% z ČZD, čo je </w:t>
            </w:r>
            <w:r w:rsidRPr="00845EB7">
              <w:rPr>
                <w:rFonts w:ascii="Times New Roman" w:hAnsi="Times New Roman"/>
                <w:i/>
                <w:lang w:eastAsia="sk-SK"/>
              </w:rPr>
              <w:t>229,6 €</w:t>
            </w:r>
            <w:r w:rsidRPr="00845EB7">
              <w:rPr>
                <w:rFonts w:ascii="Times New Roman" w:hAnsi="Times New Roman"/>
                <w:i/>
                <w:sz w:val="20"/>
                <w:szCs w:val="20"/>
                <w:lang w:eastAsia="sk-SK"/>
              </w:rPr>
              <w:t xml:space="preserve">  </w:t>
            </w:r>
          </w:p>
        </w:tc>
        <w:tc>
          <w:tcPr>
            <w:tcW w:w="1985" w:type="dxa"/>
            <w:gridSpan w:val="2"/>
            <w:tcBorders>
              <w:top w:val="single" w:sz="4" w:space="0" w:color="auto"/>
              <w:left w:val="nil"/>
              <w:bottom w:val="single" w:sz="4" w:space="0" w:color="auto"/>
              <w:right w:val="single" w:sz="4" w:space="0" w:color="auto"/>
            </w:tcBorders>
            <w:noWrap/>
            <w:vAlign w:val="bottom"/>
          </w:tcPr>
          <w:p w:rsidR="00D904E5" w:rsidRPr="00845EB7" w:rsidRDefault="00D904E5" w:rsidP="00331E6D">
            <w:pPr>
              <w:spacing w:after="0" w:line="240" w:lineRule="auto"/>
              <w:jc w:val="center"/>
              <w:rPr>
                <w:rFonts w:ascii="Times New Roman" w:hAnsi="Times New Roman"/>
                <w:i/>
                <w:lang w:eastAsia="sk-SK"/>
              </w:rPr>
            </w:pPr>
            <w:r w:rsidRPr="00845EB7">
              <w:rPr>
                <w:rFonts w:ascii="Times New Roman" w:hAnsi="Times New Roman"/>
                <w:i/>
                <w:sz w:val="18"/>
                <w:szCs w:val="18"/>
                <w:lang w:eastAsia="sk-SK"/>
              </w:rPr>
              <w:t xml:space="preserve">290 €, max. 48% z  ČZD, čo je  </w:t>
            </w:r>
            <w:r w:rsidRPr="00845EB7">
              <w:rPr>
                <w:rFonts w:ascii="Times New Roman" w:hAnsi="Times New Roman"/>
                <w:i/>
                <w:lang w:eastAsia="sk-SK"/>
              </w:rPr>
              <w:t>270,19 €</w:t>
            </w:r>
          </w:p>
        </w:tc>
        <w:tc>
          <w:tcPr>
            <w:tcW w:w="992" w:type="dxa"/>
            <w:tcBorders>
              <w:top w:val="single" w:sz="4" w:space="0" w:color="auto"/>
              <w:left w:val="nil"/>
              <w:bottom w:val="single" w:sz="4" w:space="0" w:color="auto"/>
              <w:right w:val="single" w:sz="4" w:space="0" w:color="auto"/>
            </w:tcBorders>
            <w:vAlign w:val="center"/>
          </w:tcPr>
          <w:p w:rsidR="00D904E5" w:rsidRPr="00845EB7" w:rsidRDefault="00D904E5" w:rsidP="00331E6D">
            <w:pPr>
              <w:spacing w:after="0" w:line="240" w:lineRule="auto"/>
              <w:jc w:val="right"/>
              <w:rPr>
                <w:rFonts w:ascii="Times New Roman" w:hAnsi="Times New Roman"/>
                <w:i/>
                <w:lang w:eastAsia="sk-SK"/>
              </w:rPr>
            </w:pPr>
            <w:r w:rsidRPr="00845EB7">
              <w:rPr>
                <w:rFonts w:ascii="Times New Roman" w:hAnsi="Times New Roman"/>
                <w:i/>
                <w:sz w:val="18"/>
                <w:szCs w:val="18"/>
                <w:lang w:eastAsia="sk-SK"/>
              </w:rPr>
              <w:t xml:space="preserve">290 €, max. 48% z  ČZD, čo je 665,09 €  </w:t>
            </w:r>
          </w:p>
        </w:tc>
        <w:tc>
          <w:tcPr>
            <w:tcW w:w="1022" w:type="dxa"/>
            <w:tcBorders>
              <w:top w:val="single" w:sz="4" w:space="0" w:color="auto"/>
              <w:left w:val="nil"/>
              <w:bottom w:val="single" w:sz="4" w:space="0" w:color="auto"/>
              <w:right w:val="single" w:sz="4" w:space="0" w:color="auto"/>
            </w:tcBorders>
            <w:noWrap/>
            <w:vAlign w:val="bottom"/>
          </w:tcPr>
          <w:p w:rsidR="00D904E5" w:rsidRPr="00845EB7" w:rsidRDefault="00D904E5" w:rsidP="00331E6D">
            <w:pPr>
              <w:spacing w:after="0" w:line="240" w:lineRule="auto"/>
              <w:jc w:val="right"/>
              <w:rPr>
                <w:rFonts w:ascii="Times New Roman" w:hAnsi="Times New Roman"/>
                <w:b/>
                <w:bCs/>
                <w:i/>
                <w:lang w:eastAsia="sk-SK"/>
              </w:rPr>
            </w:pPr>
          </w:p>
        </w:tc>
      </w:tr>
      <w:tr w:rsidR="00D904E5" w:rsidRPr="00845EB7" w:rsidTr="00331E6D">
        <w:trPr>
          <w:trHeight w:val="331"/>
        </w:trPr>
        <w:tc>
          <w:tcPr>
            <w:tcW w:w="1843"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D904E5" w:rsidRPr="00845EB7" w:rsidRDefault="00D904E5" w:rsidP="00331E6D">
            <w:pPr>
              <w:spacing w:after="0" w:line="240" w:lineRule="auto"/>
              <w:rPr>
                <w:rFonts w:ascii="Times New Roman" w:hAnsi="Times New Roman"/>
                <w:i/>
                <w:lang w:eastAsia="sk-SK"/>
              </w:rPr>
            </w:pPr>
            <w:r w:rsidRPr="00845EB7">
              <w:rPr>
                <w:rFonts w:ascii="Times New Roman" w:hAnsi="Times New Roman"/>
                <w:i/>
                <w:lang w:eastAsia="sk-SK"/>
              </w:rPr>
              <w:t>Priznaný DB</w:t>
            </w:r>
          </w:p>
        </w:tc>
        <w:tc>
          <w:tcPr>
            <w:tcW w:w="850" w:type="dxa"/>
            <w:tcBorders>
              <w:top w:val="nil"/>
              <w:left w:val="nil"/>
              <w:bottom w:val="single" w:sz="4" w:space="0" w:color="auto"/>
              <w:right w:val="single" w:sz="4" w:space="0" w:color="auto"/>
            </w:tcBorders>
            <w:noWrap/>
            <w:vAlign w:val="bottom"/>
            <w:hideMark/>
          </w:tcPr>
          <w:p w:rsidR="00D904E5" w:rsidRPr="00845EB7" w:rsidRDefault="00D904E5" w:rsidP="00331E6D">
            <w:pPr>
              <w:spacing w:after="0" w:line="240" w:lineRule="auto"/>
              <w:rPr>
                <w:rFonts w:ascii="Times New Roman" w:hAnsi="Times New Roman"/>
                <w:i/>
                <w:lang w:eastAsia="sk-SK"/>
              </w:rPr>
            </w:pPr>
            <w:r w:rsidRPr="00845EB7">
              <w:rPr>
                <w:rFonts w:ascii="Times New Roman" w:hAnsi="Times New Roman"/>
                <w:i/>
                <w:lang w:eastAsia="sk-SK"/>
              </w:rPr>
              <w:t xml:space="preserve">141,42 € </w:t>
            </w:r>
            <w:r w:rsidRPr="00845EB7">
              <w:rPr>
                <w:rFonts w:ascii="Times New Roman" w:hAnsi="Times New Roman"/>
                <w:i/>
                <w:vertAlign w:val="superscript"/>
                <w:lang w:eastAsia="sk-SK"/>
              </w:rPr>
              <w:t>1)</w:t>
            </w:r>
          </w:p>
        </w:tc>
        <w:tc>
          <w:tcPr>
            <w:tcW w:w="851" w:type="dxa"/>
            <w:tcBorders>
              <w:top w:val="nil"/>
              <w:left w:val="nil"/>
              <w:bottom w:val="single" w:sz="4" w:space="0" w:color="auto"/>
              <w:right w:val="single" w:sz="4" w:space="0" w:color="auto"/>
            </w:tcBorders>
            <w:noWrap/>
            <w:vAlign w:val="bottom"/>
            <w:hideMark/>
          </w:tcPr>
          <w:p w:rsidR="00D904E5" w:rsidRPr="00845EB7" w:rsidRDefault="00D904E5" w:rsidP="00331E6D">
            <w:pPr>
              <w:spacing w:after="0" w:line="240" w:lineRule="auto"/>
              <w:rPr>
                <w:rFonts w:ascii="Times New Roman" w:hAnsi="Times New Roman"/>
                <w:i/>
                <w:lang w:eastAsia="sk-SK"/>
              </w:rPr>
            </w:pPr>
            <w:r w:rsidRPr="00845EB7">
              <w:rPr>
                <w:rFonts w:ascii="Times New Roman" w:hAnsi="Times New Roman"/>
                <w:i/>
                <w:lang w:eastAsia="sk-SK"/>
              </w:rPr>
              <w:t xml:space="preserve">141,42 € </w:t>
            </w:r>
            <w:r w:rsidRPr="00845EB7">
              <w:rPr>
                <w:rFonts w:ascii="Times New Roman" w:hAnsi="Times New Roman"/>
                <w:i/>
                <w:vertAlign w:val="superscript"/>
                <w:lang w:eastAsia="sk-SK"/>
              </w:rPr>
              <w:t>1)</w:t>
            </w:r>
          </w:p>
        </w:tc>
        <w:tc>
          <w:tcPr>
            <w:tcW w:w="992" w:type="dxa"/>
            <w:tcBorders>
              <w:top w:val="nil"/>
              <w:left w:val="nil"/>
              <w:bottom w:val="single" w:sz="4" w:space="0" w:color="auto"/>
              <w:right w:val="single" w:sz="4" w:space="0" w:color="auto"/>
            </w:tcBorders>
            <w:noWrap/>
            <w:vAlign w:val="bottom"/>
          </w:tcPr>
          <w:p w:rsidR="00D904E5" w:rsidRPr="00845EB7" w:rsidRDefault="00D904E5" w:rsidP="00331E6D">
            <w:pPr>
              <w:spacing w:after="0" w:line="240" w:lineRule="auto"/>
              <w:jc w:val="right"/>
              <w:rPr>
                <w:rFonts w:ascii="Times New Roman" w:hAnsi="Times New Roman"/>
                <w:i/>
                <w:lang w:eastAsia="sk-SK"/>
              </w:rPr>
            </w:pPr>
            <w:r w:rsidRPr="00845EB7">
              <w:rPr>
                <w:rFonts w:ascii="Times New Roman" w:hAnsi="Times New Roman"/>
                <w:i/>
                <w:lang w:eastAsia="sk-SK"/>
              </w:rPr>
              <w:t xml:space="preserve">210 € </w:t>
            </w:r>
            <w:r w:rsidRPr="00845EB7">
              <w:rPr>
                <w:rFonts w:ascii="Times New Roman" w:hAnsi="Times New Roman"/>
                <w:i/>
                <w:vertAlign w:val="superscript"/>
                <w:lang w:eastAsia="sk-SK"/>
              </w:rPr>
              <w:t>1)</w:t>
            </w:r>
          </w:p>
        </w:tc>
        <w:tc>
          <w:tcPr>
            <w:tcW w:w="992" w:type="dxa"/>
            <w:tcBorders>
              <w:top w:val="nil"/>
              <w:left w:val="single" w:sz="4" w:space="0" w:color="auto"/>
              <w:bottom w:val="single" w:sz="4" w:space="0" w:color="auto"/>
              <w:right w:val="single" w:sz="4" w:space="0" w:color="auto"/>
            </w:tcBorders>
            <w:noWrap/>
            <w:vAlign w:val="bottom"/>
          </w:tcPr>
          <w:p w:rsidR="00D904E5" w:rsidRPr="00845EB7" w:rsidRDefault="00D904E5" w:rsidP="00331E6D">
            <w:pPr>
              <w:spacing w:after="0" w:line="240" w:lineRule="auto"/>
              <w:jc w:val="right"/>
              <w:rPr>
                <w:rFonts w:ascii="Times New Roman" w:hAnsi="Times New Roman"/>
                <w:i/>
                <w:lang w:eastAsia="sk-SK"/>
              </w:rPr>
            </w:pPr>
            <w:r w:rsidRPr="00845EB7">
              <w:rPr>
                <w:rFonts w:ascii="Times New Roman" w:hAnsi="Times New Roman"/>
                <w:i/>
                <w:lang w:eastAsia="sk-SK"/>
              </w:rPr>
              <w:t xml:space="preserve">210 € </w:t>
            </w:r>
            <w:r w:rsidRPr="00845EB7">
              <w:rPr>
                <w:rFonts w:ascii="Times New Roman" w:hAnsi="Times New Roman"/>
                <w:i/>
                <w:vertAlign w:val="superscript"/>
                <w:lang w:eastAsia="sk-SK"/>
              </w:rPr>
              <w:t>1)</w:t>
            </w:r>
          </w:p>
        </w:tc>
        <w:tc>
          <w:tcPr>
            <w:tcW w:w="993" w:type="dxa"/>
            <w:tcBorders>
              <w:top w:val="nil"/>
              <w:left w:val="nil"/>
              <w:bottom w:val="single" w:sz="4" w:space="0" w:color="auto"/>
              <w:right w:val="single" w:sz="4" w:space="0" w:color="auto"/>
            </w:tcBorders>
            <w:noWrap/>
          </w:tcPr>
          <w:p w:rsidR="00D904E5" w:rsidRPr="00845EB7" w:rsidRDefault="00D904E5" w:rsidP="00331E6D">
            <w:pPr>
              <w:spacing w:after="0" w:line="240" w:lineRule="auto"/>
              <w:jc w:val="center"/>
              <w:rPr>
                <w:rFonts w:ascii="Times New Roman" w:hAnsi="Times New Roman"/>
                <w:i/>
                <w:lang w:eastAsia="sk-SK"/>
              </w:rPr>
            </w:pPr>
            <w:r w:rsidRPr="00845EB7">
              <w:rPr>
                <w:rFonts w:ascii="Times New Roman" w:hAnsi="Times New Roman"/>
                <w:i/>
                <w:lang w:eastAsia="sk-SK"/>
              </w:rPr>
              <w:t>270,19 €</w:t>
            </w:r>
            <w:r w:rsidRPr="00845EB7">
              <w:rPr>
                <w:rFonts w:ascii="Times New Roman" w:hAnsi="Times New Roman"/>
                <w:i/>
                <w:vertAlign w:val="superscript"/>
                <w:lang w:eastAsia="sk-SK"/>
              </w:rPr>
              <w:t>2)</w:t>
            </w:r>
          </w:p>
        </w:tc>
        <w:tc>
          <w:tcPr>
            <w:tcW w:w="992" w:type="dxa"/>
            <w:tcBorders>
              <w:top w:val="nil"/>
              <w:left w:val="nil"/>
              <w:bottom w:val="single" w:sz="4" w:space="0" w:color="auto"/>
              <w:right w:val="single" w:sz="4" w:space="0" w:color="auto"/>
            </w:tcBorders>
            <w:noWrap/>
            <w:hideMark/>
          </w:tcPr>
          <w:p w:rsidR="00D904E5" w:rsidRPr="00845EB7" w:rsidRDefault="00D904E5" w:rsidP="00331E6D">
            <w:pPr>
              <w:spacing w:after="0" w:line="240" w:lineRule="auto"/>
              <w:jc w:val="center"/>
              <w:rPr>
                <w:rFonts w:ascii="Times New Roman" w:hAnsi="Times New Roman"/>
                <w:i/>
                <w:lang w:eastAsia="sk-SK"/>
              </w:rPr>
            </w:pPr>
            <w:r w:rsidRPr="00845EB7">
              <w:rPr>
                <w:rFonts w:ascii="Times New Roman" w:hAnsi="Times New Roman"/>
                <w:i/>
                <w:lang w:eastAsia="sk-SK"/>
              </w:rPr>
              <w:t>270,19 €</w:t>
            </w:r>
            <w:r w:rsidRPr="00845EB7">
              <w:rPr>
                <w:rFonts w:ascii="Times New Roman" w:hAnsi="Times New Roman"/>
                <w:i/>
                <w:vertAlign w:val="superscript"/>
                <w:lang w:eastAsia="sk-SK"/>
              </w:rPr>
              <w:t>2)</w:t>
            </w:r>
          </w:p>
        </w:tc>
        <w:tc>
          <w:tcPr>
            <w:tcW w:w="992" w:type="dxa"/>
            <w:tcBorders>
              <w:top w:val="nil"/>
              <w:left w:val="nil"/>
              <w:bottom w:val="single" w:sz="4" w:space="0" w:color="auto"/>
              <w:right w:val="single" w:sz="4" w:space="0" w:color="auto"/>
            </w:tcBorders>
            <w:noWrap/>
            <w:vAlign w:val="bottom"/>
            <w:hideMark/>
          </w:tcPr>
          <w:p w:rsidR="00D904E5" w:rsidRPr="00845EB7" w:rsidRDefault="00D904E5" w:rsidP="00331E6D">
            <w:pPr>
              <w:spacing w:after="0" w:line="240" w:lineRule="auto"/>
              <w:jc w:val="center"/>
              <w:rPr>
                <w:rFonts w:ascii="Times New Roman" w:hAnsi="Times New Roman"/>
                <w:i/>
                <w:lang w:eastAsia="sk-SK"/>
              </w:rPr>
            </w:pPr>
            <w:r w:rsidRPr="00845EB7">
              <w:rPr>
                <w:rFonts w:ascii="Times New Roman" w:hAnsi="Times New Roman"/>
                <w:i/>
                <w:lang w:eastAsia="sk-SK"/>
              </w:rPr>
              <w:t>290 €</w:t>
            </w:r>
            <w:r w:rsidRPr="00845EB7">
              <w:rPr>
                <w:rFonts w:ascii="Times New Roman" w:hAnsi="Times New Roman"/>
                <w:i/>
                <w:vertAlign w:val="superscript"/>
                <w:lang w:eastAsia="sk-SK"/>
              </w:rPr>
              <w:t>3)</w:t>
            </w:r>
          </w:p>
        </w:tc>
        <w:tc>
          <w:tcPr>
            <w:tcW w:w="1022" w:type="dxa"/>
            <w:tcBorders>
              <w:top w:val="nil"/>
              <w:left w:val="nil"/>
              <w:bottom w:val="single" w:sz="4" w:space="0" w:color="auto"/>
              <w:right w:val="single" w:sz="4" w:space="0" w:color="auto"/>
            </w:tcBorders>
            <w:noWrap/>
            <w:vAlign w:val="bottom"/>
            <w:hideMark/>
          </w:tcPr>
          <w:p w:rsidR="00D904E5" w:rsidRPr="00845EB7" w:rsidRDefault="00D904E5" w:rsidP="00331E6D">
            <w:pPr>
              <w:spacing w:after="0" w:line="240" w:lineRule="auto"/>
              <w:jc w:val="right"/>
              <w:rPr>
                <w:rFonts w:ascii="Times New Roman" w:hAnsi="Times New Roman"/>
                <w:i/>
                <w:lang w:eastAsia="sk-SK"/>
              </w:rPr>
            </w:pPr>
            <w:r w:rsidRPr="00845EB7">
              <w:rPr>
                <w:rFonts w:ascii="Times New Roman" w:hAnsi="Times New Roman"/>
                <w:i/>
                <w:lang w:eastAsia="sk-SK"/>
              </w:rPr>
              <w:t>1533,22 €</w:t>
            </w:r>
          </w:p>
        </w:tc>
      </w:tr>
    </w:tbl>
    <w:p w:rsidR="00D904E5" w:rsidRPr="00845EB7" w:rsidRDefault="00D904E5" w:rsidP="00D904E5">
      <w:pPr>
        <w:tabs>
          <w:tab w:val="left" w:pos="6237"/>
        </w:tabs>
        <w:spacing w:after="0" w:line="240" w:lineRule="auto"/>
        <w:rPr>
          <w:rFonts w:ascii="Arial Narrow" w:hAnsi="Arial Narrow" w:cs="Arial Narrow"/>
          <w:i/>
          <w:sz w:val="20"/>
          <w:szCs w:val="20"/>
        </w:rPr>
      </w:pPr>
      <w:r w:rsidRPr="00845EB7">
        <w:rPr>
          <w:rFonts w:ascii="Arial Narrow" w:hAnsi="Arial Narrow" w:cs="Arial Narrow"/>
          <w:i/>
          <w:sz w:val="20"/>
          <w:szCs w:val="20"/>
          <w:vertAlign w:val="superscript"/>
        </w:rPr>
        <w:t xml:space="preserve">1) </w:t>
      </w:r>
      <w:r w:rsidRPr="00845EB7">
        <w:rPr>
          <w:rFonts w:ascii="Arial Narrow" w:hAnsi="Arial Narrow" w:cs="Arial Narrow"/>
          <w:i/>
          <w:sz w:val="20"/>
          <w:szCs w:val="20"/>
        </w:rPr>
        <w:t xml:space="preserve">141,42 € = suma daňového bonusu na dieťa do 6 r. veku 47,14 € x tri deti, podľa § 33 ZDP   </w:t>
      </w:r>
    </w:p>
    <w:p w:rsidR="00D904E5" w:rsidRPr="00845EB7" w:rsidRDefault="00D904E5" w:rsidP="00D904E5">
      <w:pPr>
        <w:tabs>
          <w:tab w:val="left" w:pos="6237"/>
        </w:tabs>
        <w:spacing w:after="0" w:line="240" w:lineRule="auto"/>
        <w:jc w:val="both"/>
        <w:rPr>
          <w:rFonts w:ascii="Arial Narrow" w:hAnsi="Arial Narrow" w:cs="Arial Narrow"/>
          <w:i/>
          <w:sz w:val="20"/>
          <w:szCs w:val="20"/>
        </w:rPr>
      </w:pPr>
      <w:r w:rsidRPr="00845EB7">
        <w:rPr>
          <w:rFonts w:ascii="Arial Narrow" w:hAnsi="Arial Narrow" w:cs="Arial Narrow"/>
          <w:i/>
          <w:sz w:val="20"/>
          <w:szCs w:val="20"/>
          <w:vertAlign w:val="superscript"/>
        </w:rPr>
        <w:t xml:space="preserve">2) </w:t>
      </w:r>
      <w:r w:rsidRPr="00845EB7">
        <w:rPr>
          <w:rFonts w:ascii="Arial Narrow" w:hAnsi="Arial Narrow" w:cs="Arial Narrow"/>
          <w:i/>
          <w:sz w:val="20"/>
          <w:szCs w:val="20"/>
        </w:rPr>
        <w:t>188,56 € = suma daňového bonusu na dieťa do 6 r. veku 47,14 € x tri deti + 23,57 € x 2 deti, podľa § 33 ZDP</w:t>
      </w:r>
    </w:p>
    <w:p w:rsidR="00D904E5" w:rsidRPr="00845EB7" w:rsidRDefault="00D904E5" w:rsidP="00D904E5">
      <w:pPr>
        <w:tabs>
          <w:tab w:val="left" w:pos="6237"/>
        </w:tabs>
        <w:spacing w:after="0" w:line="240" w:lineRule="auto"/>
        <w:jc w:val="both"/>
        <w:rPr>
          <w:rFonts w:ascii="Arial Narrow" w:hAnsi="Arial Narrow" w:cs="Arial Narrow"/>
          <w:i/>
          <w:sz w:val="20"/>
          <w:szCs w:val="20"/>
        </w:rPr>
      </w:pPr>
      <w:r w:rsidRPr="00845EB7">
        <w:rPr>
          <w:rFonts w:ascii="Arial Narrow" w:hAnsi="Arial Narrow" w:cs="Arial Narrow"/>
          <w:i/>
          <w:sz w:val="20"/>
          <w:szCs w:val="20"/>
          <w:vertAlign w:val="superscript"/>
        </w:rPr>
        <w:t>3)</w:t>
      </w:r>
      <w:r w:rsidRPr="00845EB7">
        <w:rPr>
          <w:rFonts w:ascii="Arial Narrow" w:hAnsi="Arial Narrow" w:cs="Arial Narrow"/>
          <w:i/>
          <w:sz w:val="20"/>
          <w:szCs w:val="20"/>
        </w:rPr>
        <w:t xml:space="preserve"> 290 € = suma daňového bonusu na dieťa do 15 r. veku 70 € x tri deti a dieťa nad 15 r. veku 40 € x 2 deti podľa § 52zzn ZDP</w:t>
      </w:r>
    </w:p>
    <w:p w:rsidR="00D904E5" w:rsidRPr="00845EB7" w:rsidRDefault="00D904E5" w:rsidP="00D904E5">
      <w:pPr>
        <w:tabs>
          <w:tab w:val="left" w:pos="5670"/>
        </w:tabs>
        <w:spacing w:after="0" w:line="240" w:lineRule="auto"/>
        <w:rPr>
          <w:rFonts w:ascii="Arial Narrow" w:hAnsi="Arial Narrow"/>
        </w:rPr>
      </w:pPr>
    </w:p>
    <w:p w:rsidR="00D904E5" w:rsidRPr="00845EB7" w:rsidRDefault="00D904E5" w:rsidP="00D904E5">
      <w:pPr>
        <w:spacing w:after="0" w:line="240" w:lineRule="auto"/>
        <w:rPr>
          <w:rFonts w:ascii="Arial Narrow" w:hAnsi="Arial Narrow" w:cs="Arial Narrow"/>
          <w:i/>
          <w:sz w:val="18"/>
          <w:szCs w:val="18"/>
        </w:rPr>
      </w:pPr>
      <w:r w:rsidRPr="00845EB7">
        <w:rPr>
          <w:rFonts w:ascii="Arial Narrow" w:hAnsi="Arial Narrow" w:cs="Arial Narrow"/>
          <w:i/>
          <w:sz w:val="18"/>
          <w:szCs w:val="18"/>
        </w:rPr>
        <w:t>Tabuľka č. 2 Výpočet daňového bonusu za celé zdaňovacie obdobie 2022 v ročnom zúčtovaní alebo v daňovom priznaní</w:t>
      </w:r>
    </w:p>
    <w:p w:rsidR="00D904E5" w:rsidRPr="00845EB7" w:rsidRDefault="00D904E5" w:rsidP="00D904E5">
      <w:pPr>
        <w:tabs>
          <w:tab w:val="left" w:pos="5670"/>
        </w:tabs>
        <w:spacing w:after="0" w:line="240" w:lineRule="auto"/>
        <w:jc w:val="both"/>
        <w:rPr>
          <w:rFonts w:ascii="Arial Narrow" w:hAnsi="Arial Narrow"/>
          <w:i/>
        </w:rPr>
      </w:pPr>
    </w:p>
    <w:tbl>
      <w:tblPr>
        <w:tblStyle w:val="Mriekatabuky"/>
        <w:tblW w:w="0" w:type="auto"/>
        <w:tblLook w:val="04A0" w:firstRow="1" w:lastRow="0" w:firstColumn="1" w:lastColumn="0" w:noHBand="0" w:noVBand="1"/>
      </w:tblPr>
      <w:tblGrid>
        <w:gridCol w:w="888"/>
        <w:gridCol w:w="6484"/>
        <w:gridCol w:w="1690"/>
      </w:tblGrid>
      <w:tr w:rsidR="00D904E5" w:rsidRPr="00845EB7" w:rsidTr="00331E6D">
        <w:tc>
          <w:tcPr>
            <w:tcW w:w="888" w:type="dxa"/>
          </w:tcPr>
          <w:p w:rsidR="00D904E5" w:rsidRPr="00845EB7" w:rsidRDefault="00D904E5" w:rsidP="00331E6D">
            <w:pPr>
              <w:rPr>
                <w:rFonts w:ascii="Arial Narrow" w:hAnsi="Arial Narrow"/>
                <w:i/>
              </w:rPr>
            </w:pPr>
            <w:r w:rsidRPr="00845EB7">
              <w:rPr>
                <w:rFonts w:ascii="Arial Narrow" w:hAnsi="Arial Narrow"/>
                <w:i/>
              </w:rPr>
              <w:t>Mesiace</w:t>
            </w:r>
          </w:p>
        </w:tc>
        <w:tc>
          <w:tcPr>
            <w:tcW w:w="6484" w:type="dxa"/>
          </w:tcPr>
          <w:p w:rsidR="00D904E5" w:rsidRPr="00845EB7" w:rsidRDefault="00D904E5" w:rsidP="00331E6D">
            <w:pPr>
              <w:rPr>
                <w:rFonts w:ascii="Arial Narrow" w:hAnsi="Arial Narrow"/>
                <w:i/>
              </w:rPr>
            </w:pPr>
            <w:r w:rsidRPr="00845EB7">
              <w:rPr>
                <w:rFonts w:ascii="Arial Narrow" w:hAnsi="Arial Narrow"/>
                <w:i/>
              </w:rPr>
              <w:t xml:space="preserve">Výpočet daňového bonusu </w:t>
            </w:r>
          </w:p>
        </w:tc>
        <w:tc>
          <w:tcPr>
            <w:tcW w:w="1690" w:type="dxa"/>
          </w:tcPr>
          <w:p w:rsidR="00D904E5" w:rsidRPr="00845EB7" w:rsidRDefault="00D904E5" w:rsidP="00331E6D">
            <w:pPr>
              <w:rPr>
                <w:rFonts w:ascii="Arial Narrow" w:hAnsi="Arial Narrow"/>
                <w:i/>
              </w:rPr>
            </w:pPr>
            <w:r w:rsidRPr="00845EB7">
              <w:rPr>
                <w:rFonts w:ascii="Arial Narrow" w:hAnsi="Arial Narrow"/>
                <w:i/>
              </w:rPr>
              <w:t xml:space="preserve">Nárok na DB </w:t>
            </w:r>
          </w:p>
        </w:tc>
      </w:tr>
      <w:tr w:rsidR="00D904E5" w:rsidRPr="00845EB7" w:rsidTr="00331E6D">
        <w:tc>
          <w:tcPr>
            <w:tcW w:w="888" w:type="dxa"/>
            <w:tcBorders>
              <w:bottom w:val="single" w:sz="12" w:space="0" w:color="auto"/>
            </w:tcBorders>
          </w:tcPr>
          <w:p w:rsidR="00D904E5" w:rsidRPr="00845EB7" w:rsidRDefault="00D904E5" w:rsidP="00331E6D">
            <w:pPr>
              <w:tabs>
                <w:tab w:val="left" w:pos="5670"/>
              </w:tabs>
              <w:rPr>
                <w:rFonts w:ascii="Arial Narrow" w:hAnsi="Arial Narrow"/>
                <w:i/>
              </w:rPr>
            </w:pPr>
            <w:r w:rsidRPr="00845EB7">
              <w:rPr>
                <w:rFonts w:ascii="Arial Narrow" w:hAnsi="Arial Narrow"/>
                <w:b/>
                <w:i/>
              </w:rPr>
              <w:t>1 – 6</w:t>
            </w:r>
          </w:p>
        </w:tc>
        <w:tc>
          <w:tcPr>
            <w:tcW w:w="6484" w:type="dxa"/>
            <w:tcBorders>
              <w:bottom w:val="single" w:sz="12" w:space="0" w:color="auto"/>
            </w:tcBorders>
          </w:tcPr>
          <w:p w:rsidR="00D904E5" w:rsidRPr="00845EB7" w:rsidRDefault="00D904E5" w:rsidP="00331E6D">
            <w:pPr>
              <w:rPr>
                <w:rFonts w:ascii="Arial Narrow" w:hAnsi="Arial Narrow"/>
                <w:i/>
                <w:lang w:eastAsia="sk-SK"/>
              </w:rPr>
            </w:pPr>
            <w:r w:rsidRPr="00845EB7">
              <w:rPr>
                <w:rFonts w:ascii="Arial Narrow" w:hAnsi="Arial Narrow"/>
                <w:b/>
                <w:i/>
                <w:lang w:eastAsia="sk-SK"/>
              </w:rPr>
              <w:t>848,52 €</w:t>
            </w:r>
            <w:r w:rsidRPr="00845EB7">
              <w:rPr>
                <w:rFonts w:ascii="Arial Narrow" w:hAnsi="Arial Narrow"/>
                <w:i/>
                <w:lang w:eastAsia="sk-SK"/>
              </w:rPr>
              <w:t xml:space="preserve"> </w:t>
            </w:r>
          </w:p>
          <w:p w:rsidR="00D904E5" w:rsidRPr="00845EB7" w:rsidRDefault="00D904E5" w:rsidP="00331E6D">
            <w:pPr>
              <w:tabs>
                <w:tab w:val="left" w:pos="5670"/>
              </w:tabs>
              <w:rPr>
                <w:rFonts w:ascii="Arial Narrow" w:hAnsi="Arial Narrow"/>
                <w:i/>
              </w:rPr>
            </w:pPr>
            <w:r w:rsidRPr="00845EB7">
              <w:rPr>
                <w:rFonts w:ascii="Arial Narrow" w:hAnsi="Arial Narrow"/>
                <w:i/>
                <w:lang w:eastAsia="sk-SK"/>
              </w:rPr>
              <w:t xml:space="preserve">3 deti x 6 mesiacov x suma daňového bonusu na vyživované dieťa vo veku do 6 rokov 47,14 € platná do 30.06.2022 </w:t>
            </w:r>
          </w:p>
        </w:tc>
        <w:tc>
          <w:tcPr>
            <w:tcW w:w="1690" w:type="dxa"/>
            <w:tcBorders>
              <w:bottom w:val="single" w:sz="12" w:space="0" w:color="auto"/>
            </w:tcBorders>
          </w:tcPr>
          <w:p w:rsidR="00D904E5" w:rsidRPr="00845EB7" w:rsidRDefault="00D904E5" w:rsidP="00331E6D">
            <w:pPr>
              <w:rPr>
                <w:rFonts w:ascii="Arial Narrow" w:hAnsi="Arial Narrow"/>
                <w:i/>
              </w:rPr>
            </w:pPr>
          </w:p>
          <w:p w:rsidR="00D904E5" w:rsidRPr="00845EB7" w:rsidRDefault="00D904E5" w:rsidP="00331E6D">
            <w:pPr>
              <w:tabs>
                <w:tab w:val="left" w:pos="5670"/>
              </w:tabs>
              <w:jc w:val="right"/>
              <w:rPr>
                <w:rFonts w:ascii="Arial Narrow" w:hAnsi="Arial Narrow"/>
                <w:i/>
              </w:rPr>
            </w:pPr>
            <w:r w:rsidRPr="00845EB7">
              <w:rPr>
                <w:rFonts w:ascii="Arial Narrow" w:hAnsi="Arial Narrow"/>
                <w:i/>
              </w:rPr>
              <w:t>848,52 €</w:t>
            </w:r>
          </w:p>
        </w:tc>
      </w:tr>
      <w:tr w:rsidR="00D904E5" w:rsidRPr="00845EB7" w:rsidTr="00331E6D">
        <w:tc>
          <w:tcPr>
            <w:tcW w:w="888" w:type="dxa"/>
            <w:tcBorders>
              <w:top w:val="single" w:sz="12" w:space="0" w:color="auto"/>
            </w:tcBorders>
          </w:tcPr>
          <w:p w:rsidR="00D904E5" w:rsidRPr="00845EB7" w:rsidRDefault="00D904E5" w:rsidP="00331E6D">
            <w:pPr>
              <w:tabs>
                <w:tab w:val="left" w:pos="5670"/>
              </w:tabs>
              <w:rPr>
                <w:rFonts w:ascii="Arial Narrow" w:hAnsi="Arial Narrow"/>
                <w:i/>
              </w:rPr>
            </w:pPr>
            <w:r w:rsidRPr="00845EB7">
              <w:rPr>
                <w:rFonts w:ascii="Arial Narrow" w:hAnsi="Arial Narrow"/>
                <w:b/>
                <w:i/>
              </w:rPr>
              <w:t>7 - 9</w:t>
            </w:r>
          </w:p>
        </w:tc>
        <w:tc>
          <w:tcPr>
            <w:tcW w:w="6484" w:type="dxa"/>
            <w:tcBorders>
              <w:top w:val="single" w:sz="12" w:space="0" w:color="auto"/>
            </w:tcBorders>
          </w:tcPr>
          <w:p w:rsidR="00D904E5" w:rsidRPr="00845EB7" w:rsidRDefault="00D904E5" w:rsidP="00331E6D">
            <w:pPr>
              <w:rPr>
                <w:rFonts w:ascii="Arial Narrow" w:hAnsi="Arial Narrow"/>
                <w:i/>
                <w:lang w:eastAsia="sk-SK"/>
              </w:rPr>
            </w:pPr>
            <w:r w:rsidRPr="00845EB7">
              <w:rPr>
                <w:rFonts w:ascii="Arial Narrow" w:hAnsi="Arial Narrow"/>
                <w:b/>
                <w:i/>
                <w:lang w:eastAsia="sk-SK"/>
              </w:rPr>
              <w:t>424,26 €</w:t>
            </w:r>
            <w:r w:rsidRPr="00845EB7">
              <w:rPr>
                <w:rFonts w:ascii="Arial Narrow" w:hAnsi="Arial Narrow"/>
                <w:i/>
                <w:lang w:eastAsia="sk-SK"/>
              </w:rPr>
              <w:t xml:space="preserve"> </w:t>
            </w:r>
          </w:p>
          <w:p w:rsidR="00D904E5" w:rsidRPr="00845EB7" w:rsidRDefault="00D904E5" w:rsidP="00331E6D">
            <w:pPr>
              <w:rPr>
                <w:rFonts w:ascii="Arial Narrow" w:hAnsi="Arial Narrow"/>
                <w:i/>
                <w:lang w:eastAsia="sk-SK"/>
              </w:rPr>
            </w:pPr>
            <w:r w:rsidRPr="00845EB7">
              <w:rPr>
                <w:rFonts w:ascii="Arial Narrow" w:hAnsi="Arial Narrow"/>
                <w:i/>
                <w:lang w:eastAsia="sk-SK"/>
              </w:rPr>
              <w:t xml:space="preserve">3 deti x 3 mesiace x suma daňového bonusu na vyživované dieťa vo veku do 6 rokov 47,14 € platná do 30.06.2022 alebo </w:t>
            </w:r>
          </w:p>
          <w:p w:rsidR="00D904E5" w:rsidRPr="00845EB7" w:rsidRDefault="00D904E5" w:rsidP="00331E6D">
            <w:pPr>
              <w:rPr>
                <w:rFonts w:ascii="Arial Narrow" w:hAnsi="Arial Narrow"/>
                <w:b/>
                <w:i/>
                <w:lang w:eastAsia="sk-SK"/>
              </w:rPr>
            </w:pPr>
          </w:p>
          <w:p w:rsidR="00D904E5" w:rsidRPr="00845EB7" w:rsidRDefault="00D904E5" w:rsidP="00331E6D">
            <w:pPr>
              <w:rPr>
                <w:rFonts w:ascii="Arial Narrow" w:hAnsi="Arial Narrow"/>
                <w:b/>
                <w:i/>
                <w:lang w:eastAsia="sk-SK"/>
              </w:rPr>
            </w:pPr>
            <w:r w:rsidRPr="00845EB7">
              <w:rPr>
                <w:rFonts w:ascii="Arial Narrow" w:hAnsi="Arial Narrow"/>
                <w:b/>
                <w:i/>
                <w:lang w:eastAsia="sk-SK"/>
              </w:rPr>
              <w:t>416,64 €</w:t>
            </w:r>
          </w:p>
          <w:p w:rsidR="00D904E5" w:rsidRPr="00845EB7" w:rsidRDefault="00D904E5" w:rsidP="00331E6D">
            <w:pPr>
              <w:rPr>
                <w:rFonts w:ascii="Arial Narrow" w:hAnsi="Arial Narrow"/>
                <w:i/>
                <w:lang w:eastAsia="sk-SK"/>
              </w:rPr>
            </w:pPr>
            <w:r w:rsidRPr="00845EB7">
              <w:rPr>
                <w:rFonts w:ascii="Arial Narrow" w:hAnsi="Arial Narrow"/>
                <w:i/>
                <w:lang w:eastAsia="sk-SK"/>
              </w:rPr>
              <w:lastRenderedPageBreak/>
              <w:t>3 deti x 3 mesiace x suma daňového bonusu na vyživované dieťa o veku do 15 rokov 70 € (630) platná od 01.07.2022, max. do výšky 34 % z ½ základu dane (čiastkového základu dane) z príjmov podľa § 5 ZDP*</w:t>
            </w:r>
          </w:p>
          <w:p w:rsidR="00D904E5" w:rsidRPr="00845EB7" w:rsidRDefault="00D904E5" w:rsidP="00331E6D">
            <w:pPr>
              <w:tabs>
                <w:tab w:val="left" w:pos="5670"/>
              </w:tabs>
              <w:rPr>
                <w:rFonts w:ascii="Arial Narrow" w:hAnsi="Arial Narrow"/>
                <w:b/>
                <w:i/>
              </w:rPr>
            </w:pPr>
            <w:r w:rsidRPr="00845EB7">
              <w:rPr>
                <w:rFonts w:ascii="Arial Narrow" w:hAnsi="Arial Narrow"/>
                <w:i/>
              </w:rPr>
              <w:t>(4 901,56 € / 2 = 2 450,78 €; 2 450,78 * 34 % = 833,27 €; 833,27 € / 6 mesiacov = 138,88 €; 138,33 € x 3 mesiace = 416,64 €).</w:t>
            </w:r>
          </w:p>
        </w:tc>
        <w:tc>
          <w:tcPr>
            <w:tcW w:w="1690" w:type="dxa"/>
            <w:tcBorders>
              <w:top w:val="single" w:sz="12" w:space="0" w:color="auto"/>
            </w:tcBorders>
          </w:tcPr>
          <w:p w:rsidR="00D904E5" w:rsidRPr="00845EB7" w:rsidRDefault="00D904E5" w:rsidP="00331E6D">
            <w:pPr>
              <w:rPr>
                <w:rFonts w:ascii="Arial Narrow" w:hAnsi="Arial Narrow"/>
                <w:i/>
              </w:rPr>
            </w:pPr>
          </w:p>
          <w:p w:rsidR="00D904E5" w:rsidRPr="00845EB7" w:rsidRDefault="00D904E5" w:rsidP="00331E6D">
            <w:pPr>
              <w:rPr>
                <w:rFonts w:ascii="Arial Narrow" w:hAnsi="Arial Narrow"/>
                <w:i/>
              </w:rPr>
            </w:pPr>
          </w:p>
          <w:p w:rsidR="00D904E5" w:rsidRPr="00845EB7" w:rsidRDefault="00D904E5" w:rsidP="00331E6D">
            <w:pPr>
              <w:rPr>
                <w:rFonts w:ascii="Arial Narrow" w:hAnsi="Arial Narrow"/>
                <w:i/>
              </w:rPr>
            </w:pPr>
          </w:p>
          <w:p w:rsidR="00D904E5" w:rsidRPr="00845EB7" w:rsidRDefault="00D904E5" w:rsidP="00331E6D">
            <w:pPr>
              <w:jc w:val="right"/>
              <w:rPr>
                <w:rFonts w:ascii="Arial Narrow" w:hAnsi="Arial Narrow"/>
                <w:i/>
              </w:rPr>
            </w:pPr>
          </w:p>
          <w:p w:rsidR="00D904E5" w:rsidRPr="00845EB7" w:rsidRDefault="00D904E5" w:rsidP="00331E6D">
            <w:pPr>
              <w:tabs>
                <w:tab w:val="left" w:pos="5670"/>
              </w:tabs>
              <w:jc w:val="right"/>
              <w:rPr>
                <w:rFonts w:ascii="Arial Narrow" w:hAnsi="Arial Narrow"/>
                <w:i/>
              </w:rPr>
            </w:pPr>
          </w:p>
        </w:tc>
      </w:tr>
      <w:tr w:rsidR="00D904E5" w:rsidRPr="00845EB7" w:rsidTr="00331E6D">
        <w:tc>
          <w:tcPr>
            <w:tcW w:w="888" w:type="dxa"/>
          </w:tcPr>
          <w:p w:rsidR="00D904E5" w:rsidRPr="00845EB7" w:rsidRDefault="00D904E5" w:rsidP="00331E6D">
            <w:pPr>
              <w:tabs>
                <w:tab w:val="left" w:pos="5670"/>
              </w:tabs>
              <w:rPr>
                <w:rFonts w:ascii="Arial Narrow" w:hAnsi="Arial Narrow"/>
                <w:i/>
              </w:rPr>
            </w:pPr>
            <w:r w:rsidRPr="00845EB7">
              <w:rPr>
                <w:rFonts w:ascii="Arial Narrow" w:hAnsi="Arial Narrow"/>
                <w:b/>
                <w:i/>
              </w:rPr>
              <w:t>10 - 12</w:t>
            </w:r>
          </w:p>
        </w:tc>
        <w:tc>
          <w:tcPr>
            <w:tcW w:w="6484" w:type="dxa"/>
            <w:vAlign w:val="bottom"/>
          </w:tcPr>
          <w:p w:rsidR="00D904E5" w:rsidRPr="00845EB7" w:rsidRDefault="00D904E5" w:rsidP="00331E6D">
            <w:pPr>
              <w:rPr>
                <w:rFonts w:ascii="Arial Narrow" w:hAnsi="Arial Narrow"/>
                <w:i/>
                <w:lang w:eastAsia="sk-SK"/>
              </w:rPr>
            </w:pPr>
            <w:r w:rsidRPr="00845EB7">
              <w:rPr>
                <w:rFonts w:ascii="Arial Narrow" w:hAnsi="Arial Narrow"/>
                <w:b/>
                <w:i/>
                <w:lang w:eastAsia="sk-SK"/>
              </w:rPr>
              <w:t>565,68 €</w:t>
            </w:r>
            <w:r w:rsidRPr="00845EB7">
              <w:rPr>
                <w:rFonts w:ascii="Arial Narrow" w:hAnsi="Arial Narrow"/>
                <w:i/>
                <w:lang w:eastAsia="sk-SK"/>
              </w:rPr>
              <w:t xml:space="preserve"> </w:t>
            </w:r>
          </w:p>
          <w:p w:rsidR="00D904E5" w:rsidRPr="00845EB7" w:rsidRDefault="00D904E5" w:rsidP="00331E6D">
            <w:pPr>
              <w:rPr>
                <w:rFonts w:ascii="Arial Narrow" w:hAnsi="Arial Narrow"/>
                <w:i/>
                <w:lang w:eastAsia="sk-SK"/>
              </w:rPr>
            </w:pPr>
            <w:r w:rsidRPr="00845EB7">
              <w:rPr>
                <w:rFonts w:ascii="Arial Narrow" w:hAnsi="Arial Narrow"/>
                <w:i/>
                <w:lang w:eastAsia="sk-SK"/>
              </w:rPr>
              <w:t xml:space="preserve">5 detí x 3 mesiace x suma daňového bonusu na tri vyživované deti vo veku do 6 rokov 47,14 € a dve vyživované deti vo veku nad 15 rokov 23,57 € platná do 30.06.2022 alebo </w:t>
            </w:r>
          </w:p>
          <w:p w:rsidR="00D904E5" w:rsidRPr="00845EB7" w:rsidRDefault="00D904E5" w:rsidP="00331E6D">
            <w:pPr>
              <w:rPr>
                <w:rFonts w:ascii="Arial Narrow" w:hAnsi="Arial Narrow"/>
                <w:i/>
              </w:rPr>
            </w:pPr>
          </w:p>
          <w:p w:rsidR="00D904E5" w:rsidRPr="00845EB7" w:rsidRDefault="00D904E5" w:rsidP="00331E6D">
            <w:pPr>
              <w:rPr>
                <w:rFonts w:ascii="Arial Narrow" w:hAnsi="Arial Narrow"/>
                <w:i/>
                <w:lang w:eastAsia="sk-SK"/>
              </w:rPr>
            </w:pPr>
            <w:r w:rsidRPr="00845EB7">
              <w:rPr>
                <w:rFonts w:ascii="Arial Narrow" w:hAnsi="Arial Narrow"/>
                <w:b/>
                <w:i/>
                <w:lang w:eastAsia="sk-SK"/>
              </w:rPr>
              <w:t>588,18 €</w:t>
            </w:r>
            <w:r w:rsidRPr="00845EB7">
              <w:rPr>
                <w:rFonts w:ascii="Arial Narrow" w:hAnsi="Arial Narrow"/>
                <w:i/>
                <w:lang w:eastAsia="sk-SK"/>
              </w:rPr>
              <w:t xml:space="preserve"> </w:t>
            </w:r>
          </w:p>
          <w:p w:rsidR="00D904E5" w:rsidRPr="00845EB7" w:rsidRDefault="00D904E5" w:rsidP="00331E6D">
            <w:pPr>
              <w:rPr>
                <w:rFonts w:ascii="Arial Narrow" w:hAnsi="Arial Narrow"/>
                <w:i/>
                <w:lang w:eastAsia="sk-SK"/>
              </w:rPr>
            </w:pPr>
            <w:r w:rsidRPr="00845EB7">
              <w:rPr>
                <w:rFonts w:ascii="Arial Narrow" w:hAnsi="Arial Narrow"/>
                <w:i/>
                <w:lang w:eastAsia="sk-SK"/>
              </w:rPr>
              <w:t xml:space="preserve">5 detí x 3 mesiace x suma daňového bonusu na tri vyživované deti vo veku do 15 rokov 70 € a dve vyživované deti vo veku nad 15 rokov 40 €  platná od 01.07.2022,čo je 870 €, max. do výšky 48 % z ½ ČZD* </w:t>
            </w:r>
          </w:p>
          <w:p w:rsidR="00D904E5" w:rsidRPr="00845EB7" w:rsidRDefault="00D904E5" w:rsidP="00331E6D">
            <w:pPr>
              <w:tabs>
                <w:tab w:val="left" w:pos="5670"/>
              </w:tabs>
              <w:rPr>
                <w:rFonts w:ascii="Arial Narrow" w:hAnsi="Arial Narrow"/>
                <w:i/>
              </w:rPr>
            </w:pPr>
            <w:r w:rsidRPr="00845EB7">
              <w:rPr>
                <w:rFonts w:ascii="Arial Narrow" w:hAnsi="Arial Narrow"/>
                <w:i/>
              </w:rPr>
              <w:t>(4 901,56 € / 2 = 2 450,78 €; 2 450,78 € * 48 % = 1 176,37 €; 1 176,37 € / 6 mesiacov = 196,06 €; 196,06 € x 3 mesiace = 588,18 €).</w:t>
            </w:r>
          </w:p>
        </w:tc>
        <w:tc>
          <w:tcPr>
            <w:tcW w:w="1690" w:type="dxa"/>
          </w:tcPr>
          <w:p w:rsidR="00D904E5" w:rsidRPr="00845EB7" w:rsidRDefault="00D904E5" w:rsidP="00331E6D">
            <w:pPr>
              <w:rPr>
                <w:rFonts w:ascii="Arial Narrow" w:hAnsi="Arial Narrow"/>
                <w:i/>
              </w:rPr>
            </w:pPr>
          </w:p>
          <w:p w:rsidR="00D904E5" w:rsidRPr="00845EB7" w:rsidRDefault="00D904E5" w:rsidP="00331E6D">
            <w:pPr>
              <w:rPr>
                <w:rFonts w:ascii="Arial Narrow" w:hAnsi="Arial Narrow"/>
                <w:i/>
              </w:rPr>
            </w:pPr>
          </w:p>
          <w:p w:rsidR="00D904E5" w:rsidRPr="00845EB7" w:rsidRDefault="00D904E5" w:rsidP="00331E6D">
            <w:pPr>
              <w:rPr>
                <w:rFonts w:ascii="Arial Narrow" w:hAnsi="Arial Narrow"/>
                <w:i/>
              </w:rPr>
            </w:pPr>
          </w:p>
          <w:p w:rsidR="00D904E5" w:rsidRPr="00845EB7" w:rsidRDefault="00D904E5" w:rsidP="00331E6D">
            <w:pPr>
              <w:rPr>
                <w:rFonts w:ascii="Arial Narrow" w:hAnsi="Arial Narrow"/>
                <w:i/>
              </w:rPr>
            </w:pPr>
          </w:p>
          <w:p w:rsidR="00D904E5" w:rsidRPr="00845EB7" w:rsidRDefault="00D904E5" w:rsidP="00331E6D">
            <w:pPr>
              <w:tabs>
                <w:tab w:val="left" w:pos="5670"/>
              </w:tabs>
              <w:jc w:val="right"/>
              <w:rPr>
                <w:rFonts w:ascii="Arial Narrow" w:hAnsi="Arial Narrow"/>
                <w:i/>
              </w:rPr>
            </w:pPr>
          </w:p>
        </w:tc>
      </w:tr>
      <w:tr w:rsidR="00D904E5" w:rsidRPr="00845EB7" w:rsidTr="00331E6D">
        <w:tc>
          <w:tcPr>
            <w:tcW w:w="888" w:type="dxa"/>
          </w:tcPr>
          <w:p w:rsidR="00D904E5" w:rsidRPr="00845EB7" w:rsidRDefault="00D904E5" w:rsidP="00331E6D">
            <w:pPr>
              <w:tabs>
                <w:tab w:val="left" w:pos="5670"/>
              </w:tabs>
              <w:rPr>
                <w:rFonts w:ascii="Arial Narrow" w:hAnsi="Arial Narrow"/>
                <w:b/>
                <w:i/>
              </w:rPr>
            </w:pPr>
            <w:r w:rsidRPr="00845EB7">
              <w:rPr>
                <w:rFonts w:ascii="Arial Narrow" w:hAnsi="Arial Narrow"/>
                <w:b/>
                <w:i/>
              </w:rPr>
              <w:t>7-12</w:t>
            </w:r>
          </w:p>
        </w:tc>
        <w:tc>
          <w:tcPr>
            <w:tcW w:w="6484" w:type="dxa"/>
            <w:vAlign w:val="bottom"/>
          </w:tcPr>
          <w:p w:rsidR="00D904E5" w:rsidRPr="00845EB7" w:rsidRDefault="00D904E5" w:rsidP="00331E6D">
            <w:pPr>
              <w:rPr>
                <w:rFonts w:ascii="Arial Narrow" w:hAnsi="Arial Narrow"/>
                <w:b/>
                <w:i/>
                <w:lang w:eastAsia="sk-SK"/>
              </w:rPr>
            </w:pPr>
            <w:r w:rsidRPr="00845EB7">
              <w:rPr>
                <w:rFonts w:ascii="Arial Narrow" w:hAnsi="Arial Narrow"/>
                <w:b/>
                <w:i/>
                <w:lang w:eastAsia="sk-SK"/>
              </w:rPr>
              <w:t xml:space="preserve">Porovnanie </w:t>
            </w:r>
          </w:p>
          <w:p w:rsidR="00D904E5" w:rsidRPr="00845EB7" w:rsidRDefault="00D904E5" w:rsidP="00331E6D">
            <w:pPr>
              <w:rPr>
                <w:rFonts w:ascii="Arial Narrow" w:hAnsi="Arial Narrow"/>
                <w:i/>
                <w:lang w:eastAsia="sk-SK"/>
              </w:rPr>
            </w:pPr>
            <w:r w:rsidRPr="00845EB7">
              <w:rPr>
                <w:rFonts w:ascii="Arial Narrow" w:hAnsi="Arial Narrow"/>
                <w:b/>
                <w:i/>
                <w:lang w:eastAsia="sk-SK"/>
              </w:rPr>
              <w:t xml:space="preserve">989,94€ (424,26€ + 565,68 €) </w:t>
            </w:r>
            <w:r w:rsidRPr="00845EB7">
              <w:rPr>
                <w:rFonts w:ascii="Arial Narrow" w:hAnsi="Arial Narrow"/>
                <w:i/>
                <w:lang w:eastAsia="sk-SK"/>
              </w:rPr>
              <w:t>podľa znenia platného do 30.6.2022</w:t>
            </w:r>
          </w:p>
          <w:p w:rsidR="00D904E5" w:rsidRPr="00845EB7" w:rsidRDefault="00D904E5" w:rsidP="00331E6D">
            <w:pPr>
              <w:rPr>
                <w:rFonts w:ascii="Arial Narrow" w:hAnsi="Arial Narrow"/>
                <w:b/>
                <w:i/>
                <w:lang w:eastAsia="sk-SK"/>
              </w:rPr>
            </w:pPr>
            <w:r w:rsidRPr="00845EB7">
              <w:rPr>
                <w:rFonts w:ascii="Arial Narrow" w:hAnsi="Arial Narrow"/>
                <w:b/>
                <w:i/>
                <w:lang w:eastAsia="sk-SK"/>
              </w:rPr>
              <w:t xml:space="preserve">1004,82 € (416,64 € + 588,18 €) </w:t>
            </w:r>
            <w:r w:rsidRPr="00845EB7">
              <w:rPr>
                <w:rFonts w:ascii="Arial Narrow" w:hAnsi="Arial Narrow"/>
                <w:i/>
                <w:lang w:eastAsia="sk-SK"/>
              </w:rPr>
              <w:t>podľa znenia platného od 1.7.2022</w:t>
            </w:r>
          </w:p>
        </w:tc>
        <w:tc>
          <w:tcPr>
            <w:tcW w:w="1690" w:type="dxa"/>
          </w:tcPr>
          <w:p w:rsidR="00D904E5" w:rsidRPr="00845EB7" w:rsidRDefault="00D904E5" w:rsidP="00331E6D">
            <w:pPr>
              <w:rPr>
                <w:rFonts w:ascii="Arial Narrow" w:hAnsi="Arial Narrow"/>
                <w:i/>
              </w:rPr>
            </w:pPr>
          </w:p>
        </w:tc>
      </w:tr>
      <w:tr w:rsidR="00D904E5" w:rsidRPr="00845EB7" w:rsidTr="00331E6D">
        <w:tc>
          <w:tcPr>
            <w:tcW w:w="7372" w:type="dxa"/>
            <w:gridSpan w:val="2"/>
          </w:tcPr>
          <w:p w:rsidR="00D904E5" w:rsidRPr="00845EB7" w:rsidRDefault="00D904E5" w:rsidP="00331E6D">
            <w:pPr>
              <w:rPr>
                <w:rFonts w:ascii="Arial Narrow" w:hAnsi="Arial Narrow"/>
                <w:b/>
                <w:i/>
              </w:rPr>
            </w:pPr>
            <w:r w:rsidRPr="00845EB7">
              <w:rPr>
                <w:rFonts w:ascii="Arial Narrow" w:hAnsi="Arial Narrow"/>
                <w:i/>
              </w:rPr>
              <w:t xml:space="preserve">Nárok na daňový bonus za rok 2022 </w:t>
            </w:r>
          </w:p>
        </w:tc>
        <w:tc>
          <w:tcPr>
            <w:tcW w:w="1690" w:type="dxa"/>
          </w:tcPr>
          <w:p w:rsidR="00D904E5" w:rsidRPr="00845EB7" w:rsidRDefault="00D904E5" w:rsidP="00331E6D">
            <w:pPr>
              <w:tabs>
                <w:tab w:val="left" w:pos="5670"/>
              </w:tabs>
              <w:jc w:val="right"/>
              <w:rPr>
                <w:rFonts w:ascii="Arial Narrow" w:hAnsi="Arial Narrow"/>
                <w:b/>
                <w:i/>
              </w:rPr>
            </w:pPr>
            <w:r w:rsidRPr="00845EB7">
              <w:rPr>
                <w:rFonts w:ascii="Arial Narrow" w:hAnsi="Arial Narrow"/>
                <w:i/>
              </w:rPr>
              <w:t>1 853,34 €</w:t>
            </w:r>
          </w:p>
        </w:tc>
      </w:tr>
      <w:tr w:rsidR="00D904E5" w:rsidRPr="00845EB7" w:rsidTr="00331E6D">
        <w:tc>
          <w:tcPr>
            <w:tcW w:w="7372" w:type="dxa"/>
            <w:gridSpan w:val="2"/>
          </w:tcPr>
          <w:p w:rsidR="00D904E5" w:rsidRPr="00845EB7" w:rsidRDefault="00D904E5" w:rsidP="00331E6D">
            <w:pPr>
              <w:rPr>
                <w:rFonts w:ascii="Arial Narrow" w:hAnsi="Arial Narrow"/>
                <w:i/>
              </w:rPr>
            </w:pPr>
            <w:r w:rsidRPr="00845EB7">
              <w:rPr>
                <w:rFonts w:ascii="Arial Narrow" w:hAnsi="Arial Narrow"/>
                <w:i/>
              </w:rPr>
              <w:t>DB vyplatený zamestnávateľom v priebehu roka</w:t>
            </w:r>
          </w:p>
        </w:tc>
        <w:tc>
          <w:tcPr>
            <w:tcW w:w="1690" w:type="dxa"/>
          </w:tcPr>
          <w:p w:rsidR="00D904E5" w:rsidRPr="00845EB7" w:rsidRDefault="00D904E5" w:rsidP="00331E6D">
            <w:pPr>
              <w:tabs>
                <w:tab w:val="left" w:pos="5670"/>
              </w:tabs>
              <w:jc w:val="right"/>
              <w:rPr>
                <w:rFonts w:ascii="Arial Narrow" w:hAnsi="Arial Narrow"/>
                <w:i/>
              </w:rPr>
            </w:pPr>
            <w:r w:rsidRPr="00845EB7">
              <w:rPr>
                <w:rFonts w:ascii="Arial Narrow" w:hAnsi="Arial Narrow"/>
                <w:i/>
              </w:rPr>
              <w:t>1 533,22 €</w:t>
            </w:r>
          </w:p>
        </w:tc>
      </w:tr>
      <w:tr w:rsidR="00D904E5" w:rsidRPr="00845EB7" w:rsidTr="00331E6D">
        <w:tc>
          <w:tcPr>
            <w:tcW w:w="7372" w:type="dxa"/>
            <w:gridSpan w:val="2"/>
          </w:tcPr>
          <w:p w:rsidR="00D904E5" w:rsidRPr="00845EB7" w:rsidRDefault="00D904E5" w:rsidP="00331E6D">
            <w:pPr>
              <w:rPr>
                <w:rFonts w:ascii="Arial Narrow" w:hAnsi="Arial Narrow"/>
                <w:i/>
              </w:rPr>
            </w:pPr>
            <w:r w:rsidRPr="00845EB7">
              <w:rPr>
                <w:rFonts w:ascii="Arial Narrow" w:hAnsi="Arial Narrow"/>
                <w:i/>
              </w:rPr>
              <w:t>DB na vyplatenie (1 853,34 € - 1  533,22 €)</w:t>
            </w:r>
          </w:p>
        </w:tc>
        <w:tc>
          <w:tcPr>
            <w:tcW w:w="1690" w:type="dxa"/>
          </w:tcPr>
          <w:p w:rsidR="00D904E5" w:rsidRPr="00845EB7" w:rsidRDefault="00D904E5" w:rsidP="00331E6D">
            <w:pPr>
              <w:tabs>
                <w:tab w:val="left" w:pos="5670"/>
              </w:tabs>
              <w:jc w:val="right"/>
              <w:rPr>
                <w:rFonts w:ascii="Arial Narrow" w:hAnsi="Arial Narrow"/>
                <w:i/>
              </w:rPr>
            </w:pPr>
            <w:r w:rsidRPr="00845EB7">
              <w:rPr>
                <w:rFonts w:ascii="Arial Narrow" w:hAnsi="Arial Narrow"/>
                <w:b/>
                <w:i/>
              </w:rPr>
              <w:t>320,12 €</w:t>
            </w:r>
          </w:p>
        </w:tc>
      </w:tr>
    </w:tbl>
    <w:p w:rsidR="00D904E5" w:rsidRPr="00845EB7" w:rsidRDefault="00D904E5" w:rsidP="00D904E5">
      <w:pPr>
        <w:tabs>
          <w:tab w:val="left" w:pos="5670"/>
        </w:tabs>
        <w:spacing w:after="0" w:line="240" w:lineRule="auto"/>
        <w:jc w:val="both"/>
        <w:rPr>
          <w:rFonts w:ascii="Arial Narrow" w:hAnsi="Arial Narrow"/>
          <w:i/>
        </w:rPr>
      </w:pPr>
      <w:r w:rsidRPr="00845EB7">
        <w:rPr>
          <w:rFonts w:ascii="Arial Narrow" w:hAnsi="Arial Narrow"/>
          <w:i/>
        </w:rPr>
        <w:t xml:space="preserve">*suma daňového bonusu sa vypočíta pomernou časťou, a to pripadajúcou na tri mesiace </w:t>
      </w:r>
    </w:p>
    <w:p w:rsidR="00D904E5" w:rsidRPr="00845EB7" w:rsidRDefault="00D904E5" w:rsidP="00D904E5">
      <w:pPr>
        <w:spacing w:after="0" w:line="240" w:lineRule="auto"/>
        <w:jc w:val="both"/>
        <w:rPr>
          <w:rFonts w:ascii="Times New Roman" w:hAnsi="Times New Roman"/>
          <w:sz w:val="24"/>
          <w:szCs w:val="24"/>
        </w:rPr>
      </w:pP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t>K bodu 39 - §52zzo ods. 2</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Ide o legislatívno-technické spresnenie z dôvodu právnej istoty, podľa ktorej už k valorizácii súm daňového bonusu pre príslušné vekové kategórie deti nebude dochádzať.</w:t>
      </w:r>
    </w:p>
    <w:p w:rsidR="00D904E5" w:rsidRPr="00845EB7" w:rsidRDefault="00D904E5" w:rsidP="00D904E5">
      <w:pPr>
        <w:spacing w:after="0" w:line="240" w:lineRule="auto"/>
        <w:jc w:val="both"/>
        <w:rPr>
          <w:rFonts w:ascii="Times New Roman" w:hAnsi="Times New Roman"/>
          <w:b/>
          <w:sz w:val="24"/>
          <w:szCs w:val="24"/>
        </w:rPr>
      </w:pPr>
    </w:p>
    <w:p w:rsidR="00D904E5" w:rsidRPr="00845EB7" w:rsidRDefault="00D904E5" w:rsidP="00D904E5">
      <w:pPr>
        <w:spacing w:after="0"/>
        <w:jc w:val="both"/>
        <w:rPr>
          <w:rFonts w:ascii="Times New Roman" w:hAnsi="Times New Roman"/>
          <w:b/>
          <w:sz w:val="24"/>
          <w:szCs w:val="24"/>
        </w:rPr>
      </w:pPr>
      <w:r w:rsidRPr="00845EB7">
        <w:rPr>
          <w:rFonts w:ascii="Times New Roman" w:hAnsi="Times New Roman"/>
          <w:b/>
          <w:sz w:val="24"/>
          <w:szCs w:val="24"/>
        </w:rPr>
        <w:t>K bodu 40 - § 52zzp a §52zzr</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u w:val="single"/>
        </w:rPr>
        <w:t>§ 52zzp</w:t>
      </w:r>
      <w:r w:rsidRPr="00845EB7">
        <w:rPr>
          <w:rFonts w:ascii="Times New Roman" w:hAnsi="Times New Roman"/>
          <w:sz w:val="24"/>
          <w:szCs w:val="24"/>
        </w:rPr>
        <w:t xml:space="preserve"> – Prechodné ustanovenia účinné od 1. 1. 2023</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V odseku 1 sa navrhuje zahrnúť úpravu základu dane vyplývajúcu z implementácie IFRS 9 a 17 poisťovňami počas troch zdaňovacích období a to počnúc zdaňovacím obdobím začínajúcim najskôr 1. 1. 2023.</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Podľa odseku 2 bude možné prvýkrát uplatniť sčítanie základov dane (čiastkových základov dane) z príjmov podľa § 5 alebo základov dane (čiastkových základov dane) z príjmov podľa § 6 ods. 1 a 2 alebo ich úhrnom na účely uplatnenia daňového bonusu pri podaní daňového priznania za zdaňovacie obdobie 2023.</w:t>
      </w:r>
    </w:p>
    <w:p w:rsidR="00D904E5" w:rsidRPr="00845EB7" w:rsidRDefault="00D904E5" w:rsidP="00D904E5">
      <w:pPr>
        <w:spacing w:after="0" w:line="240" w:lineRule="auto"/>
        <w:jc w:val="both"/>
        <w:rPr>
          <w:rFonts w:ascii="Times New Roman" w:hAnsi="Times New Roman"/>
          <w:sz w:val="24"/>
          <w:szCs w:val="24"/>
        </w:rPr>
      </w:pP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u w:val="single"/>
        </w:rPr>
        <w:t>§ 52zzr</w:t>
      </w:r>
      <w:r w:rsidRPr="00845EB7">
        <w:rPr>
          <w:rFonts w:ascii="Times New Roman" w:hAnsi="Times New Roman"/>
          <w:sz w:val="24"/>
          <w:szCs w:val="24"/>
        </w:rPr>
        <w:t xml:space="preserve"> – Prechodné ustanovenie účinné od 1. 1. 2024</w:t>
      </w:r>
    </w:p>
    <w:p w:rsidR="00D904E5" w:rsidRPr="00845EB7" w:rsidRDefault="00D904E5" w:rsidP="00D904E5">
      <w:pPr>
        <w:spacing w:after="0" w:line="240" w:lineRule="auto"/>
        <w:jc w:val="both"/>
        <w:rPr>
          <w:rFonts w:ascii="Times New Roman" w:hAnsi="Times New Roman"/>
          <w:b/>
          <w:bCs/>
          <w:sz w:val="24"/>
          <w:szCs w:val="24"/>
          <w:lang w:eastAsia="sk-SK"/>
        </w:rPr>
      </w:pPr>
      <w:r w:rsidRPr="00845EB7">
        <w:rPr>
          <w:rFonts w:ascii="Times New Roman" w:hAnsi="Times New Roman"/>
          <w:sz w:val="24"/>
          <w:szCs w:val="24"/>
        </w:rPr>
        <w:t xml:space="preserve">Nové pravidlo pre obmedzenie čistých úrokových nákladov sa bude po prvýkrát aplikovať až na čisté úrokové náklady plynúce na základe zmlúv uzatvorených po 31. decembri 2023, t. j. limitácii nebudú podliehať čisté úrokové náklady plynúce zo zmlúv uzatvorených najneskôr 31. decembra 2023, resp. dodatkov k týmto zmluvám uzatvorených najneskôr 31. decembra 2023. </w:t>
      </w:r>
    </w:p>
    <w:p w:rsidR="00D904E5" w:rsidRPr="00845EB7" w:rsidRDefault="00D904E5" w:rsidP="00D904E5">
      <w:pPr>
        <w:autoSpaceDE w:val="0"/>
        <w:autoSpaceDN w:val="0"/>
        <w:spacing w:line="241" w:lineRule="atLeast"/>
        <w:rPr>
          <w:rFonts w:ascii="Arial Narrow" w:hAnsi="Arial Narrow" w:cs="Calibri"/>
          <w:lang w:eastAsia="sk-SK"/>
        </w:rPr>
      </w:pP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t>Čl. II – Zákon č. 563/2009 Z. z. o správe daní (daňový poriadok) v znení neskorších predpisov</w:t>
      </w:r>
    </w:p>
    <w:p w:rsidR="00D904E5" w:rsidRPr="00845EB7" w:rsidRDefault="00D904E5" w:rsidP="00D904E5">
      <w:pPr>
        <w:spacing w:after="0" w:line="240" w:lineRule="auto"/>
        <w:jc w:val="both"/>
        <w:rPr>
          <w:rFonts w:ascii="Times New Roman" w:hAnsi="Times New Roman"/>
          <w:b/>
          <w:sz w:val="24"/>
          <w:szCs w:val="24"/>
        </w:rPr>
      </w:pPr>
    </w:p>
    <w:p w:rsidR="000212DB" w:rsidRDefault="000212DB" w:rsidP="00D904E5">
      <w:pPr>
        <w:spacing w:after="0" w:line="240" w:lineRule="auto"/>
        <w:jc w:val="both"/>
        <w:rPr>
          <w:rFonts w:ascii="Times New Roman" w:hAnsi="Times New Roman"/>
          <w:b/>
          <w:sz w:val="24"/>
          <w:szCs w:val="24"/>
        </w:rPr>
      </w:pPr>
    </w:p>
    <w:p w:rsidR="006A3974" w:rsidRDefault="006A3974" w:rsidP="00D904E5">
      <w:pPr>
        <w:spacing w:after="0" w:line="240" w:lineRule="auto"/>
        <w:jc w:val="both"/>
        <w:rPr>
          <w:rFonts w:ascii="Times New Roman" w:hAnsi="Times New Roman"/>
          <w:b/>
          <w:sz w:val="24"/>
          <w:szCs w:val="24"/>
        </w:rPr>
      </w:pPr>
    </w:p>
    <w:p w:rsidR="006A3974" w:rsidRDefault="006A3974" w:rsidP="00D904E5">
      <w:pPr>
        <w:spacing w:after="0" w:line="240" w:lineRule="auto"/>
        <w:jc w:val="both"/>
        <w:rPr>
          <w:rFonts w:ascii="Times New Roman" w:hAnsi="Times New Roman"/>
          <w:b/>
          <w:sz w:val="24"/>
          <w:szCs w:val="24"/>
        </w:rPr>
      </w:pPr>
    </w:p>
    <w:p w:rsidR="006A3974" w:rsidRDefault="006A3974" w:rsidP="00D904E5">
      <w:pPr>
        <w:spacing w:after="0" w:line="240" w:lineRule="auto"/>
        <w:jc w:val="both"/>
        <w:rPr>
          <w:rFonts w:ascii="Times New Roman" w:hAnsi="Times New Roman"/>
          <w:b/>
          <w:sz w:val="24"/>
          <w:szCs w:val="24"/>
        </w:rPr>
      </w:pP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lastRenderedPageBreak/>
        <w:t>K bodom 1 a 3 - § 1 a § 52</w:t>
      </w: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sz w:val="24"/>
          <w:szCs w:val="24"/>
        </w:rPr>
        <w:t>Nadväzne na to, že zákon o osobitnom odvode vybraných finančných inštitúcií a o doplnení niektorých zákonov bol zrušený, vypúšťa sa z rozsahu pôsobnosti daňového poriadku a zároveň finančné riaditeľstvo nebude zverejňovať zoznam vybraných finančných inštitúcií.</w:t>
      </w:r>
      <w:r w:rsidRPr="00845EB7">
        <w:rPr>
          <w:rFonts w:ascii="Times New Roman" w:hAnsi="Times New Roman"/>
          <w:b/>
          <w:sz w:val="24"/>
          <w:szCs w:val="24"/>
        </w:rPr>
        <w:t xml:space="preserve"> </w:t>
      </w:r>
    </w:p>
    <w:p w:rsidR="00D904E5" w:rsidRPr="00845EB7" w:rsidRDefault="00D904E5" w:rsidP="00D904E5">
      <w:pPr>
        <w:spacing w:after="0" w:line="240" w:lineRule="auto"/>
        <w:jc w:val="both"/>
        <w:rPr>
          <w:rFonts w:ascii="Times New Roman" w:hAnsi="Times New Roman"/>
          <w:b/>
          <w:sz w:val="24"/>
          <w:szCs w:val="24"/>
        </w:rPr>
      </w:pP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t>K bodu 2 - § 47 písm. k)</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Ide  o legislatívno-technickú úpravu súvisiacu s elektronickým doručovaní písomností a tiež s úpravou § 32 a 33 v novele zákona o e-Governmente. </w:t>
      </w:r>
    </w:p>
    <w:p w:rsidR="00D904E5" w:rsidRPr="00845EB7" w:rsidRDefault="00D904E5" w:rsidP="00D904E5">
      <w:pPr>
        <w:spacing w:after="0" w:line="240" w:lineRule="auto"/>
        <w:jc w:val="both"/>
        <w:rPr>
          <w:rFonts w:ascii="Times New Roman" w:hAnsi="Times New Roman"/>
          <w:sz w:val="24"/>
          <w:szCs w:val="24"/>
        </w:rPr>
      </w:pP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t>K bodu 4 - § 60 ods. 6</w:t>
      </w:r>
    </w:p>
    <w:p w:rsidR="00D904E5" w:rsidRPr="00845EB7" w:rsidRDefault="00D904E5" w:rsidP="00D904E5">
      <w:pPr>
        <w:pStyle w:val="Obyajntext"/>
        <w:jc w:val="both"/>
        <w:rPr>
          <w:rFonts w:ascii="Times New Roman" w:hAnsi="Times New Roman"/>
          <w:sz w:val="24"/>
          <w:szCs w:val="24"/>
        </w:rPr>
      </w:pPr>
      <w:r w:rsidRPr="00845EB7">
        <w:rPr>
          <w:rFonts w:ascii="Times New Roman" w:hAnsi="Times New Roman"/>
          <w:sz w:val="24"/>
          <w:szCs w:val="24"/>
        </w:rPr>
        <w:t>Do ustanovenia námietke sa dopĺňa, že námietku zaujatosti nie je možné podať ani voči starostovi obce, tak ako je to v prípade riaditeľa daňového úradu alebo colného úradu. Cieľom navrhovanej úpravy je zabezpečiť funkčnosť správcu dane v prípade špekulatívneho a účelového využívania inštitútu námietky zaujatosti.</w:t>
      </w:r>
    </w:p>
    <w:p w:rsidR="00D904E5" w:rsidRPr="00845EB7" w:rsidRDefault="00D904E5" w:rsidP="00D904E5">
      <w:pPr>
        <w:spacing w:after="0" w:line="240" w:lineRule="auto"/>
        <w:jc w:val="both"/>
        <w:rPr>
          <w:rFonts w:ascii="Times New Roman" w:hAnsi="Times New Roman"/>
          <w:sz w:val="24"/>
          <w:szCs w:val="24"/>
        </w:rPr>
      </w:pP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t>K bodu 5 - § 67 ods. 11</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Nakoľko v registri právnických osôb podnikateľov a orgánov verejnej moci (RPO) nie je informácia, kedy bol údaj do registra zapísaný, spresňuje sa ustanovenie tak, že správca dane zaregistruje daňový subjekt, až keď prevezme údaje z tohto registra. Údaje sa preberajú na dennej báze a tento údaj je možné dohľadať. Vypúšťa sa registrácia na základe podaných daňových priznaní. </w:t>
      </w:r>
    </w:p>
    <w:p w:rsidR="00D904E5" w:rsidRPr="00845EB7" w:rsidRDefault="00D904E5" w:rsidP="00D904E5">
      <w:pPr>
        <w:spacing w:after="0" w:line="240" w:lineRule="auto"/>
        <w:jc w:val="both"/>
        <w:rPr>
          <w:rFonts w:ascii="Times New Roman" w:hAnsi="Times New Roman"/>
          <w:sz w:val="24"/>
          <w:szCs w:val="24"/>
        </w:rPr>
      </w:pP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t>K bodu 6 - § 68 ods. 4 písm. c)</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Nadväzne na  nový § 157b o účinnej ľútosti, sa navrhuje ďalší spôsob vyrubenia dane.</w:t>
      </w:r>
    </w:p>
    <w:p w:rsidR="00D904E5" w:rsidRPr="00845EB7" w:rsidRDefault="00D904E5" w:rsidP="00D904E5">
      <w:pPr>
        <w:spacing w:after="0" w:line="240" w:lineRule="auto"/>
        <w:jc w:val="both"/>
        <w:rPr>
          <w:rFonts w:ascii="Times New Roman" w:hAnsi="Times New Roman"/>
          <w:sz w:val="24"/>
          <w:szCs w:val="24"/>
        </w:rPr>
      </w:pP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t>K bodu 7 - § 148 ods. 3</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Navrhuje sa zrýchliť postup pri vrátení vodičského preukazu, ak je zastavené exekučné konanie, a to tak, že rozhodnutie sa bezodkladne doručí Policajnému zboru, pričom sa nemusí čakať na jeho právoplatnosť.</w:t>
      </w:r>
    </w:p>
    <w:p w:rsidR="00D904E5" w:rsidRPr="00845EB7" w:rsidRDefault="00D904E5" w:rsidP="00D904E5">
      <w:pPr>
        <w:spacing w:after="0" w:line="240" w:lineRule="auto"/>
        <w:jc w:val="both"/>
        <w:rPr>
          <w:rFonts w:ascii="Times New Roman" w:hAnsi="Times New Roman"/>
          <w:sz w:val="24"/>
          <w:szCs w:val="24"/>
        </w:rPr>
      </w:pPr>
    </w:p>
    <w:p w:rsidR="00D904E5" w:rsidRPr="00845EB7" w:rsidRDefault="00D904E5" w:rsidP="00D904E5">
      <w:pPr>
        <w:spacing w:after="0" w:line="240" w:lineRule="auto"/>
        <w:jc w:val="both"/>
        <w:rPr>
          <w:rFonts w:ascii="Times New Roman" w:hAnsi="Times New Roman"/>
          <w:b/>
          <w:sz w:val="24"/>
          <w:szCs w:val="24"/>
          <w:lang w:eastAsia="sk-SK"/>
        </w:rPr>
      </w:pPr>
      <w:r w:rsidRPr="00845EB7">
        <w:rPr>
          <w:rFonts w:ascii="Times New Roman" w:hAnsi="Times New Roman"/>
          <w:b/>
          <w:sz w:val="24"/>
          <w:szCs w:val="24"/>
          <w:lang w:eastAsia="sk-SK"/>
        </w:rPr>
        <w:t>K bodu  8  - § 155 ods. 4</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Ustanovuje sa, aby pri prvom zistení porušenia, daňový úrad a colný úrad pokutu, ktorú je možné určiť v rámci intervalového rozpätia, neuložil, ale aby upozornil na splnenie povinnosti, a ak bola povinnosť splnená oneskorene, aby upozornil daňový subjekt, že pri ďalšom porušení mu už bude uložená pokuta. Porušenie bude posudzované podľa skutkovej podstaty správneho deliktu a to osobitne daňovým úradom a colným úradom. </w:t>
      </w:r>
    </w:p>
    <w:p w:rsidR="00D904E5" w:rsidRPr="00845EB7" w:rsidRDefault="00D904E5" w:rsidP="00D904E5">
      <w:pPr>
        <w:spacing w:after="0" w:line="240" w:lineRule="auto"/>
        <w:jc w:val="both"/>
        <w:rPr>
          <w:rFonts w:ascii="Times New Roman" w:hAnsi="Times New Roman"/>
          <w:b/>
          <w:i/>
          <w:sz w:val="24"/>
          <w:szCs w:val="24"/>
        </w:rPr>
      </w:pPr>
      <w:r w:rsidRPr="00845EB7">
        <w:rPr>
          <w:rFonts w:ascii="Times New Roman" w:hAnsi="Times New Roman"/>
          <w:b/>
          <w:i/>
          <w:sz w:val="24"/>
          <w:szCs w:val="24"/>
        </w:rPr>
        <w:t>Príklad</w:t>
      </w:r>
    </w:p>
    <w:p w:rsidR="00D904E5" w:rsidRPr="00845EB7" w:rsidRDefault="00D904E5" w:rsidP="00D904E5">
      <w:pPr>
        <w:spacing w:after="0" w:line="240" w:lineRule="auto"/>
        <w:jc w:val="both"/>
        <w:rPr>
          <w:rFonts w:ascii="Times New Roman" w:hAnsi="Times New Roman"/>
          <w:i/>
          <w:sz w:val="24"/>
          <w:szCs w:val="24"/>
        </w:rPr>
      </w:pPr>
      <w:r w:rsidRPr="00845EB7">
        <w:rPr>
          <w:rFonts w:ascii="Times New Roman" w:hAnsi="Times New Roman"/>
          <w:i/>
          <w:sz w:val="24"/>
          <w:szCs w:val="24"/>
        </w:rPr>
        <w:t xml:space="preserve">Skutková podstata – oneskorené podanie DP. </w:t>
      </w:r>
    </w:p>
    <w:p w:rsidR="00D904E5" w:rsidRPr="00845EB7" w:rsidRDefault="00D904E5" w:rsidP="00D904E5">
      <w:pPr>
        <w:spacing w:after="0" w:line="240" w:lineRule="auto"/>
        <w:jc w:val="both"/>
        <w:rPr>
          <w:rFonts w:ascii="Times New Roman" w:hAnsi="Times New Roman"/>
          <w:i/>
          <w:sz w:val="24"/>
          <w:szCs w:val="24"/>
        </w:rPr>
      </w:pPr>
      <w:r w:rsidRPr="00845EB7">
        <w:rPr>
          <w:rFonts w:ascii="Times New Roman" w:hAnsi="Times New Roman"/>
          <w:i/>
          <w:sz w:val="24"/>
          <w:szCs w:val="24"/>
        </w:rPr>
        <w:t xml:space="preserve">Daňový subjekt podá oneskorene daňové priznanie k dani z motorových vozidiel, pokuta mu uložená nebude. Následne oneskorene podá aj daňové priznanie k dani z príjmov, daňový úrad už pokutu uloží. Tento daňový subjekt taktiež podá oneskorene DP k spotrebnej dani z liehu, colný úrad pokutu neuloží. </w:t>
      </w:r>
    </w:p>
    <w:p w:rsidR="00D904E5" w:rsidRPr="00845EB7" w:rsidRDefault="00D904E5" w:rsidP="00D904E5">
      <w:pPr>
        <w:spacing w:after="0" w:line="240" w:lineRule="auto"/>
        <w:jc w:val="both"/>
        <w:rPr>
          <w:rFonts w:ascii="Times New Roman" w:hAnsi="Times New Roman"/>
          <w:sz w:val="24"/>
          <w:szCs w:val="24"/>
        </w:rPr>
      </w:pP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t>K bodu 9 - § 156 ods. 8</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Navrhuje sa, aby sa v prípade oneskorenej platby dane, preddavku na daň, splátky dane, sumy na zabezpečenie dane alebo pri oneskorenom odvedení vybraného preddavku na daň alebo zrazenej dane, úrok z omeškania vyrubil do jedného roka od konca roka, v ktorom došlo k úplnej úhrade tejto sumy. Prekluzívna lehota piatich rokov sa uplatní rovnako v prípade, ak by k úhrade došlo v piatom roku od konca roka, v ktorom došlo k omeškaniu s platbou; v takomto prípade je potrebné úrok vyrubiť do konca tohto roka. </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lastRenderedPageBreak/>
        <w:t xml:space="preserve">Ak úhrade nedošlo vôbec, alebo v prípade čiastočnej úhrady sa úrok tak ako doteraz počíta za štyri roky omeškania a vyrubiť ho možno najneskôr v lehote päť rokov od konca roka, v ktorom došlo k omeškaniu s platbou. </w:t>
      </w:r>
    </w:p>
    <w:p w:rsidR="00D904E5" w:rsidRPr="00845EB7" w:rsidRDefault="00D904E5" w:rsidP="00D904E5">
      <w:pPr>
        <w:spacing w:after="0" w:line="240" w:lineRule="auto"/>
        <w:jc w:val="both"/>
        <w:rPr>
          <w:rFonts w:ascii="Times New Roman" w:hAnsi="Times New Roman"/>
          <w:sz w:val="24"/>
          <w:szCs w:val="24"/>
        </w:rPr>
      </w:pP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t>K bodu 10 - § 157b</w:t>
      </w:r>
    </w:p>
    <w:p w:rsidR="00D904E5" w:rsidRPr="00845EB7" w:rsidRDefault="00D904E5" w:rsidP="00D904E5">
      <w:pPr>
        <w:spacing w:after="0" w:line="240" w:lineRule="auto"/>
        <w:jc w:val="both"/>
        <w:rPr>
          <w:rFonts w:ascii="Times New Roman" w:hAnsi="Times New Roman"/>
          <w:sz w:val="24"/>
          <w:szCs w:val="24"/>
          <w:lang w:eastAsia="sk-SK"/>
        </w:rPr>
      </w:pPr>
      <w:r w:rsidRPr="00845EB7">
        <w:rPr>
          <w:rFonts w:ascii="Times New Roman" w:hAnsi="Times New Roman"/>
          <w:sz w:val="24"/>
          <w:szCs w:val="24"/>
          <w:lang w:eastAsia="sk-SK"/>
        </w:rPr>
        <w:t xml:space="preserve">Navrhovanou úpravou sa umožní, aby v prípade účinnej ľútosti, pri daňových trestných činoch, ktoré sú vymenované v Trestnom zákone, bolo možné vyrubiť daň jej zaplatením, a to aj po prekluzívnej lehote. Zároveň sa navrhuje, aby táto daň bola splatná v deň jej úhrady. </w:t>
      </w:r>
    </w:p>
    <w:p w:rsidR="00D904E5" w:rsidRPr="00845EB7" w:rsidRDefault="00D904E5" w:rsidP="00D904E5">
      <w:pPr>
        <w:spacing w:after="0" w:line="240" w:lineRule="auto"/>
        <w:jc w:val="both"/>
        <w:rPr>
          <w:rFonts w:ascii="Times New Roman" w:hAnsi="Times New Roman"/>
          <w:sz w:val="24"/>
          <w:szCs w:val="24"/>
          <w:lang w:eastAsia="sk-SK"/>
        </w:rPr>
      </w:pP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t>K bodu 11 - § 165n a § 165o</w:t>
      </w: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t>§ 165n</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Nadväzne na úpravu registračného konania sa ustanovuje, že prechodné ustanovenie k registrácii účinnej od 1. januára 2021, sa od 1. januára 2023 neuplatnia. </w:t>
      </w:r>
    </w:p>
    <w:p w:rsidR="00D904E5" w:rsidRPr="00845EB7" w:rsidRDefault="00D904E5" w:rsidP="00D904E5">
      <w:pPr>
        <w:spacing w:after="0" w:line="240" w:lineRule="auto"/>
        <w:jc w:val="both"/>
        <w:rPr>
          <w:rFonts w:ascii="Times New Roman" w:hAnsi="Times New Roman"/>
          <w:sz w:val="24"/>
          <w:szCs w:val="24"/>
        </w:rPr>
      </w:pP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t>§ 165o</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Podľa navrhovanej úpravy ukladania sankcií, tzv. „druhá šanca“, bude správca dane postupovať, ak skutočnosť rozhodujúca pre uloženie sankcie nastala po 31. decembri 2023.  To znamená, že ak daňový subjekt podá v roku 2024 daňové priznanie oneskorene, správca dane neuloží za toto porušenie pokutu, ale upozorní daňový subjekt, že pri ďalšom podaní daňového priznania oneskorene, už pokuta uložená bude.</w:t>
      </w:r>
    </w:p>
    <w:p w:rsidR="00D904E5" w:rsidRPr="00845EB7" w:rsidRDefault="00D904E5" w:rsidP="00D904E5">
      <w:pPr>
        <w:spacing w:after="0" w:line="240" w:lineRule="auto"/>
        <w:jc w:val="both"/>
        <w:rPr>
          <w:rFonts w:ascii="Times New Roman" w:hAnsi="Times New Roman"/>
          <w:sz w:val="24"/>
          <w:szCs w:val="24"/>
        </w:rPr>
      </w:pPr>
      <w:r w:rsidRPr="00845EB7">
        <w:rPr>
          <w:rFonts w:ascii="Times New Roman" w:hAnsi="Times New Roman"/>
          <w:sz w:val="24"/>
          <w:szCs w:val="24"/>
        </w:rPr>
        <w:t xml:space="preserve">Nadväzne na úpravu lehoty na vyrubenie úroku z omeškania sa ustanovuje, že úrok z omeškania za oneskorené zaplatenie, ak k úplnej úhrade nedoplatku došlo do 31.decembra 2023, je potrebné vyrubiť najneskôr do 31. decembra 2024. To znamená, že ak úplnej úhrade nedoplatku došlo napr. 10. mája 2023, úrok z omeškania je potrebné vyrubiť najneskôr do 31.12.2024. </w:t>
      </w:r>
    </w:p>
    <w:p w:rsidR="00D904E5" w:rsidRPr="00845EB7" w:rsidRDefault="00D904E5" w:rsidP="00D904E5">
      <w:pPr>
        <w:spacing w:after="0" w:line="240" w:lineRule="auto"/>
        <w:jc w:val="both"/>
        <w:rPr>
          <w:rFonts w:ascii="Times New Roman" w:hAnsi="Times New Roman"/>
          <w:b/>
          <w:sz w:val="24"/>
          <w:szCs w:val="24"/>
        </w:rPr>
      </w:pPr>
      <w:r w:rsidRPr="00845EB7">
        <w:rPr>
          <w:rFonts w:ascii="Times New Roman" w:hAnsi="Times New Roman"/>
          <w:b/>
          <w:sz w:val="24"/>
          <w:szCs w:val="24"/>
        </w:rPr>
        <w:t> </w:t>
      </w:r>
    </w:p>
    <w:p w:rsidR="00D904E5" w:rsidRPr="00845EB7" w:rsidRDefault="00D904E5" w:rsidP="00D904E5">
      <w:pPr>
        <w:shd w:val="clear" w:color="auto" w:fill="FFFFFF"/>
        <w:spacing w:after="0" w:line="240" w:lineRule="auto"/>
        <w:jc w:val="both"/>
        <w:rPr>
          <w:rFonts w:ascii="Times New Roman" w:hAnsi="Times New Roman"/>
          <w:b/>
          <w:sz w:val="24"/>
          <w:szCs w:val="24"/>
        </w:rPr>
      </w:pPr>
      <w:r w:rsidRPr="00845EB7">
        <w:rPr>
          <w:rFonts w:ascii="Times New Roman" w:hAnsi="Times New Roman"/>
          <w:b/>
          <w:sz w:val="24"/>
          <w:szCs w:val="24"/>
        </w:rPr>
        <w:t>Čl. III</w:t>
      </w:r>
    </w:p>
    <w:p w:rsidR="00D904E5" w:rsidRDefault="00D904E5" w:rsidP="00D904E5">
      <w:pPr>
        <w:shd w:val="clear" w:color="auto" w:fill="FFFFFF"/>
        <w:spacing w:after="0" w:line="240" w:lineRule="auto"/>
        <w:jc w:val="both"/>
        <w:rPr>
          <w:rFonts w:ascii="Times New Roman" w:hAnsi="Times New Roman"/>
          <w:sz w:val="24"/>
          <w:szCs w:val="24"/>
        </w:rPr>
      </w:pPr>
      <w:r w:rsidRPr="00845EB7">
        <w:rPr>
          <w:rFonts w:ascii="Times New Roman" w:hAnsi="Times New Roman"/>
          <w:sz w:val="24"/>
          <w:szCs w:val="24"/>
        </w:rPr>
        <w:t>Navrhuje sa účinnosť zákona od 1. 1. 2023, okrem čl. I bodov 10, 12, 28 a § 52zzo v bode 40 a čl. II bodov 8 a 9 a § 165o v bode 11, ktoré nadobúdajú účinnosť od 1. 1. 2024.</w:t>
      </w:r>
    </w:p>
    <w:p w:rsidR="000212DB" w:rsidRDefault="000212DB" w:rsidP="00D904E5">
      <w:pPr>
        <w:shd w:val="clear" w:color="auto" w:fill="FFFFFF"/>
        <w:spacing w:after="0" w:line="240" w:lineRule="auto"/>
        <w:jc w:val="both"/>
        <w:rPr>
          <w:rFonts w:ascii="Times New Roman" w:hAnsi="Times New Roman"/>
          <w:sz w:val="24"/>
          <w:szCs w:val="24"/>
        </w:rPr>
      </w:pPr>
    </w:p>
    <w:p w:rsidR="000212DB" w:rsidRDefault="000212DB" w:rsidP="00D904E5">
      <w:pPr>
        <w:shd w:val="clear" w:color="auto" w:fill="FFFFFF"/>
        <w:spacing w:after="0" w:line="240" w:lineRule="auto"/>
        <w:jc w:val="both"/>
        <w:rPr>
          <w:rFonts w:ascii="Times New Roman" w:hAnsi="Times New Roman"/>
          <w:sz w:val="24"/>
          <w:szCs w:val="24"/>
        </w:rPr>
      </w:pPr>
    </w:p>
    <w:p w:rsidR="000212DB" w:rsidRDefault="000212DB" w:rsidP="00D904E5">
      <w:pPr>
        <w:shd w:val="clear" w:color="auto" w:fill="FFFFFF"/>
        <w:spacing w:after="0" w:line="240" w:lineRule="auto"/>
        <w:jc w:val="both"/>
        <w:rPr>
          <w:rFonts w:ascii="Times New Roman" w:hAnsi="Times New Roman"/>
          <w:sz w:val="24"/>
          <w:szCs w:val="24"/>
        </w:rPr>
      </w:pPr>
      <w:r>
        <w:rPr>
          <w:rFonts w:ascii="Times New Roman" w:hAnsi="Times New Roman"/>
          <w:sz w:val="24"/>
          <w:szCs w:val="24"/>
        </w:rPr>
        <w:t>V</w:t>
      </w:r>
      <w:r w:rsidR="008D1908">
        <w:rPr>
          <w:rFonts w:ascii="Times New Roman" w:hAnsi="Times New Roman"/>
          <w:sz w:val="24"/>
          <w:szCs w:val="24"/>
        </w:rPr>
        <w:t> </w:t>
      </w:r>
      <w:r>
        <w:rPr>
          <w:rFonts w:ascii="Times New Roman" w:hAnsi="Times New Roman"/>
          <w:sz w:val="24"/>
          <w:szCs w:val="24"/>
        </w:rPr>
        <w:t>Bratislave</w:t>
      </w:r>
      <w:r w:rsidR="008D1908">
        <w:rPr>
          <w:rFonts w:ascii="Times New Roman" w:hAnsi="Times New Roman"/>
          <w:sz w:val="24"/>
          <w:szCs w:val="24"/>
        </w:rPr>
        <w:t xml:space="preserve"> dňa</w:t>
      </w:r>
      <w:r>
        <w:rPr>
          <w:rFonts w:ascii="Times New Roman" w:hAnsi="Times New Roman"/>
          <w:sz w:val="24"/>
          <w:szCs w:val="24"/>
        </w:rPr>
        <w:t xml:space="preserve"> 2</w:t>
      </w:r>
      <w:r w:rsidR="0023284E">
        <w:rPr>
          <w:rFonts w:ascii="Times New Roman" w:hAnsi="Times New Roman"/>
          <w:sz w:val="24"/>
          <w:szCs w:val="24"/>
        </w:rPr>
        <w:t>5</w:t>
      </w:r>
      <w:r>
        <w:rPr>
          <w:rFonts w:ascii="Times New Roman" w:hAnsi="Times New Roman"/>
          <w:sz w:val="24"/>
          <w:szCs w:val="24"/>
        </w:rPr>
        <w:t>. augusta 2022</w:t>
      </w:r>
    </w:p>
    <w:p w:rsidR="000212DB" w:rsidRDefault="000212DB" w:rsidP="00D904E5">
      <w:pPr>
        <w:shd w:val="clear" w:color="auto" w:fill="FFFFFF"/>
        <w:spacing w:after="0" w:line="240" w:lineRule="auto"/>
        <w:jc w:val="both"/>
        <w:rPr>
          <w:rFonts w:ascii="Times New Roman" w:hAnsi="Times New Roman"/>
          <w:sz w:val="24"/>
          <w:szCs w:val="24"/>
        </w:rPr>
      </w:pPr>
    </w:p>
    <w:p w:rsidR="000212DB" w:rsidRDefault="000212DB" w:rsidP="00D904E5">
      <w:pPr>
        <w:shd w:val="clear" w:color="auto" w:fill="FFFFFF"/>
        <w:spacing w:after="0" w:line="240" w:lineRule="auto"/>
        <w:jc w:val="both"/>
        <w:rPr>
          <w:rFonts w:ascii="Times New Roman" w:hAnsi="Times New Roman"/>
          <w:sz w:val="24"/>
          <w:szCs w:val="24"/>
        </w:rPr>
      </w:pPr>
    </w:p>
    <w:p w:rsidR="000212DB" w:rsidRDefault="000212DB" w:rsidP="00D904E5">
      <w:pPr>
        <w:shd w:val="clear" w:color="auto" w:fill="FFFFFF"/>
        <w:spacing w:after="0" w:line="240" w:lineRule="auto"/>
        <w:jc w:val="both"/>
        <w:rPr>
          <w:rFonts w:ascii="Times New Roman" w:hAnsi="Times New Roman"/>
          <w:sz w:val="24"/>
          <w:szCs w:val="24"/>
        </w:rPr>
      </w:pPr>
    </w:p>
    <w:p w:rsidR="000212DB" w:rsidRDefault="000212DB" w:rsidP="00D904E5">
      <w:pPr>
        <w:shd w:val="clear" w:color="auto" w:fill="FFFFFF"/>
        <w:spacing w:after="0" w:line="240" w:lineRule="auto"/>
        <w:jc w:val="both"/>
        <w:rPr>
          <w:rFonts w:ascii="Times New Roman" w:hAnsi="Times New Roman"/>
          <w:sz w:val="24"/>
          <w:szCs w:val="24"/>
        </w:rPr>
      </w:pPr>
    </w:p>
    <w:p w:rsidR="000212DB" w:rsidRDefault="000212DB" w:rsidP="00D904E5">
      <w:pPr>
        <w:shd w:val="clear" w:color="auto" w:fill="FFFFFF"/>
        <w:spacing w:after="0" w:line="240" w:lineRule="auto"/>
        <w:jc w:val="both"/>
        <w:rPr>
          <w:rFonts w:ascii="Times New Roman" w:hAnsi="Times New Roman"/>
          <w:sz w:val="24"/>
          <w:szCs w:val="24"/>
        </w:rPr>
      </w:pPr>
    </w:p>
    <w:p w:rsidR="000212DB" w:rsidRPr="002A3729" w:rsidRDefault="000212DB" w:rsidP="000212DB">
      <w:pPr>
        <w:spacing w:after="0" w:line="240" w:lineRule="auto"/>
        <w:jc w:val="center"/>
        <w:rPr>
          <w:rFonts w:ascii="Times New Roman" w:hAnsi="Times New Roman"/>
          <w:b/>
          <w:sz w:val="24"/>
          <w:szCs w:val="24"/>
        </w:rPr>
      </w:pPr>
      <w:r>
        <w:rPr>
          <w:rFonts w:ascii="Times New Roman" w:hAnsi="Times New Roman"/>
          <w:b/>
          <w:sz w:val="24"/>
          <w:szCs w:val="24"/>
        </w:rPr>
        <w:t>Eduard Heger</w:t>
      </w:r>
      <w:r w:rsidR="00436B72">
        <w:rPr>
          <w:rFonts w:ascii="Times New Roman" w:hAnsi="Times New Roman"/>
          <w:b/>
          <w:sz w:val="24"/>
          <w:szCs w:val="24"/>
        </w:rPr>
        <w:t>, v.r.</w:t>
      </w:r>
    </w:p>
    <w:p w:rsidR="000212DB" w:rsidRPr="002A3729" w:rsidRDefault="000212DB" w:rsidP="000212DB">
      <w:pPr>
        <w:spacing w:after="0" w:line="240" w:lineRule="auto"/>
        <w:jc w:val="center"/>
        <w:rPr>
          <w:rFonts w:ascii="Times New Roman" w:hAnsi="Times New Roman"/>
          <w:sz w:val="24"/>
          <w:szCs w:val="24"/>
        </w:rPr>
      </w:pPr>
      <w:r w:rsidRPr="002A3729">
        <w:rPr>
          <w:rFonts w:ascii="Times New Roman" w:hAnsi="Times New Roman"/>
          <w:sz w:val="24"/>
          <w:szCs w:val="24"/>
        </w:rPr>
        <w:t>predseda vlády Slovenskej republiky</w:t>
      </w:r>
    </w:p>
    <w:p w:rsidR="000212DB" w:rsidRPr="002A3729" w:rsidRDefault="000212DB" w:rsidP="000212DB">
      <w:pPr>
        <w:spacing w:after="0" w:line="240" w:lineRule="auto"/>
        <w:jc w:val="center"/>
        <w:rPr>
          <w:rFonts w:ascii="Times New Roman" w:hAnsi="Times New Roman"/>
          <w:sz w:val="24"/>
          <w:szCs w:val="24"/>
        </w:rPr>
      </w:pPr>
    </w:p>
    <w:p w:rsidR="000212DB" w:rsidRDefault="000212DB" w:rsidP="000212DB">
      <w:pPr>
        <w:spacing w:after="0" w:line="240" w:lineRule="auto"/>
        <w:jc w:val="center"/>
        <w:rPr>
          <w:rFonts w:ascii="Times New Roman" w:hAnsi="Times New Roman"/>
          <w:sz w:val="24"/>
          <w:szCs w:val="24"/>
        </w:rPr>
      </w:pPr>
    </w:p>
    <w:p w:rsidR="000212DB" w:rsidRDefault="000212DB" w:rsidP="000212DB">
      <w:pPr>
        <w:spacing w:after="0" w:line="240" w:lineRule="auto"/>
        <w:jc w:val="center"/>
        <w:rPr>
          <w:rFonts w:ascii="Times New Roman" w:hAnsi="Times New Roman"/>
          <w:sz w:val="24"/>
          <w:szCs w:val="24"/>
        </w:rPr>
      </w:pPr>
    </w:p>
    <w:p w:rsidR="000212DB" w:rsidRDefault="000212DB" w:rsidP="000212DB">
      <w:pPr>
        <w:spacing w:after="0" w:line="240" w:lineRule="auto"/>
        <w:jc w:val="center"/>
        <w:rPr>
          <w:rFonts w:ascii="Times New Roman" w:hAnsi="Times New Roman"/>
          <w:sz w:val="24"/>
          <w:szCs w:val="24"/>
        </w:rPr>
      </w:pPr>
    </w:p>
    <w:p w:rsidR="000212DB" w:rsidRDefault="000212DB" w:rsidP="000212DB">
      <w:pPr>
        <w:spacing w:after="0" w:line="240" w:lineRule="auto"/>
        <w:jc w:val="center"/>
        <w:rPr>
          <w:rFonts w:ascii="Times New Roman" w:hAnsi="Times New Roman"/>
          <w:sz w:val="24"/>
          <w:szCs w:val="24"/>
        </w:rPr>
      </w:pPr>
    </w:p>
    <w:p w:rsidR="00663A94" w:rsidRDefault="000212DB" w:rsidP="000212DB">
      <w:pPr>
        <w:spacing w:after="0" w:line="240" w:lineRule="auto"/>
        <w:jc w:val="center"/>
        <w:rPr>
          <w:rFonts w:ascii="Times New Roman" w:hAnsi="Times New Roman"/>
          <w:b/>
          <w:sz w:val="24"/>
          <w:szCs w:val="24"/>
        </w:rPr>
      </w:pPr>
      <w:r>
        <w:rPr>
          <w:rFonts w:ascii="Times New Roman" w:hAnsi="Times New Roman"/>
          <w:b/>
          <w:sz w:val="24"/>
          <w:szCs w:val="24"/>
        </w:rPr>
        <w:t>Igor Matovič</w:t>
      </w:r>
      <w:r w:rsidR="00436B72">
        <w:rPr>
          <w:rFonts w:ascii="Times New Roman" w:hAnsi="Times New Roman"/>
          <w:b/>
          <w:sz w:val="24"/>
          <w:szCs w:val="24"/>
        </w:rPr>
        <w:t>, v.r.</w:t>
      </w:r>
    </w:p>
    <w:p w:rsidR="000212DB" w:rsidRDefault="000212DB" w:rsidP="000212DB">
      <w:pPr>
        <w:spacing w:after="0" w:line="240" w:lineRule="auto"/>
        <w:jc w:val="center"/>
        <w:rPr>
          <w:rFonts w:ascii="Times New Roman" w:hAnsi="Times New Roman"/>
          <w:sz w:val="24"/>
          <w:szCs w:val="24"/>
        </w:rPr>
      </w:pPr>
      <w:r>
        <w:rPr>
          <w:rFonts w:ascii="Times New Roman" w:hAnsi="Times New Roman"/>
          <w:sz w:val="24"/>
          <w:szCs w:val="24"/>
        </w:rPr>
        <w:t xml:space="preserve">podpredseda vlády a </w:t>
      </w:r>
      <w:r w:rsidRPr="002A3729">
        <w:rPr>
          <w:rFonts w:ascii="Times New Roman" w:hAnsi="Times New Roman"/>
          <w:sz w:val="24"/>
          <w:szCs w:val="24"/>
        </w:rPr>
        <w:t xml:space="preserve">minister financií </w:t>
      </w:r>
    </w:p>
    <w:p w:rsidR="000212DB" w:rsidRPr="002A3729" w:rsidRDefault="000212DB" w:rsidP="000212DB">
      <w:pPr>
        <w:spacing w:after="0" w:line="240" w:lineRule="auto"/>
        <w:jc w:val="center"/>
        <w:rPr>
          <w:rFonts w:ascii="Times New Roman" w:hAnsi="Times New Roman"/>
          <w:color w:val="000000"/>
          <w:sz w:val="24"/>
          <w:szCs w:val="24"/>
        </w:rPr>
      </w:pPr>
      <w:r w:rsidRPr="002A3729">
        <w:rPr>
          <w:rFonts w:ascii="Times New Roman" w:hAnsi="Times New Roman"/>
          <w:sz w:val="24"/>
          <w:szCs w:val="24"/>
        </w:rPr>
        <w:t>Slovenskej republiky</w:t>
      </w:r>
    </w:p>
    <w:p w:rsidR="000212DB" w:rsidRPr="00845EB7" w:rsidRDefault="000212DB" w:rsidP="00D904E5">
      <w:pPr>
        <w:shd w:val="clear" w:color="auto" w:fill="FFFFFF"/>
        <w:spacing w:after="0" w:line="240" w:lineRule="auto"/>
        <w:jc w:val="both"/>
        <w:rPr>
          <w:rFonts w:ascii="Times New Roman" w:hAnsi="Times New Roman"/>
          <w:sz w:val="24"/>
          <w:szCs w:val="24"/>
        </w:rPr>
      </w:pPr>
    </w:p>
    <w:p w:rsidR="00D904E5" w:rsidRPr="00EC4D63" w:rsidRDefault="00D904E5" w:rsidP="00EC4D63">
      <w:pPr>
        <w:spacing w:after="0" w:line="240" w:lineRule="auto"/>
        <w:rPr>
          <w:rFonts w:ascii="Times New Roman" w:hAnsi="Times New Roman"/>
          <w:sz w:val="24"/>
          <w:szCs w:val="24"/>
        </w:rPr>
      </w:pPr>
    </w:p>
    <w:sectPr w:rsidR="00D904E5" w:rsidRPr="00EC4D63" w:rsidSect="00D21CDB">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390" w:rsidRDefault="00373390" w:rsidP="00F627A0">
      <w:pPr>
        <w:spacing w:after="0" w:line="240" w:lineRule="auto"/>
      </w:pPr>
      <w:r>
        <w:separator/>
      </w:r>
    </w:p>
  </w:endnote>
  <w:endnote w:type="continuationSeparator" w:id="0">
    <w:p w:rsidR="00373390" w:rsidRDefault="00373390" w:rsidP="00F62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altName w:val="Century Gothic"/>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altName w:val="Times New Roman"/>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390" w:rsidRDefault="0037339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373390" w:rsidRDefault="0037339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390" w:rsidRDefault="00373390" w:rsidP="0004402F">
    <w:pPr>
      <w:pStyle w:val="Pta"/>
      <w:jc w:val="center"/>
    </w:pPr>
    <w:r>
      <w:fldChar w:fldCharType="begin"/>
    </w:r>
    <w:r>
      <w:instrText>PAGE   \* MERGEFORMAT</w:instrText>
    </w:r>
    <w:r>
      <w:fldChar w:fldCharType="separate"/>
    </w:r>
    <w:r w:rsidR="006A3974">
      <w:rPr>
        <w:noProof/>
      </w:rPr>
      <w:t>13</w:t>
    </w:r>
    <w:r>
      <w:fldChar w:fldCharType="end"/>
    </w:r>
  </w:p>
  <w:p w:rsidR="00373390" w:rsidRDefault="00373390">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390" w:rsidRDefault="00373390">
    <w:pPr>
      <w:pStyle w:val="Pta"/>
      <w:jc w:val="right"/>
    </w:pPr>
    <w:r>
      <w:fldChar w:fldCharType="begin"/>
    </w:r>
    <w:r>
      <w:instrText>PAGE   \* MERGEFORMAT</w:instrText>
    </w:r>
    <w:r>
      <w:fldChar w:fldCharType="separate"/>
    </w:r>
    <w:r>
      <w:rPr>
        <w:noProof/>
      </w:rPr>
      <w:t>0</w:t>
    </w:r>
    <w:r>
      <w:fldChar w:fldCharType="end"/>
    </w:r>
  </w:p>
  <w:p w:rsidR="00373390" w:rsidRDefault="00373390">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390" w:rsidRDefault="00373390">
    <w:pPr>
      <w:pStyle w:val="Pta"/>
      <w:jc w:val="center"/>
    </w:pPr>
    <w:r>
      <w:fldChar w:fldCharType="begin"/>
    </w:r>
    <w:r>
      <w:instrText>PAGE   \* MERGEFORMAT</w:instrText>
    </w:r>
    <w:r>
      <w:fldChar w:fldCharType="separate"/>
    </w:r>
    <w:r w:rsidR="006A3974">
      <w:rPr>
        <w:noProof/>
      </w:rPr>
      <w:t>46</w:t>
    </w:r>
    <w:r>
      <w:fldChar w:fldCharType="end"/>
    </w:r>
  </w:p>
  <w:p w:rsidR="00373390" w:rsidRDefault="0037339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390" w:rsidRDefault="00373390" w:rsidP="00F627A0">
      <w:pPr>
        <w:spacing w:after="0" w:line="240" w:lineRule="auto"/>
      </w:pPr>
      <w:r>
        <w:separator/>
      </w:r>
    </w:p>
  </w:footnote>
  <w:footnote w:type="continuationSeparator" w:id="0">
    <w:p w:rsidR="00373390" w:rsidRDefault="00373390" w:rsidP="00F62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390" w:rsidRDefault="00373390" w:rsidP="0004402F">
    <w:pPr>
      <w:pStyle w:val="Hlavika"/>
      <w:jc w:val="right"/>
      <w:rPr>
        <w:sz w:val="24"/>
        <w:szCs w:val="24"/>
      </w:rPr>
    </w:pPr>
    <w:r>
      <w:rPr>
        <w:sz w:val="24"/>
        <w:szCs w:val="24"/>
      </w:rPr>
      <w:t>Príloha č. 2</w:t>
    </w:r>
  </w:p>
  <w:p w:rsidR="00373390" w:rsidRPr="00EB59C8" w:rsidRDefault="00373390" w:rsidP="0004402F">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390" w:rsidRPr="000A15AE" w:rsidRDefault="00373390" w:rsidP="0004402F">
    <w:pPr>
      <w:pStyle w:val="Hlavika"/>
      <w:jc w:val="right"/>
      <w:rPr>
        <w:sz w:val="24"/>
        <w:szCs w:val="24"/>
      </w:rPr>
    </w:pPr>
    <w:r>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390" w:rsidRPr="006045CB" w:rsidRDefault="00373390" w:rsidP="006C591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86D4C49"/>
    <w:multiLevelType w:val="hybridMultilevel"/>
    <w:tmpl w:val="8658866E"/>
    <w:lvl w:ilvl="0" w:tplc="402A0E40">
      <w:start w:val="6"/>
      <w:numFmt w:val="bullet"/>
      <w:lvlText w:val="-"/>
      <w:lvlJc w:val="left"/>
      <w:pPr>
        <w:tabs>
          <w:tab w:val="num" w:pos="870"/>
        </w:tabs>
        <w:ind w:left="870" w:hanging="360"/>
      </w:pPr>
      <w:rPr>
        <w:rFonts w:ascii="Times New Roman" w:eastAsia="Times New Roman" w:hAnsi="Times New Roman" w:hint="default"/>
      </w:rPr>
    </w:lvl>
    <w:lvl w:ilvl="1" w:tplc="041B0003">
      <w:start w:val="1"/>
      <w:numFmt w:val="bullet"/>
      <w:lvlText w:val="o"/>
      <w:lvlJc w:val="left"/>
      <w:pPr>
        <w:tabs>
          <w:tab w:val="num" w:pos="1620"/>
        </w:tabs>
        <w:ind w:left="1620" w:hanging="360"/>
      </w:pPr>
      <w:rPr>
        <w:rFonts w:ascii="Courier New" w:hAnsi="Courier New" w:hint="default"/>
      </w:rPr>
    </w:lvl>
    <w:lvl w:ilvl="2" w:tplc="041B0005">
      <w:start w:val="1"/>
      <w:numFmt w:val="bullet"/>
      <w:lvlText w:val=""/>
      <w:lvlJc w:val="left"/>
      <w:pPr>
        <w:tabs>
          <w:tab w:val="num" w:pos="2340"/>
        </w:tabs>
        <w:ind w:left="2340" w:hanging="360"/>
      </w:pPr>
      <w:rPr>
        <w:rFonts w:ascii="Wingdings" w:hAnsi="Wingdings" w:hint="default"/>
      </w:rPr>
    </w:lvl>
    <w:lvl w:ilvl="3" w:tplc="041B0001">
      <w:start w:val="1"/>
      <w:numFmt w:val="bullet"/>
      <w:lvlText w:val=""/>
      <w:lvlJc w:val="left"/>
      <w:pPr>
        <w:tabs>
          <w:tab w:val="num" w:pos="3060"/>
        </w:tabs>
        <w:ind w:left="3060" w:hanging="360"/>
      </w:pPr>
      <w:rPr>
        <w:rFonts w:ascii="Symbol" w:hAnsi="Symbol" w:hint="default"/>
      </w:rPr>
    </w:lvl>
    <w:lvl w:ilvl="4" w:tplc="041B0003">
      <w:start w:val="1"/>
      <w:numFmt w:val="bullet"/>
      <w:lvlText w:val="o"/>
      <w:lvlJc w:val="left"/>
      <w:pPr>
        <w:tabs>
          <w:tab w:val="num" w:pos="3780"/>
        </w:tabs>
        <w:ind w:left="3780" w:hanging="360"/>
      </w:pPr>
      <w:rPr>
        <w:rFonts w:ascii="Courier New" w:hAnsi="Courier New" w:hint="default"/>
      </w:rPr>
    </w:lvl>
    <w:lvl w:ilvl="5" w:tplc="041B0005">
      <w:start w:val="1"/>
      <w:numFmt w:val="bullet"/>
      <w:lvlText w:val=""/>
      <w:lvlJc w:val="left"/>
      <w:pPr>
        <w:tabs>
          <w:tab w:val="num" w:pos="4500"/>
        </w:tabs>
        <w:ind w:left="4500" w:hanging="360"/>
      </w:pPr>
      <w:rPr>
        <w:rFonts w:ascii="Wingdings" w:hAnsi="Wingdings" w:hint="default"/>
      </w:rPr>
    </w:lvl>
    <w:lvl w:ilvl="6" w:tplc="041B0001">
      <w:start w:val="1"/>
      <w:numFmt w:val="bullet"/>
      <w:lvlText w:val=""/>
      <w:lvlJc w:val="left"/>
      <w:pPr>
        <w:tabs>
          <w:tab w:val="num" w:pos="5220"/>
        </w:tabs>
        <w:ind w:left="5220" w:hanging="360"/>
      </w:pPr>
      <w:rPr>
        <w:rFonts w:ascii="Symbol" w:hAnsi="Symbol" w:hint="default"/>
      </w:rPr>
    </w:lvl>
    <w:lvl w:ilvl="7" w:tplc="041B0003">
      <w:start w:val="1"/>
      <w:numFmt w:val="bullet"/>
      <w:lvlText w:val="o"/>
      <w:lvlJc w:val="left"/>
      <w:pPr>
        <w:tabs>
          <w:tab w:val="num" w:pos="5940"/>
        </w:tabs>
        <w:ind w:left="5940" w:hanging="360"/>
      </w:pPr>
      <w:rPr>
        <w:rFonts w:ascii="Courier New" w:hAnsi="Courier New" w:hint="default"/>
      </w:rPr>
    </w:lvl>
    <w:lvl w:ilvl="8" w:tplc="041B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20C4C72"/>
    <w:multiLevelType w:val="hybridMultilevel"/>
    <w:tmpl w:val="10FCD1B2"/>
    <w:lvl w:ilvl="0" w:tplc="7BFE2B2A">
      <w:start w:val="1"/>
      <w:numFmt w:val="decimal"/>
      <w:lvlText w:val="(%1)"/>
      <w:lvlJc w:val="left"/>
      <w:pPr>
        <w:ind w:left="720" w:hanging="360"/>
      </w:pPr>
      <w:rPr>
        <w:rFonts w:cs="Times New Roman" w:hint="default"/>
        <w:color w:val="auto"/>
      </w:rPr>
    </w:lvl>
    <w:lvl w:ilvl="1" w:tplc="59D4AE9E">
      <w:numFmt w:val="bullet"/>
      <w:lvlText w:val="-"/>
      <w:lvlJc w:val="left"/>
      <w:pPr>
        <w:ind w:left="1440" w:hanging="360"/>
      </w:pPr>
      <w:rPr>
        <w:rFonts w:ascii="Arial Narrow" w:eastAsia="Times New Roman" w:hAnsi="Arial Narrow"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2A1A74AF"/>
    <w:multiLevelType w:val="hybridMultilevel"/>
    <w:tmpl w:val="484CFD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DA12451"/>
    <w:multiLevelType w:val="hybridMultilevel"/>
    <w:tmpl w:val="4080C8B8"/>
    <w:lvl w:ilvl="0" w:tplc="041B0005">
      <w:start w:val="1"/>
      <w:numFmt w:val="bullet"/>
      <w:lvlText w:val=""/>
      <w:lvlJc w:val="left"/>
      <w:pPr>
        <w:ind w:left="749" w:hanging="360"/>
      </w:pPr>
      <w:rPr>
        <w:rFonts w:ascii="Wingdings" w:hAnsi="Wingdings" w:hint="default"/>
      </w:rPr>
    </w:lvl>
    <w:lvl w:ilvl="1" w:tplc="041B0003" w:tentative="1">
      <w:start w:val="1"/>
      <w:numFmt w:val="bullet"/>
      <w:lvlText w:val="o"/>
      <w:lvlJc w:val="left"/>
      <w:pPr>
        <w:ind w:left="1469" w:hanging="360"/>
      </w:pPr>
      <w:rPr>
        <w:rFonts w:ascii="Courier New" w:hAnsi="Courier New" w:hint="default"/>
      </w:rPr>
    </w:lvl>
    <w:lvl w:ilvl="2" w:tplc="041B0005" w:tentative="1">
      <w:start w:val="1"/>
      <w:numFmt w:val="bullet"/>
      <w:lvlText w:val=""/>
      <w:lvlJc w:val="left"/>
      <w:pPr>
        <w:ind w:left="2189" w:hanging="360"/>
      </w:pPr>
      <w:rPr>
        <w:rFonts w:ascii="Wingdings" w:hAnsi="Wingdings" w:hint="default"/>
      </w:rPr>
    </w:lvl>
    <w:lvl w:ilvl="3" w:tplc="041B0001" w:tentative="1">
      <w:start w:val="1"/>
      <w:numFmt w:val="bullet"/>
      <w:lvlText w:val=""/>
      <w:lvlJc w:val="left"/>
      <w:pPr>
        <w:ind w:left="2909" w:hanging="360"/>
      </w:pPr>
      <w:rPr>
        <w:rFonts w:ascii="Symbol" w:hAnsi="Symbol" w:hint="default"/>
      </w:rPr>
    </w:lvl>
    <w:lvl w:ilvl="4" w:tplc="041B0003" w:tentative="1">
      <w:start w:val="1"/>
      <w:numFmt w:val="bullet"/>
      <w:lvlText w:val="o"/>
      <w:lvlJc w:val="left"/>
      <w:pPr>
        <w:ind w:left="3629" w:hanging="360"/>
      </w:pPr>
      <w:rPr>
        <w:rFonts w:ascii="Courier New" w:hAnsi="Courier New" w:hint="default"/>
      </w:rPr>
    </w:lvl>
    <w:lvl w:ilvl="5" w:tplc="041B0005" w:tentative="1">
      <w:start w:val="1"/>
      <w:numFmt w:val="bullet"/>
      <w:lvlText w:val=""/>
      <w:lvlJc w:val="left"/>
      <w:pPr>
        <w:ind w:left="4349" w:hanging="360"/>
      </w:pPr>
      <w:rPr>
        <w:rFonts w:ascii="Wingdings" w:hAnsi="Wingdings" w:hint="default"/>
      </w:rPr>
    </w:lvl>
    <w:lvl w:ilvl="6" w:tplc="041B0001" w:tentative="1">
      <w:start w:val="1"/>
      <w:numFmt w:val="bullet"/>
      <w:lvlText w:val=""/>
      <w:lvlJc w:val="left"/>
      <w:pPr>
        <w:ind w:left="5069" w:hanging="360"/>
      </w:pPr>
      <w:rPr>
        <w:rFonts w:ascii="Symbol" w:hAnsi="Symbol" w:hint="default"/>
      </w:rPr>
    </w:lvl>
    <w:lvl w:ilvl="7" w:tplc="041B0003" w:tentative="1">
      <w:start w:val="1"/>
      <w:numFmt w:val="bullet"/>
      <w:lvlText w:val="o"/>
      <w:lvlJc w:val="left"/>
      <w:pPr>
        <w:ind w:left="5789" w:hanging="360"/>
      </w:pPr>
      <w:rPr>
        <w:rFonts w:ascii="Courier New" w:hAnsi="Courier New" w:hint="default"/>
      </w:rPr>
    </w:lvl>
    <w:lvl w:ilvl="8" w:tplc="041B0005" w:tentative="1">
      <w:start w:val="1"/>
      <w:numFmt w:val="bullet"/>
      <w:lvlText w:val=""/>
      <w:lvlJc w:val="left"/>
      <w:pPr>
        <w:ind w:left="6509" w:hanging="360"/>
      </w:pPr>
      <w:rPr>
        <w:rFonts w:ascii="Wingdings" w:hAnsi="Wingdings" w:hint="default"/>
      </w:rPr>
    </w:lvl>
  </w:abstractNum>
  <w:abstractNum w:abstractNumId="5" w15:restartNumberingAfterBreak="0">
    <w:nsid w:val="3EAF79AC"/>
    <w:multiLevelType w:val="hybridMultilevel"/>
    <w:tmpl w:val="3B5497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4343834"/>
    <w:multiLevelType w:val="hybridMultilevel"/>
    <w:tmpl w:val="0332CC60"/>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448E5133"/>
    <w:multiLevelType w:val="hybridMultilevel"/>
    <w:tmpl w:val="20FCAC10"/>
    <w:lvl w:ilvl="0" w:tplc="1D443DFA">
      <w:numFmt w:val="bullet"/>
      <w:lvlText w:val="-"/>
      <w:lvlJc w:val="left"/>
      <w:pPr>
        <w:ind w:left="420" w:hanging="360"/>
      </w:pPr>
      <w:rPr>
        <w:rFonts w:ascii="Times New Roman" w:eastAsia="Times New Roman" w:hAnsi="Times New Roman" w:hint="default"/>
      </w:rPr>
    </w:lvl>
    <w:lvl w:ilvl="1" w:tplc="041B0003" w:tentative="1">
      <w:start w:val="1"/>
      <w:numFmt w:val="bullet"/>
      <w:lvlText w:val="o"/>
      <w:lvlJc w:val="left"/>
      <w:pPr>
        <w:ind w:left="1140" w:hanging="360"/>
      </w:pPr>
      <w:rPr>
        <w:rFonts w:ascii="Courier New" w:hAnsi="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8" w15:restartNumberingAfterBreak="0">
    <w:nsid w:val="451F6C06"/>
    <w:multiLevelType w:val="hybridMultilevel"/>
    <w:tmpl w:val="3230AAE6"/>
    <w:lvl w:ilvl="0" w:tplc="CCC099D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4C5C3DA1"/>
    <w:multiLevelType w:val="hybridMultilevel"/>
    <w:tmpl w:val="F45CECE6"/>
    <w:lvl w:ilvl="0" w:tplc="AB66D9F2">
      <w:start w:val="3"/>
      <w:numFmt w:val="bullet"/>
      <w:lvlText w:val="-"/>
      <w:lvlJc w:val="left"/>
      <w:pPr>
        <w:ind w:left="720" w:hanging="360"/>
      </w:pPr>
      <w:rPr>
        <w:rFonts w:ascii="Calibri" w:hAnsi="Calibri" w:hint="default"/>
        <w:b w:val="0"/>
        <w:i w:val="0"/>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1893EB8"/>
    <w:multiLevelType w:val="hybridMultilevel"/>
    <w:tmpl w:val="BDCA717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C9B77D4"/>
    <w:multiLevelType w:val="multilevel"/>
    <w:tmpl w:val="B9268C54"/>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ascii="Arial Narrow" w:eastAsia="Times New Roman" w:hAnsi="Arial Narrow" w:cs="Times New Roman" w:hint="default"/>
        <w:b w:val="0"/>
        <w:sz w:val="24"/>
        <w:szCs w:val="24"/>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12" w15:restartNumberingAfterBreak="0">
    <w:nsid w:val="5D0B44FF"/>
    <w:multiLevelType w:val="hybridMultilevel"/>
    <w:tmpl w:val="FC12DA6A"/>
    <w:lvl w:ilvl="0" w:tplc="BF0E2C68">
      <w:start w:val="1"/>
      <w:numFmt w:val="lowerLetter"/>
      <w:lvlText w:val="%1)"/>
      <w:lvlJc w:val="left"/>
      <w:pPr>
        <w:tabs>
          <w:tab w:val="num" w:pos="3196"/>
        </w:tabs>
        <w:ind w:left="3196" w:hanging="360"/>
      </w:pPr>
      <w:rPr>
        <w:rFonts w:ascii="Times New Roman" w:hAnsi="Times New Roman" w:cs="Times New Roman" w:hint="default"/>
        <w:sz w:val="24"/>
        <w:szCs w:val="24"/>
      </w:rPr>
    </w:lvl>
    <w:lvl w:ilvl="1" w:tplc="041B0019" w:tentative="1">
      <w:start w:val="1"/>
      <w:numFmt w:val="lowerLetter"/>
      <w:lvlText w:val="%2."/>
      <w:lvlJc w:val="left"/>
      <w:pPr>
        <w:tabs>
          <w:tab w:val="num" w:pos="3916"/>
        </w:tabs>
        <w:ind w:left="3916" w:hanging="360"/>
      </w:pPr>
      <w:rPr>
        <w:rFonts w:cs="Times New Roman"/>
      </w:rPr>
    </w:lvl>
    <w:lvl w:ilvl="2" w:tplc="041B001B" w:tentative="1">
      <w:start w:val="1"/>
      <w:numFmt w:val="lowerRoman"/>
      <w:lvlText w:val="%3."/>
      <w:lvlJc w:val="right"/>
      <w:pPr>
        <w:tabs>
          <w:tab w:val="num" w:pos="4636"/>
        </w:tabs>
        <w:ind w:left="4636" w:hanging="180"/>
      </w:pPr>
      <w:rPr>
        <w:rFonts w:cs="Times New Roman"/>
      </w:rPr>
    </w:lvl>
    <w:lvl w:ilvl="3" w:tplc="041B000F" w:tentative="1">
      <w:start w:val="1"/>
      <w:numFmt w:val="decimal"/>
      <w:lvlText w:val="%4."/>
      <w:lvlJc w:val="left"/>
      <w:pPr>
        <w:tabs>
          <w:tab w:val="num" w:pos="5356"/>
        </w:tabs>
        <w:ind w:left="5356" w:hanging="360"/>
      </w:pPr>
      <w:rPr>
        <w:rFonts w:cs="Times New Roman"/>
      </w:rPr>
    </w:lvl>
    <w:lvl w:ilvl="4" w:tplc="041B0019" w:tentative="1">
      <w:start w:val="1"/>
      <w:numFmt w:val="lowerLetter"/>
      <w:lvlText w:val="%5."/>
      <w:lvlJc w:val="left"/>
      <w:pPr>
        <w:tabs>
          <w:tab w:val="num" w:pos="6076"/>
        </w:tabs>
        <w:ind w:left="6076" w:hanging="360"/>
      </w:pPr>
      <w:rPr>
        <w:rFonts w:cs="Times New Roman"/>
      </w:rPr>
    </w:lvl>
    <w:lvl w:ilvl="5" w:tplc="041B001B" w:tentative="1">
      <w:start w:val="1"/>
      <w:numFmt w:val="lowerRoman"/>
      <w:lvlText w:val="%6."/>
      <w:lvlJc w:val="right"/>
      <w:pPr>
        <w:tabs>
          <w:tab w:val="num" w:pos="6796"/>
        </w:tabs>
        <w:ind w:left="6796" w:hanging="180"/>
      </w:pPr>
      <w:rPr>
        <w:rFonts w:cs="Times New Roman"/>
      </w:rPr>
    </w:lvl>
    <w:lvl w:ilvl="6" w:tplc="041B000F" w:tentative="1">
      <w:start w:val="1"/>
      <w:numFmt w:val="decimal"/>
      <w:lvlText w:val="%7."/>
      <w:lvlJc w:val="left"/>
      <w:pPr>
        <w:tabs>
          <w:tab w:val="num" w:pos="7516"/>
        </w:tabs>
        <w:ind w:left="7516" w:hanging="360"/>
      </w:pPr>
      <w:rPr>
        <w:rFonts w:cs="Times New Roman"/>
      </w:rPr>
    </w:lvl>
    <w:lvl w:ilvl="7" w:tplc="041B0019" w:tentative="1">
      <w:start w:val="1"/>
      <w:numFmt w:val="lowerLetter"/>
      <w:lvlText w:val="%8."/>
      <w:lvlJc w:val="left"/>
      <w:pPr>
        <w:tabs>
          <w:tab w:val="num" w:pos="8236"/>
        </w:tabs>
        <w:ind w:left="8236" w:hanging="360"/>
      </w:pPr>
      <w:rPr>
        <w:rFonts w:cs="Times New Roman"/>
      </w:rPr>
    </w:lvl>
    <w:lvl w:ilvl="8" w:tplc="041B001B" w:tentative="1">
      <w:start w:val="1"/>
      <w:numFmt w:val="lowerRoman"/>
      <w:lvlText w:val="%9."/>
      <w:lvlJc w:val="right"/>
      <w:pPr>
        <w:tabs>
          <w:tab w:val="num" w:pos="8956"/>
        </w:tabs>
        <w:ind w:left="8956" w:hanging="180"/>
      </w:pPr>
      <w:rPr>
        <w:rFonts w:cs="Times New Roman"/>
      </w:rPr>
    </w:lvl>
  </w:abstractNum>
  <w:abstractNum w:abstractNumId="13" w15:restartNumberingAfterBreak="0">
    <w:nsid w:val="67381AF0"/>
    <w:multiLevelType w:val="hybridMultilevel"/>
    <w:tmpl w:val="545C9D60"/>
    <w:lvl w:ilvl="0" w:tplc="B240BA3A">
      <w:start w:val="6"/>
      <w:numFmt w:val="bullet"/>
      <w:lvlText w:val="-"/>
      <w:lvlJc w:val="left"/>
      <w:pPr>
        <w:tabs>
          <w:tab w:val="num" w:pos="900"/>
        </w:tabs>
        <w:ind w:left="900" w:hanging="39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8B70AD"/>
    <w:multiLevelType w:val="hybridMultilevel"/>
    <w:tmpl w:val="BBAAD950"/>
    <w:lvl w:ilvl="0" w:tplc="518CBFB8">
      <w:start w:val="1"/>
      <w:numFmt w:val="upperLetter"/>
      <w:lvlText w:val="%1."/>
      <w:lvlJc w:val="left"/>
      <w:pPr>
        <w:ind w:left="502" w:hanging="360"/>
      </w:pPr>
      <w:rPr>
        <w:rFonts w:ascii="Times New Roman" w:eastAsia="Times New Roman" w:hAnsi="Times New Roman"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FDF0B12"/>
    <w:multiLevelType w:val="hybridMultilevel"/>
    <w:tmpl w:val="B45824F4"/>
    <w:lvl w:ilvl="0" w:tplc="CCC099DA">
      <w:start w:val="4"/>
      <w:numFmt w:val="bullet"/>
      <w:lvlText w:val="-"/>
      <w:lvlJc w:val="left"/>
      <w:pPr>
        <w:ind w:left="170" w:hanging="17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70444064"/>
    <w:multiLevelType w:val="hybridMultilevel"/>
    <w:tmpl w:val="5E6CBE5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abstractNum w:abstractNumId="18" w15:restartNumberingAfterBreak="0">
    <w:nsid w:val="7C1F1209"/>
    <w:multiLevelType w:val="hybridMultilevel"/>
    <w:tmpl w:val="5DBC93BC"/>
    <w:lvl w:ilvl="0" w:tplc="1CD211DA">
      <w:numFmt w:val="bullet"/>
      <w:lvlText w:val="-"/>
      <w:lvlJc w:val="left"/>
      <w:pPr>
        <w:ind w:left="785" w:hanging="360"/>
      </w:pPr>
      <w:rPr>
        <w:rFonts w:ascii="Arial Narrow" w:eastAsia="Times New Roman" w:hAnsi="Arial Narrow" w:hint="default"/>
      </w:rPr>
    </w:lvl>
    <w:lvl w:ilvl="1" w:tplc="041B0003" w:tentative="1">
      <w:start w:val="1"/>
      <w:numFmt w:val="bullet"/>
      <w:lvlText w:val="o"/>
      <w:lvlJc w:val="left"/>
      <w:pPr>
        <w:ind w:left="1505" w:hanging="360"/>
      </w:pPr>
      <w:rPr>
        <w:rFonts w:ascii="Courier New" w:hAnsi="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hint="default"/>
      </w:rPr>
    </w:lvl>
    <w:lvl w:ilvl="8" w:tplc="041B0005" w:tentative="1">
      <w:start w:val="1"/>
      <w:numFmt w:val="bullet"/>
      <w:lvlText w:val=""/>
      <w:lvlJc w:val="left"/>
      <w:pPr>
        <w:ind w:left="6545" w:hanging="360"/>
      </w:pPr>
      <w:rPr>
        <w:rFonts w:ascii="Wingdings" w:hAnsi="Wingdings" w:hint="default"/>
      </w:rPr>
    </w:lvl>
  </w:abstractNum>
  <w:num w:numId="1">
    <w:abstractNumId w:val="17"/>
  </w:num>
  <w:num w:numId="2">
    <w:abstractNumId w:val="9"/>
  </w:num>
  <w:num w:numId="3">
    <w:abstractNumId w:val="4"/>
  </w:num>
  <w:num w:numId="4">
    <w:abstractNumId w:val="10"/>
  </w:num>
  <w:num w:numId="5">
    <w:abstractNumId w:val="14"/>
  </w:num>
  <w:num w:numId="6">
    <w:abstractNumId w:val="6"/>
  </w:num>
  <w:num w:numId="7">
    <w:abstractNumId w:val="3"/>
  </w:num>
  <w:num w:numId="8">
    <w:abstractNumId w:val="5"/>
  </w:num>
  <w:num w:numId="9">
    <w:abstractNumId w:val="7"/>
  </w:num>
  <w:num w:numId="10">
    <w:abstractNumId w:val="8"/>
  </w:num>
  <w:num w:numId="11">
    <w:abstractNumId w:val="15"/>
  </w:num>
  <w:num w:numId="12">
    <w:abstractNumId w:val="0"/>
  </w:num>
  <w:num w:numId="13">
    <w:abstractNumId w:val="11"/>
  </w:num>
  <w:num w:numId="14">
    <w:abstractNumId w:val="13"/>
  </w:num>
  <w:num w:numId="15">
    <w:abstractNumId w:val="1"/>
  </w:num>
  <w:num w:numId="16">
    <w:abstractNumId w:val="12"/>
  </w:num>
  <w:num w:numId="17">
    <w:abstractNumId w:val="18"/>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2F"/>
    <w:rsid w:val="00000615"/>
    <w:rsid w:val="000212DB"/>
    <w:rsid w:val="0004402F"/>
    <w:rsid w:val="000671ED"/>
    <w:rsid w:val="000A15AE"/>
    <w:rsid w:val="000A18D8"/>
    <w:rsid w:val="000B6F2D"/>
    <w:rsid w:val="000E31F0"/>
    <w:rsid w:val="000F2344"/>
    <w:rsid w:val="0011154C"/>
    <w:rsid w:val="00125939"/>
    <w:rsid w:val="0012696D"/>
    <w:rsid w:val="00126DC3"/>
    <w:rsid w:val="00152668"/>
    <w:rsid w:val="00175721"/>
    <w:rsid w:val="00184CE8"/>
    <w:rsid w:val="001856A5"/>
    <w:rsid w:val="001E010C"/>
    <w:rsid w:val="001F1B43"/>
    <w:rsid w:val="00212894"/>
    <w:rsid w:val="0023284E"/>
    <w:rsid w:val="0024067A"/>
    <w:rsid w:val="002644DE"/>
    <w:rsid w:val="00274CB3"/>
    <w:rsid w:val="00286A36"/>
    <w:rsid w:val="002A3729"/>
    <w:rsid w:val="002B3AE8"/>
    <w:rsid w:val="00311F7F"/>
    <w:rsid w:val="003145AE"/>
    <w:rsid w:val="00331E6D"/>
    <w:rsid w:val="003427ED"/>
    <w:rsid w:val="003547BB"/>
    <w:rsid w:val="0036036D"/>
    <w:rsid w:val="00373390"/>
    <w:rsid w:val="003777C6"/>
    <w:rsid w:val="003824F7"/>
    <w:rsid w:val="0039164E"/>
    <w:rsid w:val="00396C96"/>
    <w:rsid w:val="003B4E3C"/>
    <w:rsid w:val="003C2F94"/>
    <w:rsid w:val="003E427A"/>
    <w:rsid w:val="003F7A04"/>
    <w:rsid w:val="00407E60"/>
    <w:rsid w:val="00424C91"/>
    <w:rsid w:val="004263D9"/>
    <w:rsid w:val="00436B72"/>
    <w:rsid w:val="004424FB"/>
    <w:rsid w:val="00452478"/>
    <w:rsid w:val="004530AF"/>
    <w:rsid w:val="004875E3"/>
    <w:rsid w:val="004C0B34"/>
    <w:rsid w:val="004C7A2E"/>
    <w:rsid w:val="004D185A"/>
    <w:rsid w:val="004E2882"/>
    <w:rsid w:val="00526826"/>
    <w:rsid w:val="00527ECB"/>
    <w:rsid w:val="00535DFA"/>
    <w:rsid w:val="005775C9"/>
    <w:rsid w:val="00591FC4"/>
    <w:rsid w:val="005947D3"/>
    <w:rsid w:val="005D0EE4"/>
    <w:rsid w:val="005E72C3"/>
    <w:rsid w:val="005F2DD3"/>
    <w:rsid w:val="006045CB"/>
    <w:rsid w:val="0061493E"/>
    <w:rsid w:val="00630C2E"/>
    <w:rsid w:val="0063461B"/>
    <w:rsid w:val="00635D00"/>
    <w:rsid w:val="00663A94"/>
    <w:rsid w:val="00664314"/>
    <w:rsid w:val="00697D8D"/>
    <w:rsid w:val="006A3974"/>
    <w:rsid w:val="006C5916"/>
    <w:rsid w:val="006E0FCC"/>
    <w:rsid w:val="006E6632"/>
    <w:rsid w:val="006F0546"/>
    <w:rsid w:val="006F1E64"/>
    <w:rsid w:val="00700096"/>
    <w:rsid w:val="00700E7D"/>
    <w:rsid w:val="00720D67"/>
    <w:rsid w:val="00723DD2"/>
    <w:rsid w:val="00742D60"/>
    <w:rsid w:val="00766310"/>
    <w:rsid w:val="00787613"/>
    <w:rsid w:val="007B3F4D"/>
    <w:rsid w:val="007D5748"/>
    <w:rsid w:val="00813E47"/>
    <w:rsid w:val="008316FF"/>
    <w:rsid w:val="00845EB7"/>
    <w:rsid w:val="008566E4"/>
    <w:rsid w:val="00864A6E"/>
    <w:rsid w:val="00871115"/>
    <w:rsid w:val="00871485"/>
    <w:rsid w:val="0087264A"/>
    <w:rsid w:val="00880CA3"/>
    <w:rsid w:val="008853F4"/>
    <w:rsid w:val="0089386C"/>
    <w:rsid w:val="00895898"/>
    <w:rsid w:val="008D1908"/>
    <w:rsid w:val="008D339D"/>
    <w:rsid w:val="00942346"/>
    <w:rsid w:val="009437FC"/>
    <w:rsid w:val="00996D89"/>
    <w:rsid w:val="009A5F75"/>
    <w:rsid w:val="009D3504"/>
    <w:rsid w:val="009D61A8"/>
    <w:rsid w:val="009E7397"/>
    <w:rsid w:val="00A21201"/>
    <w:rsid w:val="00A301D2"/>
    <w:rsid w:val="00A340BB"/>
    <w:rsid w:val="00A565F5"/>
    <w:rsid w:val="00A71868"/>
    <w:rsid w:val="00A97B22"/>
    <w:rsid w:val="00AC56EF"/>
    <w:rsid w:val="00AC580F"/>
    <w:rsid w:val="00AC6744"/>
    <w:rsid w:val="00AD2923"/>
    <w:rsid w:val="00AE39BE"/>
    <w:rsid w:val="00AE5148"/>
    <w:rsid w:val="00AE791B"/>
    <w:rsid w:val="00B043B4"/>
    <w:rsid w:val="00B11CF8"/>
    <w:rsid w:val="00B215D1"/>
    <w:rsid w:val="00B40B58"/>
    <w:rsid w:val="00B648DC"/>
    <w:rsid w:val="00B768B8"/>
    <w:rsid w:val="00B93D71"/>
    <w:rsid w:val="00B95D14"/>
    <w:rsid w:val="00BB6C9D"/>
    <w:rsid w:val="00BD057F"/>
    <w:rsid w:val="00C651DC"/>
    <w:rsid w:val="00C72927"/>
    <w:rsid w:val="00C8693E"/>
    <w:rsid w:val="00CF1C23"/>
    <w:rsid w:val="00D03B1D"/>
    <w:rsid w:val="00D21CDB"/>
    <w:rsid w:val="00D76286"/>
    <w:rsid w:val="00D8247C"/>
    <w:rsid w:val="00D904E5"/>
    <w:rsid w:val="00E22B16"/>
    <w:rsid w:val="00E50F77"/>
    <w:rsid w:val="00E80488"/>
    <w:rsid w:val="00EA3A14"/>
    <w:rsid w:val="00EB59C8"/>
    <w:rsid w:val="00EC24D3"/>
    <w:rsid w:val="00EC3031"/>
    <w:rsid w:val="00EC327A"/>
    <w:rsid w:val="00EC4D63"/>
    <w:rsid w:val="00EF25D0"/>
    <w:rsid w:val="00F24812"/>
    <w:rsid w:val="00F253AC"/>
    <w:rsid w:val="00F3571D"/>
    <w:rsid w:val="00F627A0"/>
    <w:rsid w:val="00F87681"/>
    <w:rsid w:val="00F94CFE"/>
    <w:rsid w:val="00FB3A0F"/>
    <w:rsid w:val="00FB4AF3"/>
    <w:rsid w:val="00FB6D1C"/>
    <w:rsid w:val="00FC2B55"/>
    <w:rsid w:val="00FC6B6F"/>
    <w:rsid w:val="00FD5CF6"/>
    <w:rsid w:val="00FE7F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B95455"/>
  <w14:defaultImageDpi w14:val="0"/>
  <w15:docId w15:val="{166F18C6-F24D-439D-AEEB-84E3DB18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04402F"/>
    <w:pPr>
      <w:spacing w:before="100" w:beforeAutospacing="1" w:after="100" w:afterAutospacing="1" w:line="240" w:lineRule="auto"/>
    </w:pPr>
    <w:rPr>
      <w:rFonts w:ascii="Times New Roman" w:hAnsi="Times New Roman"/>
      <w:sz w:val="24"/>
      <w:szCs w:val="24"/>
      <w:lang w:eastAsia="sk-SK"/>
    </w:rPr>
  </w:style>
  <w:style w:type="table" w:customStyle="1" w:styleId="Mriekatabuky1">
    <w:name w:val="Mriežka tabuľky1"/>
    <w:basedOn w:val="Normlnatabuka"/>
    <w:next w:val="Mriekatabuky"/>
    <w:uiPriority w:val="59"/>
    <w:rsid w:val="0004402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Predvolenpsmoodseku"/>
    <w:rsid w:val="0004402F"/>
    <w:rPr>
      <w:rFonts w:cs="Times New Roman"/>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04402F"/>
    <w:pPr>
      <w:ind w:left="720"/>
      <w:contextualSpacing/>
    </w:pPr>
  </w:style>
  <w:style w:type="character" w:styleId="Hypertextovprepojenie">
    <w:name w:val="Hyperlink"/>
    <w:basedOn w:val="Predvolenpsmoodseku"/>
    <w:uiPriority w:val="99"/>
    <w:unhideWhenUsed/>
    <w:rsid w:val="0004402F"/>
    <w:rPr>
      <w:rFonts w:cs="Times New Roman"/>
      <w:color w:val="0563C1" w:themeColor="hyperlink"/>
      <w:u w:val="single"/>
    </w:rPr>
  </w:style>
  <w:style w:type="paragraph" w:styleId="Podpise-mailu">
    <w:name w:val="E-mail Signature"/>
    <w:basedOn w:val="Normlny"/>
    <w:link w:val="Podpise-mailuChar"/>
    <w:uiPriority w:val="99"/>
    <w:unhideWhenUsed/>
    <w:rsid w:val="0004402F"/>
    <w:pPr>
      <w:spacing w:after="0" w:line="240" w:lineRule="auto"/>
    </w:pPr>
    <w:rPr>
      <w:rFonts w:eastAsiaTheme="minorEastAsia"/>
      <w:lang w:eastAsia="sk-SK"/>
    </w:rPr>
  </w:style>
  <w:style w:type="character" w:customStyle="1" w:styleId="Podpise-mailuChar">
    <w:name w:val="Podpis e-mailu Char"/>
    <w:basedOn w:val="Predvolenpsmoodseku"/>
    <w:link w:val="Podpise-mailu"/>
    <w:uiPriority w:val="99"/>
    <w:locked/>
    <w:rsid w:val="0004402F"/>
    <w:rPr>
      <w:rFonts w:eastAsiaTheme="minorEastAsia" w:cs="Times New Roman"/>
      <w:lang w:val="x-none" w:eastAsia="sk-SK"/>
    </w:rPr>
  </w:style>
  <w:style w:type="paragraph" w:customStyle="1" w:styleId="Default">
    <w:name w:val="Default"/>
    <w:rsid w:val="0004402F"/>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04402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04402F"/>
    <w:pPr>
      <w:tabs>
        <w:tab w:val="center" w:pos="4536"/>
        <w:tab w:val="right" w:pos="9072"/>
      </w:tabs>
      <w:spacing w:after="0" w:line="240" w:lineRule="auto"/>
    </w:pPr>
    <w:rPr>
      <w:rFonts w:ascii="Times New Roman" w:hAnsi="Times New Roman"/>
      <w:sz w:val="20"/>
      <w:szCs w:val="20"/>
      <w:lang w:eastAsia="sk-SK"/>
    </w:rPr>
  </w:style>
  <w:style w:type="character" w:customStyle="1" w:styleId="HlavikaChar">
    <w:name w:val="Hlavička Char"/>
    <w:basedOn w:val="Predvolenpsmoodseku"/>
    <w:link w:val="Hlavika"/>
    <w:uiPriority w:val="99"/>
    <w:locked/>
    <w:rsid w:val="0004402F"/>
    <w:rPr>
      <w:rFonts w:ascii="Times New Roman" w:hAnsi="Times New Roman" w:cs="Times New Roman"/>
      <w:sz w:val="20"/>
      <w:szCs w:val="20"/>
      <w:lang w:val="x-none" w:eastAsia="sk-SK"/>
    </w:rPr>
  </w:style>
  <w:style w:type="paragraph" w:styleId="Pta">
    <w:name w:val="footer"/>
    <w:basedOn w:val="Normlny"/>
    <w:link w:val="PtaChar"/>
    <w:uiPriority w:val="99"/>
    <w:unhideWhenUsed/>
    <w:rsid w:val="0004402F"/>
    <w:pPr>
      <w:tabs>
        <w:tab w:val="center" w:pos="4536"/>
        <w:tab w:val="right" w:pos="9072"/>
      </w:tabs>
      <w:spacing w:after="0" w:line="240" w:lineRule="auto"/>
    </w:pPr>
    <w:rPr>
      <w:rFonts w:ascii="Times New Roman" w:hAnsi="Times New Roman"/>
      <w:sz w:val="20"/>
      <w:szCs w:val="20"/>
      <w:lang w:eastAsia="sk-SK"/>
    </w:rPr>
  </w:style>
  <w:style w:type="character" w:customStyle="1" w:styleId="PtaChar">
    <w:name w:val="Päta Char"/>
    <w:basedOn w:val="Predvolenpsmoodseku"/>
    <w:link w:val="Pta"/>
    <w:uiPriority w:val="99"/>
    <w:locked/>
    <w:rsid w:val="0004402F"/>
    <w:rPr>
      <w:rFonts w:ascii="Times New Roman" w:hAnsi="Times New Roman" w:cs="Times New Roman"/>
      <w:sz w:val="20"/>
      <w:szCs w:val="20"/>
      <w:lang w:val="x-none" w:eastAsia="sk-SK"/>
    </w:rPr>
  </w:style>
  <w:style w:type="character" w:styleId="slostrany">
    <w:name w:val="page number"/>
    <w:basedOn w:val="Predvolenpsmoodseku"/>
    <w:uiPriority w:val="99"/>
    <w:rsid w:val="0004402F"/>
    <w:rPr>
      <w:rFonts w:cs="Times New Roman"/>
    </w:rPr>
  </w:style>
  <w:style w:type="paragraph" w:styleId="Zkladntext">
    <w:name w:val="Body Text"/>
    <w:basedOn w:val="Normlny"/>
    <w:link w:val="ZkladntextChar"/>
    <w:uiPriority w:val="99"/>
    <w:rsid w:val="0004402F"/>
    <w:pPr>
      <w:spacing w:after="0" w:line="240" w:lineRule="auto"/>
    </w:pPr>
    <w:rPr>
      <w:rFonts w:ascii="Times New Roman" w:hAnsi="Times New Roman"/>
      <w:b/>
      <w:sz w:val="20"/>
      <w:szCs w:val="20"/>
      <w:lang w:eastAsia="sk-SK"/>
    </w:rPr>
  </w:style>
  <w:style w:type="character" w:customStyle="1" w:styleId="ZkladntextChar">
    <w:name w:val="Základný text Char"/>
    <w:basedOn w:val="Predvolenpsmoodseku"/>
    <w:link w:val="Zkladntext"/>
    <w:uiPriority w:val="99"/>
    <w:locked/>
    <w:rsid w:val="0004402F"/>
    <w:rPr>
      <w:rFonts w:ascii="Times New Roman" w:hAnsi="Times New Roman" w:cs="Times New Roman"/>
      <w:b/>
      <w:sz w:val="20"/>
      <w:szCs w:val="20"/>
      <w:lang w:val="x-none" w:eastAsia="sk-SK"/>
    </w:rPr>
  </w:style>
  <w:style w:type="paragraph" w:styleId="Zarkazkladnhotextu">
    <w:name w:val="Body Text Indent"/>
    <w:basedOn w:val="Normlny"/>
    <w:link w:val="ZarkazkladnhotextuChar"/>
    <w:uiPriority w:val="99"/>
    <w:semiHidden/>
    <w:unhideWhenUsed/>
    <w:rsid w:val="00E22B16"/>
    <w:pPr>
      <w:spacing w:after="120"/>
      <w:ind w:left="283"/>
    </w:pPr>
  </w:style>
  <w:style w:type="character" w:customStyle="1" w:styleId="ZarkazkladnhotextuChar">
    <w:name w:val="Zarážka základného textu Char"/>
    <w:basedOn w:val="Predvolenpsmoodseku"/>
    <w:link w:val="Zarkazkladnhotextu"/>
    <w:uiPriority w:val="99"/>
    <w:semiHidden/>
    <w:locked/>
    <w:rsid w:val="00E22B16"/>
    <w:rPr>
      <w:rFonts w:cs="Times New Roman"/>
    </w:rPr>
  </w:style>
  <w:style w:type="table" w:customStyle="1" w:styleId="Mriekatabuky3">
    <w:name w:val="Mriežka tabuľky3"/>
    <w:basedOn w:val="Normlnatabuka"/>
    <w:next w:val="Mriekatabuky"/>
    <w:uiPriority w:val="59"/>
    <w:rsid w:val="00E22B1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EC4D63"/>
  </w:style>
  <w:style w:type="paragraph" w:customStyle="1" w:styleId="c08dispositif">
    <w:name w:val="c08dispositif"/>
    <w:basedOn w:val="Normlny"/>
    <w:rsid w:val="00EC4D63"/>
    <w:pPr>
      <w:spacing w:before="100" w:beforeAutospacing="1" w:after="240" w:line="240" w:lineRule="auto"/>
      <w:ind w:left="1134" w:hanging="567"/>
      <w:jc w:val="both"/>
    </w:pPr>
    <w:rPr>
      <w:rFonts w:ascii="Times New Roman" w:hAnsi="Times New Roman"/>
      <w:b/>
      <w:bCs/>
      <w:sz w:val="24"/>
      <w:szCs w:val="24"/>
      <w:lang w:eastAsia="sk-SK"/>
    </w:rPr>
  </w:style>
  <w:style w:type="character" w:customStyle="1" w:styleId="awspan1">
    <w:name w:val="awspan1"/>
    <w:rsid w:val="00EC4D63"/>
    <w:rPr>
      <w:color w:val="000000"/>
      <w:sz w:val="24"/>
    </w:rPr>
  </w:style>
  <w:style w:type="paragraph" w:customStyle="1" w:styleId="Normlny1">
    <w:name w:val="Normálny1"/>
    <w:uiPriority w:val="99"/>
    <w:rsid w:val="00D904E5"/>
    <w:pPr>
      <w:spacing w:after="200" w:line="276" w:lineRule="auto"/>
    </w:pPr>
    <w:rPr>
      <w:rFonts w:ascii="Calibri" w:hAnsi="Calibri" w:cs="Calibri"/>
      <w:color w:val="000000"/>
      <w:lang w:eastAsia="sk-SK"/>
    </w:rPr>
  </w:style>
  <w:style w:type="paragraph" w:styleId="Obyajntext">
    <w:name w:val="Plain Text"/>
    <w:basedOn w:val="Normlny"/>
    <w:link w:val="ObyajntextChar"/>
    <w:uiPriority w:val="99"/>
    <w:semiHidden/>
    <w:unhideWhenUsed/>
    <w:rsid w:val="00D904E5"/>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locked/>
    <w:rsid w:val="00D904E5"/>
    <w:rPr>
      <w:rFonts w:ascii="Calibri" w:hAnsi="Calibri" w:cs="Times New Roman"/>
      <w:sz w:val="21"/>
      <w:szCs w:val="21"/>
    </w:rPr>
  </w:style>
  <w:style w:type="paragraph" w:styleId="Textbubliny">
    <w:name w:val="Balloon Text"/>
    <w:basedOn w:val="Normlny"/>
    <w:link w:val="TextbublinyChar"/>
    <w:uiPriority w:val="99"/>
    <w:semiHidden/>
    <w:unhideWhenUsed/>
    <w:rsid w:val="00663A9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63A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7710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registeruz.sk/cruzpublic/domain/accountingentity/simplesearch"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17566</Words>
  <Characters>100157</Characters>
  <Application>Microsoft Office Word</Application>
  <DocSecurity>0</DocSecurity>
  <Lines>834</Lines>
  <Paragraphs>234</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117489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Vidova Michaela</dc:creator>
  <cp:keywords/>
  <dc:description/>
  <cp:lastModifiedBy>Vidova Michaela</cp:lastModifiedBy>
  <cp:revision>2</cp:revision>
  <cp:lastPrinted>2022-08-26T09:17:00Z</cp:lastPrinted>
  <dcterms:created xsi:type="dcterms:W3CDTF">2022-08-26T09:22:00Z</dcterms:created>
  <dcterms:modified xsi:type="dcterms:W3CDTF">2022-08-26T09:22:00Z</dcterms:modified>
</cp:coreProperties>
</file>