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1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6604"/>
        <w:gridCol w:w="767"/>
        <w:gridCol w:w="870"/>
        <w:gridCol w:w="773"/>
        <w:gridCol w:w="4961"/>
        <w:gridCol w:w="625"/>
        <w:gridCol w:w="935"/>
      </w:tblGrid>
      <w:tr w:rsidR="008C54C3" w:rsidRPr="00597742" w:rsidTr="001D3039">
        <w:tc>
          <w:tcPr>
            <w:tcW w:w="1621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597742" w:rsidRDefault="008C54C3" w:rsidP="00597742">
            <w:pPr>
              <w:pStyle w:val="Nadpis1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597742">
              <w:rPr>
                <w:rFonts w:ascii="Arial Narrow" w:hAnsi="Arial Narrow"/>
                <w:sz w:val="22"/>
                <w:szCs w:val="22"/>
              </w:rPr>
              <w:t>TABUĽKA  ZHODY</w:t>
            </w:r>
          </w:p>
          <w:p w:rsidR="008C54C3" w:rsidRPr="00597742" w:rsidRDefault="005027F4" w:rsidP="00597742">
            <w:pPr>
              <w:pStyle w:val="Zkladntex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návrh</w:t>
            </w:r>
            <w:r w:rsidR="005937FD" w:rsidRPr="00597742">
              <w:rPr>
                <w:rFonts w:ascii="Arial Narrow" w:hAnsi="Arial Narrow"/>
                <w:b/>
                <w:sz w:val="22"/>
                <w:szCs w:val="22"/>
              </w:rPr>
              <w:t>u právneho predpisu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27033" w:rsidRPr="00597742">
              <w:rPr>
                <w:rFonts w:ascii="Arial Narrow" w:hAnsi="Arial Narrow"/>
                <w:b/>
                <w:sz w:val="22"/>
                <w:szCs w:val="22"/>
              </w:rPr>
              <w:t>s právom Európskej únie</w:t>
            </w:r>
          </w:p>
        </w:tc>
      </w:tr>
      <w:tr w:rsidR="008C54C3" w:rsidRPr="00597742" w:rsidTr="001D3039"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597742" w:rsidRDefault="00DE0F85" w:rsidP="00597742">
            <w:pPr>
              <w:pStyle w:val="Nadpis4"/>
              <w:spacing w:before="120"/>
              <w:jc w:val="left"/>
              <w:rPr>
                <w:rFonts w:ascii="Arial Narrow" w:hAnsi="Arial Narrow"/>
              </w:rPr>
            </w:pPr>
            <w:r w:rsidRPr="00597742">
              <w:rPr>
                <w:rFonts w:ascii="Arial Narrow" w:hAnsi="Arial Narrow"/>
              </w:rPr>
              <w:t>Smernica EÚ</w:t>
            </w:r>
          </w:p>
          <w:p w:rsidR="00E745B5" w:rsidRPr="00597742" w:rsidRDefault="00E745B5" w:rsidP="00597742">
            <w:pPr>
              <w:pStyle w:val="Zkladntext3"/>
              <w:spacing w:line="24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EE7DD6" w:rsidRPr="00597742" w:rsidRDefault="00221382" w:rsidP="00E61ADA">
            <w:pPr>
              <w:pStyle w:val="Zkladntext3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SMERNICA EURÓPSKEHO PARLAMENTU A RADY </w:t>
            </w:r>
            <w:r w:rsidRPr="00E61A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2014/95/EÚ</w:t>
            </w:r>
            <w:r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z 22. októbra 2014</w:t>
            </w:r>
            <w:r w:rsidR="00EC51FB"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</w:t>
            </w:r>
            <w:r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ktorou sa mení smernica 2013/34/EÚ, pokiaľ ide o zverejňovanie nefinančných informácií a informácií týkajúcich sa rozmanitosti niektorými veľkými podnikmi a</w:t>
            </w:r>
            <w:r w:rsidR="002800A7"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  <w:r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skupinami</w:t>
            </w:r>
            <w:r w:rsidR="002800A7"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(Ú. v. EÚ L 33</w:t>
            </w:r>
            <w:r w:rsidR="00E61A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0</w:t>
            </w:r>
            <w:r w:rsidR="002800A7"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, 1</w:t>
            </w:r>
            <w:r w:rsidR="00E61A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</w:t>
            </w:r>
            <w:r w:rsidR="002800A7" w:rsidRPr="0059774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.11.2014)</w:t>
            </w:r>
            <w:r w:rsidR="00E61AD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v platnom znení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17BF4" w:rsidRPr="00597742" w:rsidRDefault="00B14EB0" w:rsidP="00597742">
            <w:pPr>
              <w:pStyle w:val="Nadpis4"/>
              <w:spacing w:before="120"/>
              <w:jc w:val="left"/>
              <w:rPr>
                <w:rFonts w:ascii="Arial Narrow" w:hAnsi="Arial Narrow"/>
              </w:rPr>
            </w:pPr>
            <w:r w:rsidRPr="00597742">
              <w:rPr>
                <w:rFonts w:ascii="Arial Narrow" w:hAnsi="Arial Narrow"/>
              </w:rPr>
              <w:t>P</w:t>
            </w:r>
            <w:r w:rsidR="008C54C3" w:rsidRPr="00597742">
              <w:rPr>
                <w:rFonts w:ascii="Arial Narrow" w:hAnsi="Arial Narrow"/>
              </w:rPr>
              <w:t>rávn</w:t>
            </w:r>
            <w:r w:rsidR="00E745B5" w:rsidRPr="00597742">
              <w:rPr>
                <w:rFonts w:ascii="Arial Narrow" w:hAnsi="Arial Narrow"/>
              </w:rPr>
              <w:t>e predpisy Slovenskej republiky</w:t>
            </w:r>
          </w:p>
          <w:p w:rsidR="009557B2" w:rsidRPr="00597742" w:rsidRDefault="009557B2" w:rsidP="0059774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800A7" w:rsidRPr="00597742" w:rsidRDefault="002800A7" w:rsidP="00597742">
            <w:pPr>
              <w:pStyle w:val="Nzov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Návrh zákona, ktorým sa mení a dopĺňa zákon č. 431/2002 Z. z. o účtovníctve v znení neskorších predpisov </w:t>
            </w:r>
            <w:r w:rsidR="00C66A17">
              <w:rPr>
                <w:rFonts w:ascii="Arial Narrow" w:hAnsi="Arial Narrow"/>
                <w:sz w:val="22"/>
                <w:szCs w:val="22"/>
              </w:rPr>
              <w:t xml:space="preserve">a ktorým sa mení a </w:t>
            </w:r>
            <w:r w:rsidR="00800EA6" w:rsidRPr="00597742">
              <w:rPr>
                <w:rFonts w:ascii="Arial Narrow" w:hAnsi="Arial Narrow"/>
                <w:sz w:val="22"/>
                <w:szCs w:val="22"/>
              </w:rPr>
              <w:t>dopĺňa zákon</w:t>
            </w:r>
            <w:r w:rsidR="00C66A17">
              <w:rPr>
                <w:rFonts w:ascii="Arial Narrow" w:hAnsi="Arial Narrow"/>
                <w:sz w:val="22"/>
                <w:szCs w:val="22"/>
              </w:rPr>
              <w:t xml:space="preserve"> č. 513/1991 Zb. Obchodný zákonník v znení neskorších predpisov</w:t>
            </w:r>
            <w:r w:rsidR="00800EA6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(ďalej len „návrh“)</w:t>
            </w:r>
          </w:p>
          <w:p w:rsidR="00CB773B" w:rsidRPr="00597742" w:rsidRDefault="003B1E3F" w:rsidP="00C06AD9">
            <w:pPr>
              <w:pStyle w:val="Nzov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 w:val="0"/>
                <w:sz w:val="22"/>
                <w:szCs w:val="22"/>
              </w:rPr>
              <w:t>Zákon č. 431/2002 Z. z. o účtovníctve v znení neskorších predpisov (ďalej len „431/2002</w:t>
            </w:r>
            <w:r w:rsidR="002800A7" w:rsidRPr="00597742">
              <w:rPr>
                <w:rFonts w:ascii="Arial Narrow" w:hAnsi="Arial Narrow" w:cs="Arial"/>
                <w:b w:val="0"/>
                <w:sz w:val="22"/>
                <w:szCs w:val="22"/>
              </w:rPr>
              <w:t>“)</w:t>
            </w:r>
          </w:p>
        </w:tc>
      </w:tr>
      <w:tr w:rsidR="00A9063F" w:rsidRPr="00597742" w:rsidTr="001D303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597742" w:rsidRDefault="00A9063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597742" w:rsidRDefault="005170A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A9063F" w:rsidRPr="00597742" w:rsidTr="001D303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Spôsob transp.</w:t>
            </w:r>
          </w:p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(N, O, D, n.a.)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597742" w:rsidRDefault="00A9063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 w:rsidR="009A6697" w:rsidRPr="00597742" w:rsidTr="001D3039"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6697" w:rsidRPr="00597742" w:rsidRDefault="005937FD" w:rsidP="00597742">
            <w:pPr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Č:</w:t>
            </w:r>
            <w:r w:rsidR="009A6697" w:rsidRPr="00597742">
              <w:rPr>
                <w:rFonts w:ascii="Arial Narrow" w:hAnsi="Arial Narrow"/>
                <w:sz w:val="22"/>
                <w:szCs w:val="22"/>
              </w:rPr>
              <w:t xml:space="preserve"> 1 </w:t>
            </w:r>
          </w:p>
          <w:p w:rsidR="005937FD" w:rsidRPr="00597742" w:rsidRDefault="005937FD" w:rsidP="00597742">
            <w:pPr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O:1</w:t>
            </w:r>
          </w:p>
          <w:p w:rsidR="00221382" w:rsidRPr="00597742" w:rsidRDefault="00221382" w:rsidP="0059774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7FD" w:rsidRPr="00597742" w:rsidRDefault="00221382" w:rsidP="001D3039">
            <w:pPr>
              <w:pStyle w:val="CM4"/>
              <w:spacing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Zmeny smernice 2013/34/EÚ Smernica 2013/34/EÚ sa mení takto: </w:t>
            </w:r>
          </w:p>
          <w:p w:rsidR="00221382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1. Vkladá sa tento článok: </w:t>
            </w:r>
          </w:p>
          <w:p w:rsidR="005937FD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„Článok 19a </w:t>
            </w:r>
          </w:p>
          <w:p w:rsidR="00221382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Nefinančný výkaz </w:t>
            </w:r>
          </w:p>
          <w:p w:rsidR="006C3940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1.Veľké podniky, ktoré sú subjektmi verejného záujmu a ktoré k súvahovému dňu vykazujú, že prekročili kritérium priemerného počtu 500 zamestnancov počas účtovného obdobia, zahrnú do správy o hospodárení aj nefinančný výkaz obsahujúci informácie v rozsahu potrebnom na pochopenie vývoja, správania, pozície a vplyvu činnosti podniku týkajúce sa minimálne environmentálnych, sociálnych a zamestnaneckých záležitostí, dodržiavania ľudských práv a boja proti korupcii a úplatkárstvu vrátane: </w:t>
            </w:r>
          </w:p>
          <w:p w:rsidR="006C3940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a) stručného opisu obchodného modelu podniku; </w:t>
            </w:r>
          </w:p>
          <w:p w:rsidR="006C3940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b) opisu politík, ktoré podnik uplatňuje vo vzťahu k uvedeným záležitostiam, a to vrátane postupov použitých v súlade so zásadou náležitej starostlivosti; </w:t>
            </w:r>
          </w:p>
          <w:p w:rsidR="009A6697" w:rsidRPr="00597742" w:rsidRDefault="00221382" w:rsidP="00597742">
            <w:pPr>
              <w:pStyle w:val="CM4"/>
              <w:spacing w:before="60" w:after="6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c) výsledkov uvedených politík;</w:t>
            </w:r>
          </w:p>
          <w:p w:rsidR="006C3940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d)hlavných rizík týkajúcich sa uvedených záležitostí a spojených s činnosťami podniku vrátane, tam kde je to náležité a primerané, jeho obchodných vzťahov, produktov alebo služieb, ktoré by mohli mať nepriaznivé dôsledky na dané oblasti, a spôsobu, akým podnik tieto riziká riadi; </w:t>
            </w:r>
          </w:p>
          <w:p w:rsidR="006C3940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e) kľúčových nefinančných ukazovateľov správania relevantných pre konkrétne podnikanie. Ak podnik neuplatňuje politiky v súvislosti s jednou alebo viacerými z uvedených záležitostí, v nefinančnom vyhlásení poskytne jasné a odôvodnené vysvetlenie, prečo ich neuplatňuje. Nefinančný výkaz uvedený v prvom </w:t>
            </w: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 xml:space="preserve">pododseku obsahuje, ak je to vhodné, aj odkazy na sumy vykazované vo výročných finančných výkazoch a ďalšie vysvetlenia k nim. </w:t>
            </w:r>
          </w:p>
          <w:p w:rsidR="00221382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Členské štáty môžu povoliť, aby sa vo výnimočných prípadoch vypustili informácie o neukončených veciach alebo veciach, o ktorých sa rokuje, keď – v riadne odôvodnenom stanovisku členov správnych, riadiacich a dozorných orgánov, ktorí konajú v rámci právomocí na základe vnútroštátnych právnych predpisov a ktorí majú za uvedené stanovisko kolektívnu zodpovednosť – by zverejnenie takýchto informácií mohlo vážne poškodiť obchodnú pozíciu podniku, za predpokladu, že takéto vypustenie nebráni správnemu a vyváženému pochopeniu vývoja, správania, pozície a vplyvu činnosti podniku. Pri požadovaní zverejnenia informácií uvedených v prvom pododseku členské štáty zabezpečia, že podnik môže vychádzať z vnútroštátnych rámcov, rámcov Únie alebo medzinárodných rámcov, a v takom prípade podniky presne uvedú, z ktorých rámcov vychádzali.</w:t>
            </w:r>
          </w:p>
          <w:p w:rsidR="009C3481" w:rsidRPr="00597742" w:rsidRDefault="009C3481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9C3481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2.Podniky, ktoré si splnili povinnosť uvedenú v odseku 1, majú splnenú povinnosť týkajúcu sa analýzy nefinančných informácií stanovenej v článku 19 ods. 1 treťom pododseku. </w:t>
            </w:r>
          </w:p>
          <w:p w:rsidR="009C3481" w:rsidRPr="00597742" w:rsidRDefault="009C3481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9C3481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3.Podnik, ktorý je dcérskym podnikom, je oslobodený od povinnosti uvedenej v odseku 1, ak uvedený podnik a jeho dcérske podniky sú zahrnuté do konsolidovanej správy o hospodárení alebo samostatnej správy iného podniku, ktoré boli vypracované v súlade s článkom 29 a týmto článkom. </w:t>
            </w:r>
          </w:p>
          <w:p w:rsidR="009C3481" w:rsidRPr="00597742" w:rsidRDefault="009C3481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4.Ak podnik pripravuje samostatnú správu týkajúcu sa toho istého účtovného obdobia – bez ohľadu na to, či vychádza z vnútroštátnych rámcov, rámcov Únie alebo medzinárodných rámcov –, ktorá sa týka informácií požadovaných pre nefinančný výkaz, ako je stanovené v odseku 1, členské štáty môžu tento podnik oslobodiť od povinnosti pripraviť nefinančný výkaz stanovený v odseku 1 za predpokladu, že táto samostatná správa: </w:t>
            </w:r>
          </w:p>
          <w:p w:rsidR="00D23919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a) je uverejnená spolu so správou o hospodárení v súlade s článkom 30 alebo </w:t>
            </w:r>
          </w:p>
          <w:p w:rsidR="00D632BB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b)je verejne sprístupnená v primeranej lehote, ktorá nie je dlhšia ako šesť mesiacov po súvahovom dni, na internetovej stránke podniku a odkazuje sa na ňu v správe o hospodárení. </w:t>
            </w:r>
          </w:p>
          <w:p w:rsidR="00221382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Odsek 2 sa uplatňuje mutatis mutandis na podniky, ktoré pripravujú samostatnú správu, ako sa uvádza v prvom pododseku tohto odseku. </w:t>
            </w:r>
          </w:p>
          <w:p w:rsidR="00221382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21382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 xml:space="preserve">5. Členské štáty zabezpečia, aby štatutárny audítor alebo audítorská firma skontrolovali, či bol poskytnutý nefinančný výkaz uvedený v odseku 1, alebo samostatná správa uvedená v odseku 4. </w:t>
            </w:r>
          </w:p>
          <w:p w:rsidR="00221382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221382" w:rsidRPr="00597742" w:rsidRDefault="00221382" w:rsidP="0059774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6.</w:t>
            </w:r>
            <w:r w:rsidR="002923B4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Členské štáty môžu požadovať, aby vierohodnosť informácií nefinančného výkazu uvedeného v odseku 1 alebo samostatnej správy uvedenej v odseku 4 overil nezávislý poskytovateľ uisťovacích služieb.“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6697" w:rsidRPr="00597742" w:rsidRDefault="009A669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N</w:t>
            </w: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56D8D" w:rsidRPr="00597742" w:rsidRDefault="00356D8D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Pr="00597742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20F2E" w:rsidRDefault="00320F2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6C3940" w:rsidRPr="00597742" w:rsidRDefault="006C394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73B" w:rsidRPr="00597742" w:rsidRDefault="00A265BF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lastRenderedPageBreak/>
              <w:t>n</w:t>
            </w:r>
            <w:r w:rsidR="002800A7" w:rsidRPr="00597742">
              <w:rPr>
                <w:rFonts w:ascii="Arial Narrow" w:hAnsi="Arial Narrow"/>
                <w:b/>
                <w:sz w:val="22"/>
                <w:szCs w:val="22"/>
              </w:rPr>
              <w:t>ávrh</w:t>
            </w:r>
          </w:p>
          <w:p w:rsidR="00A265BF" w:rsidRPr="00597742" w:rsidRDefault="00A265BF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čl. I</w:t>
            </w: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3919" w:rsidRPr="00597742" w:rsidRDefault="00D23919" w:rsidP="00320F2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návrh</w:t>
            </w:r>
          </w:p>
          <w:p w:rsidR="00D23919" w:rsidRPr="00597742" w:rsidRDefault="00D2391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čl. I</w:t>
            </w: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D3039" w:rsidRDefault="001D303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D3039" w:rsidRDefault="001D303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D3039" w:rsidRDefault="001D303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D3039" w:rsidRDefault="001D303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D3039" w:rsidRDefault="001D303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D3039" w:rsidRDefault="001D303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C40F6" w:rsidRPr="00597742" w:rsidRDefault="001C40F6" w:rsidP="001D30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431/2002</w:t>
            </w: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Pr="00597742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C40F6" w:rsidRPr="00597742" w:rsidRDefault="001C40F6" w:rsidP="001D3039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návrh</w:t>
            </w:r>
          </w:p>
          <w:p w:rsidR="001C40F6" w:rsidRPr="00597742" w:rsidRDefault="001C40F6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čl. 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97" w:rsidRPr="00597742" w:rsidRDefault="00B537FC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§ 20</w:t>
            </w:r>
          </w:p>
          <w:p w:rsidR="00B537FC" w:rsidRPr="00597742" w:rsidRDefault="00B537FC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 9</w:t>
            </w:r>
            <w:r w:rsidR="00DA39BD">
              <w:rPr>
                <w:rFonts w:ascii="Arial Narrow" w:hAnsi="Arial Narrow"/>
                <w:sz w:val="22"/>
                <w:szCs w:val="22"/>
              </w:rPr>
              <w:t xml:space="preserve"> až </w:t>
            </w:r>
            <w:r w:rsidR="004A48A5" w:rsidRPr="00597742">
              <w:rPr>
                <w:rFonts w:ascii="Arial Narrow" w:hAnsi="Arial Narrow"/>
                <w:sz w:val="22"/>
                <w:szCs w:val="22"/>
              </w:rPr>
              <w:t>1</w:t>
            </w:r>
            <w:r w:rsidR="00630046">
              <w:rPr>
                <w:rFonts w:ascii="Arial Narrow" w:hAnsi="Arial Narrow"/>
                <w:sz w:val="22"/>
                <w:szCs w:val="22"/>
              </w:rPr>
              <w:t>7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265BF" w:rsidRPr="00597742" w:rsidRDefault="00A265BF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Pr="00597742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Pr="00597742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A6C79" w:rsidRPr="00597742" w:rsidRDefault="009A6C79" w:rsidP="001D3039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§ 39r</w:t>
            </w:r>
          </w:p>
          <w:p w:rsidR="005275AD" w:rsidRPr="00597742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Pr="00597742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Pr="00597742" w:rsidRDefault="00BE61E5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Pr="00597742" w:rsidRDefault="005275A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275AD" w:rsidRPr="00597742" w:rsidRDefault="005275AD" w:rsidP="001D3039">
            <w:pPr>
              <w:pStyle w:val="Normlny0"/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§ 39</w:t>
            </w:r>
            <w:r w:rsidR="00C66A17">
              <w:rPr>
                <w:rFonts w:ascii="Arial Narrow" w:hAnsi="Arial Narrow"/>
                <w:b/>
                <w:sz w:val="22"/>
                <w:szCs w:val="22"/>
              </w:rPr>
              <w:t>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lastRenderedPageBreak/>
              <w:t>(9) Subjekt verejného záujmu, ktorého priemerný prepočítaný počet zamestnancov za účtovné obdobie presiahol 500 zamestnancov, uvádza vo výročnej správe aj nefinančné informácie o vývoji, konaní, pozícii a o vplyve činnosti účtovnej jednotky na environmentálnu, sociálnu a zamestnaneckú oblasť, informáci</w:t>
            </w:r>
            <w:r w:rsidR="00BE61E5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o dodržiavaní ľudských práv a o boji proti korupcii a úplatkárstvu (ďalej len „oblasť spoločenskej zodpovednosti“), ak ku dňu, ku ktorému sa zostavuje účtovná závierka a za bezprostredne predchádzajúce účtovné obdobie, spĺňa zároveň aj jednu z týchto podmienok:</w:t>
            </w:r>
          </w:p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a) celková suma majetku presiahla 20 000 000 eur, pričom sumou majetku na tento účel sa rozumie suma zistená zo súvahy v ocenení upravenom o položky podľa § 26 ods. 3,</w:t>
            </w:r>
          </w:p>
          <w:p w:rsidR="00A265BF" w:rsidRDefault="00A265BF" w:rsidP="00356D8D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b) čistý obrat presiahol 40 000 000 eur.</w:t>
            </w:r>
          </w:p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(10) </w:t>
            </w:r>
            <w:r w:rsidR="00A516EB" w:rsidRPr="00597742">
              <w:rPr>
                <w:rFonts w:ascii="Arial Narrow" w:hAnsi="Arial Narrow"/>
                <w:b/>
                <w:sz w:val="22"/>
                <w:szCs w:val="22"/>
              </w:rPr>
              <w:t>Subjekt verejného záujmu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podľa odseku 9 uvedie vo výročnej správe najmä</w:t>
            </w:r>
          </w:p>
          <w:p w:rsidR="00A265BF" w:rsidRPr="00597742" w:rsidRDefault="001D3039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a) 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stručný opis obchodného modelu,</w:t>
            </w:r>
          </w:p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b)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opis a výsledky používania politiky, ktorú účtovná jednotka uplatňuje v oblasti spoločenskej zodpovednosti vrátane uplatňovaných postupov náležitej starostlivosti,</w:t>
            </w:r>
          </w:p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c)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opis hlavných rizík vplyvu účtovnej jednotky na oblasť spoločenskej zodpovednosti vyplývajúceho z činnosti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lastRenderedPageBreak/>
              <w:t>účtovnej jednotky, ktorý by mohol mať nepriaznivé dôsledky, a ak je to primerané aj opis obchodných vzťahov, produktov alebo služieb, ktoré účtovná jednotka poskytuje, a opis spôsobu, akým účtovná jednotka tieto riziká riadi,</w:t>
            </w:r>
          </w:p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d)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významné nefinančné informácie o činnosti účtovnej jednotky podľa jednotlivých činností,</w:t>
            </w:r>
          </w:p>
          <w:p w:rsidR="00A265BF" w:rsidRPr="00597742" w:rsidRDefault="00A265BF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e)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odkaz na informácie o sumách vykázaných v účtovnej závierke a vysvetlenie týchto súm z hľadiska vplyvov na oblasť spoločenskej zodpovednosti, ak je to vhodné.</w:t>
            </w:r>
          </w:p>
          <w:p w:rsidR="00E05A0E" w:rsidRPr="00597742" w:rsidRDefault="00E05A0E" w:rsidP="00356D8D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Subjekt verejného záujmu môže pri informáciách podľa 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vychádzať aj z rámca Európskej únie alebo z iného medzinárodného rámca, ktorý upravuje nefinančné informácie, ak presne uvedie podľa akého rámca postupoval.</w:t>
            </w:r>
          </w:p>
          <w:p w:rsidR="00E05A0E" w:rsidRPr="00597742" w:rsidRDefault="00E05A0E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Povinnosť uviesť informácie podľa 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nemá subjekt verejného záujmu, ktorý je dcérskou účtovnou jednotkou, ak sú informácie o ňom a všetkých jeho dcérskych účtovných jednotkách zahrnuté vo výročnej správe  alebo v obdobnej správe materskej účtovnej jednotky.</w:t>
            </w:r>
          </w:p>
          <w:p w:rsidR="00E05A0E" w:rsidRPr="00597742" w:rsidRDefault="00E05A0E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Ak subjekt verejného záujmu nezverejňuje informácie podľa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odsek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ov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9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 xml:space="preserve"> a 10</w:t>
            </w:r>
            <w:r w:rsidRPr="00597742">
              <w:rPr>
                <w:rFonts w:ascii="Arial Narrow" w:hAnsi="Arial Narrow"/>
                <w:sz w:val="22"/>
                <w:szCs w:val="22"/>
              </w:rPr>
              <w:t>, uvedie vo výročnej správe dôvody, na základe ktorých tieto informácie nezverejnil.</w:t>
            </w:r>
          </w:p>
          <w:p w:rsidR="00E05A0E" w:rsidRPr="00597742" w:rsidRDefault="00E05A0E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Účtovná jednotka, ktorá emitovala </w:t>
            </w:r>
            <w:r w:rsidR="00AA746D" w:rsidRPr="00597742">
              <w:rPr>
                <w:rFonts w:ascii="Arial Narrow" w:hAnsi="Arial Narrow"/>
                <w:sz w:val="22"/>
                <w:szCs w:val="22"/>
              </w:rPr>
              <w:t xml:space="preserve">akcie </w:t>
            </w:r>
            <w:r w:rsidRPr="00597742">
              <w:rPr>
                <w:rFonts w:ascii="Arial Narrow" w:hAnsi="Arial Narrow"/>
                <w:sz w:val="22"/>
                <w:szCs w:val="22"/>
              </w:rPr>
              <w:t>a tieto boli prijaté na obchodovanie na regulovanom trhu ktoréhokoľvek členského štátu</w:t>
            </w:r>
            <w:r w:rsidR="00CB773B" w:rsidRPr="00597742">
              <w:rPr>
                <w:rFonts w:ascii="Arial Narrow" w:hAnsi="Arial Narrow"/>
                <w:sz w:val="22"/>
                <w:szCs w:val="22"/>
              </w:rPr>
              <w:t xml:space="preserve"> a účtovná jednotka, ktorá emitovala akcie, s ktorými sa obchoduje v mnohostrannom obchodnom systéme(28ca) ktoréhokoľvek členského štátu</w:t>
            </w:r>
            <w:r w:rsidRPr="00597742">
              <w:rPr>
                <w:rFonts w:ascii="Arial Narrow" w:hAnsi="Arial Narrow"/>
                <w:sz w:val="22"/>
                <w:szCs w:val="22"/>
              </w:rPr>
              <w:t>, uvedie vo výročnej správe aj opis politiky rozmanitosti, ktorú uplatňuje vo svojich správnych orgánoch, riadiacich orgánoch a dozorných orgánoch najmä vo vzťahu k veku, pohlaviu, vzdelaniu a profesijným skúsenostiam člen</w:t>
            </w:r>
            <w:r w:rsidR="00B25C43">
              <w:rPr>
                <w:rFonts w:ascii="Arial Narrow" w:hAnsi="Arial Narrow"/>
                <w:sz w:val="22"/>
                <w:szCs w:val="22"/>
              </w:rPr>
              <w:t>ov týchto orgánov, ciele takej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politiky, spôsob akým sa vykonáva a dosiahnuté výsledky vo vykazovanom období, ak ku dňu, ku ktorému sa zostavuje účtovná závierka</w:t>
            </w:r>
            <w:r w:rsidR="00A265BF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a za bezprostredne predchádzajúce účtovné obdobie</w:t>
            </w:r>
            <w:r w:rsidRPr="00597742">
              <w:rPr>
                <w:rFonts w:ascii="Arial Narrow" w:hAnsi="Arial Narrow"/>
                <w:sz w:val="22"/>
                <w:szCs w:val="22"/>
              </w:rPr>
              <w:t>, splnila aspoň dve z týchto podmienok:</w:t>
            </w:r>
          </w:p>
          <w:p w:rsidR="00E05A0E" w:rsidRPr="00597742" w:rsidRDefault="00E05A0E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a)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celková suma majetku presiahla 20 000 000 eur, pričom sumou majetku na tento účel sa rozumie suma zistená zo súvahy v ocenení upravenom o položky podľa § 26 ods. 3,</w:t>
            </w:r>
          </w:p>
          <w:p w:rsidR="00E05A0E" w:rsidRPr="00597742" w:rsidRDefault="00E05A0E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b)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čistý obrat presiahol 40 000 000 eur,</w:t>
            </w:r>
          </w:p>
          <w:p w:rsidR="00E05A0E" w:rsidRPr="00597742" w:rsidRDefault="00E05A0E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c)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priemerný prepočítaný počet zamestnancov presiahol 250.</w:t>
            </w:r>
          </w:p>
          <w:p w:rsidR="00E05A0E" w:rsidRPr="00597742" w:rsidRDefault="00E05A0E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597742">
              <w:rPr>
                <w:rFonts w:ascii="Arial Narrow" w:hAnsi="Arial Narrow"/>
                <w:sz w:val="22"/>
                <w:szCs w:val="22"/>
              </w:rPr>
              <w:t>) Účtovná jednotka, ktorá neuvádza vo výročnej správe opis pol</w:t>
            </w:r>
            <w:r w:rsidR="001C40F6" w:rsidRPr="00597742">
              <w:rPr>
                <w:rFonts w:ascii="Arial Narrow" w:hAnsi="Arial Narrow"/>
                <w:sz w:val="22"/>
                <w:szCs w:val="22"/>
              </w:rPr>
              <w:t xml:space="preserve">itiky rozmanitosti podľa </w:t>
            </w:r>
            <w:r w:rsidR="001C40F6" w:rsidRPr="00597742">
              <w:rPr>
                <w:rFonts w:ascii="Arial Narrow" w:hAnsi="Arial Narrow"/>
                <w:b/>
                <w:sz w:val="22"/>
                <w:szCs w:val="22"/>
              </w:rPr>
              <w:t>odseku</w:t>
            </w:r>
            <w:r w:rsidR="00A265BF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>, uvádza vo výročnej správe dôvody, na základe ktorých sa rozhodla neuplatňovať politiku rozmanitosti.</w:t>
            </w:r>
          </w:p>
          <w:p w:rsidR="00B62780" w:rsidRDefault="00E05A0E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16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Uvedením informácií podľa </w:t>
            </w:r>
            <w:r w:rsidR="00A265BF"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je splnená povinnosť účtovnej jednotky uvádzať nefinančné informácie  o vplyve činnosti účtovnej jednotky na životné prostredie a na zamestnanosť podľa odseku 1 písm. a).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  <w:r w:rsidRPr="00A265BF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 xml:space="preserve">Výročná správa, ktorú vyhotovuje účtovná jednotka, ktorá má povinnosť overenia účtovnej závierky audítorom podľa § 19 ods. </w:t>
            </w:r>
            <w:r w:rsidRPr="005275AD">
              <w:rPr>
                <w:rFonts w:ascii="Arial Narrow" w:hAnsi="Arial Narrow"/>
                <w:strike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265BF">
              <w:rPr>
                <w:rFonts w:ascii="Arial Narrow" w:hAnsi="Arial Narrow"/>
                <w:sz w:val="22"/>
                <w:szCs w:val="22"/>
              </w:rPr>
              <w:t>, ak osobitné predpisy</w:t>
            </w:r>
            <w:r w:rsidR="00B25C43">
              <w:rPr>
                <w:rFonts w:ascii="Arial Narrow" w:hAnsi="Arial Narrow"/>
                <w:sz w:val="22"/>
                <w:szCs w:val="22"/>
              </w:rPr>
              <w:t>(</w:t>
            </w:r>
            <w:r w:rsidRPr="00A265BF">
              <w:rPr>
                <w:rFonts w:ascii="Arial Narrow" w:hAnsi="Arial Narrow"/>
                <w:sz w:val="22"/>
                <w:szCs w:val="22"/>
              </w:rPr>
              <w:t>28) neustanovujú inak, obsahuje najmä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a)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účtovnú závierku za účtovné obdobie, za ktoré sa vyhotovuje výročná správa,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b)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správu audítora k účtovnej závierke podľa písmena a),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c)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prehľad vykonávaných činností alebo projektov za účtovné obdobie s uvedením ich vzťahu k účelu založenia účtovnej jednotky,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d)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prehľad výnosov (príjmov) v členení podľa zdrojov,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e)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prehľad nákladov (výdavkov) v členení podľa jednotlivých druhov činností, účelu alebo projektov, s osobitným vyčíslením nákladov (výdavkov) na správu,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f)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návrh vysporiadania výsledku hospodárenia,</w:t>
            </w:r>
          </w:p>
          <w:p w:rsidR="00630046" w:rsidRPr="00597742" w:rsidRDefault="00630046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g)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informáciu o predpokladanom budúcom vývoji činnosti účtovnej jednotky</w:t>
            </w:r>
          </w:p>
          <w:p w:rsidR="005275AD" w:rsidRPr="00597742" w:rsidRDefault="009A6C79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Poznámk</w:t>
            </w:r>
            <w:r w:rsidR="005275AD" w:rsidRPr="00597742">
              <w:rPr>
                <w:rFonts w:ascii="Arial Narrow" w:hAnsi="Arial Narrow"/>
                <w:sz w:val="22"/>
                <w:szCs w:val="22"/>
              </w:rPr>
              <w:t>y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pod čiarou k</w:t>
            </w:r>
            <w:r w:rsidR="005275AD" w:rsidRPr="00597742">
              <w:rPr>
                <w:rFonts w:ascii="Arial Narrow" w:hAnsi="Arial Narrow"/>
                <w:sz w:val="22"/>
                <w:szCs w:val="22"/>
              </w:rPr>
              <w:t> </w:t>
            </w:r>
            <w:r w:rsidRPr="00597742">
              <w:rPr>
                <w:rFonts w:ascii="Arial Narrow" w:hAnsi="Arial Narrow"/>
                <w:sz w:val="22"/>
                <w:szCs w:val="22"/>
              </w:rPr>
              <w:t>odkaz</w:t>
            </w:r>
            <w:r w:rsidR="005275AD" w:rsidRPr="00597742">
              <w:rPr>
                <w:rFonts w:ascii="Arial Narrow" w:hAnsi="Arial Narrow"/>
                <w:sz w:val="22"/>
                <w:szCs w:val="22"/>
              </w:rPr>
              <w:t>om 28 a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28ca z</w:t>
            </w:r>
            <w:r w:rsidR="00320F2E">
              <w:rPr>
                <w:rFonts w:ascii="Arial Narrow" w:hAnsi="Arial Narrow"/>
                <w:sz w:val="22"/>
                <w:szCs w:val="22"/>
              </w:rPr>
              <w:t>n</w:t>
            </w:r>
            <w:r w:rsidRPr="00597742">
              <w:rPr>
                <w:rFonts w:ascii="Arial Narrow" w:hAnsi="Arial Narrow"/>
                <w:sz w:val="22"/>
                <w:szCs w:val="22"/>
              </w:rPr>
              <w:t>e</w:t>
            </w:r>
            <w:r w:rsidR="00320F2E">
              <w:rPr>
                <w:rFonts w:ascii="Arial Narrow" w:hAnsi="Arial Narrow"/>
                <w:sz w:val="22"/>
                <w:szCs w:val="22"/>
              </w:rPr>
              <w:t>jú</w:t>
            </w:r>
            <w:r w:rsidRPr="00597742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9A6C79" w:rsidRPr="00597742" w:rsidRDefault="005275AD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28) Napríklad § 25 ods. 3 zákona č. 147/1997 Z. z. v znení neskorších predpisov, § 34 ods. 2 zákona č. 213/1997 Z. z. v znení zákona č. 112/2018 Z. z., § 35 ods. 2 zákona č. 34/2002 Z. z. v znení neskorších predpisov.</w:t>
            </w:r>
            <w:r w:rsidR="009A6C79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A6C79" w:rsidRPr="00597742" w:rsidRDefault="009A6C79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28ca) </w:t>
            </w:r>
            <w:r w:rsidR="005275AD" w:rsidRPr="00597742">
              <w:rPr>
                <w:rFonts w:ascii="Arial Narrow" w:hAnsi="Arial Narrow"/>
                <w:sz w:val="22"/>
                <w:szCs w:val="22"/>
              </w:rPr>
              <w:t>§ 51 ods. 1 zákona č. 429/2002 Z. z. v znení neskorších predpisov.</w:t>
            </w:r>
          </w:p>
          <w:p w:rsidR="009A6C79" w:rsidRPr="00597742" w:rsidRDefault="009A6C79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Prechodné ustanovenie k úpravám účinným od 31. decembra 2019</w:t>
            </w:r>
          </w:p>
          <w:p w:rsidR="009A6C79" w:rsidRPr="00597742" w:rsidRDefault="009A6C79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Ustanovenie § 20 ods. 9 písm. b) a ods. 13 v znení účinnom od 31. decembra 2019 sa prvýkrát použijú pri vyhotovení výročnej správy za účtovné obdobie končiace k 31. decembru 2019.</w:t>
            </w:r>
          </w:p>
          <w:p w:rsidR="005275AD" w:rsidRPr="00597742" w:rsidRDefault="005275AD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Prechodné ustanovenie k úpravám účinným od 31. decembra 2022</w:t>
            </w:r>
          </w:p>
          <w:p w:rsidR="005275AD" w:rsidRPr="00597742" w:rsidRDefault="005275AD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Ustanovenia § 20 ods. 7 až  1</w:t>
            </w:r>
            <w:r w:rsidR="008D2EDA" w:rsidRPr="00597742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v znení účinnom od 31. decembra 2022 sa prvýkrát použijú pri vyhotovení výročnej správy za účtovné obdobie končiace k 31. decembru 2022.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97" w:rsidRPr="00597742" w:rsidRDefault="001D086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A6697" w:rsidRPr="00597742" w:rsidRDefault="009A6697" w:rsidP="0059774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23B4" w:rsidRPr="00597742" w:rsidTr="001D3039">
        <w:trPr>
          <w:trHeight w:val="5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923B4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Č</w:t>
            </w:r>
            <w:r w:rsidR="002923B4" w:rsidRPr="00597742">
              <w:rPr>
                <w:rFonts w:ascii="Arial Narrow" w:hAnsi="Arial Narrow"/>
                <w:sz w:val="22"/>
                <w:szCs w:val="22"/>
              </w:rPr>
              <w:t>:1</w:t>
            </w:r>
          </w:p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 2</w:t>
            </w: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E2E96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Článok 20 sa mení takto: </w:t>
            </w:r>
          </w:p>
          <w:p w:rsidR="002923B4" w:rsidRPr="00597742" w:rsidRDefault="002923B4" w:rsidP="00597742">
            <w:pPr>
              <w:pStyle w:val="Normlny0"/>
              <w:numPr>
                <w:ilvl w:val="0"/>
                <w:numId w:val="1"/>
              </w:numPr>
              <w:ind w:left="382" w:hanging="283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V odseku 1 sa dopĺňa toto písmeno: </w:t>
            </w:r>
          </w:p>
          <w:p w:rsidR="002923B4" w:rsidRPr="00597742" w:rsidRDefault="002923B4" w:rsidP="00597742">
            <w:pPr>
              <w:pStyle w:val="Normlny0"/>
              <w:ind w:left="382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„g) opis politiky rozmanitosti, ktorú podnik uplatňuje vo vzťahu k svojim správnym, riadiacim a dozorným orgánom, pokiaľ ide o aspekty, ako napríklad vek, pohlavie alebo vzdelanie a profesionálne skúsenosti, ciele uvedenej politiky rozmanitosti, ako sa vykonáva, a výsledky vo vykazovanom období. Ak sa takáto politika neuplatňuje, výkaz obsahuje vysvetlenie, prečo je to tak.“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3B4" w:rsidRPr="00597742" w:rsidRDefault="002923B4" w:rsidP="006300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5C4389" w:rsidRPr="00597742" w:rsidRDefault="005C438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5C4389" w:rsidRPr="00597742" w:rsidRDefault="005C438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návrh</w:t>
            </w:r>
          </w:p>
          <w:p w:rsidR="005C4389" w:rsidRPr="00597742" w:rsidRDefault="005C4389" w:rsidP="00597742">
            <w:pPr>
              <w:jc w:val="center"/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čl.</w:t>
            </w:r>
            <w:r w:rsidR="0063004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C40F6" w:rsidRPr="00597742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§ 20</w:t>
            </w:r>
          </w:p>
          <w:p w:rsidR="007546B3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7546B3" w:rsidRPr="00630046">
              <w:rPr>
                <w:rFonts w:ascii="Arial Narrow" w:hAnsi="Arial Narrow"/>
                <w:sz w:val="22"/>
                <w:szCs w:val="22"/>
              </w:rPr>
              <w:t>14</w:t>
            </w: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46B3" w:rsidRPr="00597742" w:rsidRDefault="007546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923B4" w:rsidRPr="00597742" w:rsidRDefault="007546B3" w:rsidP="00356D8D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</w:t>
            </w:r>
            <w:r w:rsidR="005C4389" w:rsidRPr="00630046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3" w:rsidRPr="00597742" w:rsidRDefault="007546B3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>) Účtovná jednotka, ktorá emitovala akcie a tieto boli prijaté na obchodovanie na regulovanom trhu ktoréhokoľvek členského štátu a účtovná jednotka, ktorá emitovala akcie, s ktorými sa obchoduje v mnohostrannom obchodnom systéme(28ca) ktoréhokoľvek členského štátu, uvedie vo výročnej správe aj opis politiky rozmanitosti, ktorú uplatňuje vo svojich správnych orgánoch, riadiacich orgánoch a dozorných orgánoch najmä vo vzťahu k veku, pohlaviu, vzdelaniu a profesijným skúsenostiam členov týchto orgánov, ciele t</w:t>
            </w:r>
            <w:r w:rsidR="00B25C43">
              <w:rPr>
                <w:rFonts w:ascii="Arial Narrow" w:hAnsi="Arial Narrow"/>
                <w:sz w:val="22"/>
                <w:szCs w:val="22"/>
              </w:rPr>
              <w:t xml:space="preserve">akej 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politiky, spôsob akým sa vykonáva a dosiahnuté výsledky vo vykazovanom období, ak ku dňu, ku ktorému sa zostavuje účtovná závierka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a za bezprostredne predchádzajúce účtovné obdobie</w:t>
            </w:r>
            <w:r w:rsidRPr="00597742">
              <w:rPr>
                <w:rFonts w:ascii="Arial Narrow" w:hAnsi="Arial Narrow"/>
                <w:sz w:val="22"/>
                <w:szCs w:val="22"/>
              </w:rPr>
              <w:t>, splnila aspoň dve z týchto podmienok:</w:t>
            </w:r>
          </w:p>
          <w:p w:rsidR="007546B3" w:rsidRPr="00597742" w:rsidRDefault="007546B3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celková suma majetku presiahla 20 000 000 eur, pričom sumou majetku na tento účel sa rozumie suma zistená zo súvahy v ocenení upravenom o položky podľa § 26 ods. 3,</w:t>
            </w:r>
          </w:p>
          <w:p w:rsidR="007546B3" w:rsidRPr="00597742" w:rsidRDefault="007546B3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b)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čistý obrat presiahol 40 000 000 eur,</w:t>
            </w:r>
          </w:p>
          <w:p w:rsidR="007546B3" w:rsidRPr="00597742" w:rsidRDefault="007546B3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c)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priemerný prepočítaný počet zamestnancov presiahol 250.</w:t>
            </w:r>
          </w:p>
          <w:p w:rsidR="002923B4" w:rsidRPr="00597742" w:rsidRDefault="002923B4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="005C4389" w:rsidRPr="00597742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Účtovná jednotka, ktorá neuvádza vo výročnej správe opis politiky rozmanitosti podľa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odseku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4389"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>, uvádza vo výročnej správe dôvody, na základe ktorých sa rozhodla neuplatňovať politiku rozmanitosti.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23B4" w:rsidRPr="00597742" w:rsidRDefault="002923B4" w:rsidP="00597742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2923B4" w:rsidRPr="00597742" w:rsidTr="001D3039"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pStyle w:val="Normlny0"/>
              <w:numPr>
                <w:ilvl w:val="0"/>
                <w:numId w:val="1"/>
              </w:numPr>
              <w:ind w:left="382" w:hanging="283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Odsek 3 sa nahrádza takto: </w:t>
            </w:r>
          </w:p>
          <w:p w:rsidR="002923B4" w:rsidRPr="00597742" w:rsidRDefault="002923B4" w:rsidP="00597742">
            <w:pPr>
              <w:pStyle w:val="Normlny0"/>
              <w:ind w:left="72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„3.Štatutárny audítor alebo audítorská firma vyjadria stanovisko v súlade s článkom 34 ods. 1 druhým pododsekom v súvislosti s informáciami </w:t>
            </w:r>
            <w:r w:rsidRPr="00597742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vypracovanými podľa odseku 1 písm. c) a d) tohto článku a skontrolujú, či sa poskytli informácie uvedené v odseku 1 písm. a), b), e), f) a g) tohto článku.“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3B4" w:rsidRPr="00597742" w:rsidRDefault="002923B4" w:rsidP="00597742">
            <w:pPr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5C4389" w:rsidRPr="00597742" w:rsidRDefault="005C438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5C4389" w:rsidRPr="00597742" w:rsidRDefault="005C4389" w:rsidP="0059774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návrh</w:t>
            </w:r>
          </w:p>
          <w:p w:rsidR="005C4389" w:rsidRPr="00597742" w:rsidRDefault="005C4389" w:rsidP="00597742">
            <w:pPr>
              <w:jc w:val="center"/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lastRenderedPageBreak/>
              <w:t>čl.</w:t>
            </w:r>
            <w:r w:rsidR="0063004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E2E96" w:rsidRPr="00597742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§ 20</w:t>
            </w:r>
          </w:p>
          <w:p w:rsidR="002923B4" w:rsidRPr="00597742" w:rsidRDefault="002923B4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Výročná správa účtovnej jednotky podľa odseku 1 musí poskytovať verný a pravdivý obraz a musí byť overená </w:t>
            </w: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audítorom do jedného roka od skončenia účtovného obdobia. Audítor musí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a)</w:t>
            </w:r>
            <w:r w:rsidR="005C4389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vyjadriť názor, či je výročná správa v súlade s účtovnou závierkou okrem výročnej správy podľa osobitného predpisu,27)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b) vyjadriť názor na informácie uvedené v odseku 6 písm. d) a odseku 7 písm. c) až e), g) a h),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c) vyjadriť názor, či výročná správa obsahuje informácie podľa osobitného predpisu,</w:t>
            </w:r>
            <w:r w:rsidR="00B25C43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sz w:val="22"/>
                <w:szCs w:val="22"/>
              </w:rPr>
              <w:t>28ab)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d) vyjadriť názor, či výročná správa obsahuje informácie podľa tohto zákona,</w:t>
            </w:r>
          </w:p>
          <w:p w:rsidR="002923B4" w:rsidRPr="00597742" w:rsidRDefault="002923B4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e) uviesť, či na základe poznatkov o účtovnej jednotke a situácii v</w:t>
            </w:r>
            <w:r w:rsidR="006E0FED" w:rsidRPr="00597742">
              <w:rPr>
                <w:rFonts w:ascii="Arial Narrow" w:hAnsi="Arial Narrow"/>
                <w:sz w:val="22"/>
                <w:szCs w:val="22"/>
              </w:rPr>
              <w:t> </w:t>
            </w:r>
            <w:r w:rsidRPr="00597742">
              <w:rPr>
                <w:rFonts w:ascii="Arial Narrow" w:hAnsi="Arial Narrow"/>
                <w:sz w:val="22"/>
                <w:szCs w:val="22"/>
              </w:rPr>
              <w:t>nej</w:t>
            </w:r>
            <w:r w:rsidR="006E0FED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E0FED" w:rsidRPr="00597742">
              <w:rPr>
                <w:rFonts w:ascii="Arial Narrow" w:hAnsi="Arial Narrow"/>
                <w:b/>
                <w:sz w:val="22"/>
                <w:szCs w:val="22"/>
              </w:rPr>
              <w:t>získaných počas auditu účtovnej závierky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zistil významné nesprávnosti vo výročnej správe a uviesť charakter každej takej významnej nesprávnosti.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Poznámky pod čiarou k odkazom 27 a 28ab znejú: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27)</w:t>
            </w:r>
            <w:r w:rsidR="006E0FED" w:rsidRPr="00597742">
              <w:rPr>
                <w:rFonts w:ascii="Arial Narrow" w:hAnsi="Arial Narrow"/>
                <w:sz w:val="22"/>
                <w:szCs w:val="22"/>
              </w:rPr>
              <w:t xml:space="preserve"> Napríklad § 39 zákona Národnej rady Slovenskej republiky č. 566/1992 Zb. v znení neskorších predpisov, § 33 ods. 3 zákona č. 213/1997 Z. z. v znení zákona č. 445/2008 Z. z., § 34 ods. 3 zákona č. 34/2002 Z. z. v znení zákona č. 463/2013 Z. z.</w:t>
            </w:r>
          </w:p>
          <w:p w:rsidR="002923B4" w:rsidRPr="00597742" w:rsidRDefault="002923B4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28ab) </w:t>
            </w:r>
            <w:r w:rsidR="006E0FED" w:rsidRPr="00597742">
              <w:rPr>
                <w:rFonts w:ascii="Arial Narrow" w:hAnsi="Arial Narrow"/>
                <w:sz w:val="22"/>
                <w:szCs w:val="22"/>
              </w:rPr>
              <w:t>Napríklad § 15 zákona č. 429/2002 Z. z. v znení neskorších predpisov, § 76 zákona č. 566/2001 Z. z. v znení neskorších predpisov.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3B4" w:rsidRPr="00597742" w:rsidRDefault="005E2E9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923B4" w:rsidRPr="00597742" w:rsidRDefault="002923B4" w:rsidP="00597742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F4517" w:rsidRPr="00597742" w:rsidTr="001D3039"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6" w:rsidRPr="00597742" w:rsidRDefault="004F4517" w:rsidP="00597742">
            <w:pPr>
              <w:pStyle w:val="Normlny0"/>
              <w:ind w:left="720" w:hanging="621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c) Odsek 4 sa nahrádza takto: </w:t>
            </w:r>
          </w:p>
          <w:p w:rsidR="004F4517" w:rsidRPr="00597742" w:rsidRDefault="004F4517" w:rsidP="00597742">
            <w:pPr>
              <w:pStyle w:val="Normlny0"/>
              <w:ind w:left="99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„4.Členské štáty môžu oslobodiť od povinnosti uplatňovať odsek 1 písm. a), b), e), f) a g) tohto článku podniky uvedené v odseku 1, ktoré emitovali len iné cenné papiere než akcie prijaté na obchodovanie na regulovanom trhu v zmysle článku 4 ods. 1 bodu 14 smernice 2004/39/ES, ak tieto podniky neemitovali akcie, s ktorými sa obchoduje v multilaterálnom obchodnom systéme v zmysle článku 4 ods. 1 bodu 15 smernice 2004/39/ES.“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4517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D2446" w:rsidRPr="00597742" w:rsidRDefault="00CD24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61C" w:rsidRPr="00597742" w:rsidRDefault="00C825AC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C825AC" w:rsidRPr="00597742" w:rsidRDefault="00C825AC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</w:p>
          <w:p w:rsidR="00C825AC" w:rsidRPr="00597742" w:rsidRDefault="00C825AC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</w:t>
            </w:r>
          </w:p>
          <w:p w:rsidR="00C825AC" w:rsidRPr="00597742" w:rsidRDefault="00F02C71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č</w:t>
            </w:r>
            <w:r w:rsidR="00C825AC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l. I</w:t>
            </w: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1D3039" w:rsidRPr="00597742" w:rsidRDefault="001D3039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8415A" w:rsidRPr="00597742" w:rsidRDefault="00C8415A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105786" w:rsidRPr="00597742" w:rsidRDefault="0010578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F02C71" w:rsidP="00356D8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="00674BF0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ávrh</w:t>
            </w:r>
          </w:p>
          <w:p w:rsidR="00105786" w:rsidRPr="00597742" w:rsidRDefault="0010578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č</w:t>
            </w:r>
            <w:r w:rsidR="00A5111D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l</w:t>
            </w: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="00A5111D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§ 20</w:t>
            </w:r>
          </w:p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="00105786" w:rsidRPr="00630046">
              <w:rPr>
                <w:rFonts w:ascii="Arial Narrow" w:hAnsi="Arial Narrow"/>
                <w:sz w:val="22"/>
                <w:szCs w:val="22"/>
              </w:rPr>
              <w:t>14</w:t>
            </w: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D3039" w:rsidRPr="00597742" w:rsidRDefault="001D3039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3261C" w:rsidRPr="00597742" w:rsidRDefault="0093261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§ 39</w:t>
            </w:r>
            <w:r w:rsidR="00C825AC" w:rsidRPr="00597742">
              <w:rPr>
                <w:rFonts w:ascii="Arial Narrow" w:hAnsi="Arial Narrow"/>
                <w:sz w:val="22"/>
                <w:szCs w:val="22"/>
              </w:rPr>
              <w:t>r</w:t>
            </w:r>
          </w:p>
          <w:p w:rsidR="00C825AC" w:rsidRPr="00597742" w:rsidRDefault="00C825A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825AC" w:rsidRPr="00597742" w:rsidRDefault="00C825A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825AC" w:rsidRPr="00597742" w:rsidRDefault="00C825A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825AC" w:rsidRPr="00597742" w:rsidRDefault="00C825A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825AC" w:rsidRPr="00597742" w:rsidRDefault="00C825A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825AC" w:rsidRPr="00597742" w:rsidRDefault="00C825AC" w:rsidP="00356D8D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§ 39</w:t>
            </w:r>
            <w:r w:rsidR="00C66A17">
              <w:rPr>
                <w:rFonts w:ascii="Arial Narrow" w:hAnsi="Arial Narrow"/>
                <w:b/>
                <w:sz w:val="22"/>
                <w:szCs w:val="22"/>
              </w:rPr>
              <w:t>y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A0E" w:rsidRPr="00597742" w:rsidRDefault="00E05A0E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(</w:t>
            </w:r>
            <w:r w:rsidR="00105786"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Účtovná jednotka, ktorá emitovala </w:t>
            </w:r>
            <w:r w:rsidR="0093261C" w:rsidRPr="00597742">
              <w:rPr>
                <w:rFonts w:ascii="Arial Narrow" w:hAnsi="Arial Narrow"/>
                <w:sz w:val="22"/>
                <w:szCs w:val="22"/>
              </w:rPr>
              <w:t>akcie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a tieto boli prijaté na obchodovanie na regulovanom trhu ktoréhokoľvek členského štátu</w:t>
            </w:r>
            <w:r w:rsidR="0093261C" w:rsidRPr="00597742">
              <w:rPr>
                <w:rFonts w:ascii="Arial Narrow" w:hAnsi="Arial Narrow"/>
                <w:sz w:val="22"/>
                <w:szCs w:val="22"/>
              </w:rPr>
              <w:t xml:space="preserve"> a účtovná jednotka, ktorá emitovala akcie, s ktorými sa obchoduje v mnohostrannom obchodnom systéme(28ca) ktoréhokoľvek členského štátu</w:t>
            </w:r>
            <w:r w:rsidRPr="00597742">
              <w:rPr>
                <w:rFonts w:ascii="Arial Narrow" w:hAnsi="Arial Narrow"/>
                <w:sz w:val="22"/>
                <w:szCs w:val="22"/>
              </w:rPr>
              <w:t>, uvedie vo výročnej správe aj opis politiky rozmanitosti, ktorú uplatňuje vo svojich správnych orgánoch, riadiacich orgánoch a dozorných orgánoch najmä vo vzťahu k veku, pohlaviu, vzdelaniu a profesijným skúsenostiam člen</w:t>
            </w:r>
            <w:r w:rsidR="00B25C43">
              <w:rPr>
                <w:rFonts w:ascii="Arial Narrow" w:hAnsi="Arial Narrow"/>
                <w:sz w:val="22"/>
                <w:szCs w:val="22"/>
              </w:rPr>
              <w:t>ov týchto orgánov, ciele takej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politiky, spôsob akým sa vykonáva a dosiahnuté výsledky vo vykazovanom období, ak ku dňu, ku ktorému sa zostavuje účtovná závierka</w:t>
            </w:r>
            <w:r w:rsidR="00105786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05786" w:rsidRPr="00597742">
              <w:rPr>
                <w:rFonts w:ascii="Arial Narrow" w:hAnsi="Arial Narrow"/>
                <w:b/>
                <w:sz w:val="22"/>
                <w:szCs w:val="22"/>
              </w:rPr>
              <w:t>a za bezprostredne predchádzajúce účtovné obdobie</w:t>
            </w:r>
            <w:r w:rsidRPr="00597742">
              <w:rPr>
                <w:rFonts w:ascii="Arial Narrow" w:hAnsi="Arial Narrow"/>
                <w:sz w:val="22"/>
                <w:szCs w:val="22"/>
              </w:rPr>
              <w:t>, splnila aspoň dve z týchto podmienok:</w:t>
            </w:r>
          </w:p>
          <w:p w:rsidR="00E05A0E" w:rsidRPr="00597742" w:rsidRDefault="00E05A0E" w:rsidP="00597742">
            <w:pPr>
              <w:numPr>
                <w:ilvl w:val="0"/>
                <w:numId w:val="3"/>
              </w:numPr>
              <w:autoSpaceDE/>
              <w:autoSpaceDN/>
              <w:ind w:left="241" w:hanging="24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celková suma majetku presiahla 20 000 000 eur, pričom sumou majetku na tento účel sa rozumie suma zistená zo súvahy v ocenení upravenom o položky podľa § 26 ods. 3,</w:t>
            </w:r>
          </w:p>
          <w:p w:rsidR="00E05A0E" w:rsidRPr="00597742" w:rsidRDefault="00E05A0E" w:rsidP="00597742">
            <w:pPr>
              <w:numPr>
                <w:ilvl w:val="0"/>
                <w:numId w:val="3"/>
              </w:numPr>
              <w:autoSpaceDE/>
              <w:autoSpaceDN/>
              <w:ind w:left="241" w:hanging="24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čistý obrat presiahol 40 000 000 eur,</w:t>
            </w:r>
          </w:p>
          <w:p w:rsidR="004F4517" w:rsidRPr="00597742" w:rsidRDefault="00E05A0E" w:rsidP="00356D8D">
            <w:pPr>
              <w:numPr>
                <w:ilvl w:val="0"/>
                <w:numId w:val="3"/>
              </w:numPr>
              <w:autoSpaceDE/>
              <w:autoSpaceDN/>
              <w:spacing w:after="120"/>
              <w:ind w:left="238" w:hanging="23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priemerný prepočítaný počet zamestnancov presiahol 250.</w:t>
            </w:r>
          </w:p>
          <w:p w:rsidR="0093261C" w:rsidRPr="00597742" w:rsidRDefault="0093261C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Poznámka pod čiarou k odkazu 28ca znie: </w:t>
            </w:r>
          </w:p>
          <w:p w:rsidR="0093261C" w:rsidRPr="00597742" w:rsidRDefault="0093261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28ca) § 51 ods. 1 zákona č. 429/2002 Z. z. v znení neskorších predpisov.</w:t>
            </w:r>
          </w:p>
          <w:p w:rsidR="0093261C" w:rsidRPr="00597742" w:rsidRDefault="0093261C" w:rsidP="00597742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97742">
              <w:rPr>
                <w:rFonts w:ascii="Arial Narrow" w:hAnsi="Arial Narrow"/>
                <w:sz w:val="22"/>
                <w:szCs w:val="22"/>
                <w:lang w:eastAsia="en-US"/>
              </w:rPr>
              <w:t>Prechodné ustanovenie k úpravám účinným od 31. decembra 2019</w:t>
            </w:r>
          </w:p>
          <w:p w:rsidR="00C825AC" w:rsidRDefault="0093261C" w:rsidP="00356D8D">
            <w:pPr>
              <w:autoSpaceDE/>
              <w:autoSpaceDN/>
              <w:spacing w:after="1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97742">
              <w:rPr>
                <w:rFonts w:ascii="Arial Narrow" w:hAnsi="Arial Narrow"/>
                <w:sz w:val="22"/>
                <w:szCs w:val="22"/>
                <w:lang w:eastAsia="en-US"/>
              </w:rPr>
              <w:t>Ustanovenie § 20 ods. 9 písm. b) a ods. 13 v znení účinnom od 31. decembra 2019 sa prvýkrát použijú pri vyhotovení výročnej správy za účtovné obdobie končiace k 31. decembru 2019.</w:t>
            </w:r>
          </w:p>
          <w:p w:rsidR="00105786" w:rsidRPr="00597742" w:rsidRDefault="00105786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Prechodné ustanovenie k úpravám účinným od 31. decembra 2022</w:t>
            </w:r>
          </w:p>
          <w:p w:rsidR="00C825AC" w:rsidRPr="00597742" w:rsidRDefault="00105786" w:rsidP="00597742">
            <w:pPr>
              <w:autoSpaceDE/>
              <w:autoSpaceDN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Ustanovenia § 20 ods. 7 až 1</w:t>
            </w:r>
            <w:r w:rsidR="00983DD6" w:rsidRPr="00597742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v znení účinnom od 31. decembra 2022 sa prvýkrát použijú pri vyhotovení výročnej správy za účtovné obdobie končiace k 31. decembru 2022.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U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4517" w:rsidRPr="00597742" w:rsidRDefault="004F4517" w:rsidP="00597742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F4517" w:rsidRPr="00597742" w:rsidTr="001D3039">
        <w:tc>
          <w:tcPr>
            <w:tcW w:w="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6" w:rsidRPr="00597742" w:rsidRDefault="004F4517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d) Dopĺňa sa tento odsek: </w:t>
            </w:r>
          </w:p>
          <w:p w:rsidR="004F4517" w:rsidRPr="00597742" w:rsidRDefault="004F4517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„5.Bez toho, aby bol dotknutý článok 40, sa odsek 1 písm. g) nevzťahuje na malé a stredné podniky.“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7" w:rsidRPr="00597742" w:rsidRDefault="004F4517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4517" w:rsidRPr="00597742" w:rsidRDefault="004F4517" w:rsidP="00597742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51273" w:rsidRPr="00597742" w:rsidTr="001D3039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273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Č:</w:t>
            </w:r>
            <w:r w:rsidR="009C3481" w:rsidRPr="00597742">
              <w:rPr>
                <w:rFonts w:ascii="Arial Narrow" w:hAnsi="Arial Narrow"/>
                <w:sz w:val="22"/>
                <w:szCs w:val="22"/>
              </w:rPr>
              <w:t xml:space="preserve"> 1</w:t>
            </w:r>
          </w:p>
          <w:p w:rsidR="009C3481" w:rsidRPr="00597742" w:rsidRDefault="009C3481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 3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Vkladá sa tento článok:</w:t>
            </w:r>
          </w:p>
          <w:p w:rsidR="00AA700E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 „Článok 29a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Konsolidovaný nefinančný výkaz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1.Subjekty verejného záujmu, ktoré sú materskými podnikmi veľkej skupiny a ktoré k súvahovému dňu na konsolidovanom základe vykazujú, že prekročili kritérium priemerného počtu 500 zamestnancov počas účtovného obdobia, zahrnú do konsolidovanej správy o hospodárení aj konsolidovaný nefinančný výkaz s informáciami v rozsahu potrebnom na pochopenie vývoja, správania, pozície a vplyvu činnosti skupiny týkajúcimi sa minimálne environmentálnych, sociálnych a zamestnaneckých záležitostí, dodržiavania ľudských práv a boja proti korupcii a úplatkárstvu vrátane: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a) stručného opisu obchodného modelu skupiny;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 b) opisu politík, ktoré skupina uplatňuje vo vzťahu k uvedeným záležitostiam, a to vrátane postupov použitých v súlade so zásadou náležitej starostlivosti;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c) výsledkov uvedených politík;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d)hlavných rizík súvisiacich s uvedenými záležitosťami, ktoré sa týkajú činností skupiny, podľa potreby a primeranosti vrátane jej obchodných vzťahov, produktov </w:t>
            </w:r>
            <w:r w:rsidRPr="00597742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alebo služieb, ktoré by mohli mať nepriaznivé dôsledky na dané oblasti, a spôsobu, akým skupina uvedené riziká riadi;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e) nefinančných hlavných ukazovateľov výkonnosti relevantných pre konkrétne podnikanie.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Ak skupina neuplatňuje politiky v súvislosti s jednou alebo viacerými z uvedených záležitostí, v konsolidovanom nefinančnom výkaze poskytne jasné a odôvodnené vysvetlenie, prečo ich neuplatňuje.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Nefinančný konsolidovaný výkaz uvedený v prvom pododseku obsahuje, ak je to vhodné, aj odkazy na sumy vykazované v konsolidovaných finančných výkazoch a ďalšie vysvetlenia k nim. </w:t>
            </w:r>
          </w:p>
          <w:p w:rsidR="00451273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Členské štáty môžu povoliť, aby sa vo výnimočných prípadoch vypustili informácie o neukončených veciach alebo veciach, o ktorých sa rokuje, keď – v riadne odôvodnenom stanovisku členov správnych, riadiacich a dozorných orgánov, ktorí konajú v rámci právomocí na základe vnútroštátnych právnych predpisov a ktorí majú za uvedené stanovisko kolektívnu zodpovednosť – by zverejnenie takýchto informácií mohlo vážne poškodiť obchodnú pozíciu skupiny, za predpokladu, že takéto vypustenie nebráni správnemu a vyváženému pochopeniu vývoja, správania, pozície a vplyvu činnosti skupiny.</w:t>
            </w:r>
          </w:p>
          <w:p w:rsidR="00AA700E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Pri požadovaní zverejnenia informácií uvedených v prvom pododseku členské štáty zabezpečia, že materský podnik môže vychádzať z vnútroštátnych rámcov, rámcov Únie alebo medzinárodných rámcov, a v takom prípade materské podniky presne uvedú, z ktorých rámcov vychádzali. </w:t>
            </w:r>
          </w:p>
          <w:p w:rsidR="00AA700E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2.Materský podnik, ktorý si splnil povinnosť uvedenú v odseku 1, má splnenú povinnosť týkajúcu sa analýzy nefinančných informácií, ako je stanovené v článku 19 ods. 1 treťom pododseku a v článku 29.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3.Materský podnik, ktorý je aj dcérskym podnikom, je oslobodený od povinností uvedených v odseku 1, ak uvedený oslobodený materský podnik a jeho dcérske podniky sú zahrnuté do konsolidovanej správy o hospodárení alebo samostatnej správy iného podniku, ktoré boli vypracované v súlade s článkom 29 a týmto článkom.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4.Ak materský podnik pripravuje samostatnú správu týkajúcu sa toho istého účtovného obdobia a odkazujúcu na celú skupinu – bez ohľadu na to, či vychádza z vnútroštátnych rámcov, rámcov Únie, alebo medzinárodných rámcov –, ktorá sa týka informácií požadovaných v konsolidovanom nefinančnom výkaze stanovenom v odseku 1, členské štáty môžu tento materský podnik oslobodiť od povinnosti pripraviť konsolidovaný nefinančný výkaz stanovený v odseku 1 za predpokladu, že táto samostatná správa: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a) je zverejnená spolu s konsolidovanou správou o hospodárení v súlade s článkom 30 alebo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b)je verejne sprístupnená v primeranej lehote, ktorá nie je dlhšia ako šesť mesiacov po súvahovom dni, na internetových stránkach materského podniku a odkazuje sa na ňu v konsolidovanej správe o hospodárení.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Odsek 2 sa uplatňuje mutatis mutandis na podniky, ktoré pripravujú samostatnú správu, ako sa uvádza v prvom pododseku tohto odseku.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5.Členské štáty zabezpečia, aby štatutárny audítor alebo audítorská firma skontrolovali, či bol poskytnutý konsolidovaný nefinančný výkaz uvedený v odseku 1 alebo samostatná správa uvedená v odseku 4. </w:t>
            </w: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C3481" w:rsidRPr="00597742" w:rsidRDefault="009C3481" w:rsidP="00597742">
            <w:pPr>
              <w:pStyle w:val="Normlny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6.Členské štáty môžu požadovať, aby vierohodnosť informácií z konsolidovaného nefinančného výkazu uvedeného v odseku 1 alebo zo samostatnej správy uvedenej v odseku 4 overil nezávislý poskytovateľ uisťovacích služieb.“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273" w:rsidRPr="00597742" w:rsidRDefault="00B634C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N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E61E5" w:rsidRPr="00597742" w:rsidRDefault="00BE61E5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</w:t>
            </w: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273" w:rsidRPr="00597742" w:rsidRDefault="00B634C0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431/2002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5111D" w:rsidRPr="00597742" w:rsidRDefault="00F02C71" w:rsidP="001D303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="00A5111D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ávrh</w:t>
            </w:r>
          </w:p>
          <w:p w:rsidR="0023272F" w:rsidRPr="00597742" w:rsidRDefault="00A5111D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čl. I</w:t>
            </w:r>
          </w:p>
          <w:p w:rsidR="0023272F" w:rsidRPr="00597742" w:rsidRDefault="0023272F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RPr="00597742" w:rsidRDefault="0023272F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RPr="00597742" w:rsidRDefault="0023272F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3272F" w:rsidRPr="00597742" w:rsidRDefault="0023272F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DE6A99" w:rsidRPr="00597742" w:rsidRDefault="00DE6A99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>a 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návrh</w:t>
            </w:r>
          </w:p>
          <w:p w:rsidR="00AA700E" w:rsidRPr="00597742" w:rsidRDefault="00AA700E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čl. I</w:t>
            </w: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EC5487" w:rsidRPr="00597742" w:rsidRDefault="00EC5487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32BB" w:rsidRPr="00597742" w:rsidRDefault="00D632BB" w:rsidP="001D3039">
            <w:pPr>
              <w:spacing w:before="24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>431/2002</w:t>
            </w:r>
          </w:p>
          <w:p w:rsidR="00D632BB" w:rsidRPr="00597742" w:rsidRDefault="00D632BB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D632BB" w:rsidRPr="00597742" w:rsidRDefault="00D632BB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674BF0" w:rsidRPr="00597742" w:rsidRDefault="00674BF0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BF5DA6" w:rsidRDefault="00D632BB" w:rsidP="00356D8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="006469D7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ávrh</w:t>
            </w: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C5487" w:rsidRPr="00597742" w:rsidRDefault="00D632BB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čl.</w:t>
            </w:r>
            <w:r w:rsidR="0063004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3" w:rsidRPr="00597742" w:rsidRDefault="00B634C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§ 22</w:t>
            </w:r>
          </w:p>
          <w:p w:rsidR="00B634C0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</w:t>
            </w:r>
            <w:r w:rsidR="00B634C0" w:rsidRPr="00597742">
              <w:rPr>
                <w:rFonts w:ascii="Arial Narrow" w:hAnsi="Arial Narrow"/>
                <w:sz w:val="22"/>
                <w:szCs w:val="22"/>
              </w:rPr>
              <w:t xml:space="preserve"> 16</w:t>
            </w:r>
          </w:p>
          <w:p w:rsidR="0023272F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3272F" w:rsidRPr="00597742" w:rsidRDefault="0023272F" w:rsidP="001D3039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§ 20</w:t>
            </w:r>
          </w:p>
          <w:p w:rsidR="0023272F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 9 až 1</w:t>
            </w:r>
            <w:r w:rsidR="00630046">
              <w:rPr>
                <w:rFonts w:ascii="Arial Narrow" w:hAnsi="Arial Narrow"/>
                <w:sz w:val="22"/>
                <w:szCs w:val="22"/>
              </w:rPr>
              <w:t>7</w:t>
            </w: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30046" w:rsidRDefault="00630046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A495C" w:rsidRPr="00597742" w:rsidRDefault="005A495C" w:rsidP="001D30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§ 39r</w:t>
            </w:r>
          </w:p>
          <w:p w:rsidR="00674BF0" w:rsidRPr="00597742" w:rsidRDefault="00674BF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4BF0" w:rsidRDefault="00674BF0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20F2E" w:rsidRPr="00597742" w:rsidRDefault="00320F2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4505A" w:rsidRPr="00597742" w:rsidRDefault="00E4505A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4BF0" w:rsidRPr="00597742" w:rsidRDefault="00674BF0" w:rsidP="00356D8D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§ 39</w:t>
            </w:r>
            <w:r w:rsidR="00C66A17">
              <w:rPr>
                <w:rFonts w:ascii="Arial Narrow" w:hAnsi="Arial Narrow"/>
                <w:b/>
                <w:sz w:val="22"/>
                <w:szCs w:val="22"/>
              </w:rPr>
              <w:t>y</w:t>
            </w:r>
          </w:p>
          <w:p w:rsidR="0023272F" w:rsidRPr="00597742" w:rsidRDefault="0023272F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C0" w:rsidRPr="00597742" w:rsidRDefault="00B634C0" w:rsidP="00356D8D">
            <w:pPr>
              <w:pStyle w:val="DefinitionTerm"/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 xml:space="preserve"> Na konsolidovanú výročnú správu sa § 20 vzťahuje primerane. Ak má účtovná jednotka povinnosť zostaviť individuálnu výročnú správu a konsolidovanú výročnú správu, možno údaje z individuálnej výročnej správy a údaje z konsolidovanej výročnej správy spojiť do jednej výročnej správy.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(9) Subjekt verejného záujmu, ktorého priemerný prepočítaný počet zamestnancov za účtovné obdobie presiahol 500 zamestnancov, uvádza vo výročnej správe aj nefinančné informácie o vývoji, konaní, pozícii a o vplyve činnosti účtovnej jednotky na environmentálnu, sociálnu a zamestnaneckú oblasť, informáci</w:t>
            </w:r>
            <w:r w:rsidR="00BE61E5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o dodržiavaní ľudských práv a o boji proti korupcii a úplatkárstvu (ďalej len „oblasť spoločenskej zodpovednosti“), ak ku dňu, ku ktorému sa zostavuje účtovná závierka a za bezprostredne predchádzajúce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lastRenderedPageBreak/>
              <w:t>účtovné obdobie, spĺňa zároveň aj jednu z týchto podmienok: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a) celková suma majetku presiahla 20 000 000 eur, pričom sumou majetku na tento účel sa rozumie suma zistená zo súvahy v ocenení upravenom o položky podľa § 26 ods. 3,</w:t>
            </w:r>
          </w:p>
          <w:p w:rsidR="000847FC" w:rsidRDefault="000847FC" w:rsidP="00356D8D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b) čistý obrat presiahol 40 000 000 eur.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(10) </w:t>
            </w:r>
            <w:r w:rsidR="00983DD6" w:rsidRPr="00597742">
              <w:rPr>
                <w:rFonts w:ascii="Arial Narrow" w:hAnsi="Arial Narrow"/>
                <w:b/>
                <w:sz w:val="22"/>
                <w:szCs w:val="22"/>
              </w:rPr>
              <w:t>Subjekt verejného záujmu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podľa odseku 9 uvedie vo výročnej správe najmä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a)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stručný opis obchodného modelu,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b)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opis a výsledky používania politiky, ktorú účtovná jednotka uplatňuje v oblasti spoločenskej zodpovednosti vrátane uplatňovaných postupov náležitej starostlivosti,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c)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opis hlavných rizík vplyvu účtovnej jednotky na oblasť spoločenskej zodpovednosti vyplývajúceho z činnosti účtovnej jednotky, ktorý by mohol mať nepriaznivé dôsledky, a ak je to primerané aj opis obchodných vzťahov, produktov alebo služieb, ktoré účtovná jednotka poskytuje, a opis spôsobu, akým účtovná jednotka tieto riziká riadi,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d)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významné nefinančné informácie o činnosti účtovnej jednotky podľa jednotlivých činností,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e)</w:t>
            </w:r>
            <w:r w:rsidR="001D303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odkaz na informácie o sumách vykázaných v účtovnej závierke a vysvetlenie týchto súm z hľadiska vplyvov na oblasť spoločenskej zodpovednosti, ak je to vhodné.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Subjekt verejného záujmu môže pri informáciách podľa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vychádzať aj z rámca Európskej únie alebo z iného medzinárodného rámca, ktorý upravuje nefinančné informácie, ak presne uvedie podľa akého rámca postupoval.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Povinnosť uviesť informácie podľa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nemá subjekt verejného záujmu, ktorý je dcérskou účtovnou jednotkou, ak sú informácie o ňom a všetkých jeho dcérskych účtovných jednotkách zahrnuté vo výročnej správe  alebo v obdobnej správe materskej účtovnej jednotky.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Ak subjekt verejného záujmu nezverejňuje informácie podľa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>, uvedie vo výročnej správe dôvody, na základe ktorých tieto informácie nezverejnil.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>) Účtovná jednotka, ktorá emitovala akcie a tieto boli prijaté na obchodovanie na regulovanom trhu ktoréhokoľvek členského štátu a účtovná jednotka, ktorá emitovala akcie, s ktorými sa obchoduje v mnohostrannom obchodnom systéme(28ca) ktoréhokoľvek členského štátu, uvedie vo výročnej správe aj opis politiky rozmanitosti, ktorú uplatňuje vo svojich správnych orgánoch, riadiacich orgánoch a dozorných orgánoch najmä vo vzťahu k veku, pohlaviu, vzdelaniu a profesijným skúsenostiam členov týchto orgánov, ciele t</w:t>
            </w:r>
            <w:r w:rsidR="00B25C43">
              <w:rPr>
                <w:rFonts w:ascii="Arial Narrow" w:hAnsi="Arial Narrow"/>
                <w:sz w:val="22"/>
                <w:szCs w:val="22"/>
              </w:rPr>
              <w:t>akej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politiky, spôsob akým sa vykonáva a dosiahnuté výsledky vo vykazovanom období, ak ku dňu, ku ktorému sa zostavuje účtovná závierka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a za bezprostredne predchádzajúce účtovné obdobie</w:t>
            </w:r>
            <w:r w:rsidRPr="00597742">
              <w:rPr>
                <w:rFonts w:ascii="Arial Narrow" w:hAnsi="Arial Narrow"/>
                <w:sz w:val="22"/>
                <w:szCs w:val="22"/>
              </w:rPr>
              <w:t>, splnila aspoň dve z týchto podmienok: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celková suma majetku presiahla 20 000 000 eur, pričom sumou majetku na tento účel sa rozumie suma zistená zo súvahy v ocenení upravenom o položky podľa § 26 ods. 3,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b)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čistý obrat presiahol 40 000 000 eur,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c)</w:t>
            </w:r>
            <w:r w:rsidR="001D30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priemerný prepočítaný počet zamestnancov presiahol 250.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15</w:t>
            </w:r>
            <w:r w:rsidRPr="00597742">
              <w:rPr>
                <w:rFonts w:ascii="Arial Narrow" w:hAnsi="Arial Narrow"/>
                <w:sz w:val="22"/>
                <w:szCs w:val="22"/>
              </w:rPr>
              <w:t>) Účtovná jednotka, ktorá neuvádza vo výročnej správe opis pol</w:t>
            </w:r>
            <w:r w:rsidR="00D632BB" w:rsidRPr="00597742">
              <w:rPr>
                <w:rFonts w:ascii="Arial Narrow" w:hAnsi="Arial Narrow"/>
                <w:sz w:val="22"/>
                <w:szCs w:val="22"/>
              </w:rPr>
              <w:t xml:space="preserve">itiky rozmanitosti podľa </w:t>
            </w:r>
            <w:r w:rsidR="00D632BB" w:rsidRPr="00597742">
              <w:rPr>
                <w:rFonts w:ascii="Arial Narrow" w:hAnsi="Arial Narrow"/>
                <w:b/>
                <w:sz w:val="22"/>
                <w:szCs w:val="22"/>
              </w:rPr>
              <w:t>odseku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597742">
              <w:rPr>
                <w:rFonts w:ascii="Arial Narrow" w:hAnsi="Arial Narrow"/>
                <w:sz w:val="22"/>
                <w:szCs w:val="22"/>
              </w:rPr>
              <w:t>, uvádza vo výročnej správe dôvody, na základe ktorých sa rozhodla neuplatňovať politiku rozmanitosti.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16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) Uvedením informácií podľa 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>odsekov 9 a 10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je splnená povinnosť účtovnej jednotky uvádzať nefinančné informácie  o vplyve činnosti účtovnej jednotky na životné prostredie a na zamestnanosť podľa odseku 1 písm. a).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  <w:r w:rsidRPr="00A265BF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 xml:space="preserve">Výročná správa, ktorú vyhotovuje účtovná jednotka, ktorá má povinnosť overenia účtovnej závierky audítorom podľa § 19 ods. </w:t>
            </w:r>
            <w:r w:rsidRPr="005275AD">
              <w:rPr>
                <w:rFonts w:ascii="Arial Narrow" w:hAnsi="Arial Narrow"/>
                <w:strike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265BF">
              <w:rPr>
                <w:rFonts w:ascii="Arial Narrow" w:hAnsi="Arial Narrow"/>
                <w:sz w:val="22"/>
                <w:szCs w:val="22"/>
              </w:rPr>
              <w:t>, ak osobitné predpisy</w:t>
            </w:r>
            <w:r w:rsidR="00B25C43">
              <w:rPr>
                <w:rFonts w:ascii="Arial Narrow" w:hAnsi="Arial Narrow"/>
                <w:sz w:val="22"/>
                <w:szCs w:val="22"/>
              </w:rPr>
              <w:t>(</w:t>
            </w:r>
            <w:r w:rsidRPr="00A265BF">
              <w:rPr>
                <w:rFonts w:ascii="Arial Narrow" w:hAnsi="Arial Narrow"/>
                <w:sz w:val="22"/>
                <w:szCs w:val="22"/>
              </w:rPr>
              <w:t>28) neustanovujú inak, obsahuje najmä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a)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účtovnú závierku za účtovné obdobie, za ktoré sa vyhotovuje výročná správa,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b)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správu audítora k účtovnej závierke podľa písmena a),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c)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prehľad vykonávaných činností alebo projektov za účtovné obdobie s uvedením ich vzťahu k účelu založenia účtovnej jednotky,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d)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prehľad výnosov (príjmov) v členení podľa zdrojov,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lastRenderedPageBreak/>
              <w:t>e)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prehľad nákladov (výdavkov) v členení podľa jednotlivých druhov činností, účelu alebo projektov, s osobitným vyčíslením nákladov (výdavkov) na správu,</w:t>
            </w:r>
          </w:p>
          <w:p w:rsidR="00630046" w:rsidRPr="00A265BF" w:rsidRDefault="00630046" w:rsidP="006300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f)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návrh vysporiadania výsledku hospodárenia,</w:t>
            </w:r>
          </w:p>
          <w:p w:rsidR="00630046" w:rsidRPr="00597742" w:rsidRDefault="00630046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65BF">
              <w:rPr>
                <w:rFonts w:ascii="Arial Narrow" w:hAnsi="Arial Narrow"/>
                <w:sz w:val="22"/>
                <w:szCs w:val="22"/>
              </w:rPr>
              <w:t>g)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265BF">
              <w:rPr>
                <w:rFonts w:ascii="Arial Narrow" w:hAnsi="Arial Narrow"/>
                <w:sz w:val="22"/>
                <w:szCs w:val="22"/>
              </w:rPr>
              <w:t>informáciu o predpokladanom budúcom vývoji činnosti účtovnej jednotky</w:t>
            </w:r>
            <w:r w:rsidR="00356D8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Poznámky pod čiarou k odkazom 28 a 28ca zne</w:t>
            </w:r>
            <w:r w:rsidR="00320F2E">
              <w:rPr>
                <w:rFonts w:ascii="Arial Narrow" w:hAnsi="Arial Narrow"/>
                <w:sz w:val="22"/>
                <w:szCs w:val="22"/>
              </w:rPr>
              <w:t>jú</w:t>
            </w:r>
            <w:r w:rsidRPr="00597742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28) Napríklad § 25 ods. 3 zákona č. 147/1997 Z. z. v znení neskorších predpisov, § 34 ods. 2 zákona č. 213/1997 Z. z. v znení zákona č. 112/2018 Z. z., § 35 ods. 2 zákona č. 34/2002 Z. z. v znení neskorších predpisov. </w:t>
            </w:r>
          </w:p>
          <w:p w:rsidR="000847FC" w:rsidRPr="00597742" w:rsidRDefault="000847FC" w:rsidP="00356D8D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28ca) § 51 ods. 1 zákona č. 429/2002 Z. z. v znení neskorších predpisov.</w:t>
            </w:r>
          </w:p>
          <w:p w:rsidR="00320F2E" w:rsidRDefault="000847FC" w:rsidP="00320F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Prechodné ustanovenie k úpravám účinným od 31. decembra 2019</w:t>
            </w:r>
          </w:p>
          <w:p w:rsidR="000847FC" w:rsidRPr="00597742" w:rsidRDefault="000847FC" w:rsidP="00320F2E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Ustanovenie § 20 ods. 9 písm. b) a ods. 13 v znení účinnom od 31. decembra 2019 sa prvýkrát použijú pri vyhotovení výročnej správy za účtovné obdobie končiace k 31. decembru 2019.</w:t>
            </w:r>
          </w:p>
          <w:p w:rsidR="000847FC" w:rsidRPr="00597742" w:rsidRDefault="000847FC" w:rsidP="0059774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>Prechodné ustanovenie k úpravám účinným od 31. decembra 2022</w:t>
            </w:r>
          </w:p>
          <w:p w:rsidR="00DE6A99" w:rsidRPr="00597742" w:rsidRDefault="000847FC" w:rsidP="0059774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Ustanovenia § 20 ods. 7 až </w:t>
            </w:r>
            <w:r w:rsidR="00983DD6" w:rsidRPr="00597742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D34A3" w:rsidRPr="00597742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597742">
              <w:rPr>
                <w:rFonts w:ascii="Arial Narrow" w:hAnsi="Arial Narrow"/>
                <w:b/>
                <w:sz w:val="22"/>
                <w:szCs w:val="22"/>
              </w:rPr>
              <w:t xml:space="preserve"> v znení účinnom od 31. decembra 2022 sa prvýkrát použijú pri vyhotovení výročnej správy za účtovné obdobie končiace k 31. decembru 2022.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73" w:rsidRPr="00597742" w:rsidRDefault="00AA700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273" w:rsidRPr="00597742" w:rsidRDefault="00451273" w:rsidP="00597742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1C6E4D" w:rsidRPr="00597742" w:rsidTr="001D3039">
        <w:trPr>
          <w:trHeight w:val="1010"/>
        </w:trPr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E4D" w:rsidRPr="00597742" w:rsidRDefault="008C60C1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Č:</w:t>
            </w:r>
            <w:r w:rsidR="001C6E4D" w:rsidRPr="00597742">
              <w:rPr>
                <w:rFonts w:ascii="Arial Narrow" w:hAnsi="Arial Narrow"/>
                <w:sz w:val="22"/>
                <w:szCs w:val="22"/>
              </w:rPr>
              <w:t xml:space="preserve"> 1</w:t>
            </w:r>
          </w:p>
          <w:p w:rsidR="001C6E4D" w:rsidRPr="00597742" w:rsidRDefault="001C6E4D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O: 5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C1" w:rsidRPr="00597742" w:rsidRDefault="001C6E4D" w:rsidP="00597742">
            <w:pPr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 xml:space="preserve">V článku 34 sa dopĺňa tento odsek: </w:t>
            </w:r>
          </w:p>
          <w:p w:rsidR="001C6E4D" w:rsidRPr="00597742" w:rsidRDefault="001C6E4D" w:rsidP="00597742">
            <w:pPr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597742">
              <w:rPr>
                <w:rFonts w:ascii="Arial Narrow" w:hAnsi="Arial Narrow"/>
                <w:bCs/>
                <w:sz w:val="22"/>
                <w:szCs w:val="22"/>
              </w:rPr>
              <w:t>„3.Tento článok sa nevzťahuje na nefinančný výkaz uvedený v článku 19a ods. 1 ani na konsolidovaný nefinančný výkaz uvedený v článku 29a ods. 1, ani na samostatné správy uvedené v článku 19a ods. 4 a v článku 29a ods. 4.“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4D" w:rsidRPr="00597742" w:rsidRDefault="001C6E4D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E4D" w:rsidRPr="00597742" w:rsidRDefault="00724CB3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431/2002</w:t>
            </w:r>
          </w:p>
          <w:p w:rsidR="008746BE" w:rsidRPr="00597742" w:rsidRDefault="008746B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Cs/>
                <w:sz w:val="22"/>
                <w:szCs w:val="22"/>
              </w:rPr>
              <w:t xml:space="preserve">a </w:t>
            </w:r>
          </w:p>
          <w:p w:rsidR="008746BE" w:rsidRPr="00597742" w:rsidRDefault="00F02C71" w:rsidP="0059774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="008746BE"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ávrh</w:t>
            </w:r>
          </w:p>
          <w:p w:rsidR="008746BE" w:rsidRPr="00597742" w:rsidRDefault="008746BE" w:rsidP="0059774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97742">
              <w:rPr>
                <w:rFonts w:ascii="Arial Narrow" w:hAnsi="Arial Narrow" w:cs="Arial"/>
                <w:b/>
                <w:bCs/>
                <w:sz w:val="22"/>
                <w:szCs w:val="22"/>
              </w:rPr>
              <w:t>čl. I</w:t>
            </w:r>
          </w:p>
          <w:p w:rsidR="008746BE" w:rsidRPr="00597742" w:rsidRDefault="008746BE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4D" w:rsidRPr="00597742" w:rsidRDefault="001C6E4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§ 20</w:t>
            </w:r>
          </w:p>
          <w:p w:rsidR="001C6E4D" w:rsidRPr="00597742" w:rsidRDefault="001C6E4D" w:rsidP="00597742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 O: 3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80" w:rsidRPr="00597742" w:rsidRDefault="00B62780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(3) Výročná správa účtovnej jednotky podľa odseku 1 musí poskytovať verný a pravdivý obraz a musí byť overená audítorom do jedného roka od skončenia účtovného obdobia. Audítor musí</w:t>
            </w:r>
          </w:p>
          <w:p w:rsidR="00B62780" w:rsidRPr="00597742" w:rsidRDefault="00B62780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a) vyjadriť názor, či je výročná správa v súlade s účtovnou závierkou, okrem výročnej správy podľa osobitného predpisu,</w:t>
            </w:r>
            <w:r w:rsidR="00E05A0E"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B25C43">
              <w:rPr>
                <w:rFonts w:ascii="Arial Narrow" w:hAnsi="Arial Narrow"/>
                <w:sz w:val="22"/>
                <w:szCs w:val="22"/>
              </w:rPr>
              <w:t>27</w:t>
            </w:r>
            <w:r w:rsidRPr="00597742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B62780" w:rsidRPr="00597742" w:rsidRDefault="00B62780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b) vyjadriť názor na informácie uvedené v odseku 6 písm. d) a  odseku 7 písm. c) až e), g) a h),</w:t>
            </w:r>
          </w:p>
          <w:p w:rsidR="00B62780" w:rsidRPr="00597742" w:rsidRDefault="00B62780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c) vyjadriť názor, či výročná správa obsahuje informácie podľa osobitného predpisu,</w:t>
            </w:r>
            <w:r w:rsidR="00E05A0E" w:rsidRPr="00597742">
              <w:rPr>
                <w:rFonts w:ascii="Arial Narrow" w:hAnsi="Arial Narrow"/>
                <w:sz w:val="22"/>
                <w:szCs w:val="22"/>
              </w:rPr>
              <w:t>(</w:t>
            </w:r>
            <w:r w:rsidRPr="00B25C43">
              <w:rPr>
                <w:rFonts w:ascii="Arial Narrow" w:hAnsi="Arial Narrow"/>
                <w:sz w:val="22"/>
                <w:szCs w:val="22"/>
              </w:rPr>
              <w:t>28ab</w:t>
            </w:r>
            <w:r w:rsidRPr="00597742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B62780" w:rsidRPr="00597742" w:rsidRDefault="00B62780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d) vyjadriť názor, či výročná správa obsahuje informácie podľa tohto zákona,</w:t>
            </w:r>
          </w:p>
          <w:p w:rsidR="00B62780" w:rsidRPr="00597742" w:rsidRDefault="00B62780" w:rsidP="00320F2E">
            <w:pPr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 xml:space="preserve">e) uviesť, či na základe poznatkov o účtovnej jednotke a situácii v nej </w:t>
            </w:r>
            <w:r w:rsidR="008746BE" w:rsidRPr="00597742">
              <w:rPr>
                <w:rFonts w:ascii="Arial Narrow" w:hAnsi="Arial Narrow"/>
                <w:b/>
                <w:sz w:val="22"/>
                <w:szCs w:val="22"/>
              </w:rPr>
              <w:t>získaných počas auditu účtovnej závierky</w:t>
            </w:r>
            <w:r w:rsidR="008746BE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>zistil významné nesprávnosti vo výročnej správe a</w:t>
            </w:r>
            <w:r w:rsidR="00B25C43">
              <w:rPr>
                <w:rFonts w:ascii="Arial Narrow" w:hAnsi="Arial Narrow"/>
                <w:sz w:val="22"/>
                <w:szCs w:val="22"/>
              </w:rPr>
              <w:t xml:space="preserve"> uviesť charakter každej takej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významnej nesprávnosti.</w:t>
            </w:r>
          </w:p>
          <w:p w:rsidR="001C6E4D" w:rsidRPr="00597742" w:rsidRDefault="001C6E4D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Poznámky pod čiarou k odkazom 27 a 28ab znejú:</w:t>
            </w:r>
          </w:p>
          <w:p w:rsidR="001C6E4D" w:rsidRPr="00597742" w:rsidRDefault="001C6E4D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27) Napríklad § 38 zákona Národnej rady Slovenskej republiky č. 566/1992 Zb. v znení neskorších predpisov, § 33 ods. 3 zákona č. 213/1997 Z. z. v znení zákona č. 445/2008 Z. z.,  § 34 ods. 3 zákona č. 34/2002 Z. z. v znení zákona č. 463/2013 Z. z.</w:t>
            </w:r>
          </w:p>
          <w:p w:rsidR="001C6E4D" w:rsidRPr="00597742" w:rsidRDefault="001C6E4D" w:rsidP="0059774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28ab) Napríklad § 15 zákona č. 429/2002 Z. z. v znení neskorších predpisov, § 76 zákona č. 566/2001 Z. z. v znení neskorších predpisov.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4D" w:rsidRPr="00597742" w:rsidRDefault="001C6E4D" w:rsidP="0059774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lastRenderedPageBreak/>
              <w:t>Ú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E4D" w:rsidRPr="00597742" w:rsidRDefault="001C6E4D" w:rsidP="00597742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597742" w:rsidRDefault="008C54C3" w:rsidP="00597742">
      <w:pPr>
        <w:autoSpaceDE/>
        <w:autoSpaceDN/>
        <w:rPr>
          <w:rFonts w:ascii="Arial Narrow" w:hAnsi="Arial Narrow"/>
          <w:sz w:val="22"/>
          <w:szCs w:val="22"/>
        </w:rPr>
      </w:pPr>
      <w:r w:rsidRPr="00597742">
        <w:rPr>
          <w:rFonts w:ascii="Arial Narrow" w:hAnsi="Arial Narrow"/>
          <w:sz w:val="22"/>
          <w:szCs w:val="22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E93E5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97742" w:rsidRDefault="008C54C3" w:rsidP="00597742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97742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 xml:space="preserve">P – </w:t>
            </w:r>
            <w:r w:rsidR="00DA0F6C" w:rsidRPr="00597742">
              <w:rPr>
                <w:rFonts w:ascii="Arial Narrow" w:hAnsi="Arial Narrow"/>
                <w:sz w:val="22"/>
                <w:szCs w:val="22"/>
              </w:rPr>
              <w:t>číslo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DA0F6C" w:rsidRPr="00597742">
              <w:rPr>
                <w:rFonts w:ascii="Arial Narrow" w:hAnsi="Arial Narrow"/>
                <w:sz w:val="22"/>
                <w:szCs w:val="22"/>
              </w:rPr>
              <w:t>písmeno</w:t>
            </w:r>
            <w:r w:rsidRPr="00597742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97742" w:rsidRDefault="008C54C3" w:rsidP="00597742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97742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97742" w:rsidRDefault="008C54C3" w:rsidP="00597742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97742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597742" w:rsidRDefault="008C54C3" w:rsidP="00597742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97742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8C54C3" w:rsidRPr="00597742" w:rsidRDefault="008C54C3" w:rsidP="00597742">
            <w:pPr>
              <w:autoSpaceDE/>
              <w:autoSpaceDN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</w:t>
            </w:r>
            <w:r w:rsidR="00391DC5" w:rsidRPr="00597742">
              <w:rPr>
                <w:rFonts w:ascii="Arial Narrow" w:hAnsi="Arial Narrow"/>
                <w:sz w:val="22"/>
                <w:szCs w:val="22"/>
              </w:rPr>
              <w:t>e</w:t>
            </w:r>
            <w:r w:rsidRPr="00597742">
              <w:rPr>
                <w:rFonts w:ascii="Arial Narrow" w:hAnsi="Arial Narrow"/>
                <w:sz w:val="22"/>
                <w:szCs w:val="22"/>
              </w:rPr>
              <w:t>, so zabezpečenou inštitucionálnou</w:t>
            </w:r>
            <w:r w:rsidR="000C2E53"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977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2E53" w:rsidRPr="00597742">
              <w:rPr>
                <w:rFonts w:ascii="Arial Narrow" w:hAnsi="Arial Narrow"/>
                <w:sz w:val="22"/>
                <w:szCs w:val="22"/>
              </w:rPr>
              <w:t>i</w:t>
            </w:r>
            <w:r w:rsidRPr="00597742">
              <w:rPr>
                <w:rFonts w:ascii="Arial Narrow" w:hAnsi="Arial Narrow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597742" w:rsidRDefault="008C54C3" w:rsidP="00597742">
            <w:pPr>
              <w:autoSpaceDE/>
              <w:autoSpaceDN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597742" w:rsidRDefault="008C54C3" w:rsidP="00597742">
            <w:pPr>
              <w:pStyle w:val="Zarkazkladnhotextu2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E93E5D" w:rsidRDefault="008C54C3" w:rsidP="00597742">
            <w:pPr>
              <w:autoSpaceDE/>
              <w:autoSpaceDN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597742">
              <w:rPr>
                <w:rFonts w:ascii="Arial Narrow" w:hAnsi="Arial Narrow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E93E5D" w:rsidRDefault="008C54C3" w:rsidP="00597742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2"/>
          <w:szCs w:val="22"/>
        </w:rPr>
      </w:pPr>
    </w:p>
    <w:sectPr w:rsidR="008C54C3" w:rsidRPr="00E93E5D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80" w:rsidRDefault="00906880">
      <w:r>
        <w:separator/>
      </w:r>
    </w:p>
  </w:endnote>
  <w:endnote w:type="continuationSeparator" w:id="0">
    <w:p w:rsidR="00906880" w:rsidRDefault="0090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978" w:rsidRDefault="00793978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60A6E">
      <w:rPr>
        <w:rStyle w:val="slostrany"/>
        <w:noProof/>
      </w:rPr>
      <w:t>2</w:t>
    </w:r>
    <w:r>
      <w:rPr>
        <w:rStyle w:val="slostrany"/>
      </w:rPr>
      <w:fldChar w:fldCharType="end"/>
    </w:r>
  </w:p>
  <w:p w:rsidR="00793978" w:rsidRDefault="0079397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80" w:rsidRDefault="00906880">
      <w:r>
        <w:separator/>
      </w:r>
    </w:p>
  </w:footnote>
  <w:footnote w:type="continuationSeparator" w:id="0">
    <w:p w:rsidR="00906880" w:rsidRDefault="0090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2C69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BB47A1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D42526"/>
    <w:multiLevelType w:val="hybridMultilevel"/>
    <w:tmpl w:val="D5C697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FEF17EC"/>
    <w:multiLevelType w:val="hybridMultilevel"/>
    <w:tmpl w:val="4202CF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0055C39"/>
    <w:multiLevelType w:val="hybridMultilevel"/>
    <w:tmpl w:val="4A62FA1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9101513"/>
    <w:multiLevelType w:val="hybridMultilevel"/>
    <w:tmpl w:val="F266C28C"/>
    <w:lvl w:ilvl="0" w:tplc="EE8C0B96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8F5066"/>
    <w:multiLevelType w:val="hybridMultilevel"/>
    <w:tmpl w:val="C360F38C"/>
    <w:lvl w:ilvl="0" w:tplc="D2B4E9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6064A71"/>
    <w:multiLevelType w:val="hybridMultilevel"/>
    <w:tmpl w:val="4A62FA1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EBA159C"/>
    <w:multiLevelType w:val="hybridMultilevel"/>
    <w:tmpl w:val="F266C28C"/>
    <w:lvl w:ilvl="0" w:tplc="EE8C0B96">
      <w:start w:val="1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D23FF1"/>
    <w:multiLevelType w:val="hybridMultilevel"/>
    <w:tmpl w:val="93F21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2DCC"/>
    <w:rsid w:val="00004AF1"/>
    <w:rsid w:val="00007E65"/>
    <w:rsid w:val="00012DAF"/>
    <w:rsid w:val="00017BB1"/>
    <w:rsid w:val="000226C0"/>
    <w:rsid w:val="00026819"/>
    <w:rsid w:val="00033549"/>
    <w:rsid w:val="000338F9"/>
    <w:rsid w:val="00036226"/>
    <w:rsid w:val="00044DEA"/>
    <w:rsid w:val="00047278"/>
    <w:rsid w:val="000473C5"/>
    <w:rsid w:val="00051858"/>
    <w:rsid w:val="0005374E"/>
    <w:rsid w:val="0005406D"/>
    <w:rsid w:val="0005756A"/>
    <w:rsid w:val="00062487"/>
    <w:rsid w:val="000637B1"/>
    <w:rsid w:val="00063F44"/>
    <w:rsid w:val="00064E2C"/>
    <w:rsid w:val="00074FDC"/>
    <w:rsid w:val="00075616"/>
    <w:rsid w:val="00082F02"/>
    <w:rsid w:val="000847FC"/>
    <w:rsid w:val="000A4D19"/>
    <w:rsid w:val="000A5522"/>
    <w:rsid w:val="000A5688"/>
    <w:rsid w:val="000A584B"/>
    <w:rsid w:val="000B300E"/>
    <w:rsid w:val="000B3697"/>
    <w:rsid w:val="000B4282"/>
    <w:rsid w:val="000B7802"/>
    <w:rsid w:val="000C15CD"/>
    <w:rsid w:val="000C1CA0"/>
    <w:rsid w:val="000C2E53"/>
    <w:rsid w:val="000C32DD"/>
    <w:rsid w:val="000C3A76"/>
    <w:rsid w:val="000C6C5C"/>
    <w:rsid w:val="000D4785"/>
    <w:rsid w:val="000D5166"/>
    <w:rsid w:val="000D51C3"/>
    <w:rsid w:val="000D5426"/>
    <w:rsid w:val="000E045C"/>
    <w:rsid w:val="000E0A1F"/>
    <w:rsid w:val="001033C6"/>
    <w:rsid w:val="001054E2"/>
    <w:rsid w:val="00105786"/>
    <w:rsid w:val="00105884"/>
    <w:rsid w:val="00107C21"/>
    <w:rsid w:val="00121E12"/>
    <w:rsid w:val="001244DE"/>
    <w:rsid w:val="00124550"/>
    <w:rsid w:val="00126C24"/>
    <w:rsid w:val="00127033"/>
    <w:rsid w:val="00132C82"/>
    <w:rsid w:val="0013674C"/>
    <w:rsid w:val="00145266"/>
    <w:rsid w:val="0015198E"/>
    <w:rsid w:val="001532F1"/>
    <w:rsid w:val="00153B33"/>
    <w:rsid w:val="00161A6A"/>
    <w:rsid w:val="00164066"/>
    <w:rsid w:val="00166316"/>
    <w:rsid w:val="00170229"/>
    <w:rsid w:val="00170553"/>
    <w:rsid w:val="001716FC"/>
    <w:rsid w:val="0017375A"/>
    <w:rsid w:val="00174776"/>
    <w:rsid w:val="00176A11"/>
    <w:rsid w:val="00177265"/>
    <w:rsid w:val="00177A3E"/>
    <w:rsid w:val="0018041D"/>
    <w:rsid w:val="001806BD"/>
    <w:rsid w:val="00180A1B"/>
    <w:rsid w:val="00181AC8"/>
    <w:rsid w:val="0018523B"/>
    <w:rsid w:val="00187A2C"/>
    <w:rsid w:val="00190270"/>
    <w:rsid w:val="00191C5A"/>
    <w:rsid w:val="00194884"/>
    <w:rsid w:val="00197999"/>
    <w:rsid w:val="00197AE3"/>
    <w:rsid w:val="001B1A55"/>
    <w:rsid w:val="001C40F6"/>
    <w:rsid w:val="001C6E4D"/>
    <w:rsid w:val="001D0863"/>
    <w:rsid w:val="001D0CB5"/>
    <w:rsid w:val="001D3039"/>
    <w:rsid w:val="001D4E51"/>
    <w:rsid w:val="001E4ECB"/>
    <w:rsid w:val="001F1F18"/>
    <w:rsid w:val="001F3C1C"/>
    <w:rsid w:val="001F4296"/>
    <w:rsid w:val="001F58CC"/>
    <w:rsid w:val="001F6BE2"/>
    <w:rsid w:val="001F7C09"/>
    <w:rsid w:val="00200647"/>
    <w:rsid w:val="00200CE9"/>
    <w:rsid w:val="00204A82"/>
    <w:rsid w:val="00213310"/>
    <w:rsid w:val="0021410D"/>
    <w:rsid w:val="00216FB7"/>
    <w:rsid w:val="00217BF4"/>
    <w:rsid w:val="00221382"/>
    <w:rsid w:val="00222BC3"/>
    <w:rsid w:val="002250B4"/>
    <w:rsid w:val="00230B68"/>
    <w:rsid w:val="0023272F"/>
    <w:rsid w:val="002333BE"/>
    <w:rsid w:val="00240A17"/>
    <w:rsid w:val="00240A57"/>
    <w:rsid w:val="002410FB"/>
    <w:rsid w:val="00242075"/>
    <w:rsid w:val="00242D1A"/>
    <w:rsid w:val="00244360"/>
    <w:rsid w:val="0024491A"/>
    <w:rsid w:val="0025445A"/>
    <w:rsid w:val="002601C8"/>
    <w:rsid w:val="0026202F"/>
    <w:rsid w:val="00262653"/>
    <w:rsid w:val="00262E00"/>
    <w:rsid w:val="002645F3"/>
    <w:rsid w:val="002664D6"/>
    <w:rsid w:val="00266B5F"/>
    <w:rsid w:val="00267547"/>
    <w:rsid w:val="00267A7E"/>
    <w:rsid w:val="00270E65"/>
    <w:rsid w:val="0027110E"/>
    <w:rsid w:val="00271940"/>
    <w:rsid w:val="002757D9"/>
    <w:rsid w:val="00275FCA"/>
    <w:rsid w:val="002800A7"/>
    <w:rsid w:val="00281402"/>
    <w:rsid w:val="002818B7"/>
    <w:rsid w:val="00281BCD"/>
    <w:rsid w:val="00282EBD"/>
    <w:rsid w:val="00283E7F"/>
    <w:rsid w:val="002923B4"/>
    <w:rsid w:val="002945A1"/>
    <w:rsid w:val="002A1966"/>
    <w:rsid w:val="002A5E21"/>
    <w:rsid w:val="002A674C"/>
    <w:rsid w:val="002A6B6C"/>
    <w:rsid w:val="002B033F"/>
    <w:rsid w:val="002B295F"/>
    <w:rsid w:val="002C00F4"/>
    <w:rsid w:val="002C62AA"/>
    <w:rsid w:val="002D03D0"/>
    <w:rsid w:val="002D1879"/>
    <w:rsid w:val="002D21E9"/>
    <w:rsid w:val="002E1D16"/>
    <w:rsid w:val="002E54A3"/>
    <w:rsid w:val="002F060B"/>
    <w:rsid w:val="002F07C1"/>
    <w:rsid w:val="002F0AF0"/>
    <w:rsid w:val="003139F3"/>
    <w:rsid w:val="00320F2E"/>
    <w:rsid w:val="003249DD"/>
    <w:rsid w:val="00327791"/>
    <w:rsid w:val="003309EE"/>
    <w:rsid w:val="00330D77"/>
    <w:rsid w:val="003413B6"/>
    <w:rsid w:val="00344EDC"/>
    <w:rsid w:val="00351489"/>
    <w:rsid w:val="00352EF9"/>
    <w:rsid w:val="0035331E"/>
    <w:rsid w:val="00356D8D"/>
    <w:rsid w:val="0035715E"/>
    <w:rsid w:val="003577FA"/>
    <w:rsid w:val="00360A6E"/>
    <w:rsid w:val="00361032"/>
    <w:rsid w:val="00363C2E"/>
    <w:rsid w:val="00363EED"/>
    <w:rsid w:val="00365B3D"/>
    <w:rsid w:val="00367B28"/>
    <w:rsid w:val="00370656"/>
    <w:rsid w:val="003712C5"/>
    <w:rsid w:val="00371769"/>
    <w:rsid w:val="00371F66"/>
    <w:rsid w:val="003720DC"/>
    <w:rsid w:val="00372431"/>
    <w:rsid w:val="00375541"/>
    <w:rsid w:val="003759B4"/>
    <w:rsid w:val="00382238"/>
    <w:rsid w:val="00382B42"/>
    <w:rsid w:val="00391DC5"/>
    <w:rsid w:val="00391EB5"/>
    <w:rsid w:val="00393C8E"/>
    <w:rsid w:val="003A50DE"/>
    <w:rsid w:val="003B1E3F"/>
    <w:rsid w:val="003B41F9"/>
    <w:rsid w:val="003B4998"/>
    <w:rsid w:val="003B4B10"/>
    <w:rsid w:val="003C4001"/>
    <w:rsid w:val="003C5044"/>
    <w:rsid w:val="003C53C6"/>
    <w:rsid w:val="003C5E9B"/>
    <w:rsid w:val="003D3B96"/>
    <w:rsid w:val="003D3CF6"/>
    <w:rsid w:val="003D41E4"/>
    <w:rsid w:val="003D582B"/>
    <w:rsid w:val="003E0333"/>
    <w:rsid w:val="003E29B4"/>
    <w:rsid w:val="003E3795"/>
    <w:rsid w:val="003E7B78"/>
    <w:rsid w:val="003F125D"/>
    <w:rsid w:val="003F484C"/>
    <w:rsid w:val="003F4A6C"/>
    <w:rsid w:val="00402E59"/>
    <w:rsid w:val="00405125"/>
    <w:rsid w:val="0040707A"/>
    <w:rsid w:val="00411433"/>
    <w:rsid w:val="00412519"/>
    <w:rsid w:val="00422064"/>
    <w:rsid w:val="00422EEE"/>
    <w:rsid w:val="00424270"/>
    <w:rsid w:val="00424AAF"/>
    <w:rsid w:val="00430991"/>
    <w:rsid w:val="00431A83"/>
    <w:rsid w:val="00433BBB"/>
    <w:rsid w:val="004343C1"/>
    <w:rsid w:val="004353BF"/>
    <w:rsid w:val="0043627B"/>
    <w:rsid w:val="0043657B"/>
    <w:rsid w:val="0043764E"/>
    <w:rsid w:val="0044069C"/>
    <w:rsid w:val="00440A2A"/>
    <w:rsid w:val="004439F2"/>
    <w:rsid w:val="00451273"/>
    <w:rsid w:val="00453654"/>
    <w:rsid w:val="0045536B"/>
    <w:rsid w:val="0045607F"/>
    <w:rsid w:val="004575E7"/>
    <w:rsid w:val="004577EC"/>
    <w:rsid w:val="00464943"/>
    <w:rsid w:val="00464D55"/>
    <w:rsid w:val="00466388"/>
    <w:rsid w:val="00467C67"/>
    <w:rsid w:val="0047103E"/>
    <w:rsid w:val="00472C5C"/>
    <w:rsid w:val="004826F0"/>
    <w:rsid w:val="0048408B"/>
    <w:rsid w:val="0048425C"/>
    <w:rsid w:val="00484895"/>
    <w:rsid w:val="00485C87"/>
    <w:rsid w:val="004867EA"/>
    <w:rsid w:val="00497FA7"/>
    <w:rsid w:val="004A48A5"/>
    <w:rsid w:val="004B014D"/>
    <w:rsid w:val="004B1716"/>
    <w:rsid w:val="004B3552"/>
    <w:rsid w:val="004B38CE"/>
    <w:rsid w:val="004B53D7"/>
    <w:rsid w:val="004C0239"/>
    <w:rsid w:val="004C04B5"/>
    <w:rsid w:val="004C2304"/>
    <w:rsid w:val="004C7FA8"/>
    <w:rsid w:val="004D0FA1"/>
    <w:rsid w:val="004D54FC"/>
    <w:rsid w:val="004D726F"/>
    <w:rsid w:val="004D79AC"/>
    <w:rsid w:val="004E021C"/>
    <w:rsid w:val="004E30E1"/>
    <w:rsid w:val="004E3237"/>
    <w:rsid w:val="004E4B9B"/>
    <w:rsid w:val="004E5A8E"/>
    <w:rsid w:val="004F4517"/>
    <w:rsid w:val="00501D97"/>
    <w:rsid w:val="005027F4"/>
    <w:rsid w:val="00502A81"/>
    <w:rsid w:val="00503888"/>
    <w:rsid w:val="00504C3C"/>
    <w:rsid w:val="005125E1"/>
    <w:rsid w:val="00513AC9"/>
    <w:rsid w:val="00516609"/>
    <w:rsid w:val="005170A9"/>
    <w:rsid w:val="005275AD"/>
    <w:rsid w:val="00531D65"/>
    <w:rsid w:val="00533BAA"/>
    <w:rsid w:val="005346D0"/>
    <w:rsid w:val="00540F5A"/>
    <w:rsid w:val="005458DF"/>
    <w:rsid w:val="00545D47"/>
    <w:rsid w:val="00547776"/>
    <w:rsid w:val="00551B53"/>
    <w:rsid w:val="00551FAE"/>
    <w:rsid w:val="00567225"/>
    <w:rsid w:val="005732BC"/>
    <w:rsid w:val="00577988"/>
    <w:rsid w:val="005779B8"/>
    <w:rsid w:val="005802E4"/>
    <w:rsid w:val="00582D4C"/>
    <w:rsid w:val="00583AE6"/>
    <w:rsid w:val="00587AD8"/>
    <w:rsid w:val="00590158"/>
    <w:rsid w:val="005903BE"/>
    <w:rsid w:val="005909E8"/>
    <w:rsid w:val="005935C6"/>
    <w:rsid w:val="005936E3"/>
    <w:rsid w:val="005937FD"/>
    <w:rsid w:val="00593FB9"/>
    <w:rsid w:val="005947B8"/>
    <w:rsid w:val="00594AEE"/>
    <w:rsid w:val="00597742"/>
    <w:rsid w:val="005A1C49"/>
    <w:rsid w:val="005A495C"/>
    <w:rsid w:val="005A6227"/>
    <w:rsid w:val="005B1165"/>
    <w:rsid w:val="005B5394"/>
    <w:rsid w:val="005B627C"/>
    <w:rsid w:val="005C11ED"/>
    <w:rsid w:val="005C3B01"/>
    <w:rsid w:val="005C4389"/>
    <w:rsid w:val="005C6934"/>
    <w:rsid w:val="005D06A1"/>
    <w:rsid w:val="005D12C7"/>
    <w:rsid w:val="005D34A3"/>
    <w:rsid w:val="005E147F"/>
    <w:rsid w:val="005E2E96"/>
    <w:rsid w:val="005E3216"/>
    <w:rsid w:val="005E4EB6"/>
    <w:rsid w:val="005E59EA"/>
    <w:rsid w:val="005F5C4E"/>
    <w:rsid w:val="00600B4C"/>
    <w:rsid w:val="00600DDD"/>
    <w:rsid w:val="00602F6C"/>
    <w:rsid w:val="00605774"/>
    <w:rsid w:val="00605C2C"/>
    <w:rsid w:val="00605CD6"/>
    <w:rsid w:val="0060743D"/>
    <w:rsid w:val="00614B3E"/>
    <w:rsid w:val="00615481"/>
    <w:rsid w:val="00615FA9"/>
    <w:rsid w:val="00616381"/>
    <w:rsid w:val="00626BBE"/>
    <w:rsid w:val="00630046"/>
    <w:rsid w:val="0063163F"/>
    <w:rsid w:val="00634B2E"/>
    <w:rsid w:val="00643432"/>
    <w:rsid w:val="0064397E"/>
    <w:rsid w:val="00644811"/>
    <w:rsid w:val="00645C2A"/>
    <w:rsid w:val="006461C3"/>
    <w:rsid w:val="006469D7"/>
    <w:rsid w:val="006525EE"/>
    <w:rsid w:val="00653AE1"/>
    <w:rsid w:val="00654207"/>
    <w:rsid w:val="0065524E"/>
    <w:rsid w:val="00662756"/>
    <w:rsid w:val="00662FBC"/>
    <w:rsid w:val="006658EE"/>
    <w:rsid w:val="006701B4"/>
    <w:rsid w:val="006705EE"/>
    <w:rsid w:val="006707B2"/>
    <w:rsid w:val="006738D0"/>
    <w:rsid w:val="00674ACE"/>
    <w:rsid w:val="00674BF0"/>
    <w:rsid w:val="00675E51"/>
    <w:rsid w:val="00683A6B"/>
    <w:rsid w:val="006871DA"/>
    <w:rsid w:val="00697D85"/>
    <w:rsid w:val="006A28A7"/>
    <w:rsid w:val="006A30B6"/>
    <w:rsid w:val="006A3C60"/>
    <w:rsid w:val="006A4DF4"/>
    <w:rsid w:val="006A62BC"/>
    <w:rsid w:val="006A643A"/>
    <w:rsid w:val="006A6F85"/>
    <w:rsid w:val="006B3752"/>
    <w:rsid w:val="006B3E66"/>
    <w:rsid w:val="006C1618"/>
    <w:rsid w:val="006C2E8C"/>
    <w:rsid w:val="006C3940"/>
    <w:rsid w:val="006C4F3A"/>
    <w:rsid w:val="006D019D"/>
    <w:rsid w:val="006D15F4"/>
    <w:rsid w:val="006D17D6"/>
    <w:rsid w:val="006D2496"/>
    <w:rsid w:val="006D5282"/>
    <w:rsid w:val="006E0FED"/>
    <w:rsid w:val="006E12AD"/>
    <w:rsid w:val="006E2B26"/>
    <w:rsid w:val="006E689D"/>
    <w:rsid w:val="006F0264"/>
    <w:rsid w:val="006F12B6"/>
    <w:rsid w:val="007048BE"/>
    <w:rsid w:val="00710CAA"/>
    <w:rsid w:val="00710FB0"/>
    <w:rsid w:val="007114A4"/>
    <w:rsid w:val="00714776"/>
    <w:rsid w:val="00715E59"/>
    <w:rsid w:val="00716C11"/>
    <w:rsid w:val="0071766B"/>
    <w:rsid w:val="0071793A"/>
    <w:rsid w:val="007223FD"/>
    <w:rsid w:val="00724622"/>
    <w:rsid w:val="00724CB3"/>
    <w:rsid w:val="007254EE"/>
    <w:rsid w:val="00737D73"/>
    <w:rsid w:val="00741394"/>
    <w:rsid w:val="007457CE"/>
    <w:rsid w:val="00752008"/>
    <w:rsid w:val="00752F41"/>
    <w:rsid w:val="007546B3"/>
    <w:rsid w:val="007638FB"/>
    <w:rsid w:val="007666A4"/>
    <w:rsid w:val="00772D1D"/>
    <w:rsid w:val="00774F2A"/>
    <w:rsid w:val="00775347"/>
    <w:rsid w:val="007773A0"/>
    <w:rsid w:val="0078287E"/>
    <w:rsid w:val="00787A5F"/>
    <w:rsid w:val="00790C23"/>
    <w:rsid w:val="00791277"/>
    <w:rsid w:val="00793978"/>
    <w:rsid w:val="00797416"/>
    <w:rsid w:val="007A729F"/>
    <w:rsid w:val="007A7589"/>
    <w:rsid w:val="007B2E6D"/>
    <w:rsid w:val="007B4F52"/>
    <w:rsid w:val="007B6B0E"/>
    <w:rsid w:val="007C3023"/>
    <w:rsid w:val="007C3A31"/>
    <w:rsid w:val="007C44FB"/>
    <w:rsid w:val="007D63ED"/>
    <w:rsid w:val="007D66F4"/>
    <w:rsid w:val="00800C77"/>
    <w:rsid w:val="00800EA6"/>
    <w:rsid w:val="0080321D"/>
    <w:rsid w:val="00805DB2"/>
    <w:rsid w:val="00806DE6"/>
    <w:rsid w:val="008100E2"/>
    <w:rsid w:val="00814632"/>
    <w:rsid w:val="00814E7B"/>
    <w:rsid w:val="00815EB4"/>
    <w:rsid w:val="00821A87"/>
    <w:rsid w:val="00837A97"/>
    <w:rsid w:val="008414ED"/>
    <w:rsid w:val="00841641"/>
    <w:rsid w:val="008443BD"/>
    <w:rsid w:val="00845953"/>
    <w:rsid w:val="00852B28"/>
    <w:rsid w:val="00853220"/>
    <w:rsid w:val="00853BF7"/>
    <w:rsid w:val="008602F0"/>
    <w:rsid w:val="00866723"/>
    <w:rsid w:val="008711AC"/>
    <w:rsid w:val="00872A0A"/>
    <w:rsid w:val="008746BE"/>
    <w:rsid w:val="008772F8"/>
    <w:rsid w:val="008809EE"/>
    <w:rsid w:val="008830BD"/>
    <w:rsid w:val="00887E02"/>
    <w:rsid w:val="008959BB"/>
    <w:rsid w:val="008A010F"/>
    <w:rsid w:val="008A1349"/>
    <w:rsid w:val="008A5161"/>
    <w:rsid w:val="008A6FB5"/>
    <w:rsid w:val="008B0DEC"/>
    <w:rsid w:val="008B13F5"/>
    <w:rsid w:val="008B76FC"/>
    <w:rsid w:val="008C54C3"/>
    <w:rsid w:val="008C60C1"/>
    <w:rsid w:val="008C740C"/>
    <w:rsid w:val="008C7D45"/>
    <w:rsid w:val="008D0350"/>
    <w:rsid w:val="008D0F6D"/>
    <w:rsid w:val="008D1F42"/>
    <w:rsid w:val="008D2586"/>
    <w:rsid w:val="008D2EDA"/>
    <w:rsid w:val="008D3174"/>
    <w:rsid w:val="008D35F7"/>
    <w:rsid w:val="008D4C65"/>
    <w:rsid w:val="008D5DF3"/>
    <w:rsid w:val="008D6C50"/>
    <w:rsid w:val="008E07A5"/>
    <w:rsid w:val="008E3A4F"/>
    <w:rsid w:val="008E65F8"/>
    <w:rsid w:val="008F0238"/>
    <w:rsid w:val="008F583F"/>
    <w:rsid w:val="008F633C"/>
    <w:rsid w:val="008F698B"/>
    <w:rsid w:val="00902AA5"/>
    <w:rsid w:val="00902EB7"/>
    <w:rsid w:val="00903663"/>
    <w:rsid w:val="00904D6C"/>
    <w:rsid w:val="00906880"/>
    <w:rsid w:val="00911511"/>
    <w:rsid w:val="0091636B"/>
    <w:rsid w:val="00921612"/>
    <w:rsid w:val="00922BF3"/>
    <w:rsid w:val="00923DFC"/>
    <w:rsid w:val="00924021"/>
    <w:rsid w:val="0092492B"/>
    <w:rsid w:val="00926F27"/>
    <w:rsid w:val="00930F9F"/>
    <w:rsid w:val="00931774"/>
    <w:rsid w:val="0093261C"/>
    <w:rsid w:val="009371EE"/>
    <w:rsid w:val="00940768"/>
    <w:rsid w:val="00940EB9"/>
    <w:rsid w:val="00947B23"/>
    <w:rsid w:val="009557B2"/>
    <w:rsid w:val="009605E7"/>
    <w:rsid w:val="009612CE"/>
    <w:rsid w:val="009622CA"/>
    <w:rsid w:val="0097005C"/>
    <w:rsid w:val="00970305"/>
    <w:rsid w:val="009709FF"/>
    <w:rsid w:val="00971455"/>
    <w:rsid w:val="00973769"/>
    <w:rsid w:val="0097431E"/>
    <w:rsid w:val="00980F5C"/>
    <w:rsid w:val="00981CC1"/>
    <w:rsid w:val="009823B3"/>
    <w:rsid w:val="009826E3"/>
    <w:rsid w:val="00983DD6"/>
    <w:rsid w:val="00985AD8"/>
    <w:rsid w:val="00990461"/>
    <w:rsid w:val="00991494"/>
    <w:rsid w:val="00991EA4"/>
    <w:rsid w:val="0099469A"/>
    <w:rsid w:val="00997724"/>
    <w:rsid w:val="009979F6"/>
    <w:rsid w:val="009A4300"/>
    <w:rsid w:val="009A591F"/>
    <w:rsid w:val="009A59E4"/>
    <w:rsid w:val="009A6697"/>
    <w:rsid w:val="009A6C79"/>
    <w:rsid w:val="009B690D"/>
    <w:rsid w:val="009B7A68"/>
    <w:rsid w:val="009C3481"/>
    <w:rsid w:val="009C6AFF"/>
    <w:rsid w:val="009C74CF"/>
    <w:rsid w:val="009C787A"/>
    <w:rsid w:val="009D40B0"/>
    <w:rsid w:val="009D41A9"/>
    <w:rsid w:val="009D76C5"/>
    <w:rsid w:val="009E4783"/>
    <w:rsid w:val="009E5C24"/>
    <w:rsid w:val="009E62DB"/>
    <w:rsid w:val="009E6679"/>
    <w:rsid w:val="009E7641"/>
    <w:rsid w:val="009F2FE2"/>
    <w:rsid w:val="00A021D3"/>
    <w:rsid w:val="00A03C72"/>
    <w:rsid w:val="00A12CF5"/>
    <w:rsid w:val="00A15807"/>
    <w:rsid w:val="00A16573"/>
    <w:rsid w:val="00A20970"/>
    <w:rsid w:val="00A215A4"/>
    <w:rsid w:val="00A2496C"/>
    <w:rsid w:val="00A25631"/>
    <w:rsid w:val="00A265BF"/>
    <w:rsid w:val="00A270AE"/>
    <w:rsid w:val="00A30A09"/>
    <w:rsid w:val="00A34769"/>
    <w:rsid w:val="00A360CB"/>
    <w:rsid w:val="00A36A9B"/>
    <w:rsid w:val="00A44741"/>
    <w:rsid w:val="00A45D99"/>
    <w:rsid w:val="00A46A0E"/>
    <w:rsid w:val="00A47F5C"/>
    <w:rsid w:val="00A5111D"/>
    <w:rsid w:val="00A516EB"/>
    <w:rsid w:val="00A5359E"/>
    <w:rsid w:val="00A635BD"/>
    <w:rsid w:val="00A65154"/>
    <w:rsid w:val="00A730AE"/>
    <w:rsid w:val="00A75B91"/>
    <w:rsid w:val="00A779AD"/>
    <w:rsid w:val="00A8346A"/>
    <w:rsid w:val="00A847B4"/>
    <w:rsid w:val="00A86FD5"/>
    <w:rsid w:val="00A9063F"/>
    <w:rsid w:val="00A91B17"/>
    <w:rsid w:val="00AA0251"/>
    <w:rsid w:val="00AA6B8F"/>
    <w:rsid w:val="00AA700E"/>
    <w:rsid w:val="00AA746D"/>
    <w:rsid w:val="00AA7850"/>
    <w:rsid w:val="00AB2C0E"/>
    <w:rsid w:val="00AB4B83"/>
    <w:rsid w:val="00AB4BFA"/>
    <w:rsid w:val="00AB5DCA"/>
    <w:rsid w:val="00AB74AB"/>
    <w:rsid w:val="00AC0CCE"/>
    <w:rsid w:val="00AC12E3"/>
    <w:rsid w:val="00AC21F8"/>
    <w:rsid w:val="00AC35BB"/>
    <w:rsid w:val="00AC467A"/>
    <w:rsid w:val="00AC4C9E"/>
    <w:rsid w:val="00AD24EE"/>
    <w:rsid w:val="00AD37E6"/>
    <w:rsid w:val="00AD4C28"/>
    <w:rsid w:val="00AE0716"/>
    <w:rsid w:val="00AE39AF"/>
    <w:rsid w:val="00AF2CD7"/>
    <w:rsid w:val="00AF47A1"/>
    <w:rsid w:val="00AF5E04"/>
    <w:rsid w:val="00AF6CE0"/>
    <w:rsid w:val="00B02E47"/>
    <w:rsid w:val="00B044C3"/>
    <w:rsid w:val="00B06089"/>
    <w:rsid w:val="00B1267F"/>
    <w:rsid w:val="00B13737"/>
    <w:rsid w:val="00B13FE4"/>
    <w:rsid w:val="00B14EB0"/>
    <w:rsid w:val="00B16A89"/>
    <w:rsid w:val="00B2164F"/>
    <w:rsid w:val="00B21821"/>
    <w:rsid w:val="00B22FE0"/>
    <w:rsid w:val="00B24D0F"/>
    <w:rsid w:val="00B25C43"/>
    <w:rsid w:val="00B25F65"/>
    <w:rsid w:val="00B31326"/>
    <w:rsid w:val="00B342EC"/>
    <w:rsid w:val="00B408CE"/>
    <w:rsid w:val="00B425D7"/>
    <w:rsid w:val="00B42C0D"/>
    <w:rsid w:val="00B4311D"/>
    <w:rsid w:val="00B45CA4"/>
    <w:rsid w:val="00B47C98"/>
    <w:rsid w:val="00B508F6"/>
    <w:rsid w:val="00B51A96"/>
    <w:rsid w:val="00B51B9C"/>
    <w:rsid w:val="00B53110"/>
    <w:rsid w:val="00B53236"/>
    <w:rsid w:val="00B53256"/>
    <w:rsid w:val="00B534EF"/>
    <w:rsid w:val="00B537FC"/>
    <w:rsid w:val="00B54DCE"/>
    <w:rsid w:val="00B62780"/>
    <w:rsid w:val="00B6321A"/>
    <w:rsid w:val="00B634C0"/>
    <w:rsid w:val="00B64B09"/>
    <w:rsid w:val="00B65C58"/>
    <w:rsid w:val="00B66E45"/>
    <w:rsid w:val="00B82B28"/>
    <w:rsid w:val="00B85C72"/>
    <w:rsid w:val="00B92473"/>
    <w:rsid w:val="00B93A01"/>
    <w:rsid w:val="00B95DB2"/>
    <w:rsid w:val="00BA3F13"/>
    <w:rsid w:val="00BA5A3A"/>
    <w:rsid w:val="00BA6983"/>
    <w:rsid w:val="00BA7150"/>
    <w:rsid w:val="00BB018F"/>
    <w:rsid w:val="00BC303A"/>
    <w:rsid w:val="00BC58BB"/>
    <w:rsid w:val="00BD0651"/>
    <w:rsid w:val="00BD1500"/>
    <w:rsid w:val="00BD413B"/>
    <w:rsid w:val="00BD5D7B"/>
    <w:rsid w:val="00BE42E1"/>
    <w:rsid w:val="00BE61E5"/>
    <w:rsid w:val="00BE6D3F"/>
    <w:rsid w:val="00BE6F9F"/>
    <w:rsid w:val="00BF276A"/>
    <w:rsid w:val="00BF31F2"/>
    <w:rsid w:val="00BF5DA6"/>
    <w:rsid w:val="00BF7B25"/>
    <w:rsid w:val="00BF7BEA"/>
    <w:rsid w:val="00C00C90"/>
    <w:rsid w:val="00C018CF"/>
    <w:rsid w:val="00C02845"/>
    <w:rsid w:val="00C02937"/>
    <w:rsid w:val="00C050B7"/>
    <w:rsid w:val="00C05BAE"/>
    <w:rsid w:val="00C06AD9"/>
    <w:rsid w:val="00C06C10"/>
    <w:rsid w:val="00C129C4"/>
    <w:rsid w:val="00C139A5"/>
    <w:rsid w:val="00C1545D"/>
    <w:rsid w:val="00C15E38"/>
    <w:rsid w:val="00C174A3"/>
    <w:rsid w:val="00C21CEF"/>
    <w:rsid w:val="00C34EF5"/>
    <w:rsid w:val="00C3589D"/>
    <w:rsid w:val="00C372E4"/>
    <w:rsid w:val="00C3773B"/>
    <w:rsid w:val="00C40DF6"/>
    <w:rsid w:val="00C40EDB"/>
    <w:rsid w:val="00C4794C"/>
    <w:rsid w:val="00C53885"/>
    <w:rsid w:val="00C5476E"/>
    <w:rsid w:val="00C5722D"/>
    <w:rsid w:val="00C63D16"/>
    <w:rsid w:val="00C6473A"/>
    <w:rsid w:val="00C64C50"/>
    <w:rsid w:val="00C64F67"/>
    <w:rsid w:val="00C66A17"/>
    <w:rsid w:val="00C674A7"/>
    <w:rsid w:val="00C70AA0"/>
    <w:rsid w:val="00C70F1F"/>
    <w:rsid w:val="00C71317"/>
    <w:rsid w:val="00C7358B"/>
    <w:rsid w:val="00C825AC"/>
    <w:rsid w:val="00C8415A"/>
    <w:rsid w:val="00C859D0"/>
    <w:rsid w:val="00C87AD9"/>
    <w:rsid w:val="00C922ED"/>
    <w:rsid w:val="00C936E9"/>
    <w:rsid w:val="00C94D39"/>
    <w:rsid w:val="00C95843"/>
    <w:rsid w:val="00C960B1"/>
    <w:rsid w:val="00CA28FD"/>
    <w:rsid w:val="00CA3571"/>
    <w:rsid w:val="00CA6595"/>
    <w:rsid w:val="00CA70F1"/>
    <w:rsid w:val="00CB2E5D"/>
    <w:rsid w:val="00CB3421"/>
    <w:rsid w:val="00CB3EB6"/>
    <w:rsid w:val="00CB64E4"/>
    <w:rsid w:val="00CB773B"/>
    <w:rsid w:val="00CC2139"/>
    <w:rsid w:val="00CC3DA4"/>
    <w:rsid w:val="00CC6676"/>
    <w:rsid w:val="00CC72CF"/>
    <w:rsid w:val="00CD0593"/>
    <w:rsid w:val="00CD2446"/>
    <w:rsid w:val="00CD5CA6"/>
    <w:rsid w:val="00CD70BC"/>
    <w:rsid w:val="00CD70EA"/>
    <w:rsid w:val="00CE1975"/>
    <w:rsid w:val="00CE1BB7"/>
    <w:rsid w:val="00CE40E5"/>
    <w:rsid w:val="00CE68FE"/>
    <w:rsid w:val="00CE6DC2"/>
    <w:rsid w:val="00CE70FF"/>
    <w:rsid w:val="00CF06D2"/>
    <w:rsid w:val="00D001A7"/>
    <w:rsid w:val="00D00516"/>
    <w:rsid w:val="00D01223"/>
    <w:rsid w:val="00D04302"/>
    <w:rsid w:val="00D06DC9"/>
    <w:rsid w:val="00D079E3"/>
    <w:rsid w:val="00D100F5"/>
    <w:rsid w:val="00D1084B"/>
    <w:rsid w:val="00D11577"/>
    <w:rsid w:val="00D15991"/>
    <w:rsid w:val="00D15997"/>
    <w:rsid w:val="00D22A7B"/>
    <w:rsid w:val="00D23919"/>
    <w:rsid w:val="00D27CC1"/>
    <w:rsid w:val="00D27F79"/>
    <w:rsid w:val="00D311B0"/>
    <w:rsid w:val="00D37E9E"/>
    <w:rsid w:val="00D43AB0"/>
    <w:rsid w:val="00D447B6"/>
    <w:rsid w:val="00D52EA0"/>
    <w:rsid w:val="00D53916"/>
    <w:rsid w:val="00D5486B"/>
    <w:rsid w:val="00D62F91"/>
    <w:rsid w:val="00D632BB"/>
    <w:rsid w:val="00D64EEF"/>
    <w:rsid w:val="00D70B8F"/>
    <w:rsid w:val="00D72D1E"/>
    <w:rsid w:val="00D74E1A"/>
    <w:rsid w:val="00D773AA"/>
    <w:rsid w:val="00D809DE"/>
    <w:rsid w:val="00D81E54"/>
    <w:rsid w:val="00D82B91"/>
    <w:rsid w:val="00D900AE"/>
    <w:rsid w:val="00D9138E"/>
    <w:rsid w:val="00D91F72"/>
    <w:rsid w:val="00D932E9"/>
    <w:rsid w:val="00D93494"/>
    <w:rsid w:val="00D94C51"/>
    <w:rsid w:val="00D96CFF"/>
    <w:rsid w:val="00D96E1F"/>
    <w:rsid w:val="00DA0F6C"/>
    <w:rsid w:val="00DA39BD"/>
    <w:rsid w:val="00DA791A"/>
    <w:rsid w:val="00DB2206"/>
    <w:rsid w:val="00DB2AAC"/>
    <w:rsid w:val="00DB3D62"/>
    <w:rsid w:val="00DB43FF"/>
    <w:rsid w:val="00DB6205"/>
    <w:rsid w:val="00DD11AE"/>
    <w:rsid w:val="00DD2164"/>
    <w:rsid w:val="00DD3A21"/>
    <w:rsid w:val="00DD3BAB"/>
    <w:rsid w:val="00DD6696"/>
    <w:rsid w:val="00DE0167"/>
    <w:rsid w:val="00DE0820"/>
    <w:rsid w:val="00DE0F85"/>
    <w:rsid w:val="00DE3459"/>
    <w:rsid w:val="00DE5F79"/>
    <w:rsid w:val="00DE6A99"/>
    <w:rsid w:val="00DF065E"/>
    <w:rsid w:val="00E00373"/>
    <w:rsid w:val="00E02346"/>
    <w:rsid w:val="00E03007"/>
    <w:rsid w:val="00E044EB"/>
    <w:rsid w:val="00E05A0E"/>
    <w:rsid w:val="00E0779B"/>
    <w:rsid w:val="00E1009E"/>
    <w:rsid w:val="00E136CF"/>
    <w:rsid w:val="00E16E98"/>
    <w:rsid w:val="00E212B3"/>
    <w:rsid w:val="00E22835"/>
    <w:rsid w:val="00E2468C"/>
    <w:rsid w:val="00E256FA"/>
    <w:rsid w:val="00E33F05"/>
    <w:rsid w:val="00E4505A"/>
    <w:rsid w:val="00E47985"/>
    <w:rsid w:val="00E47B6E"/>
    <w:rsid w:val="00E517D2"/>
    <w:rsid w:val="00E53443"/>
    <w:rsid w:val="00E55640"/>
    <w:rsid w:val="00E61ADA"/>
    <w:rsid w:val="00E62217"/>
    <w:rsid w:val="00E64B85"/>
    <w:rsid w:val="00E70293"/>
    <w:rsid w:val="00E72C43"/>
    <w:rsid w:val="00E72DF3"/>
    <w:rsid w:val="00E745B5"/>
    <w:rsid w:val="00E749EE"/>
    <w:rsid w:val="00E80CD4"/>
    <w:rsid w:val="00E82BB3"/>
    <w:rsid w:val="00E92860"/>
    <w:rsid w:val="00E93E5D"/>
    <w:rsid w:val="00E96FC8"/>
    <w:rsid w:val="00EA3B80"/>
    <w:rsid w:val="00EB2DB9"/>
    <w:rsid w:val="00EB7BC0"/>
    <w:rsid w:val="00EB7C61"/>
    <w:rsid w:val="00EC14E9"/>
    <w:rsid w:val="00EC4DBB"/>
    <w:rsid w:val="00EC51FB"/>
    <w:rsid w:val="00EC5487"/>
    <w:rsid w:val="00ED0BD7"/>
    <w:rsid w:val="00ED17C1"/>
    <w:rsid w:val="00ED6143"/>
    <w:rsid w:val="00EE02BE"/>
    <w:rsid w:val="00EE2636"/>
    <w:rsid w:val="00EE2D81"/>
    <w:rsid w:val="00EE2F39"/>
    <w:rsid w:val="00EE2F52"/>
    <w:rsid w:val="00EE61CB"/>
    <w:rsid w:val="00EE7DD6"/>
    <w:rsid w:val="00EF0B2F"/>
    <w:rsid w:val="00EF23CF"/>
    <w:rsid w:val="00EF2A14"/>
    <w:rsid w:val="00EF6471"/>
    <w:rsid w:val="00F02C71"/>
    <w:rsid w:val="00F047A8"/>
    <w:rsid w:val="00F11250"/>
    <w:rsid w:val="00F1185F"/>
    <w:rsid w:val="00F1328C"/>
    <w:rsid w:val="00F14129"/>
    <w:rsid w:val="00F17A46"/>
    <w:rsid w:val="00F2420B"/>
    <w:rsid w:val="00F27DD3"/>
    <w:rsid w:val="00F30F95"/>
    <w:rsid w:val="00F31A6B"/>
    <w:rsid w:val="00F332B1"/>
    <w:rsid w:val="00F33A95"/>
    <w:rsid w:val="00F37E43"/>
    <w:rsid w:val="00F4072E"/>
    <w:rsid w:val="00F4080C"/>
    <w:rsid w:val="00F42616"/>
    <w:rsid w:val="00F529B3"/>
    <w:rsid w:val="00F53DFC"/>
    <w:rsid w:val="00F648F4"/>
    <w:rsid w:val="00F70C95"/>
    <w:rsid w:val="00F72FAC"/>
    <w:rsid w:val="00F736B8"/>
    <w:rsid w:val="00F76672"/>
    <w:rsid w:val="00F82BF8"/>
    <w:rsid w:val="00F86965"/>
    <w:rsid w:val="00F94C74"/>
    <w:rsid w:val="00F964D4"/>
    <w:rsid w:val="00F97FEB"/>
    <w:rsid w:val="00FA3E1C"/>
    <w:rsid w:val="00FA3F25"/>
    <w:rsid w:val="00FA4E72"/>
    <w:rsid w:val="00FA66BD"/>
    <w:rsid w:val="00FB0C4E"/>
    <w:rsid w:val="00FB0F6A"/>
    <w:rsid w:val="00FB11A8"/>
    <w:rsid w:val="00FB1721"/>
    <w:rsid w:val="00FB27F2"/>
    <w:rsid w:val="00FB4CEF"/>
    <w:rsid w:val="00FB5058"/>
    <w:rsid w:val="00FB5D33"/>
    <w:rsid w:val="00FB6A53"/>
    <w:rsid w:val="00FC4A3A"/>
    <w:rsid w:val="00FC59D8"/>
    <w:rsid w:val="00FC7B8E"/>
    <w:rsid w:val="00FD7D34"/>
    <w:rsid w:val="00FE2BDE"/>
    <w:rsid w:val="00FE490E"/>
    <w:rsid w:val="00FE587E"/>
    <w:rsid w:val="00FF0A46"/>
    <w:rsid w:val="00FF192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5C7C2-B557-421A-B4C9-E51AC73F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header" w:semiHidden="1"/>
    <w:lsdException w:name="footer" w:semiHidden="1" w:uiPriority="0"/>
    <w:lsdException w:name="caption" w:semiHidden="1" w:uiPriority="35" w:unhideWhenUsed="1" w:qFormat="1"/>
    <w:lsdException w:name="footnote reference" w:semiHidden="1" w:uiPriority="0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438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9557B2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557B2"/>
    <w:rPr>
      <w:rFonts w:cs="Times New Roman"/>
      <w:b/>
      <w:bCs/>
      <w:sz w:val="28"/>
      <w:szCs w:val="28"/>
      <w:lang w:val="x-none"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97005C"/>
    <w:pPr>
      <w:autoSpaceDE/>
      <w:autoSpaceDN/>
      <w:ind w:left="708"/>
    </w:pPr>
    <w:rPr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226C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26C0"/>
    <w:pPr>
      <w:autoSpaceDE/>
      <w:autoSpaceDN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226C0"/>
    <w:rPr>
      <w:rFonts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2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226C0"/>
    <w:rPr>
      <w:rFonts w:ascii="Tahoma" w:hAnsi="Tahoma" w:cs="Tahoma"/>
      <w:sz w:val="16"/>
      <w:szCs w:val="16"/>
    </w:rPr>
  </w:style>
  <w:style w:type="paragraph" w:styleId="Zkladntext0">
    <w:name w:val="Body Text"/>
    <w:basedOn w:val="Normlny"/>
    <w:link w:val="ZkladntextChar"/>
    <w:uiPriority w:val="99"/>
    <w:unhideWhenUsed/>
    <w:rsid w:val="00AB5DCA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AB5DCA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07E65"/>
    <w:rPr>
      <w:rFonts w:cs="Times New Roman"/>
      <w:color w:val="0000FF" w:themeColor="hyperlink"/>
      <w:u w:val="single"/>
    </w:rPr>
  </w:style>
  <w:style w:type="character" w:customStyle="1" w:styleId="OdsekzoznamuChar">
    <w:name w:val="Odsek zoznamu Char"/>
    <w:link w:val="Odsekzoznamu"/>
    <w:uiPriority w:val="99"/>
    <w:locked/>
    <w:rsid w:val="006525EE"/>
    <w:rPr>
      <w:sz w:val="20"/>
      <w:lang w:val="x-none" w:eastAsia="cs-CZ"/>
    </w:rPr>
  </w:style>
  <w:style w:type="paragraph" w:customStyle="1" w:styleId="DefinitionTerm">
    <w:name w:val="Definition Term"/>
    <w:basedOn w:val="Normlny"/>
    <w:next w:val="Normlny"/>
    <w:uiPriority w:val="99"/>
    <w:rsid w:val="00B634C0"/>
    <w:pPr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5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5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4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9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2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3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66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66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7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729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2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6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1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1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4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5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776">
                  <w:marLeft w:val="0"/>
                  <w:marRight w:val="0"/>
                  <w:marTop w:val="0"/>
                  <w:marBottom w:val="375"/>
                  <w:divBdr>
                    <w:top w:val="single" w:sz="6" w:space="6" w:color="D9D9D9"/>
                    <w:left w:val="single" w:sz="6" w:space="0" w:color="D9D9D9"/>
                    <w:bottom w:val="single" w:sz="6" w:space="6" w:color="D9D9D9"/>
                    <w:right w:val="single" w:sz="6" w:space="0" w:color="D9D9D9"/>
                  </w:divBdr>
                  <w:divsChild>
                    <w:div w:id="672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3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1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9537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5377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_3_TZ_2014_95"/>
    <f:field ref="objsubject" par="" edit="true" text=""/>
    <f:field ref="objcreatedby" par="" text="Matulová, Silvia, Ing."/>
    <f:field ref="objcreatedat" par="" text="13.5.2022 11:45:15"/>
    <f:field ref="objchangedby" par="" text="Administrator, System"/>
    <f:field ref="objmodifiedat" par="" text="13.5.2022 11:45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5267FA1-66E5-432E-9D6F-CFA3B0CB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Matulova Silvia</cp:lastModifiedBy>
  <cp:revision>2</cp:revision>
  <cp:lastPrinted>2022-07-27T07:37:00Z</cp:lastPrinted>
  <dcterms:created xsi:type="dcterms:W3CDTF">2022-08-18T13:37:00Z</dcterms:created>
  <dcterms:modified xsi:type="dcterms:W3CDTF">2022-08-18T13:37:00Z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COO.2145.1000.3.4954118</vt:lpwstr>
  </property>
  <property fmtid="{D5CDD505-2E9C-101B-9397-08002B2CF9AE}" pid="152" name="FSC#FSCFOLIO@1.1001:docpropproject">
    <vt:lpwstr/>
  </property>
</Properties>
</file>