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604"/>
        <w:gridCol w:w="767"/>
        <w:gridCol w:w="851"/>
        <w:gridCol w:w="850"/>
        <w:gridCol w:w="4678"/>
        <w:gridCol w:w="709"/>
        <w:gridCol w:w="934"/>
      </w:tblGrid>
      <w:tr w:rsidR="008C54C3" w:rsidRPr="00870476" w:rsidTr="000F6E14">
        <w:tc>
          <w:tcPr>
            <w:tcW w:w="16075" w:type="dxa"/>
            <w:gridSpan w:val="8"/>
            <w:tcBorders>
              <w:top w:val="single" w:sz="12" w:space="0" w:color="auto"/>
              <w:left w:val="single" w:sz="12" w:space="0" w:color="auto"/>
              <w:bottom w:val="single" w:sz="4" w:space="0" w:color="auto"/>
              <w:right w:val="single" w:sz="12" w:space="0" w:color="auto"/>
            </w:tcBorders>
          </w:tcPr>
          <w:p w:rsidR="00930557" w:rsidRPr="00870476" w:rsidRDefault="00930557" w:rsidP="00930557">
            <w:pPr>
              <w:pStyle w:val="Nadpis1"/>
              <w:rPr>
                <w:rFonts w:ascii="Arial Narrow" w:hAnsi="Arial Narrow"/>
                <w:sz w:val="22"/>
                <w:szCs w:val="22"/>
              </w:rPr>
            </w:pPr>
            <w:bookmarkStart w:id="0" w:name="_GoBack"/>
            <w:bookmarkEnd w:id="0"/>
            <w:r w:rsidRPr="00870476">
              <w:rPr>
                <w:rFonts w:ascii="Arial Narrow" w:hAnsi="Arial Narrow"/>
                <w:sz w:val="22"/>
                <w:szCs w:val="22"/>
              </w:rPr>
              <w:t>TABUĽKA  ZHODY</w:t>
            </w:r>
          </w:p>
          <w:p w:rsidR="008C54C3" w:rsidRPr="00870476" w:rsidRDefault="00930557" w:rsidP="00930557">
            <w:pPr>
              <w:pStyle w:val="Zkladntext"/>
              <w:jc w:val="center"/>
              <w:rPr>
                <w:rFonts w:ascii="Arial Narrow" w:hAnsi="Arial Narrow"/>
                <w:b/>
                <w:bCs/>
                <w:sz w:val="22"/>
                <w:szCs w:val="22"/>
              </w:rPr>
            </w:pPr>
            <w:r w:rsidRPr="00870476">
              <w:rPr>
                <w:rFonts w:ascii="Arial Narrow" w:hAnsi="Arial Narrow"/>
                <w:b/>
                <w:bCs/>
                <w:sz w:val="22"/>
                <w:szCs w:val="22"/>
              </w:rPr>
              <w:t>návrhu právneho predpisu s právom Európskej únie</w:t>
            </w:r>
          </w:p>
        </w:tc>
      </w:tr>
      <w:tr w:rsidR="008C54C3" w:rsidRPr="00870476" w:rsidTr="000F6E14">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8C54C3" w:rsidRPr="00870476" w:rsidRDefault="00DE0F85" w:rsidP="00930557">
            <w:pPr>
              <w:pStyle w:val="Nadpis4"/>
              <w:spacing w:before="120"/>
              <w:jc w:val="left"/>
              <w:rPr>
                <w:rFonts w:ascii="Arial Narrow" w:hAnsi="Arial Narrow"/>
              </w:rPr>
            </w:pPr>
            <w:r w:rsidRPr="00870476">
              <w:rPr>
                <w:rFonts w:ascii="Arial Narrow" w:hAnsi="Arial Narrow"/>
              </w:rPr>
              <w:t>Smernica EÚ</w:t>
            </w:r>
          </w:p>
          <w:p w:rsidR="00E745B5" w:rsidRPr="00870476" w:rsidRDefault="00E745B5" w:rsidP="00E745B5">
            <w:pPr>
              <w:pStyle w:val="Zkladntext3"/>
              <w:spacing w:line="240" w:lineRule="exact"/>
              <w:rPr>
                <w:rFonts w:ascii="Arial Narrow" w:hAnsi="Arial Narrow"/>
                <w:b/>
                <w:bCs/>
                <w:color w:val="000000"/>
                <w:sz w:val="22"/>
                <w:szCs w:val="22"/>
              </w:rPr>
            </w:pPr>
          </w:p>
          <w:p w:rsidR="00EE7DD6" w:rsidRPr="00870476" w:rsidRDefault="00E745B5" w:rsidP="00740618">
            <w:pPr>
              <w:pStyle w:val="Zkladntext3"/>
              <w:spacing w:line="240" w:lineRule="exact"/>
              <w:rPr>
                <w:rFonts w:ascii="Arial Narrow" w:hAnsi="Arial Narrow"/>
                <w:sz w:val="22"/>
                <w:szCs w:val="22"/>
              </w:rPr>
            </w:pPr>
            <w:r w:rsidRPr="00870476">
              <w:rPr>
                <w:rFonts w:ascii="Arial Narrow" w:hAnsi="Arial Narrow"/>
                <w:b/>
                <w:bCs/>
                <w:color w:val="000000"/>
                <w:sz w:val="22"/>
                <w:szCs w:val="22"/>
              </w:rPr>
              <w:t>SMERNICA EURÓPSKEHO PARLAMENTU A</w:t>
            </w:r>
            <w:r w:rsidR="00043330">
              <w:rPr>
                <w:rFonts w:ascii="Arial Narrow" w:hAnsi="Arial Narrow"/>
                <w:b/>
                <w:bCs/>
                <w:color w:val="000000"/>
                <w:sz w:val="22"/>
                <w:szCs w:val="22"/>
              </w:rPr>
              <w:t> </w:t>
            </w:r>
            <w:r w:rsidRPr="00870476">
              <w:rPr>
                <w:rFonts w:ascii="Arial Narrow" w:hAnsi="Arial Narrow"/>
                <w:b/>
                <w:bCs/>
                <w:color w:val="000000"/>
                <w:sz w:val="22"/>
                <w:szCs w:val="22"/>
              </w:rPr>
              <w:t>RADY</w:t>
            </w:r>
            <w:r w:rsidR="00043330">
              <w:rPr>
                <w:rFonts w:ascii="Arial Narrow" w:hAnsi="Arial Narrow"/>
                <w:b/>
                <w:bCs/>
                <w:color w:val="000000"/>
                <w:sz w:val="22"/>
                <w:szCs w:val="22"/>
              </w:rPr>
              <w:t xml:space="preserve"> </w:t>
            </w:r>
            <w:r w:rsidRPr="00740618">
              <w:rPr>
                <w:rFonts w:ascii="Arial Narrow" w:hAnsi="Arial Narrow"/>
                <w:b/>
                <w:bCs/>
                <w:color w:val="000000"/>
                <w:sz w:val="22"/>
                <w:szCs w:val="22"/>
              </w:rPr>
              <w:t>2013/34/EÚ</w:t>
            </w:r>
            <w:r w:rsidRPr="00870476">
              <w:rPr>
                <w:rFonts w:ascii="Arial Narrow" w:hAnsi="Arial Narrow"/>
                <w:b/>
                <w:bCs/>
                <w:color w:val="000000"/>
                <w:sz w:val="22"/>
                <w:szCs w:val="22"/>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w:t>
            </w:r>
            <w:r w:rsidR="00930557" w:rsidRPr="00870476">
              <w:rPr>
                <w:rFonts w:ascii="Arial Narrow" w:hAnsi="Arial Narrow"/>
                <w:b/>
                <w:bCs/>
                <w:color w:val="000000"/>
                <w:sz w:val="22"/>
                <w:szCs w:val="22"/>
              </w:rPr>
              <w:t xml:space="preserve"> (Ú. v. EÚ L 182, 29.6.2013)</w:t>
            </w:r>
            <w:r w:rsidR="00043330">
              <w:rPr>
                <w:rFonts w:ascii="Arial Narrow" w:hAnsi="Arial Narrow"/>
                <w:b/>
                <w:bCs/>
                <w:color w:val="000000"/>
                <w:sz w:val="22"/>
                <w:szCs w:val="22"/>
              </w:rPr>
              <w:t xml:space="preserve"> v platnom znení</w:t>
            </w:r>
          </w:p>
        </w:tc>
        <w:tc>
          <w:tcPr>
            <w:tcW w:w="8022" w:type="dxa"/>
            <w:gridSpan w:val="5"/>
            <w:tcBorders>
              <w:top w:val="single" w:sz="4" w:space="0" w:color="auto"/>
              <w:left w:val="nil"/>
              <w:bottom w:val="single" w:sz="4" w:space="0" w:color="auto"/>
              <w:right w:val="single" w:sz="12" w:space="0" w:color="auto"/>
            </w:tcBorders>
          </w:tcPr>
          <w:p w:rsidR="00217BF4" w:rsidRPr="00870476" w:rsidRDefault="00E521A0" w:rsidP="00E521A0">
            <w:pPr>
              <w:pStyle w:val="Nadpis4"/>
              <w:spacing w:before="120"/>
              <w:jc w:val="left"/>
              <w:rPr>
                <w:rFonts w:ascii="Arial Narrow" w:hAnsi="Arial Narrow"/>
              </w:rPr>
            </w:pPr>
            <w:r w:rsidRPr="00870476">
              <w:rPr>
                <w:rFonts w:ascii="Arial Narrow" w:hAnsi="Arial Narrow"/>
              </w:rPr>
              <w:t>P</w:t>
            </w:r>
            <w:r w:rsidR="008C54C3" w:rsidRPr="00870476">
              <w:rPr>
                <w:rFonts w:ascii="Arial Narrow" w:hAnsi="Arial Narrow"/>
              </w:rPr>
              <w:t>rávn</w:t>
            </w:r>
            <w:r w:rsidR="00E745B5" w:rsidRPr="00870476">
              <w:rPr>
                <w:rFonts w:ascii="Arial Narrow" w:hAnsi="Arial Narrow"/>
              </w:rPr>
              <w:t>e predpisy Slovenskej republiky</w:t>
            </w:r>
          </w:p>
          <w:p w:rsidR="009557B2" w:rsidRPr="00870476" w:rsidRDefault="009557B2" w:rsidP="009557B2">
            <w:pPr>
              <w:rPr>
                <w:rFonts w:ascii="Arial Narrow" w:hAnsi="Arial Narrow"/>
                <w:sz w:val="22"/>
                <w:szCs w:val="22"/>
              </w:rPr>
            </w:pPr>
          </w:p>
          <w:p w:rsidR="002E1D16" w:rsidRPr="00870476" w:rsidRDefault="00E745B5" w:rsidP="002E1D16">
            <w:pPr>
              <w:pStyle w:val="Zkladntext"/>
              <w:jc w:val="both"/>
              <w:rPr>
                <w:rFonts w:ascii="Arial Narrow" w:hAnsi="Arial Narrow"/>
                <w:b/>
                <w:sz w:val="22"/>
                <w:szCs w:val="22"/>
              </w:rPr>
            </w:pPr>
            <w:r w:rsidRPr="00870476">
              <w:rPr>
                <w:rFonts w:ascii="Arial Narrow" w:hAnsi="Arial Narrow"/>
                <w:b/>
                <w:sz w:val="22"/>
                <w:szCs w:val="22"/>
              </w:rPr>
              <w:t xml:space="preserve">Návrh </w:t>
            </w:r>
            <w:r w:rsidR="00733A2B" w:rsidRPr="00870476">
              <w:rPr>
                <w:rFonts w:ascii="Arial Narrow" w:hAnsi="Arial Narrow"/>
                <w:b/>
                <w:sz w:val="22"/>
                <w:szCs w:val="22"/>
              </w:rPr>
              <w:t>zákona</w:t>
            </w:r>
            <w:r w:rsidR="00F41776" w:rsidRPr="00870476">
              <w:rPr>
                <w:rFonts w:ascii="Arial Narrow" w:hAnsi="Arial Narrow"/>
                <w:b/>
                <w:sz w:val="22"/>
                <w:szCs w:val="22"/>
              </w:rPr>
              <w:t>, ktorým sa mení a dopĺňa zákon č. 431/2002 Z. z. o účtovníctve v znení neskorších predpisov</w:t>
            </w:r>
            <w:r w:rsidR="001E638A" w:rsidRPr="00870476">
              <w:rPr>
                <w:rFonts w:ascii="Arial Narrow" w:hAnsi="Arial Narrow"/>
                <w:b/>
                <w:sz w:val="22"/>
                <w:szCs w:val="22"/>
              </w:rPr>
              <w:t xml:space="preserve"> a ktorým sa men</w:t>
            </w:r>
            <w:r w:rsidR="008E176A">
              <w:rPr>
                <w:rFonts w:ascii="Arial Narrow" w:hAnsi="Arial Narrow"/>
                <w:b/>
                <w:sz w:val="22"/>
                <w:szCs w:val="22"/>
              </w:rPr>
              <w:t>í a </w:t>
            </w:r>
            <w:r w:rsidR="001E638A" w:rsidRPr="00870476">
              <w:rPr>
                <w:rFonts w:ascii="Arial Narrow" w:hAnsi="Arial Narrow"/>
                <w:b/>
                <w:sz w:val="22"/>
                <w:szCs w:val="22"/>
              </w:rPr>
              <w:t>dopĺňa</w:t>
            </w:r>
            <w:r w:rsidR="008E176A">
              <w:rPr>
                <w:rFonts w:ascii="Arial Narrow" w:hAnsi="Arial Narrow"/>
                <w:b/>
                <w:sz w:val="22"/>
                <w:szCs w:val="22"/>
              </w:rPr>
              <w:t xml:space="preserve"> zákon č. 513/1991 Zb. Obchodný zákonník v znení neskorších predpisov</w:t>
            </w:r>
            <w:r w:rsidR="00733A2B" w:rsidRPr="00870476">
              <w:rPr>
                <w:rFonts w:ascii="Arial Narrow" w:hAnsi="Arial Narrow"/>
                <w:b/>
                <w:sz w:val="22"/>
                <w:szCs w:val="22"/>
              </w:rPr>
              <w:t xml:space="preserve"> </w:t>
            </w:r>
            <w:r w:rsidR="000F0F63" w:rsidRPr="00870476">
              <w:rPr>
                <w:rFonts w:ascii="Arial Narrow" w:hAnsi="Arial Narrow"/>
                <w:b/>
                <w:sz w:val="22"/>
                <w:szCs w:val="22"/>
              </w:rPr>
              <w:t>(ďalej „návrh</w:t>
            </w:r>
            <w:r w:rsidR="009557B2" w:rsidRPr="00870476">
              <w:rPr>
                <w:rFonts w:ascii="Arial Narrow" w:hAnsi="Arial Narrow"/>
                <w:b/>
                <w:sz w:val="22"/>
                <w:szCs w:val="22"/>
              </w:rPr>
              <w:t>“)</w:t>
            </w:r>
          </w:p>
          <w:p w:rsidR="009557B2" w:rsidRPr="00870476" w:rsidRDefault="00012792" w:rsidP="002E1D16">
            <w:pPr>
              <w:pStyle w:val="Zkladntext"/>
              <w:jc w:val="both"/>
              <w:rPr>
                <w:rFonts w:ascii="Arial Narrow" w:hAnsi="Arial Narrow"/>
                <w:sz w:val="22"/>
                <w:szCs w:val="22"/>
              </w:rPr>
            </w:pPr>
            <w:r w:rsidRPr="00870476">
              <w:rPr>
                <w:rFonts w:ascii="Arial Narrow" w:hAnsi="Arial Narrow"/>
                <w:sz w:val="22"/>
                <w:szCs w:val="22"/>
              </w:rPr>
              <w:t>Zákon č. 431/2002 Z. z. o účtovníctve v znení neskorších predpisov</w:t>
            </w:r>
            <w:r w:rsidR="00756853" w:rsidRPr="00870476">
              <w:rPr>
                <w:rFonts w:ascii="Arial Narrow" w:hAnsi="Arial Narrow"/>
                <w:sz w:val="22"/>
                <w:szCs w:val="22"/>
              </w:rPr>
              <w:t xml:space="preserve"> (ďalej „431/2002“)</w:t>
            </w:r>
          </w:p>
          <w:p w:rsidR="009557B2" w:rsidRPr="00870476" w:rsidRDefault="009557B2" w:rsidP="00B60067">
            <w:pPr>
              <w:tabs>
                <w:tab w:val="left" w:pos="0"/>
              </w:tabs>
              <w:jc w:val="both"/>
              <w:rPr>
                <w:rFonts w:ascii="Arial Narrow" w:hAnsi="Arial Narrow"/>
                <w:b/>
                <w:sz w:val="22"/>
                <w:szCs w:val="22"/>
              </w:rPr>
            </w:pPr>
          </w:p>
        </w:tc>
      </w:tr>
      <w:tr w:rsidR="00A9063F" w:rsidRPr="00870476" w:rsidTr="000F6E14">
        <w:tc>
          <w:tcPr>
            <w:tcW w:w="682" w:type="dxa"/>
            <w:tcBorders>
              <w:top w:val="single" w:sz="4" w:space="0" w:color="auto"/>
              <w:left w:val="single" w:sz="12" w:space="0" w:color="auto"/>
              <w:bottom w:val="single" w:sz="4" w:space="0" w:color="auto"/>
              <w:right w:val="single" w:sz="4" w:space="0" w:color="auto"/>
            </w:tcBorders>
          </w:tcPr>
          <w:p w:rsidR="00A9063F" w:rsidRPr="00870476" w:rsidRDefault="00A9063F">
            <w:pPr>
              <w:jc w:val="center"/>
              <w:rPr>
                <w:rFonts w:ascii="Arial Narrow" w:hAnsi="Arial Narrow"/>
                <w:sz w:val="22"/>
                <w:szCs w:val="22"/>
              </w:rPr>
            </w:pPr>
            <w:r w:rsidRPr="00870476">
              <w:rPr>
                <w:rFonts w:ascii="Arial Narrow" w:hAnsi="Arial Narrow"/>
                <w:sz w:val="22"/>
                <w:szCs w:val="22"/>
              </w:rPr>
              <w:t>1</w:t>
            </w:r>
          </w:p>
        </w:tc>
        <w:tc>
          <w:tcPr>
            <w:tcW w:w="6604" w:type="dxa"/>
            <w:tcBorders>
              <w:top w:val="single" w:sz="4" w:space="0" w:color="auto"/>
              <w:left w:val="single" w:sz="4" w:space="0" w:color="auto"/>
              <w:bottom w:val="single" w:sz="4" w:space="0" w:color="auto"/>
              <w:right w:val="single" w:sz="4" w:space="0" w:color="auto"/>
            </w:tcBorders>
          </w:tcPr>
          <w:p w:rsidR="00A9063F" w:rsidRPr="00870476" w:rsidRDefault="00A9063F">
            <w:pPr>
              <w:jc w:val="center"/>
              <w:rPr>
                <w:rFonts w:ascii="Arial Narrow" w:hAnsi="Arial Narrow"/>
                <w:sz w:val="22"/>
                <w:szCs w:val="22"/>
              </w:rPr>
            </w:pPr>
            <w:r w:rsidRPr="00870476">
              <w:rPr>
                <w:rFonts w:ascii="Arial Narrow" w:hAnsi="Arial Narrow"/>
                <w:sz w:val="22"/>
                <w:szCs w:val="22"/>
              </w:rPr>
              <w:t>2</w:t>
            </w:r>
          </w:p>
        </w:tc>
        <w:tc>
          <w:tcPr>
            <w:tcW w:w="767" w:type="dxa"/>
            <w:tcBorders>
              <w:top w:val="single" w:sz="4" w:space="0" w:color="auto"/>
              <w:left w:val="single" w:sz="4" w:space="0" w:color="auto"/>
              <w:bottom w:val="single" w:sz="4" w:space="0" w:color="auto"/>
              <w:right w:val="single" w:sz="12" w:space="0" w:color="auto"/>
            </w:tcBorders>
          </w:tcPr>
          <w:p w:rsidR="00A9063F" w:rsidRPr="00870476" w:rsidRDefault="00A9063F">
            <w:pPr>
              <w:jc w:val="center"/>
              <w:rPr>
                <w:rFonts w:ascii="Arial Narrow" w:hAnsi="Arial Narrow"/>
                <w:sz w:val="22"/>
                <w:szCs w:val="22"/>
              </w:rPr>
            </w:pPr>
            <w:r w:rsidRPr="00870476">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cPr>
          <w:p w:rsidR="00A9063F" w:rsidRPr="00870476" w:rsidRDefault="00A9063F">
            <w:pPr>
              <w:jc w:val="center"/>
              <w:rPr>
                <w:rFonts w:ascii="Arial Narrow" w:hAnsi="Arial Narrow"/>
                <w:sz w:val="22"/>
                <w:szCs w:val="22"/>
              </w:rPr>
            </w:pPr>
            <w:r w:rsidRPr="00870476">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870476" w:rsidRDefault="00A9063F">
            <w:pPr>
              <w:pStyle w:val="Zkladntext2"/>
              <w:spacing w:line="240" w:lineRule="exact"/>
              <w:rPr>
                <w:rFonts w:ascii="Arial Narrow" w:hAnsi="Arial Narrow"/>
                <w:sz w:val="22"/>
                <w:szCs w:val="22"/>
              </w:rPr>
            </w:pPr>
            <w:r w:rsidRPr="00870476">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A9063F" w:rsidRPr="00870476" w:rsidRDefault="00A9063F">
            <w:pPr>
              <w:pStyle w:val="Zkladntext2"/>
              <w:spacing w:line="240" w:lineRule="exact"/>
              <w:rPr>
                <w:rFonts w:ascii="Arial Narrow" w:hAnsi="Arial Narrow"/>
                <w:sz w:val="22"/>
                <w:szCs w:val="22"/>
              </w:rPr>
            </w:pPr>
            <w:r w:rsidRPr="00870476">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870476" w:rsidRDefault="00A9063F">
            <w:pPr>
              <w:jc w:val="center"/>
              <w:rPr>
                <w:rFonts w:ascii="Arial Narrow" w:hAnsi="Arial Narrow"/>
                <w:sz w:val="22"/>
                <w:szCs w:val="22"/>
              </w:rPr>
            </w:pPr>
            <w:r w:rsidRPr="00870476">
              <w:rPr>
                <w:rFonts w:ascii="Arial Narrow" w:hAnsi="Arial Narrow"/>
                <w:sz w:val="22"/>
                <w:szCs w:val="22"/>
              </w:rPr>
              <w:t>7</w:t>
            </w:r>
          </w:p>
        </w:tc>
        <w:tc>
          <w:tcPr>
            <w:tcW w:w="934" w:type="dxa"/>
            <w:tcBorders>
              <w:top w:val="single" w:sz="4" w:space="0" w:color="auto"/>
              <w:left w:val="single" w:sz="4" w:space="0" w:color="auto"/>
              <w:bottom w:val="single" w:sz="4" w:space="0" w:color="auto"/>
              <w:right w:val="single" w:sz="12" w:space="0" w:color="auto"/>
            </w:tcBorders>
          </w:tcPr>
          <w:p w:rsidR="00A9063F" w:rsidRPr="00870476" w:rsidRDefault="005170A9">
            <w:pPr>
              <w:jc w:val="center"/>
              <w:rPr>
                <w:rFonts w:ascii="Arial Narrow" w:hAnsi="Arial Narrow"/>
                <w:sz w:val="22"/>
                <w:szCs w:val="22"/>
              </w:rPr>
            </w:pPr>
            <w:r w:rsidRPr="00870476">
              <w:rPr>
                <w:rFonts w:ascii="Arial Narrow" w:hAnsi="Arial Narrow"/>
                <w:sz w:val="22"/>
                <w:szCs w:val="22"/>
              </w:rPr>
              <w:t>8</w:t>
            </w:r>
          </w:p>
        </w:tc>
      </w:tr>
      <w:tr w:rsidR="00A9063F" w:rsidRPr="00870476" w:rsidTr="000F6E14">
        <w:tc>
          <w:tcPr>
            <w:tcW w:w="682" w:type="dxa"/>
            <w:tcBorders>
              <w:top w:val="single" w:sz="4" w:space="0" w:color="auto"/>
              <w:left w:val="single" w:sz="12" w:space="0" w:color="auto"/>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Článok</w:t>
            </w:r>
          </w:p>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(Č, O,</w:t>
            </w:r>
          </w:p>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V, P)</w:t>
            </w:r>
          </w:p>
        </w:tc>
        <w:tc>
          <w:tcPr>
            <w:tcW w:w="6604" w:type="dxa"/>
            <w:tcBorders>
              <w:top w:val="single" w:sz="4" w:space="0" w:color="auto"/>
              <w:left w:val="single" w:sz="4" w:space="0" w:color="auto"/>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Text</w:t>
            </w:r>
          </w:p>
        </w:tc>
        <w:tc>
          <w:tcPr>
            <w:tcW w:w="767" w:type="dxa"/>
            <w:tcBorders>
              <w:top w:val="single" w:sz="4" w:space="0" w:color="auto"/>
              <w:left w:val="single" w:sz="4" w:space="0" w:color="auto"/>
              <w:bottom w:val="single" w:sz="4" w:space="0" w:color="auto"/>
              <w:right w:val="single" w:sz="12"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Spôsob transp.</w:t>
            </w:r>
          </w:p>
          <w:p w:rsidR="00A71ABE" w:rsidRPr="00870476" w:rsidRDefault="00A9063F" w:rsidP="00A71ABE">
            <w:pPr>
              <w:pStyle w:val="Normlny0"/>
              <w:jc w:val="center"/>
              <w:rPr>
                <w:rFonts w:ascii="Arial Narrow" w:hAnsi="Arial Narrow"/>
                <w:sz w:val="22"/>
                <w:szCs w:val="22"/>
              </w:rPr>
            </w:pPr>
            <w:r w:rsidRPr="00870476">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Číslo</w:t>
            </w:r>
          </w:p>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Zhoda</w:t>
            </w:r>
          </w:p>
        </w:tc>
        <w:tc>
          <w:tcPr>
            <w:tcW w:w="934" w:type="dxa"/>
            <w:tcBorders>
              <w:top w:val="single" w:sz="4" w:space="0" w:color="auto"/>
              <w:left w:val="single" w:sz="4" w:space="0" w:color="auto"/>
              <w:bottom w:val="single" w:sz="4" w:space="0" w:color="auto"/>
              <w:right w:val="single" w:sz="12" w:space="0" w:color="auto"/>
            </w:tcBorders>
          </w:tcPr>
          <w:p w:rsidR="00A9063F" w:rsidRPr="00870476" w:rsidRDefault="00A9063F">
            <w:pPr>
              <w:pStyle w:val="Normlny0"/>
              <w:jc w:val="center"/>
              <w:rPr>
                <w:rFonts w:ascii="Arial Narrow" w:hAnsi="Arial Narrow"/>
                <w:sz w:val="22"/>
                <w:szCs w:val="22"/>
              </w:rPr>
            </w:pPr>
            <w:r w:rsidRPr="00870476">
              <w:rPr>
                <w:rFonts w:ascii="Arial Narrow" w:hAnsi="Arial Narrow"/>
                <w:sz w:val="22"/>
                <w:szCs w:val="22"/>
              </w:rPr>
              <w:t>Poznámky</w:t>
            </w:r>
          </w:p>
        </w:tc>
      </w:tr>
      <w:tr w:rsidR="00C23B45" w:rsidRPr="00870476" w:rsidTr="000F6E14">
        <w:tc>
          <w:tcPr>
            <w:tcW w:w="682" w:type="dxa"/>
            <w:tcBorders>
              <w:top w:val="single" w:sz="4" w:space="0" w:color="auto"/>
              <w:left w:val="single" w:sz="12" w:space="0" w:color="auto"/>
              <w:right w:val="single" w:sz="4" w:space="0" w:color="auto"/>
            </w:tcBorders>
          </w:tcPr>
          <w:p w:rsidR="00C23B45" w:rsidRPr="00870476" w:rsidRDefault="00D66A56" w:rsidP="003E6CDD">
            <w:pPr>
              <w:jc w:val="center"/>
              <w:rPr>
                <w:rFonts w:ascii="Arial Narrow" w:hAnsi="Arial Narrow"/>
                <w:sz w:val="22"/>
                <w:szCs w:val="22"/>
              </w:rPr>
            </w:pPr>
            <w:r w:rsidRPr="00870476">
              <w:rPr>
                <w:rFonts w:ascii="Arial Narrow" w:hAnsi="Arial Narrow"/>
                <w:sz w:val="22"/>
                <w:szCs w:val="22"/>
              </w:rPr>
              <w:t>Č:</w:t>
            </w:r>
            <w:r w:rsidR="00C23B45" w:rsidRPr="00870476">
              <w:rPr>
                <w:rFonts w:ascii="Arial Narrow" w:hAnsi="Arial Narrow"/>
                <w:sz w:val="22"/>
                <w:szCs w:val="22"/>
              </w:rPr>
              <w:t xml:space="preserve"> 1 P:a</w:t>
            </w:r>
          </w:p>
        </w:tc>
        <w:tc>
          <w:tcPr>
            <w:tcW w:w="6604" w:type="dxa"/>
            <w:tcBorders>
              <w:top w:val="single" w:sz="4" w:space="0" w:color="auto"/>
              <w:left w:val="single" w:sz="4" w:space="0" w:color="auto"/>
              <w:right w:val="single" w:sz="4" w:space="0" w:color="auto"/>
            </w:tcBorders>
          </w:tcPr>
          <w:p w:rsidR="00C23B45" w:rsidRPr="00870476" w:rsidRDefault="00C23B45" w:rsidP="003E6CDD">
            <w:pPr>
              <w:adjustRightInd w:val="0"/>
              <w:spacing w:before="75"/>
              <w:rPr>
                <w:rFonts w:ascii="Arial Narrow" w:hAnsi="Arial Narrow"/>
                <w:sz w:val="22"/>
                <w:szCs w:val="22"/>
              </w:rPr>
            </w:pPr>
            <w:r w:rsidRPr="00870476">
              <w:rPr>
                <w:rFonts w:ascii="Arial Narrow" w:hAnsi="Arial Narrow"/>
                <w:sz w:val="22"/>
                <w:szCs w:val="22"/>
              </w:rPr>
              <w:t xml:space="preserve">Rozsah pôsobnosti </w:t>
            </w:r>
          </w:p>
          <w:p w:rsidR="00D66A56" w:rsidRPr="00870476" w:rsidRDefault="00C23B45" w:rsidP="003E6CDD">
            <w:pPr>
              <w:adjustRightInd w:val="0"/>
              <w:spacing w:before="75"/>
              <w:rPr>
                <w:rFonts w:ascii="Arial Narrow" w:hAnsi="Arial Narrow"/>
                <w:sz w:val="22"/>
                <w:szCs w:val="22"/>
              </w:rPr>
            </w:pPr>
            <w:r w:rsidRPr="00870476">
              <w:rPr>
                <w:rFonts w:ascii="Arial Narrow" w:hAnsi="Arial Narrow"/>
                <w:sz w:val="22"/>
                <w:szCs w:val="22"/>
              </w:rPr>
              <w:t xml:space="preserve">1. Koordinačné opatrenia stanovené touto smernicou sa vzťahujú na zákony, iné právne predpisy a správne opatrenia členských štátov týkajúce sa druhov podnikov, ktoré sú uvedené: </w:t>
            </w:r>
          </w:p>
          <w:p w:rsidR="00C23B45" w:rsidRPr="00870476" w:rsidRDefault="00C23B45" w:rsidP="003E6CDD">
            <w:pPr>
              <w:adjustRightInd w:val="0"/>
              <w:spacing w:before="75"/>
              <w:rPr>
                <w:rFonts w:ascii="Arial Narrow" w:hAnsi="Arial Narrow"/>
                <w:color w:val="000000"/>
                <w:sz w:val="22"/>
                <w:szCs w:val="22"/>
              </w:rPr>
            </w:pPr>
            <w:r w:rsidRPr="00870476">
              <w:rPr>
                <w:rFonts w:ascii="Arial Narrow" w:hAnsi="Arial Narrow"/>
                <w:sz w:val="22"/>
                <w:szCs w:val="22"/>
              </w:rPr>
              <w:t>a) v prílohe I;</w:t>
            </w:r>
          </w:p>
        </w:tc>
        <w:tc>
          <w:tcPr>
            <w:tcW w:w="767" w:type="dxa"/>
            <w:vMerge w:val="restart"/>
            <w:tcBorders>
              <w:top w:val="single" w:sz="4" w:space="0" w:color="auto"/>
              <w:left w:val="single" w:sz="4" w:space="0" w:color="auto"/>
              <w:right w:val="single" w:sz="12" w:space="0" w:color="auto"/>
            </w:tcBorders>
          </w:tcPr>
          <w:p w:rsidR="00C23B45" w:rsidRPr="00870476" w:rsidRDefault="00C23B45" w:rsidP="00F1639F">
            <w:pPr>
              <w:adjustRightInd w:val="0"/>
              <w:rPr>
                <w:rFonts w:ascii="Arial Narrow" w:hAnsi="Arial Narrow"/>
                <w:color w:val="000000"/>
                <w:sz w:val="22"/>
                <w:szCs w:val="22"/>
              </w:rPr>
            </w:pPr>
            <w:r w:rsidRPr="00870476">
              <w:rPr>
                <w:rFonts w:ascii="Arial Narrow" w:hAnsi="Arial Narrow"/>
                <w:color w:val="000000"/>
                <w:sz w:val="22"/>
                <w:szCs w:val="22"/>
              </w:rPr>
              <w:t>N</w:t>
            </w:r>
          </w:p>
        </w:tc>
        <w:tc>
          <w:tcPr>
            <w:tcW w:w="851" w:type="dxa"/>
            <w:vMerge w:val="restart"/>
            <w:tcBorders>
              <w:top w:val="single" w:sz="4" w:space="0" w:color="auto"/>
              <w:left w:val="nil"/>
              <w:right w:val="single" w:sz="4" w:space="0" w:color="auto"/>
            </w:tcBorders>
          </w:tcPr>
          <w:p w:rsidR="00C23B45" w:rsidRPr="00870476" w:rsidRDefault="00C23B45" w:rsidP="003E6CDD">
            <w:pPr>
              <w:adjustRightInd w:val="0"/>
              <w:rPr>
                <w:rFonts w:ascii="Arial Narrow" w:hAnsi="Arial Narrow"/>
                <w:color w:val="000000"/>
                <w:sz w:val="22"/>
                <w:szCs w:val="22"/>
              </w:rPr>
            </w:pPr>
            <w:r w:rsidRPr="00870476">
              <w:rPr>
                <w:rFonts w:ascii="Arial Narrow" w:hAnsi="Arial Narrow"/>
                <w:color w:val="000000"/>
                <w:sz w:val="22"/>
                <w:szCs w:val="22"/>
              </w:rPr>
              <w:t>431/2002</w:t>
            </w:r>
          </w:p>
          <w:p w:rsidR="00C23B45" w:rsidRPr="00870476" w:rsidRDefault="00C23B45" w:rsidP="009B7F21">
            <w:pPr>
              <w:adjustRightInd w:val="0"/>
              <w:rPr>
                <w:rFonts w:ascii="Arial Narrow" w:hAnsi="Arial Narrow"/>
                <w:b/>
                <w:color w:val="000000"/>
                <w:sz w:val="22"/>
                <w:szCs w:val="22"/>
              </w:rPr>
            </w:pPr>
          </w:p>
        </w:tc>
        <w:tc>
          <w:tcPr>
            <w:tcW w:w="850" w:type="dxa"/>
            <w:vMerge w:val="restart"/>
            <w:tcBorders>
              <w:top w:val="single" w:sz="4" w:space="0" w:color="auto"/>
              <w:left w:val="single" w:sz="4" w:space="0" w:color="auto"/>
              <w:right w:val="single" w:sz="4" w:space="0" w:color="auto"/>
            </w:tcBorders>
          </w:tcPr>
          <w:p w:rsidR="00C23B45" w:rsidRPr="00870476" w:rsidRDefault="00C23B45"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 1</w:t>
            </w:r>
          </w:p>
          <w:p w:rsidR="00C23B45" w:rsidRPr="00870476" w:rsidRDefault="00C23B45"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O: 1</w:t>
            </w:r>
          </w:p>
        </w:tc>
        <w:tc>
          <w:tcPr>
            <w:tcW w:w="4678" w:type="dxa"/>
            <w:vMerge w:val="restart"/>
            <w:tcBorders>
              <w:top w:val="single" w:sz="4" w:space="0" w:color="auto"/>
              <w:left w:val="single" w:sz="4" w:space="0" w:color="auto"/>
              <w:right w:val="single" w:sz="4" w:space="0" w:color="auto"/>
            </w:tcBorders>
          </w:tcPr>
          <w:p w:rsidR="00C23B45" w:rsidRPr="00870476" w:rsidRDefault="00C23B45" w:rsidP="003E6CDD">
            <w:pPr>
              <w:adjustRightInd w:val="0"/>
              <w:rPr>
                <w:rFonts w:ascii="Arial Narrow" w:hAnsi="Arial Narrow"/>
                <w:sz w:val="22"/>
                <w:szCs w:val="22"/>
              </w:rPr>
            </w:pPr>
            <w:r w:rsidRPr="00870476">
              <w:rPr>
                <w:rFonts w:ascii="Arial Narrow" w:hAnsi="Arial Narrow"/>
                <w:sz w:val="22"/>
                <w:szCs w:val="22"/>
              </w:rPr>
              <w:t xml:space="preserve">Tento zákon upravuje </w:t>
            </w:r>
          </w:p>
          <w:p w:rsidR="00C23B45" w:rsidRPr="00870476" w:rsidRDefault="00C23B45" w:rsidP="003E6CDD">
            <w:pPr>
              <w:adjustRightInd w:val="0"/>
              <w:rPr>
                <w:rFonts w:ascii="Arial Narrow" w:hAnsi="Arial Narrow"/>
                <w:sz w:val="22"/>
                <w:szCs w:val="22"/>
              </w:rPr>
            </w:pPr>
            <w:r w:rsidRPr="00870476">
              <w:rPr>
                <w:rFonts w:ascii="Arial Narrow" w:hAnsi="Arial Narrow"/>
                <w:sz w:val="22"/>
                <w:szCs w:val="22"/>
              </w:rPr>
              <w:t xml:space="preserve">a) rozsah, spôsob a preukázateľnosť vedenia účtovníctva </w:t>
            </w:r>
          </w:p>
          <w:p w:rsidR="00C23B45" w:rsidRPr="00870476" w:rsidRDefault="00C23B45" w:rsidP="003E6CDD">
            <w:pPr>
              <w:adjustRightInd w:val="0"/>
              <w:rPr>
                <w:rFonts w:ascii="Arial Narrow" w:hAnsi="Arial Narrow"/>
                <w:sz w:val="22"/>
                <w:szCs w:val="22"/>
              </w:rPr>
            </w:pPr>
            <w:r w:rsidRPr="00870476">
              <w:rPr>
                <w:rFonts w:ascii="Arial Narrow" w:hAnsi="Arial Narrow"/>
                <w:sz w:val="22"/>
                <w:szCs w:val="22"/>
              </w:rPr>
              <w:t xml:space="preserve">1. právnických osôb,(1) ktoré majú sídlo na území Slovenskej republiky, </w:t>
            </w:r>
          </w:p>
          <w:p w:rsidR="00C23B45" w:rsidRPr="00870476" w:rsidRDefault="00C23B45" w:rsidP="003E6CDD">
            <w:pPr>
              <w:adjustRightInd w:val="0"/>
              <w:rPr>
                <w:rFonts w:ascii="Arial Narrow" w:hAnsi="Arial Narrow"/>
                <w:sz w:val="22"/>
                <w:szCs w:val="22"/>
              </w:rPr>
            </w:pPr>
            <w:r w:rsidRPr="00870476">
              <w:rPr>
                <w:rFonts w:ascii="Arial Narrow" w:hAnsi="Arial Narrow"/>
                <w:sz w:val="22"/>
                <w:szCs w:val="22"/>
              </w:rPr>
              <w:t xml:space="preserve">2. zahraničných </w:t>
            </w:r>
            <w:r w:rsidR="00C22392" w:rsidRPr="00870476">
              <w:rPr>
                <w:rFonts w:ascii="Arial Narrow" w:hAnsi="Arial Narrow"/>
                <w:sz w:val="22"/>
                <w:szCs w:val="22"/>
              </w:rPr>
              <w:t xml:space="preserve">právnických </w:t>
            </w:r>
            <w:r w:rsidRPr="00870476">
              <w:rPr>
                <w:rFonts w:ascii="Arial Narrow" w:hAnsi="Arial Narrow"/>
                <w:sz w:val="22"/>
                <w:szCs w:val="22"/>
              </w:rPr>
              <w:t xml:space="preserve">osôb,(2) ak na území Slovenskej republiky podnikajú alebo vykonávajú inú činnosť podľa osobitných predpisov,(3) </w:t>
            </w:r>
          </w:p>
          <w:p w:rsidR="00C23B45" w:rsidRDefault="00C23B45" w:rsidP="003E6CDD">
            <w:pPr>
              <w:adjustRightInd w:val="0"/>
              <w:rPr>
                <w:rFonts w:ascii="Arial Narrow" w:hAnsi="Arial Narrow"/>
                <w:sz w:val="22"/>
                <w:szCs w:val="22"/>
              </w:rPr>
            </w:pPr>
            <w:r w:rsidRPr="00870476">
              <w:rPr>
                <w:rFonts w:ascii="Arial Narrow" w:hAnsi="Arial Narrow"/>
                <w:sz w:val="22"/>
                <w:szCs w:val="22"/>
              </w:rPr>
              <w:t xml:space="preserve">3. </w:t>
            </w:r>
            <w:r w:rsidR="00C22392" w:rsidRPr="00870476">
              <w:rPr>
                <w:rFonts w:ascii="Arial Narrow" w:hAnsi="Arial Narrow"/>
                <w:sz w:val="22"/>
                <w:szCs w:val="22"/>
              </w:rPr>
              <w:t xml:space="preserve">zahraničných </w:t>
            </w:r>
            <w:r w:rsidRPr="00870476">
              <w:rPr>
                <w:rFonts w:ascii="Arial Narrow" w:hAnsi="Arial Narrow"/>
                <w:sz w:val="22"/>
                <w:szCs w:val="22"/>
              </w:rPr>
              <w:t>fyzických osôb</w:t>
            </w:r>
            <w:r w:rsidR="00C22392" w:rsidRPr="00870476">
              <w:rPr>
                <w:rFonts w:ascii="Arial Narrow" w:hAnsi="Arial Narrow"/>
                <w:sz w:val="22"/>
                <w:szCs w:val="22"/>
              </w:rPr>
              <w:t>(</w:t>
            </w:r>
            <w:r w:rsidR="00B46D40" w:rsidRPr="00870476">
              <w:rPr>
                <w:rFonts w:ascii="Arial Narrow" w:hAnsi="Arial Narrow"/>
                <w:sz w:val="22"/>
                <w:szCs w:val="22"/>
              </w:rPr>
              <w:t>3a</w:t>
            </w:r>
            <w:r w:rsidR="00C22392" w:rsidRPr="00870476">
              <w:rPr>
                <w:rFonts w:ascii="Arial Narrow" w:hAnsi="Arial Narrow"/>
                <w:sz w:val="22"/>
                <w:szCs w:val="22"/>
              </w:rPr>
              <w:t>) a slovenských fyzických osôb</w:t>
            </w:r>
            <w:r w:rsidRPr="00870476">
              <w:rPr>
                <w:rFonts w:ascii="Arial Narrow" w:hAnsi="Arial Narrow"/>
                <w:sz w:val="22"/>
                <w:szCs w:val="22"/>
              </w:rPr>
              <w:t>, ktoré podnikajú alebo vykonávajú inú samostatnú zárobkovú činnosť, ak preukazujú svoje výdavky vynaložené na dosiahnutie, zabezpečenie a udržanie príjmov na účely zistenia základu dane z príjmov podľa osobitného predpisu4 )</w:t>
            </w:r>
            <w:r w:rsidR="00C22392" w:rsidRPr="00870476">
              <w:rPr>
                <w:rFonts w:ascii="Arial Narrow" w:hAnsi="Arial Narrow"/>
                <w:sz w:val="22"/>
                <w:szCs w:val="22"/>
              </w:rPr>
              <w:t>okrem</w:t>
            </w:r>
            <w:r w:rsidRPr="00870476">
              <w:rPr>
                <w:rFonts w:ascii="Arial Narrow" w:hAnsi="Arial Narrow"/>
                <w:sz w:val="22"/>
                <w:szCs w:val="22"/>
              </w:rPr>
              <w:t xml:space="preserve"> </w:t>
            </w:r>
            <w:r w:rsidR="00C22392" w:rsidRPr="00870476">
              <w:rPr>
                <w:rFonts w:ascii="Arial Narrow" w:hAnsi="Arial Narrow"/>
                <w:sz w:val="22"/>
                <w:szCs w:val="22"/>
              </w:rPr>
              <w:t xml:space="preserve">zahraničných fyzických osôb a slovenských </w:t>
            </w:r>
            <w:r w:rsidRPr="00870476">
              <w:rPr>
                <w:rFonts w:ascii="Arial Narrow" w:hAnsi="Arial Narrow"/>
                <w:sz w:val="22"/>
                <w:szCs w:val="22"/>
              </w:rPr>
              <w:t>fyzických osôb, ktoré vedú daňovú evidenciu podľa osobitného predpisu, (4a)</w:t>
            </w:r>
            <w:r w:rsidR="00C22392" w:rsidRPr="00870476">
              <w:rPr>
                <w:rFonts w:ascii="Arial Narrow" w:hAnsi="Arial Narrow"/>
                <w:sz w:val="22"/>
                <w:szCs w:val="22"/>
              </w:rPr>
              <w:t xml:space="preserve"> pričom slovenskou fyzickou osobou sa na účely tohto zákona rozumie fyzická osoba, ktorá má trvalý pobyt (4aa) na území Slovenskej republiky,</w:t>
            </w:r>
            <w:r w:rsidRPr="00870476">
              <w:rPr>
                <w:rFonts w:ascii="Arial Narrow" w:hAnsi="Arial Narrow"/>
                <w:sz w:val="22"/>
                <w:szCs w:val="22"/>
              </w:rPr>
              <w:t xml:space="preserve"> </w:t>
            </w:r>
          </w:p>
          <w:p w:rsidR="009A11FB" w:rsidRDefault="009A11FB" w:rsidP="003E6CDD">
            <w:pPr>
              <w:adjustRightInd w:val="0"/>
              <w:rPr>
                <w:rFonts w:ascii="Arial Narrow" w:hAnsi="Arial Narrow"/>
                <w:sz w:val="22"/>
                <w:szCs w:val="22"/>
              </w:rPr>
            </w:pPr>
            <w:r>
              <w:rPr>
                <w:rFonts w:ascii="Arial Narrow" w:hAnsi="Arial Narrow"/>
                <w:sz w:val="22"/>
                <w:szCs w:val="22"/>
              </w:rPr>
              <w:t xml:space="preserve">4. </w:t>
            </w:r>
            <w:r w:rsidRPr="00D7533A">
              <w:rPr>
                <w:rFonts w:ascii="Arial Narrow" w:hAnsi="Arial Narrow"/>
                <w:sz w:val="22"/>
                <w:szCs w:val="22"/>
              </w:rPr>
              <w:t>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w:t>
            </w:r>
          </w:p>
          <w:p w:rsidR="009A11FB" w:rsidRPr="00870476" w:rsidRDefault="009A11FB" w:rsidP="003E6CDD">
            <w:pPr>
              <w:adjustRightInd w:val="0"/>
              <w:rPr>
                <w:rFonts w:ascii="Arial Narrow" w:hAnsi="Arial Narrow"/>
                <w:sz w:val="22"/>
                <w:szCs w:val="22"/>
              </w:rPr>
            </w:pPr>
          </w:p>
          <w:p w:rsidR="00C23B45" w:rsidRPr="00870476" w:rsidRDefault="00C23B45" w:rsidP="003E6CDD">
            <w:pPr>
              <w:adjustRightInd w:val="0"/>
              <w:rPr>
                <w:rFonts w:ascii="Arial Narrow" w:hAnsi="Arial Narrow"/>
                <w:sz w:val="22"/>
                <w:szCs w:val="22"/>
              </w:rPr>
            </w:pPr>
            <w:r w:rsidRPr="00870476">
              <w:rPr>
                <w:rFonts w:ascii="Arial Narrow" w:hAnsi="Arial Narrow"/>
                <w:sz w:val="22"/>
                <w:szCs w:val="22"/>
              </w:rPr>
              <w:t xml:space="preserve">b) rozsah, obsah a preukázateľnosť účtovnej závierky, </w:t>
            </w:r>
          </w:p>
          <w:p w:rsidR="0003471E" w:rsidRDefault="00C23B45" w:rsidP="003E6CDD">
            <w:pPr>
              <w:adjustRightInd w:val="0"/>
              <w:rPr>
                <w:rFonts w:ascii="Arial Narrow" w:hAnsi="Arial Narrow"/>
                <w:sz w:val="22"/>
                <w:szCs w:val="22"/>
              </w:rPr>
            </w:pPr>
            <w:r w:rsidRPr="00870476">
              <w:rPr>
                <w:rFonts w:ascii="Arial Narrow" w:hAnsi="Arial Narrow"/>
                <w:sz w:val="22"/>
                <w:szCs w:val="22"/>
              </w:rPr>
              <w:lastRenderedPageBreak/>
              <w:t>c) register účtovných závierok (ďalej len "register").</w:t>
            </w:r>
          </w:p>
          <w:p w:rsidR="009A11FB" w:rsidRPr="00870476" w:rsidRDefault="009A11FB" w:rsidP="003E6CDD">
            <w:pPr>
              <w:adjustRightInd w:val="0"/>
              <w:rPr>
                <w:rFonts w:ascii="Arial Narrow" w:hAnsi="Arial Narrow"/>
                <w:sz w:val="22"/>
                <w:szCs w:val="22"/>
              </w:rPr>
            </w:pPr>
          </w:p>
          <w:p w:rsidR="0003471E" w:rsidRPr="00870476" w:rsidRDefault="0003471E" w:rsidP="0003471E">
            <w:pPr>
              <w:adjustRightInd w:val="0"/>
              <w:rPr>
                <w:rFonts w:ascii="Arial Narrow" w:hAnsi="Arial Narrow"/>
                <w:color w:val="000000"/>
                <w:sz w:val="22"/>
                <w:szCs w:val="22"/>
              </w:rPr>
            </w:pPr>
            <w:r w:rsidRPr="00870476">
              <w:rPr>
                <w:rFonts w:ascii="Arial Narrow" w:hAnsi="Arial Narrow"/>
                <w:color w:val="000000"/>
                <w:sz w:val="22"/>
                <w:szCs w:val="22"/>
              </w:rPr>
              <w:t xml:space="preserve">Poznámky pod čiarou k odkazom </w:t>
            </w:r>
            <w:r w:rsidR="009A11FB">
              <w:rPr>
                <w:rFonts w:ascii="Arial Narrow" w:hAnsi="Arial Narrow"/>
                <w:color w:val="000000"/>
                <w:sz w:val="22"/>
                <w:szCs w:val="22"/>
              </w:rPr>
              <w:t>1</w:t>
            </w:r>
            <w:r w:rsidRPr="00870476">
              <w:rPr>
                <w:rFonts w:ascii="Arial Narrow" w:hAnsi="Arial Narrow"/>
                <w:color w:val="000000"/>
                <w:sz w:val="22"/>
                <w:szCs w:val="22"/>
              </w:rPr>
              <w:t xml:space="preserve"> a</w:t>
            </w:r>
            <w:r w:rsidR="00E87512">
              <w:rPr>
                <w:rFonts w:ascii="Arial Narrow" w:hAnsi="Arial Narrow"/>
                <w:color w:val="000000"/>
                <w:sz w:val="22"/>
                <w:szCs w:val="22"/>
              </w:rPr>
              <w:t>ž</w:t>
            </w:r>
            <w:r w:rsidRPr="00870476">
              <w:rPr>
                <w:rFonts w:ascii="Arial Narrow" w:hAnsi="Arial Narrow"/>
                <w:color w:val="000000"/>
                <w:sz w:val="22"/>
                <w:szCs w:val="22"/>
              </w:rPr>
              <w:t xml:space="preserve"> 4aa znejú:</w:t>
            </w:r>
          </w:p>
          <w:p w:rsidR="009A11FB" w:rsidRDefault="009A11FB" w:rsidP="009A11FB">
            <w:pPr>
              <w:adjustRightInd w:val="0"/>
              <w:rPr>
                <w:rFonts w:ascii="Arial Narrow" w:hAnsi="Arial Narrow"/>
                <w:color w:val="000000"/>
                <w:sz w:val="22"/>
                <w:szCs w:val="22"/>
              </w:rPr>
            </w:pPr>
            <w:r>
              <w:rPr>
                <w:rFonts w:ascii="Arial Narrow" w:hAnsi="Arial Narrow"/>
                <w:color w:val="000000"/>
                <w:sz w:val="22"/>
                <w:szCs w:val="22"/>
              </w:rPr>
              <w:t>1) § 18 Občianskeho zákonníka v znení neskorších predpisov.</w:t>
            </w:r>
          </w:p>
          <w:p w:rsidR="0003471E" w:rsidRDefault="0003471E" w:rsidP="0003471E">
            <w:pPr>
              <w:adjustRightInd w:val="0"/>
              <w:rPr>
                <w:rFonts w:ascii="Arial Narrow" w:hAnsi="Arial Narrow"/>
                <w:color w:val="000000"/>
                <w:sz w:val="22"/>
                <w:szCs w:val="22"/>
              </w:rPr>
            </w:pPr>
            <w:r w:rsidRPr="00870476">
              <w:rPr>
                <w:rFonts w:ascii="Arial Narrow" w:hAnsi="Arial Narrow"/>
                <w:color w:val="000000"/>
                <w:sz w:val="22"/>
                <w:szCs w:val="22"/>
              </w:rPr>
              <w:t xml:space="preserve">2) § 21 </w:t>
            </w:r>
            <w:r w:rsidR="00B46D40" w:rsidRPr="00870476">
              <w:rPr>
                <w:rFonts w:ascii="Arial Narrow" w:hAnsi="Arial Narrow"/>
                <w:color w:val="000000"/>
                <w:sz w:val="22"/>
                <w:szCs w:val="22"/>
              </w:rPr>
              <w:t xml:space="preserve">ods. 4 písm. b) </w:t>
            </w:r>
            <w:r w:rsidRPr="00870476">
              <w:rPr>
                <w:rFonts w:ascii="Arial Narrow" w:hAnsi="Arial Narrow"/>
                <w:color w:val="000000"/>
                <w:sz w:val="22"/>
                <w:szCs w:val="22"/>
              </w:rPr>
              <w:t>Obchodného zákonníka.</w:t>
            </w:r>
          </w:p>
          <w:p w:rsidR="009A11FB" w:rsidRPr="00870476" w:rsidRDefault="009A11FB" w:rsidP="0003471E">
            <w:pPr>
              <w:adjustRightInd w:val="0"/>
              <w:rPr>
                <w:rFonts w:ascii="Arial Narrow" w:hAnsi="Arial Narrow"/>
                <w:color w:val="000000"/>
                <w:sz w:val="22"/>
                <w:szCs w:val="22"/>
              </w:rPr>
            </w:pPr>
            <w:r>
              <w:rPr>
                <w:rFonts w:ascii="Arial Narrow" w:hAnsi="Arial Narrow"/>
                <w:color w:val="000000"/>
                <w:sz w:val="22"/>
                <w:szCs w:val="22"/>
              </w:rPr>
              <w:t>3) Napr. zákon č. 34/2002 Z. z. o nadáciách a o zmene Občianskeho zákonníka v znení neskorších predpisov</w:t>
            </w:r>
          </w:p>
          <w:p w:rsidR="006F1121" w:rsidRDefault="006F1121" w:rsidP="0003471E">
            <w:pPr>
              <w:adjustRightInd w:val="0"/>
              <w:rPr>
                <w:rFonts w:ascii="Arial Narrow" w:hAnsi="Arial Narrow"/>
                <w:color w:val="000000"/>
                <w:sz w:val="22"/>
                <w:szCs w:val="22"/>
              </w:rPr>
            </w:pPr>
            <w:r w:rsidRPr="00870476">
              <w:rPr>
                <w:rFonts w:ascii="Arial Narrow" w:hAnsi="Arial Narrow"/>
                <w:color w:val="000000"/>
                <w:sz w:val="22"/>
                <w:szCs w:val="22"/>
              </w:rPr>
              <w:t>3a) § 21 ods. 4 písm. a) Obchodného zákonníka.</w:t>
            </w:r>
          </w:p>
          <w:p w:rsidR="009A11FB" w:rsidRDefault="009A11FB" w:rsidP="009A11FB">
            <w:pPr>
              <w:adjustRightInd w:val="0"/>
              <w:rPr>
                <w:rFonts w:ascii="Arial Narrow" w:hAnsi="Arial Narrow"/>
                <w:color w:val="000000"/>
                <w:sz w:val="22"/>
                <w:szCs w:val="22"/>
              </w:rPr>
            </w:pPr>
            <w:r>
              <w:rPr>
                <w:rFonts w:ascii="Arial Narrow" w:hAnsi="Arial Narrow"/>
                <w:color w:val="000000"/>
                <w:sz w:val="22"/>
                <w:szCs w:val="22"/>
              </w:rPr>
              <w:t xml:space="preserve">4) Zákon č. 595/2003 Z. z. o dani z príjmov v znení neskorších predpisov. </w:t>
            </w:r>
          </w:p>
          <w:p w:rsidR="009A11FB" w:rsidRPr="00870476" w:rsidRDefault="009A11FB" w:rsidP="009A11FB">
            <w:pPr>
              <w:adjustRightInd w:val="0"/>
              <w:rPr>
                <w:rFonts w:ascii="Arial Narrow" w:hAnsi="Arial Narrow"/>
                <w:color w:val="000000"/>
                <w:sz w:val="22"/>
                <w:szCs w:val="22"/>
              </w:rPr>
            </w:pPr>
            <w:r>
              <w:rPr>
                <w:rFonts w:ascii="Arial Narrow" w:hAnsi="Arial Narrow"/>
                <w:color w:val="000000"/>
                <w:sz w:val="22"/>
                <w:szCs w:val="22"/>
              </w:rPr>
              <w:t>4a) § 6 ods. 11 zákona č. 595/2003 Z. z. v znení neskorších predpisov.</w:t>
            </w:r>
          </w:p>
          <w:p w:rsidR="0003471E" w:rsidRPr="00870476" w:rsidRDefault="0003471E" w:rsidP="0003471E">
            <w:pPr>
              <w:adjustRightInd w:val="0"/>
              <w:rPr>
                <w:rFonts w:ascii="Arial Narrow" w:hAnsi="Arial Narrow"/>
                <w:color w:val="000000"/>
                <w:sz w:val="22"/>
                <w:szCs w:val="22"/>
              </w:rPr>
            </w:pPr>
            <w:r w:rsidRPr="00870476">
              <w:rPr>
                <w:rFonts w:ascii="Arial Narrow" w:hAnsi="Arial Narrow"/>
                <w:color w:val="000000"/>
                <w:sz w:val="22"/>
                <w:szCs w:val="22"/>
              </w:rPr>
              <w:t>4aa) § 3 zákona č. 253/1998 Z. z. o hlásení pobytu občanov Slovenskej republiky a registri obyvateľov Slovenskej republiky v znení neskorších predpisov.</w:t>
            </w:r>
          </w:p>
          <w:p w:rsidR="0003471E" w:rsidRPr="00870476" w:rsidRDefault="0003471E" w:rsidP="0003471E">
            <w:pPr>
              <w:adjustRightInd w:val="0"/>
              <w:rPr>
                <w:rFonts w:ascii="Arial Narrow" w:hAnsi="Arial Narrow"/>
                <w:color w:val="000000"/>
                <w:sz w:val="22"/>
                <w:szCs w:val="22"/>
              </w:rPr>
            </w:pPr>
            <w:r w:rsidRPr="00870476">
              <w:rPr>
                <w:rFonts w:ascii="Arial Narrow" w:hAnsi="Arial Narrow"/>
                <w:color w:val="000000"/>
                <w:sz w:val="22"/>
                <w:szCs w:val="22"/>
              </w:rPr>
              <w:t xml:space="preserve">§ 42 zákona č. 404/2011 Z. z. o pobyte cudzincov a o zmene </w:t>
            </w:r>
            <w:r w:rsidR="009B7F21" w:rsidRPr="00870476">
              <w:rPr>
                <w:rFonts w:ascii="Arial Narrow" w:hAnsi="Arial Narrow"/>
                <w:color w:val="000000"/>
                <w:sz w:val="22"/>
                <w:szCs w:val="22"/>
              </w:rPr>
              <w:t>a doplnení niektorých zákonov.</w:t>
            </w:r>
          </w:p>
        </w:tc>
        <w:tc>
          <w:tcPr>
            <w:tcW w:w="709" w:type="dxa"/>
            <w:vMerge w:val="restart"/>
            <w:tcBorders>
              <w:top w:val="single" w:sz="4" w:space="0" w:color="auto"/>
              <w:left w:val="single" w:sz="4" w:space="0" w:color="auto"/>
              <w:right w:val="single" w:sz="4" w:space="0" w:color="auto"/>
            </w:tcBorders>
          </w:tcPr>
          <w:p w:rsidR="00C23B45" w:rsidRPr="00870476" w:rsidRDefault="00D66A56" w:rsidP="003E6CDD">
            <w:pPr>
              <w:adjustRightInd w:val="0"/>
              <w:rPr>
                <w:rFonts w:ascii="Arial Narrow" w:hAnsi="Arial Narrow"/>
                <w:color w:val="000000"/>
                <w:sz w:val="22"/>
                <w:szCs w:val="22"/>
              </w:rPr>
            </w:pPr>
            <w:r w:rsidRPr="00870476">
              <w:rPr>
                <w:rFonts w:ascii="Arial Narrow" w:hAnsi="Arial Narrow"/>
                <w:color w:val="000000"/>
                <w:sz w:val="22"/>
                <w:szCs w:val="22"/>
              </w:rPr>
              <w:lastRenderedPageBreak/>
              <w:t>Ú</w:t>
            </w:r>
          </w:p>
        </w:tc>
        <w:tc>
          <w:tcPr>
            <w:tcW w:w="934" w:type="dxa"/>
            <w:vMerge w:val="restart"/>
            <w:tcBorders>
              <w:top w:val="single" w:sz="4" w:space="0" w:color="auto"/>
              <w:left w:val="single" w:sz="4" w:space="0" w:color="auto"/>
              <w:right w:val="single" w:sz="12" w:space="0" w:color="auto"/>
            </w:tcBorders>
          </w:tcPr>
          <w:p w:rsidR="00C23B45" w:rsidRPr="00870476" w:rsidRDefault="00C23B45" w:rsidP="00C23B45">
            <w:pPr>
              <w:spacing w:before="75" w:after="75"/>
              <w:rPr>
                <w:rFonts w:ascii="Arial Narrow" w:hAnsi="Arial Narrow" w:cs="Arial"/>
                <w:sz w:val="22"/>
                <w:szCs w:val="22"/>
              </w:rPr>
            </w:pPr>
            <w:r w:rsidRPr="00870476">
              <w:rPr>
                <w:rFonts w:ascii="Arial Narrow" w:hAnsi="Arial Narrow"/>
                <w:sz w:val="22"/>
                <w:szCs w:val="22"/>
              </w:rPr>
              <w:t>MF/22933/2005-74, MF/15464/ 2013-74</w:t>
            </w:r>
          </w:p>
        </w:tc>
      </w:tr>
      <w:tr w:rsidR="00C23B45" w:rsidRPr="00870476" w:rsidTr="000F6E14">
        <w:trPr>
          <w:trHeight w:val="252"/>
        </w:trPr>
        <w:tc>
          <w:tcPr>
            <w:tcW w:w="682" w:type="dxa"/>
            <w:vMerge w:val="restart"/>
            <w:tcBorders>
              <w:top w:val="single" w:sz="4" w:space="0" w:color="auto"/>
              <w:left w:val="single" w:sz="12" w:space="0" w:color="auto"/>
              <w:right w:val="single" w:sz="4" w:space="0" w:color="auto"/>
            </w:tcBorders>
          </w:tcPr>
          <w:p w:rsidR="00D66A56" w:rsidRPr="00870476" w:rsidRDefault="004C289D" w:rsidP="003E6CDD">
            <w:pPr>
              <w:jc w:val="center"/>
              <w:rPr>
                <w:rFonts w:ascii="Arial Narrow" w:hAnsi="Arial Narrow"/>
                <w:sz w:val="22"/>
                <w:szCs w:val="22"/>
              </w:rPr>
            </w:pPr>
            <w:r w:rsidRPr="00870476">
              <w:rPr>
                <w:rFonts w:ascii="Arial Narrow" w:hAnsi="Arial Narrow"/>
                <w:sz w:val="22"/>
                <w:szCs w:val="22"/>
              </w:rPr>
              <w:t>Č</w:t>
            </w:r>
            <w:r w:rsidR="00D66A56" w:rsidRPr="00870476">
              <w:rPr>
                <w:rFonts w:ascii="Arial Narrow" w:hAnsi="Arial Narrow"/>
                <w:sz w:val="22"/>
                <w:szCs w:val="22"/>
              </w:rPr>
              <w:t>:</w:t>
            </w:r>
            <w:r w:rsidR="00C23B45" w:rsidRPr="00870476">
              <w:rPr>
                <w:rFonts w:ascii="Arial Narrow" w:hAnsi="Arial Narrow"/>
                <w:sz w:val="22"/>
                <w:szCs w:val="22"/>
              </w:rPr>
              <w:t xml:space="preserve"> 1 </w:t>
            </w:r>
          </w:p>
          <w:p w:rsidR="00C23B45" w:rsidRPr="00870476" w:rsidRDefault="00C23B45" w:rsidP="003E6CDD">
            <w:pPr>
              <w:jc w:val="center"/>
              <w:rPr>
                <w:rFonts w:ascii="Arial Narrow" w:hAnsi="Arial Narrow"/>
                <w:sz w:val="22"/>
                <w:szCs w:val="22"/>
              </w:rPr>
            </w:pPr>
            <w:r w:rsidRPr="00870476">
              <w:rPr>
                <w:rFonts w:ascii="Arial Narrow" w:hAnsi="Arial Narrow"/>
                <w:sz w:val="22"/>
                <w:szCs w:val="22"/>
              </w:rPr>
              <w:t>P: b</w:t>
            </w:r>
          </w:p>
          <w:p w:rsidR="00C23B45" w:rsidRPr="00870476" w:rsidRDefault="00C23B45" w:rsidP="00C23B45">
            <w:pPr>
              <w:rPr>
                <w:rFonts w:ascii="Arial Narrow" w:hAnsi="Arial Narrow"/>
                <w:sz w:val="22"/>
                <w:szCs w:val="22"/>
              </w:rPr>
            </w:pPr>
          </w:p>
        </w:tc>
        <w:tc>
          <w:tcPr>
            <w:tcW w:w="6604" w:type="dxa"/>
            <w:vMerge w:val="restart"/>
            <w:tcBorders>
              <w:top w:val="single" w:sz="4" w:space="0" w:color="auto"/>
              <w:left w:val="single" w:sz="4" w:space="0" w:color="auto"/>
              <w:right w:val="single" w:sz="4" w:space="0" w:color="auto"/>
            </w:tcBorders>
          </w:tcPr>
          <w:p w:rsidR="00D66A56" w:rsidRPr="00870476" w:rsidRDefault="00D66A56" w:rsidP="00C23B45">
            <w:pPr>
              <w:adjustRightInd w:val="0"/>
              <w:spacing w:before="75"/>
              <w:rPr>
                <w:rFonts w:ascii="Arial Narrow" w:hAnsi="Arial Narrow"/>
                <w:sz w:val="22"/>
                <w:szCs w:val="22"/>
              </w:rPr>
            </w:pPr>
            <w:r w:rsidRPr="00870476">
              <w:rPr>
                <w:rFonts w:ascii="Arial Narrow" w:hAnsi="Arial Narrow"/>
                <w:sz w:val="22"/>
                <w:szCs w:val="22"/>
              </w:rPr>
              <w:t>b)</w:t>
            </w:r>
            <w:r w:rsidR="00C23B45" w:rsidRPr="00870476">
              <w:rPr>
                <w:rFonts w:ascii="Arial Narrow" w:hAnsi="Arial Narrow"/>
                <w:sz w:val="22"/>
                <w:szCs w:val="22"/>
              </w:rPr>
              <w:t xml:space="preserve">v prílohe II, pričom všetci priami alebo nepriami spoločníci v podniku, ktorí inak ručia neobmedzene, v skutočnosti ručia obmedzene, pretože títo spoločníci sú podnikmi: </w:t>
            </w:r>
          </w:p>
          <w:p w:rsidR="00D66A56" w:rsidRPr="00870476" w:rsidRDefault="00C23B45" w:rsidP="00C23B45">
            <w:pPr>
              <w:adjustRightInd w:val="0"/>
              <w:spacing w:before="75"/>
              <w:rPr>
                <w:rFonts w:ascii="Arial Narrow" w:hAnsi="Arial Narrow"/>
                <w:sz w:val="22"/>
                <w:szCs w:val="22"/>
              </w:rPr>
            </w:pPr>
            <w:r w:rsidRPr="00870476">
              <w:rPr>
                <w:rFonts w:ascii="Arial Narrow" w:hAnsi="Arial Narrow"/>
                <w:sz w:val="22"/>
                <w:szCs w:val="22"/>
              </w:rPr>
              <w:t xml:space="preserve">i) druhu uvedeného v prílohe I; alebo </w:t>
            </w:r>
          </w:p>
          <w:p w:rsidR="00C23B45" w:rsidRPr="00870476" w:rsidRDefault="00C23B45" w:rsidP="00C23B45">
            <w:pPr>
              <w:adjustRightInd w:val="0"/>
              <w:spacing w:before="75"/>
              <w:rPr>
                <w:rFonts w:ascii="Arial Narrow" w:hAnsi="Arial Narrow"/>
                <w:color w:val="000000"/>
                <w:sz w:val="22"/>
                <w:szCs w:val="22"/>
              </w:rPr>
            </w:pPr>
            <w:r w:rsidRPr="00870476">
              <w:rPr>
                <w:rFonts w:ascii="Arial Narrow" w:hAnsi="Arial Narrow"/>
                <w:sz w:val="22"/>
                <w:szCs w:val="22"/>
              </w:rPr>
              <w:t xml:space="preserve">ii) na ktoré sa nevzťahuje právo niektorého členského štátu, ale ktorý má právnu formu porovnateľnú s formami uvedenými v prílohe I. </w:t>
            </w:r>
          </w:p>
        </w:tc>
        <w:tc>
          <w:tcPr>
            <w:tcW w:w="767" w:type="dxa"/>
            <w:vMerge/>
            <w:tcBorders>
              <w:left w:val="single" w:sz="4" w:space="0" w:color="auto"/>
              <w:right w:val="single" w:sz="12" w:space="0" w:color="auto"/>
            </w:tcBorders>
          </w:tcPr>
          <w:p w:rsidR="00C23B45" w:rsidRPr="00870476" w:rsidRDefault="00C23B45" w:rsidP="003E6CDD">
            <w:pPr>
              <w:adjustRightInd w:val="0"/>
              <w:rPr>
                <w:rFonts w:ascii="Arial Narrow" w:hAnsi="Arial Narrow"/>
                <w:color w:val="000000"/>
                <w:sz w:val="22"/>
                <w:szCs w:val="22"/>
              </w:rPr>
            </w:pPr>
          </w:p>
        </w:tc>
        <w:tc>
          <w:tcPr>
            <w:tcW w:w="851" w:type="dxa"/>
            <w:vMerge/>
            <w:tcBorders>
              <w:left w:val="nil"/>
              <w:right w:val="single" w:sz="4" w:space="0" w:color="auto"/>
            </w:tcBorders>
          </w:tcPr>
          <w:p w:rsidR="00C23B45" w:rsidRPr="00870476" w:rsidRDefault="00C23B45" w:rsidP="003E6CDD">
            <w:pPr>
              <w:adjustRightInd w:val="0"/>
              <w:rPr>
                <w:rFonts w:ascii="Arial Narrow" w:hAnsi="Arial Narrow"/>
                <w:color w:val="000000"/>
                <w:sz w:val="22"/>
                <w:szCs w:val="22"/>
              </w:rPr>
            </w:pPr>
          </w:p>
        </w:tc>
        <w:tc>
          <w:tcPr>
            <w:tcW w:w="850" w:type="dxa"/>
            <w:vMerge/>
            <w:tcBorders>
              <w:left w:val="single" w:sz="4" w:space="0" w:color="auto"/>
              <w:bottom w:val="single" w:sz="4" w:space="0" w:color="auto"/>
              <w:right w:val="single" w:sz="4" w:space="0" w:color="auto"/>
            </w:tcBorders>
          </w:tcPr>
          <w:p w:rsidR="00C23B45" w:rsidRPr="00870476" w:rsidRDefault="00C23B45" w:rsidP="003E6CDD">
            <w:pPr>
              <w:adjustRightInd w:val="0"/>
              <w:rPr>
                <w:rFonts w:ascii="Arial Narrow" w:hAnsi="Arial Narrow"/>
                <w:color w:val="000000"/>
                <w:sz w:val="22"/>
                <w:szCs w:val="22"/>
              </w:rPr>
            </w:pPr>
          </w:p>
        </w:tc>
        <w:tc>
          <w:tcPr>
            <w:tcW w:w="4678" w:type="dxa"/>
            <w:vMerge/>
            <w:tcBorders>
              <w:left w:val="single" w:sz="4" w:space="0" w:color="auto"/>
              <w:bottom w:val="single" w:sz="4" w:space="0" w:color="auto"/>
              <w:right w:val="single" w:sz="4" w:space="0" w:color="auto"/>
            </w:tcBorders>
          </w:tcPr>
          <w:p w:rsidR="00C23B45" w:rsidRPr="00870476" w:rsidRDefault="00C23B45" w:rsidP="003E6CDD">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C23B45" w:rsidRPr="00870476" w:rsidRDefault="00C23B45" w:rsidP="003E6CDD">
            <w:pPr>
              <w:adjustRightInd w:val="0"/>
              <w:rPr>
                <w:rFonts w:ascii="Arial Narrow" w:hAnsi="Arial Narrow"/>
                <w:color w:val="000000"/>
                <w:sz w:val="22"/>
                <w:szCs w:val="22"/>
              </w:rPr>
            </w:pPr>
          </w:p>
        </w:tc>
        <w:tc>
          <w:tcPr>
            <w:tcW w:w="934" w:type="dxa"/>
            <w:vMerge/>
            <w:tcBorders>
              <w:left w:val="single" w:sz="4" w:space="0" w:color="auto"/>
              <w:right w:val="single" w:sz="12" w:space="0" w:color="auto"/>
            </w:tcBorders>
          </w:tcPr>
          <w:p w:rsidR="00C23B45" w:rsidRPr="00870476" w:rsidRDefault="00C23B45" w:rsidP="003E6CDD">
            <w:pPr>
              <w:spacing w:before="75" w:after="75"/>
              <w:rPr>
                <w:rFonts w:ascii="Arial Narrow" w:hAnsi="Arial Narrow" w:cs="Arial"/>
                <w:sz w:val="22"/>
                <w:szCs w:val="22"/>
              </w:rPr>
            </w:pPr>
          </w:p>
        </w:tc>
      </w:tr>
      <w:tr w:rsidR="00C23B45" w:rsidRPr="00870476" w:rsidTr="000F6E14">
        <w:tc>
          <w:tcPr>
            <w:tcW w:w="682" w:type="dxa"/>
            <w:vMerge/>
            <w:tcBorders>
              <w:left w:val="single" w:sz="12" w:space="0" w:color="auto"/>
              <w:bottom w:val="single" w:sz="4" w:space="0" w:color="auto"/>
              <w:right w:val="single" w:sz="4" w:space="0" w:color="auto"/>
            </w:tcBorders>
          </w:tcPr>
          <w:p w:rsidR="00C23B45" w:rsidRPr="00870476" w:rsidRDefault="00C23B45" w:rsidP="003E6CDD">
            <w:pPr>
              <w:jc w:val="center"/>
              <w:rPr>
                <w:rFonts w:ascii="Arial Narrow" w:hAnsi="Arial Narrow"/>
                <w:sz w:val="22"/>
                <w:szCs w:val="22"/>
              </w:rPr>
            </w:pPr>
          </w:p>
        </w:tc>
        <w:tc>
          <w:tcPr>
            <w:tcW w:w="6604" w:type="dxa"/>
            <w:vMerge/>
            <w:tcBorders>
              <w:left w:val="single" w:sz="4" w:space="0" w:color="auto"/>
              <w:bottom w:val="single" w:sz="4" w:space="0" w:color="auto"/>
              <w:right w:val="single" w:sz="4" w:space="0" w:color="auto"/>
            </w:tcBorders>
          </w:tcPr>
          <w:p w:rsidR="00C23B45" w:rsidRPr="00870476" w:rsidRDefault="00C23B45" w:rsidP="003E6CDD">
            <w:pPr>
              <w:adjustRightInd w:val="0"/>
              <w:spacing w:before="75"/>
              <w:rPr>
                <w:rFonts w:ascii="Arial Narrow" w:hAnsi="Arial Narrow"/>
                <w:color w:val="000000"/>
                <w:sz w:val="22"/>
                <w:szCs w:val="22"/>
              </w:rPr>
            </w:pPr>
          </w:p>
        </w:tc>
        <w:tc>
          <w:tcPr>
            <w:tcW w:w="767" w:type="dxa"/>
            <w:vMerge/>
            <w:tcBorders>
              <w:left w:val="single" w:sz="4" w:space="0" w:color="auto"/>
              <w:right w:val="single" w:sz="12" w:space="0" w:color="auto"/>
            </w:tcBorders>
          </w:tcPr>
          <w:p w:rsidR="00C23B45" w:rsidRPr="00870476" w:rsidRDefault="00C23B45" w:rsidP="003E6CDD">
            <w:pPr>
              <w:adjustRightInd w:val="0"/>
              <w:rPr>
                <w:rFonts w:ascii="Arial Narrow" w:hAnsi="Arial Narrow"/>
                <w:color w:val="000000"/>
                <w:sz w:val="22"/>
                <w:szCs w:val="22"/>
              </w:rPr>
            </w:pPr>
          </w:p>
        </w:tc>
        <w:tc>
          <w:tcPr>
            <w:tcW w:w="851" w:type="dxa"/>
            <w:tcBorders>
              <w:top w:val="single" w:sz="4" w:space="0" w:color="auto"/>
              <w:left w:val="nil"/>
              <w:right w:val="single" w:sz="4" w:space="0" w:color="auto"/>
            </w:tcBorders>
          </w:tcPr>
          <w:p w:rsidR="00C23B45" w:rsidRPr="00870476" w:rsidRDefault="009B7F21" w:rsidP="000F0F63">
            <w:pPr>
              <w:adjustRightInd w:val="0"/>
              <w:rPr>
                <w:rFonts w:ascii="Arial Narrow" w:hAnsi="Arial Narrow"/>
                <w:color w:val="000000"/>
                <w:sz w:val="22"/>
                <w:szCs w:val="22"/>
              </w:rPr>
            </w:pPr>
            <w:r w:rsidRPr="00870476">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cPr>
          <w:p w:rsidR="00C23B45" w:rsidRPr="00870476" w:rsidRDefault="00F1639F"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w:t>
            </w:r>
            <w:r w:rsidR="00E53D69" w:rsidRPr="00870476">
              <w:rPr>
                <w:rFonts w:ascii="Arial Narrow" w:hAnsi="Arial Narrow"/>
                <w:color w:val="000000"/>
                <w:sz w:val="22"/>
                <w:szCs w:val="22"/>
              </w:rPr>
              <w:t xml:space="preserve"> </w:t>
            </w:r>
            <w:r w:rsidRPr="00870476">
              <w:rPr>
                <w:rFonts w:ascii="Arial Narrow" w:hAnsi="Arial Narrow"/>
                <w:color w:val="000000"/>
                <w:sz w:val="22"/>
                <w:szCs w:val="22"/>
              </w:rPr>
              <w:t>1</w:t>
            </w:r>
          </w:p>
          <w:p w:rsidR="00F1639F" w:rsidRPr="00870476" w:rsidRDefault="00F1639F"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cPr>
          <w:p w:rsidR="00277585" w:rsidRPr="00870476" w:rsidRDefault="00F1639F" w:rsidP="00277585">
            <w:pPr>
              <w:adjustRightInd w:val="0"/>
              <w:rPr>
                <w:rFonts w:ascii="Arial Narrow" w:hAnsi="Arial Narrow"/>
                <w:color w:val="000000"/>
                <w:sz w:val="22"/>
                <w:szCs w:val="22"/>
              </w:rPr>
            </w:pPr>
            <w:r w:rsidRPr="00870476">
              <w:rPr>
                <w:rFonts w:ascii="Arial Narrow" w:hAnsi="Arial Narrow"/>
                <w:b/>
                <w:color w:val="000000"/>
                <w:sz w:val="22"/>
                <w:szCs w:val="22"/>
              </w:rPr>
              <w:t>(</w:t>
            </w:r>
            <w:r w:rsidRPr="00870476">
              <w:rPr>
                <w:rFonts w:ascii="Arial Narrow" w:hAnsi="Arial Narrow"/>
                <w:color w:val="000000"/>
                <w:sz w:val="22"/>
                <w:szCs w:val="22"/>
              </w:rPr>
              <w:t xml:space="preserve">3) Tento zákon sa vzťahuje aj na </w:t>
            </w:r>
            <w:r w:rsidR="006F1121" w:rsidRPr="00870476">
              <w:rPr>
                <w:rFonts w:ascii="Arial Narrow" w:hAnsi="Arial Narrow"/>
                <w:color w:val="000000"/>
                <w:sz w:val="22"/>
                <w:szCs w:val="22"/>
              </w:rPr>
              <w:t xml:space="preserve">fyzické </w:t>
            </w:r>
            <w:r w:rsidRPr="00870476">
              <w:rPr>
                <w:rFonts w:ascii="Arial Narrow" w:hAnsi="Arial Narrow"/>
                <w:color w:val="000000"/>
                <w:sz w:val="22"/>
                <w:szCs w:val="22"/>
              </w:rPr>
              <w:t>osoby, ktoré nie sú účtovnými jednotkami</w:t>
            </w:r>
          </w:p>
          <w:p w:rsidR="00277585" w:rsidRPr="00870476" w:rsidRDefault="00277585" w:rsidP="00277585">
            <w:pPr>
              <w:adjustRightInd w:val="0"/>
              <w:rPr>
                <w:rFonts w:ascii="Arial Narrow" w:hAnsi="Arial Narrow"/>
                <w:color w:val="000000"/>
                <w:sz w:val="22"/>
                <w:szCs w:val="22"/>
              </w:rPr>
            </w:pPr>
            <w:r w:rsidRPr="00870476">
              <w:rPr>
                <w:rFonts w:ascii="Arial Narrow" w:hAnsi="Arial Narrow"/>
                <w:color w:val="000000"/>
                <w:sz w:val="22"/>
                <w:szCs w:val="22"/>
              </w:rPr>
              <w:t>a) ktoré majú trvalý pobyt na území Slovenskej republiky, ak im vzniknú povinnosti v súvislosti uchovávaním účtovnej dokumentácie účtovnej jednotky, ktorá zaniká bez právneho nástupcu alebo končí podnika</w:t>
            </w:r>
            <w:r w:rsidR="00801B29" w:rsidRPr="00870476">
              <w:rPr>
                <w:rFonts w:ascii="Arial Narrow" w:hAnsi="Arial Narrow"/>
                <w:color w:val="000000"/>
                <w:sz w:val="22"/>
                <w:szCs w:val="22"/>
              </w:rPr>
              <w:t>nie alebo inú zárobkovú činnosť alebo</w:t>
            </w:r>
            <w:r w:rsidRPr="00870476">
              <w:rPr>
                <w:rFonts w:ascii="Arial Narrow" w:hAnsi="Arial Narrow"/>
                <w:color w:val="000000"/>
                <w:sz w:val="22"/>
                <w:szCs w:val="22"/>
              </w:rPr>
              <w:t xml:space="preserve"> </w:t>
            </w:r>
          </w:p>
          <w:p w:rsidR="00C23B45" w:rsidRPr="00870476" w:rsidRDefault="00277585" w:rsidP="00F1639F">
            <w:pPr>
              <w:adjustRightInd w:val="0"/>
              <w:rPr>
                <w:rFonts w:ascii="Arial Narrow" w:hAnsi="Arial Narrow"/>
                <w:b/>
                <w:color w:val="000000"/>
                <w:sz w:val="22"/>
                <w:szCs w:val="22"/>
              </w:rPr>
            </w:pPr>
            <w:r w:rsidRPr="00870476">
              <w:rPr>
                <w:rFonts w:ascii="Arial Narrow" w:hAnsi="Arial Narrow"/>
                <w:color w:val="000000"/>
                <w:sz w:val="22"/>
                <w:szCs w:val="22"/>
              </w:rPr>
              <w:t xml:space="preserve">b) ktorým vznikla povinnosť uloženia </w:t>
            </w:r>
            <w:r w:rsidR="0003471E" w:rsidRPr="00870476">
              <w:rPr>
                <w:rFonts w:ascii="Arial Narrow" w:hAnsi="Arial Narrow"/>
                <w:color w:val="000000"/>
                <w:sz w:val="22"/>
                <w:szCs w:val="22"/>
              </w:rPr>
              <w:t>dokumentov podľa § 23a ods. 10.</w:t>
            </w:r>
          </w:p>
        </w:tc>
        <w:tc>
          <w:tcPr>
            <w:tcW w:w="709" w:type="dxa"/>
            <w:tcBorders>
              <w:top w:val="single" w:sz="4" w:space="0" w:color="auto"/>
              <w:left w:val="single" w:sz="4" w:space="0" w:color="auto"/>
              <w:right w:val="single" w:sz="4" w:space="0" w:color="auto"/>
            </w:tcBorders>
          </w:tcPr>
          <w:p w:rsidR="00C23B45" w:rsidRPr="00870476" w:rsidRDefault="004D62CC" w:rsidP="003E6CDD">
            <w:pPr>
              <w:adjustRightInd w:val="0"/>
              <w:rPr>
                <w:rFonts w:ascii="Arial Narrow" w:hAnsi="Arial Narrow"/>
                <w:color w:val="000000"/>
                <w:sz w:val="22"/>
                <w:szCs w:val="22"/>
              </w:rPr>
            </w:pPr>
            <w:r w:rsidRPr="00870476">
              <w:rPr>
                <w:rFonts w:ascii="Arial Narrow" w:hAnsi="Arial Narrow"/>
                <w:color w:val="000000"/>
                <w:sz w:val="22"/>
                <w:szCs w:val="22"/>
              </w:rPr>
              <w:t>Ú</w:t>
            </w:r>
          </w:p>
        </w:tc>
        <w:tc>
          <w:tcPr>
            <w:tcW w:w="934" w:type="dxa"/>
            <w:tcBorders>
              <w:top w:val="single" w:sz="4" w:space="0" w:color="auto"/>
              <w:left w:val="single" w:sz="4" w:space="0" w:color="auto"/>
              <w:right w:val="single" w:sz="12" w:space="0" w:color="auto"/>
            </w:tcBorders>
          </w:tcPr>
          <w:p w:rsidR="00C23B45" w:rsidRPr="00870476" w:rsidRDefault="00C23B45" w:rsidP="003E6CDD">
            <w:pPr>
              <w:spacing w:before="75" w:after="75"/>
              <w:rPr>
                <w:rFonts w:ascii="Arial Narrow" w:hAnsi="Arial Narrow" w:cs="Arial"/>
                <w:sz w:val="22"/>
                <w:szCs w:val="22"/>
              </w:rPr>
            </w:pPr>
          </w:p>
        </w:tc>
      </w:tr>
      <w:tr w:rsidR="0073486F" w:rsidRPr="00870476" w:rsidTr="000F6E14">
        <w:tc>
          <w:tcPr>
            <w:tcW w:w="682" w:type="dxa"/>
            <w:tcBorders>
              <w:top w:val="single" w:sz="4" w:space="0" w:color="auto"/>
              <w:left w:val="single" w:sz="12" w:space="0" w:color="auto"/>
              <w:bottom w:val="single" w:sz="4" w:space="0" w:color="auto"/>
              <w:right w:val="single" w:sz="4" w:space="0" w:color="auto"/>
            </w:tcBorders>
          </w:tcPr>
          <w:p w:rsidR="0073486F" w:rsidRPr="00870476" w:rsidRDefault="00D66A56" w:rsidP="009B7F21">
            <w:pPr>
              <w:jc w:val="center"/>
              <w:rPr>
                <w:rFonts w:ascii="Arial Narrow" w:hAnsi="Arial Narrow"/>
                <w:sz w:val="22"/>
                <w:szCs w:val="22"/>
              </w:rPr>
            </w:pPr>
            <w:r w:rsidRPr="00870476">
              <w:rPr>
                <w:rFonts w:ascii="Arial Narrow" w:hAnsi="Arial Narrow"/>
                <w:sz w:val="22"/>
                <w:szCs w:val="22"/>
              </w:rPr>
              <w:t>Č</w:t>
            </w:r>
            <w:r w:rsidR="0073486F" w:rsidRPr="00870476">
              <w:rPr>
                <w:rFonts w:ascii="Arial Narrow" w:hAnsi="Arial Narrow"/>
                <w:sz w:val="22"/>
                <w:szCs w:val="22"/>
              </w:rPr>
              <w:t>:2</w:t>
            </w:r>
          </w:p>
          <w:p w:rsidR="0073486F" w:rsidRPr="00870476" w:rsidRDefault="0073486F" w:rsidP="009B7F21">
            <w:pPr>
              <w:jc w:val="center"/>
              <w:rPr>
                <w:rFonts w:ascii="Arial Narrow" w:hAnsi="Arial Narrow"/>
                <w:sz w:val="22"/>
                <w:szCs w:val="22"/>
              </w:rPr>
            </w:pPr>
            <w:r w:rsidRPr="00870476">
              <w:rPr>
                <w:rFonts w:ascii="Arial Narrow" w:hAnsi="Arial Narrow"/>
                <w:sz w:val="22"/>
                <w:szCs w:val="22"/>
              </w:rPr>
              <w:t>O:1</w:t>
            </w:r>
          </w:p>
          <w:p w:rsidR="0073486F" w:rsidRPr="00870476" w:rsidRDefault="0073486F" w:rsidP="009B7F21">
            <w:pPr>
              <w:jc w:val="center"/>
              <w:rPr>
                <w:rFonts w:ascii="Arial Narrow" w:hAnsi="Arial Narrow"/>
                <w:sz w:val="22"/>
                <w:szCs w:val="22"/>
              </w:rPr>
            </w:pPr>
            <w:r w:rsidRPr="00870476">
              <w:rPr>
                <w:rFonts w:ascii="Arial Narrow" w:hAnsi="Arial Narrow"/>
                <w:sz w:val="22"/>
                <w:szCs w:val="22"/>
              </w:rPr>
              <w:t>P:a</w:t>
            </w:r>
          </w:p>
        </w:tc>
        <w:tc>
          <w:tcPr>
            <w:tcW w:w="6604" w:type="dxa"/>
            <w:tcBorders>
              <w:top w:val="single" w:sz="4" w:space="0" w:color="auto"/>
              <w:left w:val="single" w:sz="4" w:space="0" w:color="auto"/>
              <w:bottom w:val="single" w:sz="4" w:space="0" w:color="auto"/>
              <w:right w:val="single" w:sz="4" w:space="0" w:color="auto"/>
            </w:tcBorders>
          </w:tcPr>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 xml:space="preserve">Na účely tejto smernice sa uplatňujú tieto vymedzenia pojmov: </w:t>
            </w:r>
          </w:p>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 xml:space="preserve">1. „subjekty verejného záujmu“ sú podniky patriace do rozsahu pôsobnosti článku 1, ktoré: </w:t>
            </w:r>
          </w:p>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a) sa riadia právom členského štátu a ktorých prevoditeľné cenné papiere sú prijaté na obchodovanie na regulovanom trhu ktoréhokoľvek členského štátu v zmysle článku 4 ods. 1 bodu 14 smernice Európskeho parlamentu a Rady 2004/39/ES z 21. apríla 2004 o trhoch s finančnými nástrojmi ( 1 );</w:t>
            </w:r>
          </w:p>
        </w:tc>
        <w:tc>
          <w:tcPr>
            <w:tcW w:w="767" w:type="dxa"/>
            <w:vMerge w:val="restart"/>
            <w:tcBorders>
              <w:top w:val="single" w:sz="4" w:space="0" w:color="auto"/>
              <w:left w:val="single" w:sz="4" w:space="0" w:color="auto"/>
              <w:right w:val="single" w:sz="12" w:space="0" w:color="auto"/>
            </w:tcBorders>
          </w:tcPr>
          <w:p w:rsidR="0073486F" w:rsidRPr="00870476" w:rsidRDefault="0073486F" w:rsidP="009B7F21">
            <w:pPr>
              <w:adjustRightInd w:val="0"/>
              <w:rPr>
                <w:rFonts w:ascii="Arial Narrow" w:hAnsi="Arial Narrow"/>
                <w:color w:val="000000"/>
                <w:sz w:val="22"/>
                <w:szCs w:val="22"/>
              </w:rPr>
            </w:pPr>
            <w:r w:rsidRPr="00870476">
              <w:rPr>
                <w:rFonts w:ascii="Arial Narrow" w:hAnsi="Arial Narrow"/>
                <w:color w:val="000000"/>
                <w:sz w:val="22"/>
                <w:szCs w:val="22"/>
              </w:rPr>
              <w:t>N</w:t>
            </w:r>
          </w:p>
        </w:tc>
        <w:tc>
          <w:tcPr>
            <w:tcW w:w="851" w:type="dxa"/>
            <w:vMerge w:val="restart"/>
            <w:tcBorders>
              <w:top w:val="single" w:sz="4" w:space="0" w:color="auto"/>
              <w:left w:val="nil"/>
              <w:right w:val="single" w:sz="4" w:space="0" w:color="auto"/>
            </w:tcBorders>
          </w:tcPr>
          <w:p w:rsidR="0073486F" w:rsidRPr="00870476" w:rsidRDefault="0073486F" w:rsidP="009B7F21">
            <w:pPr>
              <w:jc w:val="center"/>
              <w:rPr>
                <w:rFonts w:ascii="Arial Narrow" w:hAnsi="Arial Narrow" w:cs="Arial"/>
                <w:bCs/>
                <w:sz w:val="22"/>
                <w:szCs w:val="22"/>
              </w:rPr>
            </w:pPr>
            <w:r w:rsidRPr="00870476">
              <w:rPr>
                <w:rFonts w:ascii="Arial Narrow" w:hAnsi="Arial Narrow" w:cs="Arial"/>
                <w:bCs/>
                <w:sz w:val="22"/>
                <w:szCs w:val="22"/>
              </w:rPr>
              <w:t xml:space="preserve">431/2002 a </w:t>
            </w:r>
          </w:p>
          <w:p w:rsidR="0073486F" w:rsidRPr="00870476" w:rsidRDefault="0073486F" w:rsidP="009B7F21">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73486F" w:rsidRPr="00870476" w:rsidRDefault="0073486F" w:rsidP="009B7F21">
            <w:pPr>
              <w:jc w:val="center"/>
              <w:rPr>
                <w:rFonts w:ascii="Arial Narrow" w:hAnsi="Arial Narrow"/>
                <w:b/>
                <w:color w:val="000000"/>
                <w:sz w:val="22"/>
                <w:szCs w:val="22"/>
              </w:rPr>
            </w:pPr>
            <w:r w:rsidRPr="00870476">
              <w:rPr>
                <w:rFonts w:ascii="Arial Narrow" w:hAnsi="Arial Narrow"/>
                <w:b/>
                <w:color w:val="000000"/>
                <w:sz w:val="22"/>
                <w:szCs w:val="22"/>
              </w:rPr>
              <w:t>čl. I</w:t>
            </w: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b/>
                <w:color w:val="000000"/>
                <w:sz w:val="22"/>
                <w:szCs w:val="22"/>
              </w:rPr>
            </w:pPr>
          </w:p>
          <w:p w:rsidR="0073486F" w:rsidRPr="00870476" w:rsidRDefault="0073486F" w:rsidP="009B7F21">
            <w:pPr>
              <w:jc w:val="center"/>
              <w:rPr>
                <w:rFonts w:ascii="Arial Narrow" w:hAnsi="Arial Narrow" w:cs="Arial"/>
                <w:bCs/>
                <w:sz w:val="22"/>
                <w:szCs w:val="22"/>
              </w:rPr>
            </w:pPr>
          </w:p>
        </w:tc>
        <w:tc>
          <w:tcPr>
            <w:tcW w:w="850" w:type="dxa"/>
            <w:vMerge w:val="restart"/>
            <w:tcBorders>
              <w:top w:val="single" w:sz="4" w:space="0" w:color="auto"/>
              <w:left w:val="single" w:sz="4" w:space="0" w:color="auto"/>
              <w:right w:val="single" w:sz="4" w:space="0" w:color="auto"/>
            </w:tcBorders>
          </w:tcPr>
          <w:p w:rsidR="0073486F" w:rsidRPr="00870476" w:rsidRDefault="0073486F" w:rsidP="009B7F21">
            <w:pPr>
              <w:jc w:val="center"/>
              <w:rPr>
                <w:rFonts w:ascii="Arial Narrow" w:hAnsi="Arial Narrow"/>
                <w:sz w:val="22"/>
                <w:szCs w:val="22"/>
              </w:rPr>
            </w:pPr>
            <w:r w:rsidRPr="00870476">
              <w:rPr>
                <w:rFonts w:ascii="Arial Narrow" w:hAnsi="Arial Narrow"/>
                <w:sz w:val="22"/>
                <w:szCs w:val="22"/>
              </w:rPr>
              <w:lastRenderedPageBreak/>
              <w:t>§ 2</w:t>
            </w:r>
          </w:p>
          <w:p w:rsidR="0073486F" w:rsidRPr="00870476" w:rsidRDefault="0073486F" w:rsidP="009B7F21">
            <w:pPr>
              <w:jc w:val="center"/>
              <w:rPr>
                <w:rFonts w:ascii="Arial Narrow" w:hAnsi="Arial Narrow"/>
                <w:b/>
                <w:color w:val="000000"/>
                <w:sz w:val="22"/>
                <w:szCs w:val="22"/>
              </w:rPr>
            </w:pPr>
            <w:r w:rsidRPr="00870476">
              <w:rPr>
                <w:rFonts w:ascii="Arial Narrow" w:hAnsi="Arial Narrow"/>
                <w:sz w:val="22"/>
                <w:szCs w:val="22"/>
              </w:rPr>
              <w:t>O: 14</w:t>
            </w:r>
          </w:p>
        </w:tc>
        <w:tc>
          <w:tcPr>
            <w:tcW w:w="4678" w:type="dxa"/>
            <w:vMerge w:val="restart"/>
            <w:tcBorders>
              <w:top w:val="single" w:sz="4" w:space="0" w:color="auto"/>
              <w:left w:val="single" w:sz="4" w:space="0" w:color="auto"/>
              <w:right w:val="single" w:sz="4" w:space="0" w:color="auto"/>
            </w:tcBorders>
          </w:tcPr>
          <w:p w:rsidR="000110B6" w:rsidRPr="00715730" w:rsidRDefault="001906E6" w:rsidP="000110B6">
            <w:pPr>
              <w:widowControl w:val="0"/>
              <w:adjustRightInd w:val="0"/>
              <w:jc w:val="both"/>
            </w:pPr>
            <w:r>
              <w:rPr>
                <w:rFonts w:ascii="Arial Narrow" w:hAnsi="Arial Narrow" w:cs="Arial"/>
                <w:sz w:val="22"/>
                <w:szCs w:val="22"/>
              </w:rPr>
              <w:t xml:space="preserve">(14) </w:t>
            </w:r>
            <w:r w:rsidR="0073486F" w:rsidRPr="00870476">
              <w:rPr>
                <w:rFonts w:ascii="Arial Narrow" w:hAnsi="Arial Narrow" w:cs="Arial"/>
                <w:sz w:val="22"/>
                <w:szCs w:val="22"/>
              </w:rPr>
              <w:t xml:space="preserve">Na účely tohto zákona sa subjektom verejného záujmu rozumie účtovná jednotka, ktorá emitovala cenné papiere a tie boli prijaté na obchodovanie na regulovanom trhu ktoréhokoľvek členského štátu Európskej únie </w:t>
            </w:r>
            <w:r w:rsidR="00F147AE" w:rsidRPr="00870476">
              <w:rPr>
                <w:rFonts w:ascii="Arial Narrow" w:hAnsi="Arial Narrow" w:cs="Arial"/>
                <w:b/>
                <w:sz w:val="22"/>
                <w:szCs w:val="22"/>
              </w:rPr>
              <w:t xml:space="preserve">alebo </w:t>
            </w:r>
            <w:r w:rsidR="0073486F" w:rsidRPr="00870476">
              <w:rPr>
                <w:rFonts w:ascii="Arial Narrow" w:hAnsi="Arial Narrow" w:cs="Arial"/>
                <w:b/>
                <w:sz w:val="22"/>
                <w:szCs w:val="22"/>
              </w:rPr>
              <w:t xml:space="preserve"> štát</w:t>
            </w:r>
            <w:r w:rsidR="007543CB" w:rsidRPr="00870476">
              <w:rPr>
                <w:rFonts w:ascii="Arial Narrow" w:hAnsi="Arial Narrow" w:cs="Arial"/>
                <w:b/>
                <w:sz w:val="22"/>
                <w:szCs w:val="22"/>
              </w:rPr>
              <w:t>u</w:t>
            </w:r>
            <w:r w:rsidR="0073486F" w:rsidRPr="00870476">
              <w:rPr>
                <w:rFonts w:ascii="Arial Narrow" w:hAnsi="Arial Narrow" w:cs="Arial"/>
                <w:b/>
                <w:sz w:val="22"/>
                <w:szCs w:val="22"/>
              </w:rPr>
              <w:t xml:space="preserve">, ktorý je zmluvnou stranou </w:t>
            </w:r>
            <w:r w:rsidR="007543CB" w:rsidRPr="00870476">
              <w:rPr>
                <w:rFonts w:ascii="Arial Narrow" w:hAnsi="Arial Narrow" w:cs="Arial"/>
                <w:b/>
                <w:sz w:val="22"/>
                <w:szCs w:val="22"/>
              </w:rPr>
              <w:t>D</w:t>
            </w:r>
            <w:r w:rsidR="0073486F" w:rsidRPr="00870476">
              <w:rPr>
                <w:rFonts w:ascii="Arial Narrow" w:hAnsi="Arial Narrow" w:cs="Arial"/>
                <w:b/>
                <w:sz w:val="22"/>
                <w:szCs w:val="22"/>
              </w:rPr>
              <w:t>ohody o Európskom hospodárskom priestore</w:t>
            </w:r>
            <w:r w:rsidR="0073486F" w:rsidRPr="00870476">
              <w:rPr>
                <w:rFonts w:ascii="Arial Narrow" w:hAnsi="Arial Narrow" w:cs="Arial"/>
                <w:sz w:val="22"/>
                <w:szCs w:val="22"/>
              </w:rPr>
              <w:t xml:space="preserve"> (ďalej len "členský štát"), banka, pobočka zahraničnej banky, Exportno-importná banka Slovenskej republiky, poisťovňa, pobočka zahraničnej poisťovne, zaisťovňa, pobočka zahraničnej zaisťovne, zdravotná poisťovňa, správcovská spoločnosť, pobočka zahraničnej </w:t>
            </w:r>
            <w:r w:rsidR="0073486F" w:rsidRPr="00870476">
              <w:rPr>
                <w:rFonts w:ascii="Arial Narrow" w:hAnsi="Arial Narrow" w:cs="Arial"/>
                <w:sz w:val="22"/>
                <w:szCs w:val="22"/>
              </w:rPr>
              <w:lastRenderedPageBreak/>
              <w:t>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009A11FB">
              <w:rPr>
                <w:rFonts w:ascii="Arial Narrow" w:hAnsi="Arial Narrow" w:cs="Arial"/>
                <w:sz w:val="22"/>
                <w:szCs w:val="22"/>
              </w:rPr>
              <w:t>(</w:t>
            </w:r>
            <w:r w:rsidR="0073486F" w:rsidRPr="00870476">
              <w:rPr>
                <w:rFonts w:ascii="Arial Narrow" w:hAnsi="Arial Narrow" w:cs="Arial"/>
                <w:sz w:val="22"/>
                <w:szCs w:val="22"/>
              </w:rPr>
              <w:t xml:space="preserve">29db) </w:t>
            </w:r>
            <w:r w:rsidR="000110B6" w:rsidRPr="000110B6">
              <w:rPr>
                <w:rFonts w:ascii="Arial Narrow" w:hAnsi="Arial Narrow" w:cs="Arial"/>
                <w:sz w:val="22"/>
                <w:szCs w:val="22"/>
              </w:rPr>
              <w:t>a účtovná jednotka, ktorá spĺňa podmienky uvedené  v § 17a ods. 2.</w:t>
            </w:r>
            <w:r w:rsidR="000110B6" w:rsidRPr="00715730">
              <w:t xml:space="preserve"> </w:t>
            </w:r>
          </w:p>
          <w:p w:rsidR="0073486F" w:rsidRPr="00870476" w:rsidRDefault="0073486F" w:rsidP="009B7F21">
            <w:pPr>
              <w:jc w:val="both"/>
              <w:rPr>
                <w:rFonts w:ascii="Arial Narrow" w:hAnsi="Arial Narrow" w:cs="Arial"/>
                <w:sz w:val="22"/>
                <w:szCs w:val="22"/>
              </w:rPr>
            </w:pPr>
            <w:r w:rsidRPr="00870476">
              <w:rPr>
                <w:rFonts w:ascii="Arial Narrow" w:hAnsi="Arial Narrow" w:cs="Arial"/>
                <w:sz w:val="22"/>
                <w:szCs w:val="22"/>
              </w:rPr>
              <w:t>Poznámka k odkazu 29db znie</w:t>
            </w:r>
          </w:p>
          <w:p w:rsidR="0073486F" w:rsidRPr="00870476" w:rsidRDefault="0073486F" w:rsidP="00CC1517">
            <w:pPr>
              <w:jc w:val="both"/>
              <w:rPr>
                <w:rFonts w:ascii="Arial Narrow" w:hAnsi="Arial Narrow"/>
                <w:b/>
                <w:color w:val="000000"/>
                <w:sz w:val="22"/>
                <w:szCs w:val="22"/>
              </w:rPr>
            </w:pPr>
            <w:r w:rsidRPr="00870476">
              <w:rPr>
                <w:rFonts w:ascii="Arial Narrow" w:hAnsi="Arial Narrow" w:cs="Arial"/>
                <w:sz w:val="22"/>
                <w:szCs w:val="22"/>
              </w:rPr>
              <w:t>29db) § 5 písm. ab) zákona č. 483/2001 Z. z. v znení zákona č. 213/2014 Z. z.</w:t>
            </w:r>
          </w:p>
        </w:tc>
        <w:tc>
          <w:tcPr>
            <w:tcW w:w="709" w:type="dxa"/>
            <w:vMerge w:val="restart"/>
            <w:tcBorders>
              <w:top w:val="single" w:sz="4" w:space="0" w:color="auto"/>
              <w:left w:val="single" w:sz="4" w:space="0" w:color="auto"/>
              <w:right w:val="single" w:sz="4" w:space="0" w:color="auto"/>
            </w:tcBorders>
          </w:tcPr>
          <w:p w:rsidR="0073486F" w:rsidRPr="00870476" w:rsidRDefault="0073486F" w:rsidP="009B7F21">
            <w:pPr>
              <w:adjustRightInd w:val="0"/>
              <w:rPr>
                <w:rFonts w:ascii="Arial Narrow" w:hAnsi="Arial Narrow"/>
                <w:color w:val="000000"/>
                <w:sz w:val="22"/>
                <w:szCs w:val="22"/>
              </w:rPr>
            </w:pPr>
            <w:r w:rsidRPr="00870476">
              <w:rPr>
                <w:rFonts w:ascii="Arial Narrow" w:hAnsi="Arial Narrow"/>
                <w:color w:val="000000"/>
                <w:sz w:val="22"/>
                <w:szCs w:val="22"/>
              </w:rPr>
              <w:lastRenderedPageBreak/>
              <w:t>Ú</w:t>
            </w:r>
          </w:p>
        </w:tc>
        <w:tc>
          <w:tcPr>
            <w:tcW w:w="934" w:type="dxa"/>
            <w:vMerge w:val="restart"/>
            <w:tcBorders>
              <w:top w:val="single" w:sz="4" w:space="0" w:color="auto"/>
              <w:left w:val="single" w:sz="4" w:space="0" w:color="auto"/>
              <w:right w:val="single" w:sz="12" w:space="0" w:color="auto"/>
            </w:tcBorders>
          </w:tcPr>
          <w:p w:rsidR="0073486F" w:rsidRPr="00870476" w:rsidRDefault="0073486F" w:rsidP="009B7F21">
            <w:pPr>
              <w:spacing w:before="75" w:after="75"/>
              <w:rPr>
                <w:rFonts w:ascii="Arial Narrow" w:hAnsi="Arial Narrow" w:cs="Arial"/>
                <w:sz w:val="22"/>
                <w:szCs w:val="22"/>
              </w:rPr>
            </w:pPr>
          </w:p>
        </w:tc>
      </w:tr>
      <w:tr w:rsidR="0073486F" w:rsidRPr="00870476" w:rsidTr="000F6E14">
        <w:tc>
          <w:tcPr>
            <w:tcW w:w="682" w:type="dxa"/>
            <w:tcBorders>
              <w:top w:val="single" w:sz="4" w:space="0" w:color="auto"/>
              <w:left w:val="single" w:sz="12" w:space="0" w:color="auto"/>
              <w:bottom w:val="single" w:sz="4" w:space="0" w:color="auto"/>
              <w:right w:val="single" w:sz="4" w:space="0" w:color="auto"/>
            </w:tcBorders>
          </w:tcPr>
          <w:p w:rsidR="0073486F" w:rsidRPr="00870476" w:rsidRDefault="0073486F" w:rsidP="009B7F21">
            <w:pPr>
              <w:jc w:val="center"/>
              <w:rPr>
                <w:rFonts w:ascii="Arial Narrow" w:hAnsi="Arial Narrow"/>
                <w:sz w:val="22"/>
                <w:szCs w:val="22"/>
              </w:rPr>
            </w:pPr>
            <w:r w:rsidRPr="00870476">
              <w:rPr>
                <w:rFonts w:ascii="Arial Narrow" w:hAnsi="Arial Narrow"/>
                <w:sz w:val="22"/>
                <w:szCs w:val="22"/>
              </w:rPr>
              <w:t>P:b</w:t>
            </w:r>
          </w:p>
        </w:tc>
        <w:tc>
          <w:tcPr>
            <w:tcW w:w="6604" w:type="dxa"/>
            <w:tcBorders>
              <w:top w:val="single" w:sz="4" w:space="0" w:color="auto"/>
              <w:left w:val="single" w:sz="4" w:space="0" w:color="auto"/>
              <w:bottom w:val="single" w:sz="4" w:space="0" w:color="auto"/>
              <w:right w:val="single" w:sz="4" w:space="0" w:color="auto"/>
            </w:tcBorders>
          </w:tcPr>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b) sú úverovými inštitúciami podľa vymedzenia v článku 4 bode 1 smernice Európskeho parlamentu a Rady 2006/48/ES zo 14. júna 2006 o začatí a vykonávaní činností úverových inštitúcií ( 1 ), a nie sú úverovými inštitúciami uvedenými v článku 2 uvedenej smernice;</w:t>
            </w:r>
          </w:p>
        </w:tc>
        <w:tc>
          <w:tcPr>
            <w:tcW w:w="767" w:type="dxa"/>
            <w:vMerge/>
            <w:tcBorders>
              <w:left w:val="single" w:sz="4" w:space="0" w:color="auto"/>
              <w:right w:val="single" w:sz="12" w:space="0" w:color="auto"/>
            </w:tcBorders>
          </w:tcPr>
          <w:p w:rsidR="0073486F" w:rsidRPr="00870476" w:rsidRDefault="0073486F" w:rsidP="009B7F21">
            <w:pPr>
              <w:adjustRightInd w:val="0"/>
              <w:rPr>
                <w:rFonts w:ascii="Arial Narrow" w:hAnsi="Arial Narrow"/>
                <w:color w:val="000000"/>
                <w:sz w:val="22"/>
                <w:szCs w:val="22"/>
              </w:rPr>
            </w:pPr>
          </w:p>
        </w:tc>
        <w:tc>
          <w:tcPr>
            <w:tcW w:w="851" w:type="dxa"/>
            <w:vMerge/>
            <w:tcBorders>
              <w:left w:val="nil"/>
              <w:right w:val="single" w:sz="4" w:space="0" w:color="auto"/>
            </w:tcBorders>
          </w:tcPr>
          <w:p w:rsidR="0073486F" w:rsidRPr="00870476" w:rsidRDefault="0073486F" w:rsidP="009B7F21">
            <w:pPr>
              <w:jc w:val="center"/>
              <w:rPr>
                <w:rFonts w:ascii="Arial Narrow" w:hAnsi="Arial Narrow" w:cs="Arial"/>
                <w:bCs/>
                <w:sz w:val="22"/>
                <w:szCs w:val="22"/>
              </w:rPr>
            </w:pPr>
          </w:p>
        </w:tc>
        <w:tc>
          <w:tcPr>
            <w:tcW w:w="850" w:type="dxa"/>
            <w:vMerge/>
            <w:tcBorders>
              <w:left w:val="single" w:sz="4" w:space="0" w:color="auto"/>
              <w:right w:val="single" w:sz="4" w:space="0" w:color="auto"/>
            </w:tcBorders>
          </w:tcPr>
          <w:p w:rsidR="0073486F" w:rsidRPr="00870476" w:rsidRDefault="0073486F" w:rsidP="009B7F21">
            <w:pPr>
              <w:jc w:val="center"/>
              <w:rPr>
                <w:rFonts w:ascii="Arial Narrow" w:hAnsi="Arial Narrow"/>
                <w:b/>
                <w:color w:val="000000"/>
                <w:sz w:val="22"/>
                <w:szCs w:val="22"/>
              </w:rPr>
            </w:pPr>
          </w:p>
        </w:tc>
        <w:tc>
          <w:tcPr>
            <w:tcW w:w="4678" w:type="dxa"/>
            <w:vMerge/>
            <w:tcBorders>
              <w:left w:val="single" w:sz="4" w:space="0" w:color="auto"/>
              <w:right w:val="single" w:sz="4" w:space="0" w:color="auto"/>
            </w:tcBorders>
          </w:tcPr>
          <w:p w:rsidR="0073486F" w:rsidRPr="00870476" w:rsidRDefault="0073486F" w:rsidP="009B7F21">
            <w:pPr>
              <w:jc w:val="both"/>
              <w:rPr>
                <w:rFonts w:ascii="Arial Narrow" w:hAnsi="Arial Narrow"/>
                <w:b/>
                <w:color w:val="000000"/>
                <w:sz w:val="22"/>
                <w:szCs w:val="22"/>
              </w:rPr>
            </w:pPr>
          </w:p>
        </w:tc>
        <w:tc>
          <w:tcPr>
            <w:tcW w:w="709" w:type="dxa"/>
            <w:vMerge/>
            <w:tcBorders>
              <w:left w:val="single" w:sz="4" w:space="0" w:color="auto"/>
              <w:right w:val="single" w:sz="4" w:space="0" w:color="auto"/>
            </w:tcBorders>
          </w:tcPr>
          <w:p w:rsidR="0073486F" w:rsidRPr="00870476" w:rsidRDefault="0073486F" w:rsidP="009B7F21">
            <w:pPr>
              <w:adjustRightInd w:val="0"/>
              <w:rPr>
                <w:rFonts w:ascii="Arial Narrow" w:hAnsi="Arial Narrow"/>
                <w:color w:val="000000"/>
                <w:sz w:val="22"/>
                <w:szCs w:val="22"/>
              </w:rPr>
            </w:pPr>
          </w:p>
        </w:tc>
        <w:tc>
          <w:tcPr>
            <w:tcW w:w="934" w:type="dxa"/>
            <w:vMerge/>
            <w:tcBorders>
              <w:left w:val="single" w:sz="4" w:space="0" w:color="auto"/>
              <w:right w:val="single" w:sz="12" w:space="0" w:color="auto"/>
            </w:tcBorders>
          </w:tcPr>
          <w:p w:rsidR="0073486F" w:rsidRPr="00870476" w:rsidRDefault="0073486F" w:rsidP="009B7F21">
            <w:pPr>
              <w:spacing w:before="75" w:after="75"/>
              <w:rPr>
                <w:rFonts w:ascii="Arial Narrow" w:hAnsi="Arial Narrow" w:cs="Arial"/>
                <w:sz w:val="22"/>
                <w:szCs w:val="22"/>
              </w:rPr>
            </w:pPr>
          </w:p>
        </w:tc>
      </w:tr>
      <w:tr w:rsidR="0073486F" w:rsidRPr="00870476" w:rsidTr="000F6E14">
        <w:tc>
          <w:tcPr>
            <w:tcW w:w="682" w:type="dxa"/>
            <w:tcBorders>
              <w:top w:val="single" w:sz="4" w:space="0" w:color="auto"/>
              <w:left w:val="single" w:sz="12" w:space="0" w:color="auto"/>
              <w:bottom w:val="single" w:sz="4" w:space="0" w:color="auto"/>
              <w:right w:val="single" w:sz="4" w:space="0" w:color="auto"/>
            </w:tcBorders>
          </w:tcPr>
          <w:p w:rsidR="0073486F" w:rsidRPr="00870476" w:rsidRDefault="0073486F" w:rsidP="009B7F21">
            <w:pPr>
              <w:jc w:val="center"/>
              <w:rPr>
                <w:rFonts w:ascii="Arial Narrow" w:hAnsi="Arial Narrow"/>
                <w:sz w:val="22"/>
                <w:szCs w:val="22"/>
              </w:rPr>
            </w:pPr>
            <w:r w:rsidRPr="00870476">
              <w:rPr>
                <w:rFonts w:ascii="Arial Narrow" w:hAnsi="Arial Narrow"/>
                <w:sz w:val="22"/>
                <w:szCs w:val="22"/>
              </w:rPr>
              <w:lastRenderedPageBreak/>
              <w:t>P:c</w:t>
            </w:r>
          </w:p>
        </w:tc>
        <w:tc>
          <w:tcPr>
            <w:tcW w:w="6604" w:type="dxa"/>
            <w:tcBorders>
              <w:top w:val="single" w:sz="4" w:space="0" w:color="auto"/>
              <w:left w:val="single" w:sz="4" w:space="0" w:color="auto"/>
              <w:bottom w:val="single" w:sz="4" w:space="0" w:color="auto"/>
              <w:right w:val="single" w:sz="4" w:space="0" w:color="auto"/>
            </w:tcBorders>
          </w:tcPr>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c) sú poisťovňami v zmysle článku 2 ods. 1 smernice Rady 91/674/EHS z 19. decembra 1991 o ročných účtovných závierkach a konsolidovaných účtovných závierkach poisťovní ( 2 ); alebo</w:t>
            </w:r>
          </w:p>
        </w:tc>
        <w:tc>
          <w:tcPr>
            <w:tcW w:w="767" w:type="dxa"/>
            <w:vMerge/>
            <w:tcBorders>
              <w:left w:val="single" w:sz="4" w:space="0" w:color="auto"/>
              <w:right w:val="single" w:sz="12" w:space="0" w:color="auto"/>
            </w:tcBorders>
          </w:tcPr>
          <w:p w:rsidR="0073486F" w:rsidRPr="00870476" w:rsidRDefault="0073486F" w:rsidP="009B7F21">
            <w:pPr>
              <w:adjustRightInd w:val="0"/>
              <w:rPr>
                <w:rFonts w:ascii="Arial Narrow" w:hAnsi="Arial Narrow"/>
                <w:color w:val="000000"/>
                <w:sz w:val="22"/>
                <w:szCs w:val="22"/>
              </w:rPr>
            </w:pPr>
          </w:p>
        </w:tc>
        <w:tc>
          <w:tcPr>
            <w:tcW w:w="851" w:type="dxa"/>
            <w:vMerge/>
            <w:tcBorders>
              <w:left w:val="nil"/>
              <w:right w:val="single" w:sz="4" w:space="0" w:color="auto"/>
            </w:tcBorders>
          </w:tcPr>
          <w:p w:rsidR="0073486F" w:rsidRPr="00870476" w:rsidRDefault="0073486F" w:rsidP="009B7F21">
            <w:pPr>
              <w:jc w:val="center"/>
              <w:rPr>
                <w:rFonts w:ascii="Arial Narrow" w:hAnsi="Arial Narrow" w:cs="Arial"/>
                <w:bCs/>
                <w:sz w:val="22"/>
                <w:szCs w:val="22"/>
              </w:rPr>
            </w:pPr>
          </w:p>
        </w:tc>
        <w:tc>
          <w:tcPr>
            <w:tcW w:w="850" w:type="dxa"/>
            <w:vMerge/>
            <w:tcBorders>
              <w:left w:val="single" w:sz="4" w:space="0" w:color="auto"/>
              <w:right w:val="single" w:sz="4" w:space="0" w:color="auto"/>
            </w:tcBorders>
          </w:tcPr>
          <w:p w:rsidR="0073486F" w:rsidRPr="00870476" w:rsidRDefault="0073486F" w:rsidP="009B7F21">
            <w:pPr>
              <w:jc w:val="center"/>
              <w:rPr>
                <w:rFonts w:ascii="Arial Narrow" w:hAnsi="Arial Narrow"/>
                <w:b/>
                <w:color w:val="000000"/>
                <w:sz w:val="22"/>
                <w:szCs w:val="22"/>
              </w:rPr>
            </w:pPr>
          </w:p>
        </w:tc>
        <w:tc>
          <w:tcPr>
            <w:tcW w:w="4678" w:type="dxa"/>
            <w:vMerge/>
            <w:tcBorders>
              <w:left w:val="single" w:sz="4" w:space="0" w:color="auto"/>
              <w:right w:val="single" w:sz="4" w:space="0" w:color="auto"/>
            </w:tcBorders>
          </w:tcPr>
          <w:p w:rsidR="0073486F" w:rsidRPr="00870476" w:rsidRDefault="0073486F" w:rsidP="009B7F21">
            <w:pPr>
              <w:jc w:val="both"/>
              <w:rPr>
                <w:rFonts w:ascii="Arial Narrow" w:hAnsi="Arial Narrow"/>
                <w:b/>
                <w:color w:val="000000"/>
                <w:sz w:val="22"/>
                <w:szCs w:val="22"/>
              </w:rPr>
            </w:pPr>
          </w:p>
        </w:tc>
        <w:tc>
          <w:tcPr>
            <w:tcW w:w="709" w:type="dxa"/>
            <w:vMerge/>
            <w:tcBorders>
              <w:left w:val="single" w:sz="4" w:space="0" w:color="auto"/>
              <w:right w:val="single" w:sz="4" w:space="0" w:color="auto"/>
            </w:tcBorders>
          </w:tcPr>
          <w:p w:rsidR="0073486F" w:rsidRPr="00870476" w:rsidRDefault="0073486F" w:rsidP="009B7F21">
            <w:pPr>
              <w:adjustRightInd w:val="0"/>
              <w:rPr>
                <w:rFonts w:ascii="Arial Narrow" w:hAnsi="Arial Narrow"/>
                <w:color w:val="000000"/>
                <w:sz w:val="22"/>
                <w:szCs w:val="22"/>
              </w:rPr>
            </w:pPr>
          </w:p>
        </w:tc>
        <w:tc>
          <w:tcPr>
            <w:tcW w:w="934" w:type="dxa"/>
            <w:vMerge/>
            <w:tcBorders>
              <w:left w:val="single" w:sz="4" w:space="0" w:color="auto"/>
              <w:right w:val="single" w:sz="12" w:space="0" w:color="auto"/>
            </w:tcBorders>
          </w:tcPr>
          <w:p w:rsidR="0073486F" w:rsidRPr="00870476" w:rsidRDefault="0073486F" w:rsidP="009B7F21">
            <w:pPr>
              <w:spacing w:before="75" w:after="75"/>
              <w:rPr>
                <w:rFonts w:ascii="Arial Narrow" w:hAnsi="Arial Narrow" w:cs="Arial"/>
                <w:sz w:val="22"/>
                <w:szCs w:val="22"/>
              </w:rPr>
            </w:pPr>
          </w:p>
        </w:tc>
      </w:tr>
      <w:tr w:rsidR="0073486F" w:rsidRPr="00870476" w:rsidTr="000F6E14">
        <w:trPr>
          <w:trHeight w:val="767"/>
        </w:trPr>
        <w:tc>
          <w:tcPr>
            <w:tcW w:w="682" w:type="dxa"/>
            <w:tcBorders>
              <w:top w:val="single" w:sz="4" w:space="0" w:color="auto"/>
              <w:left w:val="single" w:sz="12" w:space="0" w:color="auto"/>
              <w:bottom w:val="single" w:sz="4" w:space="0" w:color="auto"/>
              <w:right w:val="single" w:sz="4" w:space="0" w:color="auto"/>
            </w:tcBorders>
          </w:tcPr>
          <w:p w:rsidR="0073486F" w:rsidRPr="00870476" w:rsidRDefault="0073486F" w:rsidP="00680864">
            <w:pPr>
              <w:jc w:val="center"/>
              <w:rPr>
                <w:rFonts w:ascii="Arial Narrow" w:hAnsi="Arial Narrow"/>
                <w:sz w:val="22"/>
                <w:szCs w:val="22"/>
              </w:rPr>
            </w:pPr>
            <w:r w:rsidRPr="00870476">
              <w:rPr>
                <w:rFonts w:ascii="Arial Narrow" w:hAnsi="Arial Narrow"/>
                <w:sz w:val="22"/>
                <w:szCs w:val="22"/>
              </w:rPr>
              <w:t>P:d</w:t>
            </w:r>
          </w:p>
        </w:tc>
        <w:tc>
          <w:tcPr>
            <w:tcW w:w="6604" w:type="dxa"/>
            <w:tcBorders>
              <w:top w:val="single" w:sz="4" w:space="0" w:color="auto"/>
              <w:left w:val="single" w:sz="4" w:space="0" w:color="auto"/>
              <w:bottom w:val="single" w:sz="4" w:space="0" w:color="auto"/>
              <w:right w:val="single" w:sz="4" w:space="0" w:color="auto"/>
            </w:tcBorders>
          </w:tcPr>
          <w:p w:rsidR="0073486F" w:rsidRPr="00870476" w:rsidRDefault="0073486F" w:rsidP="009B7F21">
            <w:pPr>
              <w:pStyle w:val="Normlny0"/>
              <w:rPr>
                <w:rFonts w:ascii="Arial Narrow" w:hAnsi="Arial Narrow"/>
                <w:bCs/>
                <w:sz w:val="22"/>
                <w:szCs w:val="22"/>
              </w:rPr>
            </w:pPr>
            <w:r w:rsidRPr="00870476">
              <w:rPr>
                <w:rFonts w:ascii="Arial Narrow" w:hAnsi="Arial Narrow"/>
                <w:bCs/>
                <w:sz w:val="22"/>
                <w:szCs w:val="22"/>
              </w:rPr>
              <w:t>d) určili členské štáty ako subjekty verejného záujmu, napríklad podniky, ktoré sú dôležité z verejného hľadiska z dôvodu povahy ich podnikania, ich veľkosti alebo počtu zamestnancov;</w:t>
            </w:r>
          </w:p>
        </w:tc>
        <w:tc>
          <w:tcPr>
            <w:tcW w:w="767" w:type="dxa"/>
            <w:vMerge/>
            <w:tcBorders>
              <w:left w:val="single" w:sz="4" w:space="0" w:color="auto"/>
              <w:bottom w:val="single" w:sz="4" w:space="0" w:color="auto"/>
              <w:right w:val="single" w:sz="12" w:space="0" w:color="auto"/>
            </w:tcBorders>
          </w:tcPr>
          <w:p w:rsidR="0073486F" w:rsidRPr="00870476" w:rsidRDefault="0073486F" w:rsidP="009B7F21">
            <w:pPr>
              <w:adjustRightInd w:val="0"/>
              <w:rPr>
                <w:rFonts w:ascii="Arial Narrow" w:hAnsi="Arial Narrow"/>
                <w:color w:val="000000"/>
                <w:sz w:val="22"/>
                <w:szCs w:val="22"/>
              </w:rPr>
            </w:pPr>
          </w:p>
        </w:tc>
        <w:tc>
          <w:tcPr>
            <w:tcW w:w="851" w:type="dxa"/>
            <w:vMerge/>
            <w:tcBorders>
              <w:left w:val="nil"/>
              <w:bottom w:val="single" w:sz="4" w:space="0" w:color="auto"/>
              <w:right w:val="single" w:sz="4" w:space="0" w:color="auto"/>
            </w:tcBorders>
          </w:tcPr>
          <w:p w:rsidR="0073486F" w:rsidRPr="00870476" w:rsidRDefault="0073486F" w:rsidP="009B7F21">
            <w:pPr>
              <w:jc w:val="center"/>
              <w:rPr>
                <w:rFonts w:ascii="Arial Narrow" w:hAnsi="Arial Narrow" w:cs="Arial"/>
                <w:bCs/>
                <w:sz w:val="22"/>
                <w:szCs w:val="22"/>
              </w:rPr>
            </w:pPr>
          </w:p>
        </w:tc>
        <w:tc>
          <w:tcPr>
            <w:tcW w:w="850" w:type="dxa"/>
            <w:vMerge/>
            <w:tcBorders>
              <w:left w:val="single" w:sz="4" w:space="0" w:color="auto"/>
              <w:bottom w:val="single" w:sz="4" w:space="0" w:color="auto"/>
              <w:right w:val="single" w:sz="4" w:space="0" w:color="auto"/>
            </w:tcBorders>
          </w:tcPr>
          <w:p w:rsidR="0073486F" w:rsidRPr="00870476" w:rsidRDefault="0073486F" w:rsidP="009B7F21">
            <w:pPr>
              <w:jc w:val="center"/>
              <w:rPr>
                <w:rFonts w:ascii="Arial Narrow" w:hAnsi="Arial Narrow"/>
                <w:sz w:val="22"/>
                <w:szCs w:val="22"/>
              </w:rPr>
            </w:pPr>
          </w:p>
        </w:tc>
        <w:tc>
          <w:tcPr>
            <w:tcW w:w="4678" w:type="dxa"/>
            <w:vMerge/>
            <w:tcBorders>
              <w:left w:val="single" w:sz="4" w:space="0" w:color="auto"/>
              <w:bottom w:val="single" w:sz="4" w:space="0" w:color="auto"/>
              <w:right w:val="single" w:sz="4" w:space="0" w:color="auto"/>
            </w:tcBorders>
          </w:tcPr>
          <w:p w:rsidR="0073486F" w:rsidRPr="00870476" w:rsidRDefault="0073486F" w:rsidP="009B7F21">
            <w:pPr>
              <w:jc w:val="both"/>
              <w:rPr>
                <w:rFonts w:ascii="Arial Narrow" w:hAnsi="Arial Narrow" w:cs="Arial"/>
                <w:sz w:val="22"/>
                <w:szCs w:val="22"/>
              </w:rPr>
            </w:pPr>
          </w:p>
        </w:tc>
        <w:tc>
          <w:tcPr>
            <w:tcW w:w="709" w:type="dxa"/>
            <w:vMerge/>
            <w:tcBorders>
              <w:left w:val="single" w:sz="4" w:space="0" w:color="auto"/>
              <w:bottom w:val="single" w:sz="4" w:space="0" w:color="auto"/>
              <w:right w:val="single" w:sz="4" w:space="0" w:color="auto"/>
            </w:tcBorders>
          </w:tcPr>
          <w:p w:rsidR="0073486F" w:rsidRPr="00870476" w:rsidRDefault="0073486F" w:rsidP="009B7F21">
            <w:pPr>
              <w:adjustRightInd w:val="0"/>
              <w:rPr>
                <w:rFonts w:ascii="Arial Narrow" w:hAnsi="Arial Narrow"/>
                <w:color w:val="000000"/>
                <w:sz w:val="22"/>
                <w:szCs w:val="22"/>
              </w:rPr>
            </w:pPr>
          </w:p>
        </w:tc>
        <w:tc>
          <w:tcPr>
            <w:tcW w:w="934" w:type="dxa"/>
            <w:vMerge/>
            <w:tcBorders>
              <w:left w:val="single" w:sz="4" w:space="0" w:color="auto"/>
              <w:bottom w:val="single" w:sz="4" w:space="0" w:color="auto"/>
              <w:right w:val="single" w:sz="12" w:space="0" w:color="auto"/>
            </w:tcBorders>
          </w:tcPr>
          <w:p w:rsidR="0073486F" w:rsidRPr="00870476" w:rsidRDefault="0073486F" w:rsidP="009B7F21">
            <w:pPr>
              <w:spacing w:before="75" w:after="75"/>
              <w:rPr>
                <w:rFonts w:ascii="Arial Narrow" w:hAnsi="Arial Narrow" w:cs="Arial"/>
                <w:sz w:val="22"/>
                <w:szCs w:val="22"/>
              </w:rPr>
            </w:pPr>
          </w:p>
        </w:tc>
      </w:tr>
      <w:tr w:rsidR="0096284B" w:rsidRPr="00870476" w:rsidTr="000F6E14">
        <w:trPr>
          <w:trHeight w:val="767"/>
        </w:trPr>
        <w:tc>
          <w:tcPr>
            <w:tcW w:w="682" w:type="dxa"/>
            <w:tcBorders>
              <w:top w:val="single" w:sz="4" w:space="0" w:color="auto"/>
              <w:left w:val="single" w:sz="12" w:space="0" w:color="auto"/>
              <w:bottom w:val="single" w:sz="4" w:space="0" w:color="auto"/>
              <w:right w:val="single" w:sz="4" w:space="0" w:color="auto"/>
            </w:tcBorders>
          </w:tcPr>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Č: 3</w:t>
            </w:r>
          </w:p>
          <w:p w:rsidR="00092C6E" w:rsidRDefault="00092C6E" w:rsidP="0096284B">
            <w:pPr>
              <w:pStyle w:val="Normlny0"/>
              <w:rPr>
                <w:rFonts w:ascii="Arial Narrow" w:hAnsi="Arial Narrow"/>
                <w:bCs/>
                <w:sz w:val="22"/>
                <w:szCs w:val="22"/>
              </w:rPr>
            </w:pPr>
            <w:r>
              <w:rPr>
                <w:rFonts w:ascii="Arial Narrow" w:hAnsi="Arial Narrow"/>
                <w:bCs/>
                <w:sz w:val="22"/>
                <w:szCs w:val="22"/>
              </w:rPr>
              <w:t>O: 2</w:t>
            </w:r>
          </w:p>
          <w:p w:rsidR="00092C6E" w:rsidRDefault="00092C6E" w:rsidP="0096284B">
            <w:pPr>
              <w:pStyle w:val="Normlny0"/>
              <w:rPr>
                <w:rFonts w:ascii="Arial Narrow" w:hAnsi="Arial Narrow"/>
                <w:bCs/>
                <w:sz w:val="22"/>
                <w:szCs w:val="22"/>
              </w:rPr>
            </w:pPr>
          </w:p>
          <w:p w:rsidR="00092C6E" w:rsidRDefault="00092C6E" w:rsidP="0096284B">
            <w:pPr>
              <w:pStyle w:val="Normlny0"/>
              <w:rPr>
                <w:rFonts w:ascii="Arial Narrow" w:hAnsi="Arial Narrow"/>
                <w:bCs/>
                <w:sz w:val="22"/>
                <w:szCs w:val="22"/>
              </w:rPr>
            </w:pPr>
          </w:p>
          <w:p w:rsidR="00092C6E" w:rsidRDefault="00092C6E" w:rsidP="0096284B">
            <w:pPr>
              <w:pStyle w:val="Normlny0"/>
              <w:rPr>
                <w:rFonts w:ascii="Arial Narrow" w:hAnsi="Arial Narrow"/>
                <w:bCs/>
                <w:sz w:val="22"/>
                <w:szCs w:val="22"/>
              </w:rPr>
            </w:pPr>
          </w:p>
          <w:p w:rsidR="0096284B" w:rsidRPr="0096284B" w:rsidRDefault="0096284B" w:rsidP="00092C6E">
            <w:pPr>
              <w:pStyle w:val="Normlny0"/>
              <w:spacing w:before="120"/>
              <w:rPr>
                <w:rFonts w:ascii="Arial Narrow" w:hAnsi="Arial Narrow"/>
                <w:bCs/>
                <w:sz w:val="22"/>
                <w:szCs w:val="22"/>
              </w:rPr>
            </w:pPr>
            <w:r w:rsidRPr="0096284B">
              <w:rPr>
                <w:rFonts w:ascii="Arial Narrow" w:hAnsi="Arial Narrow"/>
                <w:bCs/>
                <w:sz w:val="22"/>
                <w:szCs w:val="22"/>
              </w:rPr>
              <w:t>O: 3</w:t>
            </w:r>
          </w:p>
          <w:p w:rsidR="0096284B" w:rsidRPr="0096284B" w:rsidRDefault="0096284B" w:rsidP="0096284B">
            <w:pPr>
              <w:pStyle w:val="Normlny0"/>
              <w:rPr>
                <w:rFonts w:ascii="Arial Narrow" w:hAnsi="Arial Narrow"/>
                <w:bCs/>
                <w:sz w:val="22"/>
                <w:szCs w:val="22"/>
              </w:rPr>
            </w:pPr>
          </w:p>
          <w:p w:rsidR="0096284B" w:rsidRPr="0096284B" w:rsidRDefault="0096284B" w:rsidP="0096284B">
            <w:pPr>
              <w:pStyle w:val="Normlny0"/>
              <w:rPr>
                <w:rFonts w:ascii="Arial Narrow" w:hAnsi="Arial Narrow"/>
                <w:bCs/>
                <w:sz w:val="22"/>
                <w:szCs w:val="22"/>
              </w:rPr>
            </w:pPr>
          </w:p>
          <w:p w:rsidR="0096284B" w:rsidRPr="0096284B" w:rsidRDefault="0096284B" w:rsidP="0096284B">
            <w:pPr>
              <w:pStyle w:val="Normlny0"/>
              <w:rPr>
                <w:rFonts w:ascii="Arial Narrow" w:hAnsi="Arial Narrow"/>
                <w:bCs/>
                <w:sz w:val="22"/>
                <w:szCs w:val="22"/>
              </w:rPr>
            </w:pPr>
          </w:p>
          <w:p w:rsidR="0096284B" w:rsidRDefault="0096284B" w:rsidP="0096284B">
            <w:pPr>
              <w:pStyle w:val="Normlny0"/>
              <w:rPr>
                <w:rFonts w:ascii="Arial Narrow" w:hAnsi="Arial Narrow"/>
                <w:bCs/>
                <w:sz w:val="22"/>
                <w:szCs w:val="22"/>
              </w:rPr>
            </w:pPr>
          </w:p>
          <w:p w:rsidR="00092C6E" w:rsidRPr="0096284B" w:rsidRDefault="00092C6E" w:rsidP="0096284B">
            <w:pPr>
              <w:pStyle w:val="Normlny0"/>
              <w:rPr>
                <w:rFonts w:ascii="Arial Narrow" w:hAnsi="Arial Narrow"/>
                <w:bCs/>
                <w:sz w:val="22"/>
                <w:szCs w:val="22"/>
              </w:rPr>
            </w:pPr>
          </w:p>
          <w:p w:rsidR="0096284B" w:rsidRPr="0096284B" w:rsidRDefault="0096284B" w:rsidP="0096284B">
            <w:pPr>
              <w:pStyle w:val="Normlny0"/>
              <w:rPr>
                <w:rFonts w:ascii="Arial Narrow" w:hAnsi="Arial Narrow"/>
                <w:bCs/>
                <w:sz w:val="22"/>
                <w:szCs w:val="22"/>
              </w:rPr>
            </w:pP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O: 4</w:t>
            </w:r>
          </w:p>
        </w:tc>
        <w:tc>
          <w:tcPr>
            <w:tcW w:w="6604" w:type="dxa"/>
            <w:tcBorders>
              <w:top w:val="single" w:sz="4" w:space="0" w:color="auto"/>
              <w:left w:val="single" w:sz="4" w:space="0" w:color="auto"/>
              <w:bottom w:val="single" w:sz="4" w:space="0" w:color="auto"/>
              <w:right w:val="single" w:sz="4" w:space="0" w:color="auto"/>
            </w:tcBorders>
          </w:tcPr>
          <w:p w:rsidR="00092C6E" w:rsidRPr="00092C6E" w:rsidRDefault="00092C6E" w:rsidP="00092C6E">
            <w:pPr>
              <w:pStyle w:val="Normlny0"/>
              <w:rPr>
                <w:rFonts w:ascii="Arial Narrow" w:hAnsi="Arial Narrow"/>
                <w:bCs/>
                <w:sz w:val="22"/>
                <w:szCs w:val="22"/>
              </w:rPr>
            </w:pPr>
            <w:r w:rsidRPr="00092C6E">
              <w:rPr>
                <w:rFonts w:ascii="Arial Narrow" w:hAnsi="Arial Narrow"/>
                <w:bCs/>
                <w:sz w:val="22"/>
                <w:szCs w:val="22"/>
              </w:rPr>
              <w:t xml:space="preserve">2. Malé podniky sú podniky, ktoré ku dňu, ku ktorému sa ich účtovná závierka zostavuje, neprekročia limity aspoň dvoch z týchto troch kritérií: </w:t>
            </w:r>
          </w:p>
          <w:p w:rsidR="00092C6E" w:rsidRPr="00092C6E" w:rsidRDefault="00092C6E" w:rsidP="00092C6E">
            <w:pPr>
              <w:pStyle w:val="Normlny0"/>
              <w:rPr>
                <w:rFonts w:ascii="Arial Narrow" w:hAnsi="Arial Narrow"/>
                <w:bCs/>
                <w:sz w:val="22"/>
                <w:szCs w:val="22"/>
              </w:rPr>
            </w:pPr>
            <w:r w:rsidRPr="00092C6E">
              <w:rPr>
                <w:rFonts w:ascii="Arial Narrow" w:hAnsi="Arial Narrow"/>
                <w:bCs/>
                <w:sz w:val="22"/>
                <w:szCs w:val="22"/>
              </w:rPr>
              <w:t xml:space="preserve">a) celková bilančná suma: 4 000 000 EUR; </w:t>
            </w:r>
          </w:p>
          <w:p w:rsidR="00092C6E" w:rsidRPr="00092C6E" w:rsidRDefault="00092C6E" w:rsidP="00092C6E">
            <w:pPr>
              <w:pStyle w:val="Normlny0"/>
              <w:rPr>
                <w:rFonts w:ascii="Arial Narrow" w:hAnsi="Arial Narrow"/>
                <w:bCs/>
                <w:sz w:val="22"/>
                <w:szCs w:val="22"/>
              </w:rPr>
            </w:pPr>
            <w:r w:rsidRPr="00092C6E">
              <w:rPr>
                <w:rFonts w:ascii="Arial Narrow" w:hAnsi="Arial Narrow"/>
                <w:bCs/>
                <w:sz w:val="22"/>
                <w:szCs w:val="22"/>
              </w:rPr>
              <w:t xml:space="preserve">b) čistý obrat: 8 000 000 EUR; </w:t>
            </w:r>
          </w:p>
          <w:p w:rsidR="00092C6E" w:rsidRDefault="00092C6E" w:rsidP="00092C6E">
            <w:pPr>
              <w:pStyle w:val="Normlny0"/>
              <w:spacing w:after="120"/>
              <w:rPr>
                <w:rFonts w:ascii="Arial Narrow" w:hAnsi="Arial Narrow"/>
                <w:bCs/>
                <w:sz w:val="22"/>
                <w:szCs w:val="22"/>
              </w:rPr>
            </w:pPr>
            <w:r w:rsidRPr="00092C6E">
              <w:rPr>
                <w:rFonts w:ascii="Arial Narrow" w:hAnsi="Arial Narrow"/>
                <w:bCs/>
                <w:sz w:val="22"/>
                <w:szCs w:val="22"/>
              </w:rPr>
              <w:t>c) priemerný počet zamestnancov počas účtovného roka: 50.</w:t>
            </w:r>
          </w:p>
          <w:p w:rsidR="0096284B" w:rsidRPr="0096284B" w:rsidRDefault="0096284B" w:rsidP="0096284B">
            <w:pPr>
              <w:pStyle w:val="Normlny0"/>
              <w:rPr>
                <w:rFonts w:ascii="Arial Narrow" w:hAnsi="Arial Narrow"/>
                <w:bCs/>
                <w:sz w:val="22"/>
                <w:szCs w:val="22"/>
              </w:rPr>
            </w:pPr>
            <w:r>
              <w:rPr>
                <w:rFonts w:ascii="Arial Narrow" w:hAnsi="Arial Narrow"/>
                <w:bCs/>
                <w:sz w:val="22"/>
                <w:szCs w:val="22"/>
              </w:rPr>
              <w:t xml:space="preserve">3. </w:t>
            </w:r>
            <w:r w:rsidRPr="0096284B">
              <w:rPr>
                <w:rFonts w:ascii="Arial Narrow" w:hAnsi="Arial Narrow"/>
                <w:bCs/>
                <w:sz w:val="22"/>
                <w:szCs w:val="22"/>
              </w:rPr>
              <w:t xml:space="preserve">Stredne veľké podniky sú podniky, ktoré nie sú mikropodnikmi alebo malými podnikmi a ku dňu, ku ktorému sa ich účtovná závierka zostavuje, neprekročia limity aspoň dvoch z týchto troch kritérií: </w:t>
            </w: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a) celková bilančná suma: 20 000 000 EUR; </w:t>
            </w: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b) čistý obrat: 40 000 000 EUR; </w:t>
            </w:r>
          </w:p>
          <w:p w:rsid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c) priemerný počet zamestnancov počas účtovného roka: 250. </w:t>
            </w:r>
          </w:p>
          <w:p w:rsidR="0096284B" w:rsidRPr="0096284B" w:rsidRDefault="0096284B" w:rsidP="0096284B">
            <w:pPr>
              <w:pStyle w:val="Normlny0"/>
              <w:rPr>
                <w:rFonts w:ascii="Arial Narrow" w:hAnsi="Arial Narrow"/>
                <w:bCs/>
                <w:sz w:val="22"/>
                <w:szCs w:val="22"/>
              </w:rPr>
            </w:pP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4. Veľké podniky sú podniky, ktoré ku dňu, ku ktorému sa ich účtovná závierka zostavuje, prekročia aspoň dve z týchto troch kritérií: </w:t>
            </w: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a) celková bilančná suma: 20 000 000 EUR; </w:t>
            </w:r>
          </w:p>
          <w:p w:rsidR="0096284B" w:rsidRPr="0096284B" w:rsidRDefault="0096284B" w:rsidP="0096284B">
            <w:pPr>
              <w:pStyle w:val="Normlny0"/>
              <w:rPr>
                <w:rFonts w:ascii="Arial Narrow" w:hAnsi="Arial Narrow"/>
                <w:bCs/>
                <w:sz w:val="22"/>
                <w:szCs w:val="22"/>
              </w:rPr>
            </w:pPr>
            <w:r w:rsidRPr="0096284B">
              <w:rPr>
                <w:rFonts w:ascii="Arial Narrow" w:hAnsi="Arial Narrow"/>
                <w:bCs/>
                <w:sz w:val="22"/>
                <w:szCs w:val="22"/>
              </w:rPr>
              <w:t xml:space="preserve">b) čistý obrat: 40 000 000 EUR; </w:t>
            </w:r>
          </w:p>
          <w:p w:rsidR="0096284B" w:rsidRPr="00870476" w:rsidRDefault="0096284B" w:rsidP="0096284B">
            <w:pPr>
              <w:pStyle w:val="Normlny0"/>
              <w:rPr>
                <w:rFonts w:ascii="Arial Narrow" w:hAnsi="Arial Narrow"/>
                <w:bCs/>
                <w:sz w:val="22"/>
                <w:szCs w:val="22"/>
              </w:rPr>
            </w:pPr>
            <w:r w:rsidRPr="0096284B">
              <w:rPr>
                <w:rFonts w:ascii="Arial Narrow" w:hAnsi="Arial Narrow"/>
                <w:bCs/>
                <w:sz w:val="22"/>
                <w:szCs w:val="22"/>
              </w:rPr>
              <w:t>c) priemerný počet zamestnancov počas účtovného roka: 250.</w:t>
            </w:r>
          </w:p>
        </w:tc>
        <w:tc>
          <w:tcPr>
            <w:tcW w:w="767" w:type="dxa"/>
            <w:tcBorders>
              <w:left w:val="single" w:sz="4" w:space="0" w:color="auto"/>
              <w:bottom w:val="single" w:sz="4" w:space="0" w:color="auto"/>
              <w:right w:val="single" w:sz="12" w:space="0" w:color="auto"/>
            </w:tcBorders>
          </w:tcPr>
          <w:p w:rsidR="0096284B" w:rsidRPr="00870476" w:rsidRDefault="0096284B" w:rsidP="009B7F21">
            <w:pPr>
              <w:adjustRightInd w:val="0"/>
              <w:rPr>
                <w:rFonts w:ascii="Arial Narrow" w:hAnsi="Arial Narrow"/>
                <w:color w:val="000000"/>
                <w:sz w:val="22"/>
                <w:szCs w:val="22"/>
              </w:rPr>
            </w:pPr>
            <w:r>
              <w:rPr>
                <w:rFonts w:ascii="Arial Narrow" w:hAnsi="Arial Narrow"/>
                <w:color w:val="000000"/>
                <w:sz w:val="22"/>
                <w:szCs w:val="22"/>
              </w:rPr>
              <w:t>N</w:t>
            </w:r>
          </w:p>
        </w:tc>
        <w:tc>
          <w:tcPr>
            <w:tcW w:w="851" w:type="dxa"/>
            <w:tcBorders>
              <w:left w:val="nil"/>
              <w:bottom w:val="single" w:sz="4" w:space="0" w:color="auto"/>
              <w:right w:val="single" w:sz="4" w:space="0" w:color="auto"/>
            </w:tcBorders>
          </w:tcPr>
          <w:p w:rsidR="0096284B" w:rsidRPr="00870476" w:rsidRDefault="0096284B" w:rsidP="0096284B">
            <w:pPr>
              <w:jc w:val="center"/>
              <w:rPr>
                <w:rFonts w:ascii="Arial Narrow" w:hAnsi="Arial Narrow" w:cs="Arial"/>
                <w:bCs/>
                <w:sz w:val="22"/>
                <w:szCs w:val="22"/>
              </w:rPr>
            </w:pPr>
            <w:r w:rsidRPr="00870476">
              <w:rPr>
                <w:rFonts w:ascii="Arial Narrow" w:hAnsi="Arial Narrow" w:cs="Arial"/>
                <w:bCs/>
                <w:sz w:val="22"/>
                <w:szCs w:val="22"/>
              </w:rPr>
              <w:t xml:space="preserve">431/2002 </w:t>
            </w:r>
          </w:p>
          <w:p w:rsidR="0096284B" w:rsidRDefault="0096284B" w:rsidP="0096284B">
            <w:pPr>
              <w:adjustRightInd w:val="0"/>
              <w:jc w:val="center"/>
              <w:rPr>
                <w:rFonts w:ascii="Arial Narrow" w:hAnsi="Arial Narrow"/>
                <w:b/>
                <w:color w:val="000000"/>
                <w:sz w:val="22"/>
                <w:szCs w:val="22"/>
              </w:rPr>
            </w:pPr>
          </w:p>
          <w:p w:rsidR="0096284B" w:rsidRDefault="0096284B" w:rsidP="0096284B">
            <w:pPr>
              <w:adjustRightInd w:val="0"/>
              <w:jc w:val="center"/>
              <w:rPr>
                <w:rFonts w:ascii="Arial Narrow" w:hAnsi="Arial Narrow"/>
                <w:b/>
                <w:color w:val="000000"/>
                <w:sz w:val="22"/>
                <w:szCs w:val="22"/>
              </w:rPr>
            </w:pPr>
          </w:p>
          <w:p w:rsidR="0096284B" w:rsidRDefault="0096284B" w:rsidP="0096284B">
            <w:pPr>
              <w:adjustRightInd w:val="0"/>
              <w:jc w:val="center"/>
              <w:rPr>
                <w:rFonts w:ascii="Arial Narrow" w:hAnsi="Arial Narrow"/>
                <w:b/>
                <w:color w:val="000000"/>
                <w:sz w:val="22"/>
                <w:szCs w:val="22"/>
              </w:rPr>
            </w:pPr>
          </w:p>
          <w:p w:rsidR="0096284B" w:rsidRDefault="0096284B" w:rsidP="0096284B">
            <w:pPr>
              <w:adjustRightInd w:val="0"/>
              <w:jc w:val="center"/>
              <w:rPr>
                <w:rFonts w:ascii="Arial Narrow" w:hAnsi="Arial Narrow"/>
                <w:b/>
                <w:color w:val="000000"/>
                <w:sz w:val="22"/>
                <w:szCs w:val="22"/>
              </w:rPr>
            </w:pPr>
          </w:p>
          <w:p w:rsidR="0096284B" w:rsidRDefault="0096284B" w:rsidP="0096284B">
            <w:pPr>
              <w:adjustRightInd w:val="0"/>
              <w:jc w:val="center"/>
              <w:rPr>
                <w:rFonts w:ascii="Arial Narrow" w:hAnsi="Arial Narrow"/>
                <w:b/>
                <w:color w:val="000000"/>
                <w:sz w:val="22"/>
                <w:szCs w:val="22"/>
              </w:rPr>
            </w:pPr>
          </w:p>
          <w:p w:rsidR="0096284B" w:rsidRDefault="0096284B" w:rsidP="0096284B">
            <w:pPr>
              <w:adjustRightInd w:val="0"/>
              <w:jc w:val="center"/>
              <w:rPr>
                <w:rFonts w:ascii="Arial Narrow" w:hAnsi="Arial Narrow"/>
                <w:b/>
                <w:color w:val="000000"/>
                <w:sz w:val="22"/>
                <w:szCs w:val="22"/>
              </w:rPr>
            </w:pPr>
          </w:p>
          <w:p w:rsidR="0096284B" w:rsidRPr="00870476" w:rsidRDefault="0096284B" w:rsidP="00092C6E">
            <w:pPr>
              <w:adjustRightInd w:val="0"/>
              <w:spacing w:before="120"/>
              <w:jc w:val="center"/>
              <w:rPr>
                <w:rFonts w:ascii="Arial Narrow" w:hAnsi="Arial Narrow"/>
                <w:b/>
                <w:color w:val="000000"/>
                <w:sz w:val="22"/>
                <w:szCs w:val="22"/>
              </w:rPr>
            </w:pPr>
            <w:r w:rsidRPr="00870476">
              <w:rPr>
                <w:rFonts w:ascii="Arial Narrow" w:hAnsi="Arial Narrow"/>
                <w:b/>
                <w:color w:val="000000"/>
                <w:sz w:val="22"/>
                <w:szCs w:val="22"/>
              </w:rPr>
              <w:t>návrh</w:t>
            </w:r>
          </w:p>
          <w:p w:rsidR="0096284B" w:rsidRPr="00870476" w:rsidRDefault="0096284B" w:rsidP="00092C6E">
            <w:pPr>
              <w:spacing w:before="120"/>
              <w:jc w:val="center"/>
              <w:rPr>
                <w:rFonts w:ascii="Arial Narrow" w:hAnsi="Arial Narrow" w:cs="Arial"/>
                <w:bCs/>
                <w:sz w:val="22"/>
                <w:szCs w:val="22"/>
              </w:rPr>
            </w:pPr>
            <w:r w:rsidRPr="00870476">
              <w:rPr>
                <w:rFonts w:ascii="Arial Narrow" w:hAnsi="Arial Narrow"/>
                <w:b/>
                <w:color w:val="000000"/>
                <w:sz w:val="22"/>
                <w:szCs w:val="22"/>
              </w:rPr>
              <w:t>čl. I</w:t>
            </w:r>
            <w:r w:rsidRPr="00870476">
              <w:rPr>
                <w:rFonts w:ascii="Arial Narrow" w:hAnsi="Arial Narrow" w:cs="Arial"/>
                <w:bCs/>
                <w:sz w:val="22"/>
                <w:szCs w:val="22"/>
              </w:rPr>
              <w:t xml:space="preserve"> </w:t>
            </w:r>
          </w:p>
          <w:p w:rsidR="0096284B" w:rsidRPr="00870476" w:rsidRDefault="0096284B" w:rsidP="009B7F21">
            <w:pPr>
              <w:jc w:val="center"/>
              <w:rPr>
                <w:rFonts w:ascii="Arial Narrow" w:hAnsi="Arial Narrow" w:cs="Arial"/>
                <w:bCs/>
                <w:sz w:val="22"/>
                <w:szCs w:val="22"/>
              </w:rPr>
            </w:pPr>
          </w:p>
        </w:tc>
        <w:tc>
          <w:tcPr>
            <w:tcW w:w="850" w:type="dxa"/>
            <w:tcBorders>
              <w:left w:val="single" w:sz="4" w:space="0" w:color="auto"/>
              <w:bottom w:val="single" w:sz="4" w:space="0" w:color="auto"/>
              <w:right w:val="single" w:sz="4" w:space="0" w:color="auto"/>
            </w:tcBorders>
          </w:tcPr>
          <w:p w:rsidR="0096284B" w:rsidRDefault="0096284B" w:rsidP="009B7F21">
            <w:pPr>
              <w:jc w:val="center"/>
              <w:rPr>
                <w:rFonts w:ascii="Arial Narrow" w:hAnsi="Arial Narrow"/>
                <w:sz w:val="22"/>
                <w:szCs w:val="22"/>
              </w:rPr>
            </w:pPr>
            <w:r>
              <w:rPr>
                <w:rFonts w:ascii="Arial Narrow" w:hAnsi="Arial Narrow"/>
                <w:sz w:val="22"/>
                <w:szCs w:val="22"/>
              </w:rPr>
              <w:t>§ 2</w:t>
            </w:r>
          </w:p>
          <w:p w:rsidR="0096284B" w:rsidRDefault="0096284B" w:rsidP="009B7F21">
            <w:pPr>
              <w:jc w:val="center"/>
              <w:rPr>
                <w:rFonts w:ascii="Arial Narrow" w:hAnsi="Arial Narrow"/>
                <w:sz w:val="22"/>
                <w:szCs w:val="22"/>
              </w:rPr>
            </w:pPr>
            <w:r>
              <w:rPr>
                <w:rFonts w:ascii="Arial Narrow" w:hAnsi="Arial Narrow"/>
                <w:sz w:val="22"/>
                <w:szCs w:val="22"/>
              </w:rPr>
              <w:t>O: 8</w:t>
            </w:r>
          </w:p>
          <w:p w:rsidR="0096284B" w:rsidRDefault="0096284B" w:rsidP="009B7F21">
            <w:pPr>
              <w:jc w:val="center"/>
              <w:rPr>
                <w:rFonts w:ascii="Arial Narrow" w:hAnsi="Arial Narrow"/>
                <w:sz w:val="22"/>
                <w:szCs w:val="22"/>
              </w:rPr>
            </w:pPr>
          </w:p>
          <w:p w:rsidR="0096284B" w:rsidRDefault="0096284B" w:rsidP="009B7F21">
            <w:pPr>
              <w:jc w:val="center"/>
              <w:rPr>
                <w:rFonts w:ascii="Arial Narrow" w:hAnsi="Arial Narrow"/>
                <w:sz w:val="22"/>
                <w:szCs w:val="22"/>
              </w:rPr>
            </w:pPr>
          </w:p>
          <w:p w:rsidR="0096284B" w:rsidRDefault="0096284B" w:rsidP="009B7F21">
            <w:pPr>
              <w:jc w:val="center"/>
              <w:rPr>
                <w:rFonts w:ascii="Arial Narrow" w:hAnsi="Arial Narrow"/>
                <w:sz w:val="22"/>
                <w:szCs w:val="22"/>
              </w:rPr>
            </w:pPr>
          </w:p>
          <w:p w:rsidR="0096284B" w:rsidRDefault="0096284B" w:rsidP="009B7F21">
            <w:pPr>
              <w:jc w:val="center"/>
              <w:rPr>
                <w:rFonts w:ascii="Arial Narrow" w:hAnsi="Arial Narrow"/>
                <w:sz w:val="22"/>
                <w:szCs w:val="22"/>
              </w:rPr>
            </w:pPr>
          </w:p>
          <w:p w:rsidR="0096284B" w:rsidRDefault="0096284B" w:rsidP="009B7F21">
            <w:pPr>
              <w:jc w:val="center"/>
              <w:rPr>
                <w:rFonts w:ascii="Arial Narrow" w:hAnsi="Arial Narrow"/>
                <w:sz w:val="22"/>
                <w:szCs w:val="22"/>
              </w:rPr>
            </w:pPr>
          </w:p>
          <w:p w:rsidR="0096284B" w:rsidRDefault="0096284B" w:rsidP="00092C6E">
            <w:pPr>
              <w:spacing w:before="120"/>
              <w:jc w:val="center"/>
              <w:rPr>
                <w:rFonts w:ascii="Arial Narrow" w:hAnsi="Arial Narrow"/>
                <w:b/>
                <w:sz w:val="22"/>
                <w:szCs w:val="22"/>
              </w:rPr>
            </w:pPr>
            <w:r w:rsidRPr="0096284B">
              <w:rPr>
                <w:rFonts w:ascii="Arial Narrow" w:hAnsi="Arial Narrow"/>
                <w:b/>
                <w:sz w:val="22"/>
                <w:szCs w:val="22"/>
              </w:rPr>
              <w:t>§ 21c</w:t>
            </w:r>
          </w:p>
          <w:p w:rsidR="0096284B" w:rsidRDefault="0096284B" w:rsidP="009B7F21">
            <w:pPr>
              <w:jc w:val="center"/>
              <w:rPr>
                <w:rFonts w:ascii="Arial Narrow" w:hAnsi="Arial Narrow"/>
                <w:b/>
                <w:sz w:val="22"/>
                <w:szCs w:val="22"/>
              </w:rPr>
            </w:pPr>
            <w:r>
              <w:rPr>
                <w:rFonts w:ascii="Arial Narrow" w:hAnsi="Arial Narrow"/>
                <w:b/>
                <w:sz w:val="22"/>
                <w:szCs w:val="22"/>
              </w:rPr>
              <w:t>O: 1</w:t>
            </w:r>
          </w:p>
          <w:p w:rsidR="0096284B" w:rsidRPr="0096284B" w:rsidRDefault="0096284B" w:rsidP="009B7F21">
            <w:pPr>
              <w:jc w:val="center"/>
              <w:rPr>
                <w:rFonts w:ascii="Arial Narrow" w:hAnsi="Arial Narrow"/>
                <w:b/>
                <w:sz w:val="22"/>
                <w:szCs w:val="22"/>
              </w:rPr>
            </w:pPr>
            <w:r>
              <w:rPr>
                <w:rFonts w:ascii="Arial Narrow" w:hAnsi="Arial Narrow"/>
                <w:b/>
                <w:sz w:val="22"/>
                <w:szCs w:val="22"/>
              </w:rPr>
              <w:t>P: b)</w:t>
            </w:r>
          </w:p>
          <w:p w:rsidR="0096284B" w:rsidRPr="00870476" w:rsidRDefault="0096284B" w:rsidP="009B7F21">
            <w:pPr>
              <w:jc w:val="center"/>
              <w:rPr>
                <w:rFonts w:ascii="Arial Narrow" w:hAnsi="Arial Narrow"/>
                <w:sz w:val="22"/>
                <w:szCs w:val="22"/>
              </w:rPr>
            </w:pPr>
          </w:p>
        </w:tc>
        <w:tc>
          <w:tcPr>
            <w:tcW w:w="4678" w:type="dxa"/>
            <w:tcBorders>
              <w:left w:val="single" w:sz="4" w:space="0" w:color="auto"/>
              <w:bottom w:val="single" w:sz="4" w:space="0" w:color="auto"/>
              <w:right w:val="single" w:sz="4" w:space="0" w:color="auto"/>
            </w:tcBorders>
          </w:tcPr>
          <w:p w:rsidR="0096284B" w:rsidRPr="00813B43" w:rsidRDefault="0096284B" w:rsidP="0096284B">
            <w:pPr>
              <w:widowControl w:val="0"/>
              <w:adjustRightInd w:val="0"/>
              <w:jc w:val="both"/>
              <w:rPr>
                <w:rFonts w:ascii="Arial Narrow" w:hAnsi="Arial Narrow" w:cs="Arial"/>
                <w:sz w:val="22"/>
                <w:szCs w:val="22"/>
              </w:rPr>
            </w:pPr>
            <w:r w:rsidRPr="00330066">
              <w:rPr>
                <w:rFonts w:ascii="Arial Narrow" w:hAnsi="Arial Narrow" w:cs="Arial"/>
                <w:sz w:val="22"/>
                <w:szCs w:val="22"/>
              </w:rPr>
              <w:t>(</w:t>
            </w:r>
            <w:r w:rsidRPr="00813B43">
              <w:rPr>
                <w:rFonts w:ascii="Arial Narrow" w:hAnsi="Arial Narrow" w:cs="Arial"/>
                <w:sz w:val="22"/>
                <w:szCs w:val="22"/>
              </w:rPr>
              <w:t xml:space="preserve">8) Do veľkostnej skupiny veľkej účtovnej jednotky sa zatriedi účtovná jednotka, ktorá spĺňa aspoň dve z týchto podmienok:  </w:t>
            </w:r>
          </w:p>
          <w:p w:rsidR="0096284B" w:rsidRPr="00813B43" w:rsidRDefault="0096284B" w:rsidP="0096284B">
            <w:pPr>
              <w:widowControl w:val="0"/>
              <w:adjustRightInd w:val="0"/>
              <w:jc w:val="both"/>
              <w:rPr>
                <w:rFonts w:ascii="Arial Narrow" w:hAnsi="Arial Narrow" w:cs="Arial"/>
                <w:sz w:val="22"/>
                <w:szCs w:val="22"/>
              </w:rPr>
            </w:pPr>
            <w:r w:rsidRPr="00813B43">
              <w:rPr>
                <w:rFonts w:ascii="Arial Narrow" w:hAnsi="Arial Narrow" w:cs="Arial"/>
                <w:sz w:val="22"/>
                <w:szCs w:val="22"/>
              </w:rPr>
              <w:t xml:space="preserve">a) celková suma majetku presiahla 4 000 000 eur,  </w:t>
            </w:r>
          </w:p>
          <w:p w:rsidR="0096284B" w:rsidRPr="00813B43" w:rsidRDefault="0096284B" w:rsidP="0096284B">
            <w:pPr>
              <w:widowControl w:val="0"/>
              <w:adjustRightInd w:val="0"/>
              <w:jc w:val="both"/>
              <w:rPr>
                <w:rFonts w:ascii="Arial Narrow" w:hAnsi="Arial Narrow" w:cs="Arial"/>
                <w:sz w:val="22"/>
                <w:szCs w:val="22"/>
              </w:rPr>
            </w:pPr>
            <w:r w:rsidRPr="00813B43">
              <w:rPr>
                <w:rFonts w:ascii="Arial Narrow" w:hAnsi="Arial Narrow" w:cs="Arial"/>
                <w:sz w:val="22"/>
                <w:szCs w:val="22"/>
              </w:rPr>
              <w:t xml:space="preserve">b) čistý obrat presiahol 8 000 000 eur,  </w:t>
            </w:r>
          </w:p>
          <w:p w:rsidR="0096284B" w:rsidRPr="00813B43" w:rsidRDefault="0096284B" w:rsidP="0096284B">
            <w:pPr>
              <w:widowControl w:val="0"/>
              <w:adjustRightInd w:val="0"/>
              <w:spacing w:after="120"/>
              <w:jc w:val="both"/>
              <w:rPr>
                <w:rFonts w:ascii="Arial Narrow" w:hAnsi="Arial Narrow" w:cs="Arial"/>
                <w:sz w:val="22"/>
                <w:szCs w:val="22"/>
              </w:rPr>
            </w:pPr>
            <w:r w:rsidRPr="00813B43">
              <w:rPr>
                <w:rFonts w:ascii="Arial Narrow" w:hAnsi="Arial Narrow" w:cs="Arial"/>
                <w:sz w:val="22"/>
                <w:szCs w:val="22"/>
              </w:rPr>
              <w:t xml:space="preserve">c) priemerný prepočítaný počet zamestnancov počas účtovného obdobia presiahol 50. </w:t>
            </w:r>
          </w:p>
          <w:p w:rsidR="0096284B" w:rsidRPr="0096284B" w:rsidRDefault="0096284B" w:rsidP="0096284B">
            <w:pPr>
              <w:widowControl w:val="0"/>
              <w:adjustRightInd w:val="0"/>
              <w:jc w:val="both"/>
              <w:rPr>
                <w:rFonts w:ascii="Arial Narrow" w:hAnsi="Arial Narrow" w:cs="Arial"/>
                <w:b/>
                <w:sz w:val="22"/>
                <w:szCs w:val="22"/>
              </w:rPr>
            </w:pPr>
            <w:r w:rsidRPr="00092C6E">
              <w:rPr>
                <w:rFonts w:ascii="Arial Narrow" w:hAnsi="Arial Narrow" w:cs="Arial"/>
                <w:b/>
                <w:sz w:val="22"/>
                <w:szCs w:val="22"/>
              </w:rPr>
              <w:t>(1)</w:t>
            </w:r>
            <w:r w:rsidRPr="0096284B">
              <w:rPr>
                <w:rFonts w:ascii="Arial Narrow" w:hAnsi="Arial Narrow" w:cs="Arial"/>
                <w:b/>
                <w:sz w:val="22"/>
                <w:szCs w:val="22"/>
              </w:rPr>
              <w:t xml:space="preserve"> Organizačná zložka zahraničného subjektu je povinná uložiť správu s informáciami o dani z príjmov týkajúcu sa jej zahraničného konečného materského subjektu alebo zahraničného samostatného subjektu do registra v súlade s § 23a ods. 11 a do zbierky listín obchodného registra, ak  v každom z dvoch bezprostredne po sebe nasledujúcich účtovných obdobiach jej čistý obrat presiahne sumu 8 000 000 eur a sú splnené tieto podmienky:</w:t>
            </w:r>
          </w:p>
          <w:p w:rsidR="0096284B" w:rsidRPr="0096284B" w:rsidRDefault="0096284B" w:rsidP="0096284B">
            <w:pPr>
              <w:widowControl w:val="0"/>
              <w:adjustRightInd w:val="0"/>
              <w:jc w:val="both"/>
              <w:rPr>
                <w:rFonts w:ascii="Arial Narrow" w:hAnsi="Arial Narrow" w:cs="Arial"/>
                <w:b/>
                <w:sz w:val="22"/>
                <w:szCs w:val="22"/>
              </w:rPr>
            </w:pPr>
            <w:r w:rsidRPr="0096284B">
              <w:rPr>
                <w:rFonts w:ascii="Arial Narrow" w:hAnsi="Arial Narrow" w:cs="Arial"/>
                <w:b/>
                <w:sz w:val="22"/>
                <w:szCs w:val="22"/>
              </w:rPr>
              <w:t xml:space="preserve">b) zahraničný konečný materský subjekt uvedený v písmene a) prvom bode nemá veľkú dcérsku účtovnú jednotku uvedenú v § 21b ods. 1 a </w:t>
            </w:r>
          </w:p>
          <w:p w:rsidR="0096284B" w:rsidRPr="00870476" w:rsidRDefault="0096284B" w:rsidP="009B7F21">
            <w:pPr>
              <w:jc w:val="both"/>
              <w:rPr>
                <w:rFonts w:ascii="Arial Narrow" w:hAnsi="Arial Narrow" w:cs="Arial"/>
                <w:sz w:val="22"/>
                <w:szCs w:val="22"/>
              </w:rPr>
            </w:pPr>
          </w:p>
        </w:tc>
        <w:tc>
          <w:tcPr>
            <w:tcW w:w="709" w:type="dxa"/>
            <w:tcBorders>
              <w:left w:val="single" w:sz="4" w:space="0" w:color="auto"/>
              <w:bottom w:val="single" w:sz="4" w:space="0" w:color="auto"/>
              <w:right w:val="single" w:sz="4" w:space="0" w:color="auto"/>
            </w:tcBorders>
          </w:tcPr>
          <w:p w:rsidR="0096284B" w:rsidRPr="00870476" w:rsidRDefault="0096284B" w:rsidP="009B7F21">
            <w:pPr>
              <w:adjustRightInd w:val="0"/>
              <w:rPr>
                <w:rFonts w:ascii="Arial Narrow" w:hAnsi="Arial Narrow"/>
                <w:color w:val="000000"/>
                <w:sz w:val="22"/>
                <w:szCs w:val="22"/>
              </w:rPr>
            </w:pPr>
            <w:r w:rsidRPr="00870476">
              <w:rPr>
                <w:rFonts w:ascii="Arial Narrow" w:hAnsi="Arial Narrow"/>
                <w:color w:val="000000"/>
                <w:sz w:val="22"/>
                <w:szCs w:val="22"/>
              </w:rPr>
              <w:t>Ú</w:t>
            </w:r>
          </w:p>
        </w:tc>
        <w:tc>
          <w:tcPr>
            <w:tcW w:w="934" w:type="dxa"/>
            <w:tcBorders>
              <w:left w:val="single" w:sz="4" w:space="0" w:color="auto"/>
              <w:bottom w:val="single" w:sz="4" w:space="0" w:color="auto"/>
              <w:right w:val="single" w:sz="12" w:space="0" w:color="auto"/>
            </w:tcBorders>
          </w:tcPr>
          <w:p w:rsidR="0096284B" w:rsidRPr="00870476" w:rsidRDefault="0096284B" w:rsidP="009B7F21">
            <w:pPr>
              <w:spacing w:before="75" w:after="75"/>
              <w:rPr>
                <w:rFonts w:ascii="Arial Narrow" w:hAnsi="Arial Narrow" w:cs="Arial"/>
                <w:sz w:val="22"/>
                <w:szCs w:val="22"/>
              </w:rPr>
            </w:pPr>
          </w:p>
        </w:tc>
      </w:tr>
      <w:tr w:rsidR="003831AA" w:rsidRPr="00870476" w:rsidTr="000F6E14">
        <w:trPr>
          <w:trHeight w:val="3742"/>
        </w:trPr>
        <w:tc>
          <w:tcPr>
            <w:tcW w:w="682" w:type="dxa"/>
            <w:tcBorders>
              <w:top w:val="single" w:sz="4" w:space="0" w:color="auto"/>
              <w:left w:val="single" w:sz="12" w:space="0" w:color="auto"/>
              <w:bottom w:val="nil"/>
              <w:right w:val="single" w:sz="4" w:space="0" w:color="auto"/>
            </w:tcBorders>
          </w:tcPr>
          <w:p w:rsidR="003831AA" w:rsidRPr="00870476" w:rsidRDefault="00D66A56" w:rsidP="0073486F">
            <w:pPr>
              <w:jc w:val="center"/>
              <w:rPr>
                <w:rFonts w:ascii="Arial Narrow" w:hAnsi="Arial Narrow"/>
                <w:sz w:val="22"/>
                <w:szCs w:val="22"/>
              </w:rPr>
            </w:pPr>
            <w:r w:rsidRPr="00870476">
              <w:rPr>
                <w:rFonts w:ascii="Arial Narrow" w:hAnsi="Arial Narrow"/>
                <w:sz w:val="22"/>
                <w:szCs w:val="22"/>
              </w:rPr>
              <w:lastRenderedPageBreak/>
              <w:t>Č</w:t>
            </w:r>
            <w:r w:rsidR="003831AA" w:rsidRPr="00870476">
              <w:rPr>
                <w:rFonts w:ascii="Arial Narrow" w:hAnsi="Arial Narrow"/>
                <w:sz w:val="22"/>
                <w:szCs w:val="22"/>
              </w:rPr>
              <w:t>:20</w:t>
            </w:r>
          </w:p>
          <w:p w:rsidR="003831AA" w:rsidRPr="00870476" w:rsidRDefault="003831AA" w:rsidP="0073486F">
            <w:pPr>
              <w:jc w:val="center"/>
              <w:rPr>
                <w:rFonts w:ascii="Arial Narrow" w:hAnsi="Arial Narrow"/>
                <w:sz w:val="22"/>
                <w:szCs w:val="22"/>
              </w:rPr>
            </w:pPr>
            <w:r w:rsidRPr="00870476">
              <w:rPr>
                <w:rFonts w:ascii="Arial Narrow" w:hAnsi="Arial Narrow"/>
                <w:sz w:val="22"/>
                <w:szCs w:val="22"/>
              </w:rPr>
              <w:t>O:1</w:t>
            </w:r>
          </w:p>
          <w:p w:rsidR="003831AA" w:rsidRPr="00870476" w:rsidRDefault="003831AA" w:rsidP="0073486F">
            <w:pPr>
              <w:jc w:val="center"/>
              <w:rPr>
                <w:rFonts w:ascii="Arial Narrow" w:hAnsi="Arial Narrow"/>
                <w:sz w:val="22"/>
                <w:szCs w:val="22"/>
              </w:rPr>
            </w:pPr>
            <w:r w:rsidRPr="00870476">
              <w:rPr>
                <w:rFonts w:ascii="Arial Narrow" w:hAnsi="Arial Narrow"/>
                <w:sz w:val="22"/>
                <w:szCs w:val="22"/>
              </w:rPr>
              <w:t>P:d</w:t>
            </w:r>
          </w:p>
        </w:tc>
        <w:tc>
          <w:tcPr>
            <w:tcW w:w="6604" w:type="dxa"/>
            <w:tcBorders>
              <w:top w:val="single" w:sz="4" w:space="0" w:color="auto"/>
              <w:left w:val="single" w:sz="4" w:space="0" w:color="auto"/>
              <w:bottom w:val="nil"/>
              <w:right w:val="single" w:sz="4" w:space="0" w:color="auto"/>
            </w:tcBorders>
          </w:tcPr>
          <w:p w:rsidR="003831AA" w:rsidRPr="00870476" w:rsidRDefault="003831AA" w:rsidP="003831AA">
            <w:pPr>
              <w:autoSpaceDE/>
              <w:autoSpaceDN/>
              <w:rPr>
                <w:rFonts w:ascii="Arial Narrow" w:eastAsia="Arial Unicode MS" w:hAnsi="Arial Narrow" w:cs="Arial Unicode MS"/>
                <w:sz w:val="22"/>
                <w:szCs w:val="22"/>
              </w:rPr>
            </w:pPr>
            <w:r w:rsidRPr="00870476">
              <w:rPr>
                <w:rFonts w:ascii="Arial Narrow" w:eastAsia="Arial Unicode MS" w:hAnsi="Arial Narrow" w:cs="Arial Unicode MS"/>
                <w:sz w:val="22"/>
                <w:szCs w:val="22"/>
                <w:shd w:val="clear" w:color="auto" w:fill="FFFFFF"/>
              </w:rPr>
              <w:t>1.   </w:t>
            </w:r>
            <w:r w:rsidRPr="00870476">
              <w:rPr>
                <w:rFonts w:ascii="Arial Narrow" w:eastAsia="Arial Unicode MS" w:hAnsi="Arial Narrow" w:cs="Arial Unicode MS"/>
                <w:sz w:val="22"/>
                <w:szCs w:val="22"/>
              </w:rPr>
              <w:t>Podniky uvedené v článku 2 ods. 1 písm. a) zahrnú vyhlásenie o správe a riadení do svojich správ o hospodárení. Toto vyhlásenie sa zahrnie ako osobitný oddiel správy o hospodárení a obsahuje aspoň tieto informácie:</w:t>
            </w:r>
          </w:p>
          <w:p w:rsidR="003831AA" w:rsidRPr="00870476" w:rsidRDefault="003831AA" w:rsidP="003831AA">
            <w:pPr>
              <w:shd w:val="clear" w:color="auto" w:fill="FFFFFF"/>
              <w:autoSpaceDE/>
              <w:autoSpaceDN/>
              <w:jc w:val="both"/>
              <w:rPr>
                <w:rFonts w:ascii="Arial Unicode MS" w:eastAsia="Arial Unicode MS" w:hAnsi="Arial Unicode MS" w:cs="Arial Unicode MS"/>
                <w:color w:val="333333"/>
                <w:sz w:val="21"/>
                <w:szCs w:val="21"/>
              </w:rPr>
            </w:pPr>
            <w:r w:rsidRPr="00870476">
              <w:rPr>
                <w:rFonts w:ascii="Arial Unicode MS" w:eastAsia="Arial Unicode MS" w:hAnsi="Arial Unicode MS" w:cs="Arial Unicode MS" w:hint="eastAsia"/>
                <w:color w:val="333333"/>
                <w:sz w:val="21"/>
                <w:szCs w:val="21"/>
              </w:rPr>
              <w:t>d) </w:t>
            </w:r>
            <w:r w:rsidRPr="00870476">
              <w:rPr>
                <w:rFonts w:ascii="Arial Narrow" w:eastAsia="Arial Unicode MS" w:hAnsi="Arial Narrow"/>
                <w:sz w:val="22"/>
                <w:szCs w:val="22"/>
              </w:rPr>
              <w:t>informácie vyžadované podľa článku 10 ods. 1 písm. c), d), f), h) a i) smernice Európskeho parlamentu a Rady 2004/25/ES z 21. apríla 2004 o ponukách na prevzatie (</w:t>
            </w:r>
            <w:hyperlink r:id="rId9" w:anchor="38;qid=1647940649399" w:history="1">
              <w:r w:rsidRPr="00870476">
                <w:rPr>
                  <w:rStyle w:val="Hypertextovprepojenie"/>
                  <w:rFonts w:ascii="Arial Narrow" w:eastAsia="Arial Unicode MS" w:hAnsi="Arial Narrow"/>
                  <w:color w:val="auto"/>
                  <w:sz w:val="22"/>
                  <w:szCs w:val="22"/>
                </w:rPr>
                <w:t> </w:t>
              </w:r>
              <w:r w:rsidRPr="00870476">
                <w:rPr>
                  <w:rStyle w:val="superscript"/>
                  <w:rFonts w:ascii="Arial Narrow" w:eastAsia="Arial Unicode MS" w:hAnsi="Arial Narrow"/>
                  <w:sz w:val="22"/>
                  <w:szCs w:val="22"/>
                  <w:vertAlign w:val="superscript"/>
                </w:rPr>
                <w:t>5</w:t>
              </w:r>
              <w:r w:rsidRPr="00870476">
                <w:rPr>
                  <w:rStyle w:val="Hypertextovprepojenie"/>
                  <w:rFonts w:ascii="Arial Narrow" w:eastAsia="Arial Unicode MS" w:hAnsi="Arial Narrow"/>
                  <w:color w:val="auto"/>
                  <w:sz w:val="22"/>
                  <w:szCs w:val="22"/>
                </w:rPr>
                <w:t> </w:t>
              </w:r>
            </w:hyperlink>
            <w:r w:rsidRPr="00870476">
              <w:rPr>
                <w:rFonts w:ascii="Arial Narrow" w:eastAsia="Arial Unicode MS" w:hAnsi="Arial Narrow"/>
                <w:sz w:val="22"/>
                <w:szCs w:val="22"/>
              </w:rPr>
              <w:t>), ak sa uvedená smernica vzťahuje na daný podnik;</w:t>
            </w:r>
          </w:p>
          <w:p w:rsidR="003831AA" w:rsidRPr="00870476" w:rsidRDefault="003831AA" w:rsidP="003831AA">
            <w:pPr>
              <w:autoSpaceDE/>
              <w:autoSpaceDN/>
              <w:rPr>
                <w:rFonts w:ascii="Arial Narrow" w:hAnsi="Arial Narrow"/>
                <w:sz w:val="22"/>
                <w:szCs w:val="22"/>
              </w:rPr>
            </w:pPr>
          </w:p>
          <w:p w:rsidR="003831AA" w:rsidRPr="00870476" w:rsidRDefault="003831AA" w:rsidP="0073486F">
            <w:pPr>
              <w:adjustRightInd w:val="0"/>
              <w:spacing w:before="75"/>
              <w:rPr>
                <w:rFonts w:ascii="Arial Narrow" w:hAnsi="Arial Narrow"/>
                <w:bCs/>
                <w:color w:val="000000"/>
                <w:sz w:val="22"/>
                <w:szCs w:val="22"/>
              </w:rPr>
            </w:pPr>
          </w:p>
        </w:tc>
        <w:tc>
          <w:tcPr>
            <w:tcW w:w="767" w:type="dxa"/>
            <w:tcBorders>
              <w:top w:val="single" w:sz="4" w:space="0" w:color="auto"/>
              <w:left w:val="single" w:sz="4" w:space="0" w:color="auto"/>
              <w:bottom w:val="nil"/>
              <w:right w:val="single" w:sz="12" w:space="0" w:color="auto"/>
            </w:tcBorders>
          </w:tcPr>
          <w:p w:rsidR="003831AA" w:rsidRPr="00870476" w:rsidRDefault="003831AA" w:rsidP="0073486F">
            <w:pPr>
              <w:adjustRightInd w:val="0"/>
              <w:rPr>
                <w:rFonts w:ascii="Arial Narrow" w:hAnsi="Arial Narrow"/>
                <w:color w:val="000000"/>
                <w:sz w:val="22"/>
                <w:szCs w:val="22"/>
              </w:rPr>
            </w:pPr>
            <w:r w:rsidRPr="00870476">
              <w:rPr>
                <w:rFonts w:ascii="Arial Narrow" w:hAnsi="Arial Narrow"/>
                <w:color w:val="000000"/>
                <w:sz w:val="22"/>
                <w:szCs w:val="22"/>
              </w:rPr>
              <w:t>N</w:t>
            </w:r>
          </w:p>
        </w:tc>
        <w:tc>
          <w:tcPr>
            <w:tcW w:w="851" w:type="dxa"/>
            <w:tcBorders>
              <w:top w:val="single" w:sz="4" w:space="0" w:color="auto"/>
              <w:left w:val="nil"/>
              <w:bottom w:val="nil"/>
              <w:right w:val="single" w:sz="4" w:space="0" w:color="auto"/>
            </w:tcBorders>
          </w:tcPr>
          <w:p w:rsidR="003831AA" w:rsidRPr="00870476" w:rsidRDefault="003831AA" w:rsidP="003831AA">
            <w:pPr>
              <w:jc w:val="center"/>
              <w:rPr>
                <w:rFonts w:ascii="Arial Narrow" w:hAnsi="Arial Narrow" w:cs="Arial"/>
                <w:bCs/>
                <w:sz w:val="22"/>
                <w:szCs w:val="22"/>
              </w:rPr>
            </w:pPr>
            <w:r w:rsidRPr="00870476">
              <w:rPr>
                <w:rFonts w:ascii="Arial Narrow" w:hAnsi="Arial Narrow" w:cs="Arial"/>
                <w:bCs/>
                <w:sz w:val="22"/>
                <w:szCs w:val="22"/>
              </w:rPr>
              <w:t xml:space="preserve">431/2002 </w:t>
            </w:r>
          </w:p>
          <w:p w:rsidR="003831AA" w:rsidRPr="00870476" w:rsidRDefault="003831AA" w:rsidP="003831AA">
            <w:pPr>
              <w:jc w:val="center"/>
              <w:rPr>
                <w:rFonts w:ascii="Arial Narrow" w:hAnsi="Arial Narrow" w:cs="Arial"/>
                <w:bCs/>
                <w:sz w:val="22"/>
                <w:szCs w:val="22"/>
              </w:rPr>
            </w:pPr>
          </w:p>
          <w:p w:rsidR="003831AA" w:rsidRPr="00870476" w:rsidRDefault="003831AA" w:rsidP="003831AA">
            <w:pPr>
              <w:jc w:val="center"/>
              <w:rPr>
                <w:rFonts w:ascii="Arial Narrow" w:hAnsi="Arial Narrow" w:cs="Arial"/>
                <w:bCs/>
                <w:sz w:val="22"/>
                <w:szCs w:val="22"/>
              </w:rPr>
            </w:pPr>
          </w:p>
          <w:p w:rsidR="003831AA" w:rsidRPr="00870476" w:rsidRDefault="003831AA" w:rsidP="003831AA">
            <w:pPr>
              <w:jc w:val="center"/>
              <w:rPr>
                <w:rFonts w:ascii="Arial Narrow" w:hAnsi="Arial Narrow" w:cs="Arial"/>
                <w:bCs/>
                <w:sz w:val="22"/>
                <w:szCs w:val="22"/>
              </w:rPr>
            </w:pPr>
          </w:p>
          <w:p w:rsidR="003831AA" w:rsidRPr="00870476" w:rsidRDefault="003831AA" w:rsidP="003831AA">
            <w:pPr>
              <w:jc w:val="center"/>
              <w:rPr>
                <w:rFonts w:ascii="Arial Narrow" w:hAnsi="Arial Narrow" w:cs="Arial"/>
                <w:bCs/>
                <w:sz w:val="22"/>
                <w:szCs w:val="22"/>
              </w:rPr>
            </w:pPr>
          </w:p>
          <w:p w:rsidR="003831AA" w:rsidRDefault="003831AA" w:rsidP="003831AA">
            <w:pPr>
              <w:jc w:val="center"/>
              <w:rPr>
                <w:rFonts w:ascii="Arial Narrow" w:hAnsi="Arial Narrow" w:cs="Arial"/>
                <w:bCs/>
                <w:sz w:val="22"/>
                <w:szCs w:val="22"/>
              </w:rPr>
            </w:pPr>
          </w:p>
          <w:p w:rsidR="00194F22" w:rsidRDefault="00194F22" w:rsidP="003831AA">
            <w:pPr>
              <w:jc w:val="center"/>
              <w:rPr>
                <w:rFonts w:ascii="Arial Narrow" w:hAnsi="Arial Narrow" w:cs="Arial"/>
                <w:bCs/>
                <w:sz w:val="22"/>
                <w:szCs w:val="22"/>
              </w:rPr>
            </w:pPr>
          </w:p>
          <w:p w:rsidR="001906E6" w:rsidRPr="00870476" w:rsidRDefault="001906E6" w:rsidP="003831AA">
            <w:pPr>
              <w:jc w:val="center"/>
              <w:rPr>
                <w:rFonts w:ascii="Arial Narrow" w:hAnsi="Arial Narrow" w:cs="Arial"/>
                <w:bCs/>
                <w:sz w:val="22"/>
                <w:szCs w:val="22"/>
              </w:rPr>
            </w:pPr>
          </w:p>
          <w:p w:rsidR="003831AA" w:rsidRPr="00870476" w:rsidRDefault="003831AA" w:rsidP="003831AA">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3831AA" w:rsidRPr="00870476" w:rsidRDefault="003831AA" w:rsidP="003831AA">
            <w:pPr>
              <w:jc w:val="center"/>
              <w:rPr>
                <w:rFonts w:ascii="Arial Narrow" w:hAnsi="Arial Narrow" w:cs="Arial"/>
                <w:bCs/>
                <w:sz w:val="22"/>
                <w:szCs w:val="22"/>
              </w:rPr>
            </w:pPr>
            <w:r w:rsidRPr="00870476">
              <w:rPr>
                <w:rFonts w:ascii="Arial Narrow" w:hAnsi="Arial Narrow"/>
                <w:b/>
                <w:color w:val="000000"/>
                <w:sz w:val="22"/>
                <w:szCs w:val="22"/>
              </w:rPr>
              <w:t>čl. I </w:t>
            </w:r>
            <w:r w:rsidRPr="00870476">
              <w:rPr>
                <w:rFonts w:ascii="Arial Narrow" w:hAnsi="Arial Narrow"/>
                <w:color w:val="000000"/>
                <w:sz w:val="22"/>
                <w:szCs w:val="22"/>
              </w:rPr>
              <w:t>a</w:t>
            </w:r>
            <w:r w:rsidRPr="00870476">
              <w:rPr>
                <w:rFonts w:ascii="Arial Narrow" w:hAnsi="Arial Narrow"/>
                <w:b/>
                <w:color w:val="000000"/>
                <w:sz w:val="22"/>
                <w:szCs w:val="22"/>
              </w:rPr>
              <w:t xml:space="preserve"> </w:t>
            </w:r>
            <w:r w:rsidRPr="00870476">
              <w:rPr>
                <w:rFonts w:ascii="Arial Narrow" w:hAnsi="Arial Narrow" w:cs="Arial"/>
                <w:bCs/>
                <w:sz w:val="22"/>
                <w:szCs w:val="22"/>
              </w:rPr>
              <w:t xml:space="preserve">431/2002 </w:t>
            </w:r>
          </w:p>
          <w:p w:rsidR="003831AA" w:rsidRPr="00870476" w:rsidRDefault="003831AA" w:rsidP="003831AA">
            <w:pPr>
              <w:jc w:val="center"/>
              <w:rPr>
                <w:rFonts w:ascii="Arial Narrow" w:hAnsi="Arial Narrow"/>
                <w:b/>
                <w:color w:val="000000"/>
                <w:sz w:val="22"/>
                <w:szCs w:val="22"/>
              </w:rPr>
            </w:pPr>
          </w:p>
          <w:p w:rsidR="003831AA" w:rsidRPr="00870476" w:rsidRDefault="003831AA" w:rsidP="0073486F">
            <w:pPr>
              <w:adjustRightInd w:val="0"/>
              <w:rPr>
                <w:rFonts w:ascii="Arial Narrow" w:hAnsi="Arial Narrow"/>
                <w:color w:val="000000"/>
                <w:sz w:val="22"/>
                <w:szCs w:val="22"/>
              </w:rPr>
            </w:pPr>
          </w:p>
        </w:tc>
        <w:tc>
          <w:tcPr>
            <w:tcW w:w="850" w:type="dxa"/>
            <w:tcBorders>
              <w:top w:val="single" w:sz="4" w:space="0" w:color="auto"/>
              <w:left w:val="single" w:sz="4" w:space="0" w:color="auto"/>
              <w:bottom w:val="nil"/>
              <w:right w:val="single" w:sz="4" w:space="0" w:color="auto"/>
            </w:tcBorders>
          </w:tcPr>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 20</w:t>
            </w: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O:6</w:t>
            </w:r>
          </w:p>
          <w:p w:rsidR="003831AA" w:rsidRPr="00870476" w:rsidRDefault="003831AA" w:rsidP="001906E6">
            <w:pPr>
              <w:adjustRightInd w:val="0"/>
              <w:jc w:val="center"/>
              <w:rPr>
                <w:rFonts w:ascii="Arial Narrow" w:hAnsi="Arial Narrow"/>
                <w:color w:val="000000"/>
                <w:sz w:val="22"/>
                <w:szCs w:val="22"/>
              </w:rPr>
            </w:pPr>
          </w:p>
          <w:p w:rsidR="003831AA" w:rsidRDefault="003831AA" w:rsidP="001906E6">
            <w:pPr>
              <w:adjustRightInd w:val="0"/>
              <w:jc w:val="center"/>
              <w:rPr>
                <w:rFonts w:ascii="Arial Narrow" w:hAnsi="Arial Narrow"/>
                <w:color w:val="000000"/>
                <w:sz w:val="22"/>
                <w:szCs w:val="22"/>
              </w:rPr>
            </w:pPr>
          </w:p>
          <w:p w:rsidR="00194F22" w:rsidRDefault="00194F22" w:rsidP="001906E6">
            <w:pPr>
              <w:adjustRightInd w:val="0"/>
              <w:jc w:val="center"/>
              <w:rPr>
                <w:rFonts w:ascii="Arial Narrow" w:hAnsi="Arial Narrow"/>
                <w:color w:val="000000"/>
                <w:sz w:val="22"/>
                <w:szCs w:val="22"/>
              </w:rPr>
            </w:pPr>
          </w:p>
          <w:p w:rsidR="001906E6" w:rsidRPr="00870476" w:rsidRDefault="001906E6"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P:g</w:t>
            </w:r>
          </w:p>
          <w:p w:rsidR="003831AA" w:rsidRDefault="003831AA" w:rsidP="001906E6">
            <w:pPr>
              <w:adjustRightInd w:val="0"/>
              <w:jc w:val="center"/>
              <w:rPr>
                <w:rFonts w:ascii="Arial Narrow" w:hAnsi="Arial Narrow"/>
                <w:color w:val="000000"/>
                <w:sz w:val="22"/>
                <w:szCs w:val="22"/>
              </w:rPr>
            </w:pPr>
          </w:p>
          <w:p w:rsidR="000110B6" w:rsidRDefault="000110B6" w:rsidP="001906E6">
            <w:pPr>
              <w:adjustRightInd w:val="0"/>
              <w:jc w:val="center"/>
              <w:rPr>
                <w:rFonts w:ascii="Arial Narrow" w:hAnsi="Arial Narrow"/>
                <w:color w:val="000000"/>
                <w:sz w:val="22"/>
                <w:szCs w:val="22"/>
              </w:rPr>
            </w:pPr>
            <w:r>
              <w:rPr>
                <w:rFonts w:ascii="Arial Narrow" w:hAnsi="Arial Narrow"/>
                <w:color w:val="000000"/>
                <w:sz w:val="22"/>
                <w:szCs w:val="22"/>
              </w:rPr>
              <w:t>§ 20</w:t>
            </w: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O:</w:t>
            </w:r>
            <w:r w:rsidR="00194F22">
              <w:rPr>
                <w:rFonts w:ascii="Arial Narrow" w:hAnsi="Arial Narrow"/>
                <w:color w:val="000000"/>
                <w:sz w:val="22"/>
                <w:szCs w:val="22"/>
              </w:rPr>
              <w:t xml:space="preserve"> </w:t>
            </w:r>
            <w:r w:rsidRPr="00870476">
              <w:rPr>
                <w:rFonts w:ascii="Arial Narrow" w:hAnsi="Arial Narrow"/>
                <w:color w:val="000000"/>
                <w:sz w:val="22"/>
                <w:szCs w:val="22"/>
              </w:rPr>
              <w:t>7</w:t>
            </w: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P:</w:t>
            </w:r>
            <w:r w:rsidR="00194F22">
              <w:rPr>
                <w:rFonts w:ascii="Arial Narrow" w:hAnsi="Arial Narrow"/>
                <w:color w:val="000000"/>
                <w:sz w:val="22"/>
                <w:szCs w:val="22"/>
              </w:rPr>
              <w:t xml:space="preserve"> </w:t>
            </w:r>
            <w:r w:rsidRPr="00870476">
              <w:rPr>
                <w:rFonts w:ascii="Arial Narrow" w:hAnsi="Arial Narrow"/>
                <w:color w:val="000000"/>
                <w:sz w:val="22"/>
                <w:szCs w:val="22"/>
              </w:rPr>
              <w:t>c</w:t>
            </w: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P:</w:t>
            </w:r>
            <w:r w:rsidR="00194F22">
              <w:rPr>
                <w:rFonts w:ascii="Arial Narrow" w:hAnsi="Arial Narrow"/>
                <w:color w:val="000000"/>
                <w:sz w:val="22"/>
                <w:szCs w:val="22"/>
              </w:rPr>
              <w:t xml:space="preserve"> </w:t>
            </w:r>
            <w:r w:rsidRPr="00870476">
              <w:rPr>
                <w:rFonts w:ascii="Arial Narrow" w:hAnsi="Arial Narrow"/>
                <w:color w:val="000000"/>
                <w:sz w:val="22"/>
                <w:szCs w:val="22"/>
              </w:rPr>
              <w:t>d</w:t>
            </w: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P:</w:t>
            </w:r>
            <w:r w:rsidR="00194F22">
              <w:rPr>
                <w:rFonts w:ascii="Arial Narrow" w:hAnsi="Arial Narrow"/>
                <w:color w:val="000000"/>
                <w:sz w:val="22"/>
                <w:szCs w:val="22"/>
              </w:rPr>
              <w:t xml:space="preserve"> </w:t>
            </w:r>
            <w:r w:rsidRPr="00870476">
              <w:rPr>
                <w:rFonts w:ascii="Arial Narrow" w:hAnsi="Arial Narrow"/>
                <w:color w:val="000000"/>
                <w:sz w:val="22"/>
                <w:szCs w:val="22"/>
              </w:rPr>
              <w:t>e</w:t>
            </w:r>
          </w:p>
          <w:p w:rsidR="003831AA" w:rsidRPr="00870476" w:rsidRDefault="003831AA"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P:</w:t>
            </w:r>
            <w:r w:rsidR="00194F22">
              <w:rPr>
                <w:rFonts w:ascii="Arial Narrow" w:hAnsi="Arial Narrow"/>
                <w:color w:val="000000"/>
                <w:sz w:val="22"/>
                <w:szCs w:val="22"/>
              </w:rPr>
              <w:t xml:space="preserve"> </w:t>
            </w:r>
            <w:r w:rsidRPr="00870476">
              <w:rPr>
                <w:rFonts w:ascii="Arial Narrow" w:hAnsi="Arial Narrow"/>
                <w:color w:val="000000"/>
                <w:sz w:val="22"/>
                <w:szCs w:val="22"/>
              </w:rPr>
              <w:t>g</w:t>
            </w:r>
          </w:p>
          <w:p w:rsidR="003831AA" w:rsidRPr="00870476" w:rsidRDefault="003831AA" w:rsidP="001906E6">
            <w:pPr>
              <w:adjustRightInd w:val="0"/>
              <w:jc w:val="center"/>
              <w:rPr>
                <w:rFonts w:ascii="Arial Narrow" w:hAnsi="Arial Narrow"/>
                <w:color w:val="000000"/>
                <w:sz w:val="22"/>
                <w:szCs w:val="22"/>
              </w:rPr>
            </w:pPr>
          </w:p>
          <w:p w:rsidR="003831AA" w:rsidRPr="00870476" w:rsidRDefault="003831AA" w:rsidP="00194F22">
            <w:pPr>
              <w:adjustRightInd w:val="0"/>
              <w:jc w:val="center"/>
              <w:rPr>
                <w:rFonts w:ascii="Arial Narrow" w:hAnsi="Arial Narrow"/>
                <w:color w:val="000000"/>
                <w:sz w:val="22"/>
                <w:szCs w:val="22"/>
              </w:rPr>
            </w:pPr>
            <w:r w:rsidRPr="00870476">
              <w:rPr>
                <w:rFonts w:ascii="Arial Narrow" w:hAnsi="Arial Narrow"/>
                <w:color w:val="000000"/>
                <w:sz w:val="22"/>
                <w:szCs w:val="22"/>
              </w:rPr>
              <w:t>P:</w:t>
            </w:r>
            <w:r w:rsidR="00194F22">
              <w:rPr>
                <w:rFonts w:ascii="Arial Narrow" w:hAnsi="Arial Narrow"/>
                <w:color w:val="000000"/>
                <w:sz w:val="22"/>
                <w:szCs w:val="22"/>
              </w:rPr>
              <w:t xml:space="preserve"> </w:t>
            </w:r>
            <w:r w:rsidRPr="00870476">
              <w:rPr>
                <w:rFonts w:ascii="Arial Narrow" w:hAnsi="Arial Narrow"/>
                <w:color w:val="000000"/>
                <w:sz w:val="22"/>
                <w:szCs w:val="22"/>
              </w:rPr>
              <w:t>h</w:t>
            </w:r>
          </w:p>
        </w:tc>
        <w:tc>
          <w:tcPr>
            <w:tcW w:w="4678" w:type="dxa"/>
            <w:tcBorders>
              <w:top w:val="single" w:sz="4" w:space="0" w:color="auto"/>
              <w:left w:val="single" w:sz="4" w:space="0" w:color="auto"/>
              <w:bottom w:val="nil"/>
              <w:right w:val="single" w:sz="4" w:space="0" w:color="auto"/>
            </w:tcBorders>
          </w:tcPr>
          <w:p w:rsidR="003831AA" w:rsidRDefault="001906E6" w:rsidP="0073486F">
            <w:pPr>
              <w:adjustRightInd w:val="0"/>
              <w:jc w:val="both"/>
              <w:rPr>
                <w:rFonts w:ascii="Arial Narrow" w:hAnsi="Arial Narrow" w:cs="Segoe UI"/>
                <w:sz w:val="22"/>
                <w:szCs w:val="22"/>
                <w:shd w:val="clear" w:color="auto" w:fill="FFFFFF"/>
              </w:rPr>
            </w:pPr>
            <w:r>
              <w:rPr>
                <w:rFonts w:ascii="Arial Narrow" w:hAnsi="Arial Narrow" w:cs="Segoe UI"/>
                <w:sz w:val="22"/>
                <w:szCs w:val="22"/>
                <w:shd w:val="clear" w:color="auto" w:fill="FFFFFF"/>
              </w:rPr>
              <w:t xml:space="preserve">(6) </w:t>
            </w:r>
            <w:r w:rsidR="003831AA" w:rsidRPr="00870476">
              <w:rPr>
                <w:rFonts w:ascii="Arial Narrow" w:hAnsi="Arial Narrow" w:cs="Segoe UI"/>
                <w:sz w:val="22"/>
                <w:szCs w:val="22"/>
                <w:shd w:val="clear" w:color="auto" w:fill="FFFFFF"/>
              </w:rPr>
              <w:t>Účtovná jednotka, ktorá emitovala cenné papiere a tie boli prijaté na obchodovanie na regulovanom trhu, je povinná vo výročnej správe uviesť ako osobitnú časť výročnej správy vyhlásenie o správe a riadení, ktoré obsahuje</w:t>
            </w:r>
          </w:p>
          <w:p w:rsidR="00194F22" w:rsidRPr="00870476" w:rsidRDefault="00194F22" w:rsidP="0073486F">
            <w:pPr>
              <w:adjustRightInd w:val="0"/>
              <w:jc w:val="both"/>
              <w:rPr>
                <w:rFonts w:ascii="Arial Narrow" w:hAnsi="Arial Narrow" w:cs="Segoe UI"/>
                <w:sz w:val="22"/>
                <w:szCs w:val="22"/>
                <w:shd w:val="clear" w:color="auto" w:fill="FFFFFF"/>
              </w:rPr>
            </w:pPr>
          </w:p>
          <w:p w:rsidR="003831AA" w:rsidRPr="00870476" w:rsidRDefault="001906E6" w:rsidP="0073486F">
            <w:pPr>
              <w:adjustRightInd w:val="0"/>
              <w:jc w:val="both"/>
              <w:rPr>
                <w:rFonts w:ascii="Arial Narrow" w:hAnsi="Arial Narrow" w:cs="Segoe UI"/>
                <w:sz w:val="22"/>
                <w:szCs w:val="22"/>
                <w:shd w:val="clear" w:color="auto" w:fill="FFFFFF"/>
              </w:rPr>
            </w:pPr>
            <w:r>
              <w:rPr>
                <w:rFonts w:ascii="Arial Narrow" w:hAnsi="Arial Narrow" w:cs="Segoe UI"/>
                <w:sz w:val="22"/>
                <w:szCs w:val="22"/>
                <w:shd w:val="clear" w:color="auto" w:fill="FFFFFF"/>
              </w:rPr>
              <w:t xml:space="preserve">g) </w:t>
            </w:r>
            <w:r w:rsidR="003831AA" w:rsidRPr="00870476">
              <w:rPr>
                <w:rFonts w:ascii="Arial Narrow" w:hAnsi="Arial Narrow" w:cs="Segoe UI"/>
                <w:sz w:val="22"/>
                <w:szCs w:val="22"/>
                <w:shd w:val="clear" w:color="auto" w:fill="FFFFFF"/>
              </w:rPr>
              <w:t>informácie podľa odseku 7.</w:t>
            </w:r>
          </w:p>
          <w:p w:rsidR="003831AA" w:rsidRPr="00870476" w:rsidRDefault="003831AA" w:rsidP="0073486F">
            <w:pPr>
              <w:adjustRightInd w:val="0"/>
              <w:jc w:val="both"/>
              <w:rPr>
                <w:rFonts w:ascii="Arial Narrow" w:hAnsi="Arial Narrow" w:cs="Segoe UI"/>
                <w:sz w:val="22"/>
                <w:szCs w:val="22"/>
                <w:shd w:val="clear" w:color="auto" w:fill="FFFFFF"/>
              </w:rPr>
            </w:pPr>
          </w:p>
          <w:p w:rsidR="003831AA" w:rsidRPr="00870476" w:rsidRDefault="001906E6" w:rsidP="003831AA">
            <w:pPr>
              <w:spacing w:after="240"/>
              <w:jc w:val="both"/>
              <w:rPr>
                <w:rFonts w:ascii="Arial Narrow" w:hAnsi="Arial Narrow"/>
                <w:b/>
                <w:sz w:val="22"/>
                <w:szCs w:val="22"/>
              </w:rPr>
            </w:pPr>
            <w:r>
              <w:rPr>
                <w:rFonts w:ascii="Arial Narrow" w:hAnsi="Arial Narrow"/>
                <w:b/>
                <w:sz w:val="22"/>
                <w:szCs w:val="22"/>
              </w:rPr>
              <w:t xml:space="preserve">(7) </w:t>
            </w:r>
            <w:r w:rsidR="003831AA" w:rsidRPr="00870476">
              <w:rPr>
                <w:rFonts w:ascii="Arial Narrow" w:hAnsi="Arial Narrow"/>
                <w:b/>
                <w:sz w:val="22"/>
                <w:szCs w:val="22"/>
              </w:rPr>
              <w:t>Ak účtovná jednotka emitovala cenné papiere, a aspoň niektoré z nich sú prijaté na obchodovanie na regulovanom trhu členského štátu a týka sa ich ponuka na prevzatie, je povinná vo výročnej správe  uviesť aj údaje o</w:t>
            </w:r>
          </w:p>
          <w:p w:rsidR="003831AA" w:rsidRPr="00870476" w:rsidRDefault="003831AA" w:rsidP="0073486F">
            <w:pPr>
              <w:adjustRightInd w:val="0"/>
              <w:jc w:val="both"/>
              <w:rPr>
                <w:rFonts w:ascii="Arial Narrow" w:hAnsi="Arial Narrow"/>
                <w:sz w:val="22"/>
                <w:szCs w:val="22"/>
              </w:rPr>
            </w:pPr>
            <w:r w:rsidRPr="00870476">
              <w:rPr>
                <w:rFonts w:ascii="Arial Narrow" w:hAnsi="Arial Narrow"/>
                <w:sz w:val="22"/>
                <w:szCs w:val="22"/>
              </w:rPr>
              <w:t>c) kvalifikovanej účasti na základnom imaní, podľa osobitného predpisu(28aa),</w:t>
            </w:r>
          </w:p>
          <w:p w:rsidR="003831AA" w:rsidRPr="00870476" w:rsidRDefault="003831AA" w:rsidP="0073486F">
            <w:pPr>
              <w:adjustRightInd w:val="0"/>
              <w:jc w:val="both"/>
              <w:rPr>
                <w:rFonts w:ascii="Arial Narrow" w:hAnsi="Arial Narrow"/>
                <w:color w:val="000000"/>
                <w:sz w:val="22"/>
                <w:szCs w:val="22"/>
              </w:rPr>
            </w:pPr>
            <w:r w:rsidRPr="00870476">
              <w:rPr>
                <w:rFonts w:ascii="Arial Narrow" w:hAnsi="Arial Narrow"/>
                <w:sz w:val="22"/>
                <w:szCs w:val="22"/>
              </w:rPr>
              <w:t>d) majiteľoch cenných papierov s osobitnými právami kontroly s uvedením opisu týchto práv,</w:t>
            </w:r>
          </w:p>
          <w:p w:rsidR="003831AA" w:rsidRPr="00870476" w:rsidRDefault="003831AA" w:rsidP="003831AA">
            <w:pPr>
              <w:jc w:val="both"/>
              <w:rPr>
                <w:rFonts w:ascii="Arial Narrow" w:hAnsi="Arial Narrow"/>
                <w:sz w:val="22"/>
                <w:szCs w:val="22"/>
              </w:rPr>
            </w:pPr>
            <w:r w:rsidRPr="00870476">
              <w:rPr>
                <w:rFonts w:ascii="Arial Narrow" w:hAnsi="Arial Narrow"/>
                <w:sz w:val="22"/>
                <w:szCs w:val="22"/>
              </w:rPr>
              <w:t>e) obmedzeniach hlasovacích práv,</w:t>
            </w:r>
          </w:p>
          <w:p w:rsidR="003831AA" w:rsidRPr="00870476" w:rsidRDefault="003831AA" w:rsidP="003831AA">
            <w:pPr>
              <w:jc w:val="both"/>
              <w:rPr>
                <w:rFonts w:ascii="Arial Narrow" w:hAnsi="Arial Narrow"/>
                <w:sz w:val="22"/>
                <w:szCs w:val="22"/>
              </w:rPr>
            </w:pPr>
            <w:r w:rsidRPr="00870476">
              <w:rPr>
                <w:rFonts w:ascii="Arial Narrow" w:hAnsi="Arial Narrow"/>
                <w:sz w:val="22"/>
                <w:szCs w:val="22"/>
              </w:rPr>
              <w:t>g)pravidlách upravujúcich vymenovanie a odvolanie členov jej štatutárneho orgánu a zmenu stanov,</w:t>
            </w:r>
          </w:p>
          <w:p w:rsidR="003831AA" w:rsidRDefault="003831AA" w:rsidP="0073486F">
            <w:pPr>
              <w:adjustRightInd w:val="0"/>
              <w:jc w:val="both"/>
              <w:rPr>
                <w:rFonts w:ascii="Arial Narrow" w:hAnsi="Arial Narrow"/>
                <w:sz w:val="22"/>
                <w:szCs w:val="22"/>
              </w:rPr>
            </w:pPr>
            <w:r w:rsidRPr="00870476">
              <w:rPr>
                <w:rFonts w:ascii="Arial Narrow" w:hAnsi="Arial Narrow"/>
                <w:sz w:val="22"/>
                <w:szCs w:val="22"/>
              </w:rPr>
              <w:t>h) právomociach jej štatutárneho orgánu, najmä ich právomoci rozhodnúť o vydaní akcií alebo spätnom odkúpení akcií,</w:t>
            </w:r>
          </w:p>
          <w:p w:rsidR="009A11FB" w:rsidRDefault="009A11FB" w:rsidP="009A11FB">
            <w:pPr>
              <w:adjustRightInd w:val="0"/>
              <w:jc w:val="both"/>
              <w:rPr>
                <w:rFonts w:ascii="Arial Narrow" w:hAnsi="Arial Narrow"/>
                <w:sz w:val="22"/>
                <w:szCs w:val="22"/>
              </w:rPr>
            </w:pPr>
            <w:r>
              <w:rPr>
                <w:rFonts w:ascii="Arial Narrow" w:hAnsi="Arial Narrow"/>
                <w:sz w:val="22"/>
                <w:szCs w:val="22"/>
              </w:rPr>
              <w:t>Poznámka k odkazu 28aa znie</w:t>
            </w:r>
          </w:p>
          <w:p w:rsidR="009A11FB" w:rsidRPr="00870476" w:rsidRDefault="009A11FB" w:rsidP="009A11FB">
            <w:pPr>
              <w:adjustRightInd w:val="0"/>
              <w:jc w:val="both"/>
              <w:rPr>
                <w:rFonts w:ascii="Arial Narrow" w:hAnsi="Arial Narrow"/>
                <w:color w:val="000000"/>
                <w:sz w:val="22"/>
                <w:szCs w:val="22"/>
              </w:rPr>
            </w:pPr>
            <w:r>
              <w:rPr>
                <w:rFonts w:ascii="Arial Narrow" w:hAnsi="Arial Narrow"/>
                <w:sz w:val="22"/>
                <w:szCs w:val="22"/>
              </w:rPr>
              <w:t>28aa) § 8 písm. f) zákona č. 566/2001 Z. z.</w:t>
            </w:r>
          </w:p>
        </w:tc>
        <w:tc>
          <w:tcPr>
            <w:tcW w:w="709" w:type="dxa"/>
            <w:tcBorders>
              <w:top w:val="single" w:sz="4" w:space="0" w:color="auto"/>
              <w:left w:val="single" w:sz="4" w:space="0" w:color="auto"/>
              <w:bottom w:val="nil"/>
              <w:right w:val="single" w:sz="4" w:space="0" w:color="auto"/>
            </w:tcBorders>
          </w:tcPr>
          <w:p w:rsidR="003831AA" w:rsidRPr="00870476" w:rsidRDefault="003831AA" w:rsidP="0073486F">
            <w:pPr>
              <w:adjustRightInd w:val="0"/>
              <w:rPr>
                <w:rFonts w:ascii="Arial Narrow" w:hAnsi="Arial Narrow"/>
                <w:color w:val="000000"/>
                <w:sz w:val="22"/>
                <w:szCs w:val="22"/>
              </w:rPr>
            </w:pPr>
            <w:r w:rsidRPr="00870476">
              <w:rPr>
                <w:rFonts w:ascii="Arial Narrow" w:hAnsi="Arial Narrow"/>
                <w:color w:val="000000"/>
                <w:sz w:val="22"/>
                <w:szCs w:val="22"/>
              </w:rPr>
              <w:t>Ú</w:t>
            </w:r>
          </w:p>
        </w:tc>
        <w:tc>
          <w:tcPr>
            <w:tcW w:w="934" w:type="dxa"/>
            <w:tcBorders>
              <w:top w:val="single" w:sz="4" w:space="0" w:color="auto"/>
              <w:left w:val="single" w:sz="4" w:space="0" w:color="auto"/>
              <w:bottom w:val="nil"/>
              <w:right w:val="single" w:sz="12" w:space="0" w:color="auto"/>
            </w:tcBorders>
          </w:tcPr>
          <w:p w:rsidR="003831AA" w:rsidRPr="00870476" w:rsidRDefault="003831AA" w:rsidP="0073486F">
            <w:pPr>
              <w:spacing w:before="75" w:after="75"/>
              <w:rPr>
                <w:rFonts w:ascii="Arial Narrow" w:hAnsi="Arial Narrow" w:cs="Arial"/>
                <w:sz w:val="22"/>
                <w:szCs w:val="22"/>
              </w:rPr>
            </w:pPr>
          </w:p>
        </w:tc>
      </w:tr>
      <w:tr w:rsidR="0073486F" w:rsidRPr="00870476" w:rsidTr="000F6E14">
        <w:trPr>
          <w:trHeight w:val="423"/>
        </w:trPr>
        <w:tc>
          <w:tcPr>
            <w:tcW w:w="682" w:type="dxa"/>
            <w:tcBorders>
              <w:top w:val="single" w:sz="4" w:space="0" w:color="auto"/>
              <w:left w:val="single" w:sz="12" w:space="0" w:color="auto"/>
              <w:bottom w:val="nil"/>
              <w:right w:val="single" w:sz="4" w:space="0" w:color="auto"/>
            </w:tcBorders>
          </w:tcPr>
          <w:p w:rsidR="0073486F" w:rsidRPr="00870476" w:rsidRDefault="00D66A56" w:rsidP="0073486F">
            <w:pPr>
              <w:jc w:val="center"/>
              <w:rPr>
                <w:rFonts w:ascii="Arial Narrow" w:hAnsi="Arial Narrow"/>
                <w:sz w:val="22"/>
                <w:szCs w:val="22"/>
              </w:rPr>
            </w:pPr>
            <w:r w:rsidRPr="00870476">
              <w:rPr>
                <w:rFonts w:ascii="Arial Narrow" w:hAnsi="Arial Narrow"/>
                <w:sz w:val="22"/>
                <w:szCs w:val="22"/>
              </w:rPr>
              <w:t>Č:</w:t>
            </w:r>
            <w:r w:rsidR="0073486F" w:rsidRPr="00870476">
              <w:rPr>
                <w:rFonts w:ascii="Arial Narrow" w:hAnsi="Arial Narrow"/>
                <w:sz w:val="22"/>
                <w:szCs w:val="22"/>
              </w:rPr>
              <w:t>23</w:t>
            </w:r>
          </w:p>
          <w:p w:rsidR="0073486F" w:rsidRPr="00870476" w:rsidRDefault="0073486F" w:rsidP="0073486F">
            <w:pPr>
              <w:jc w:val="center"/>
              <w:rPr>
                <w:rFonts w:ascii="Arial Narrow" w:hAnsi="Arial Narrow"/>
                <w:sz w:val="22"/>
                <w:szCs w:val="22"/>
              </w:rPr>
            </w:pPr>
            <w:r w:rsidRPr="00870476">
              <w:rPr>
                <w:rFonts w:ascii="Arial Narrow" w:hAnsi="Arial Narrow"/>
                <w:sz w:val="22"/>
                <w:szCs w:val="22"/>
              </w:rPr>
              <w:t>O: 2</w:t>
            </w:r>
          </w:p>
        </w:tc>
        <w:tc>
          <w:tcPr>
            <w:tcW w:w="6604" w:type="dxa"/>
            <w:tcBorders>
              <w:top w:val="single" w:sz="4" w:space="0" w:color="auto"/>
              <w:left w:val="single" w:sz="4" w:space="0" w:color="auto"/>
              <w:bottom w:val="nil"/>
              <w:right w:val="single" w:sz="4" w:space="0" w:color="auto"/>
            </w:tcBorders>
          </w:tcPr>
          <w:p w:rsidR="0073486F" w:rsidRPr="00870476" w:rsidRDefault="0073486F" w:rsidP="0073486F">
            <w:pPr>
              <w:adjustRightInd w:val="0"/>
              <w:spacing w:before="75"/>
              <w:rPr>
                <w:rFonts w:ascii="Arial Narrow" w:hAnsi="Arial Narrow"/>
                <w:bCs/>
                <w:color w:val="000000"/>
                <w:sz w:val="22"/>
                <w:szCs w:val="22"/>
              </w:rPr>
            </w:pPr>
            <w:r w:rsidRPr="00870476">
              <w:rPr>
                <w:rFonts w:ascii="Arial Narrow" w:hAnsi="Arial Narrow"/>
                <w:bCs/>
                <w:color w:val="000000"/>
                <w:sz w:val="22"/>
                <w:szCs w:val="22"/>
              </w:rPr>
              <w:t>Členské štáty môžu od povinnosti zostavovať konsolidovanú účtovnú závierku a konsolidovanú správu o hospodárení oslobodiť stredne veľké skupiny, a to okrem prípadu, ak je niektorý z prepojených podnikov subjektom verejného záujmu.</w:t>
            </w:r>
          </w:p>
        </w:tc>
        <w:tc>
          <w:tcPr>
            <w:tcW w:w="767" w:type="dxa"/>
            <w:tcBorders>
              <w:top w:val="single" w:sz="4" w:space="0" w:color="auto"/>
              <w:left w:val="single" w:sz="4" w:space="0" w:color="auto"/>
              <w:bottom w:val="nil"/>
              <w:right w:val="single" w:sz="12" w:space="0" w:color="auto"/>
            </w:tcBorders>
          </w:tcPr>
          <w:p w:rsidR="0073486F" w:rsidRPr="00870476" w:rsidRDefault="0073486F" w:rsidP="0073486F">
            <w:pPr>
              <w:adjustRightInd w:val="0"/>
              <w:rPr>
                <w:rFonts w:ascii="Arial Narrow" w:hAnsi="Arial Narrow"/>
                <w:color w:val="000000"/>
                <w:sz w:val="22"/>
                <w:szCs w:val="22"/>
              </w:rPr>
            </w:pPr>
            <w:r w:rsidRPr="00870476">
              <w:rPr>
                <w:rFonts w:ascii="Arial Narrow" w:hAnsi="Arial Narrow"/>
                <w:color w:val="000000"/>
                <w:sz w:val="22"/>
                <w:szCs w:val="22"/>
              </w:rPr>
              <w:t>D</w:t>
            </w:r>
          </w:p>
        </w:tc>
        <w:tc>
          <w:tcPr>
            <w:tcW w:w="851" w:type="dxa"/>
            <w:tcBorders>
              <w:top w:val="single" w:sz="4" w:space="0" w:color="auto"/>
              <w:left w:val="nil"/>
              <w:bottom w:val="nil"/>
              <w:right w:val="single" w:sz="4" w:space="0" w:color="auto"/>
            </w:tcBorders>
          </w:tcPr>
          <w:p w:rsidR="0073486F" w:rsidRPr="00870476" w:rsidRDefault="0073486F" w:rsidP="0073486F">
            <w:pPr>
              <w:adjustRightInd w:val="0"/>
              <w:rPr>
                <w:rFonts w:ascii="Arial Narrow" w:hAnsi="Arial Narrow"/>
                <w:color w:val="000000"/>
                <w:sz w:val="22"/>
                <w:szCs w:val="22"/>
              </w:rPr>
            </w:pPr>
            <w:r w:rsidRPr="00870476">
              <w:rPr>
                <w:rFonts w:ascii="Arial Narrow" w:hAnsi="Arial Narrow"/>
                <w:color w:val="000000"/>
                <w:sz w:val="22"/>
                <w:szCs w:val="22"/>
              </w:rPr>
              <w:t>431/2002</w:t>
            </w:r>
          </w:p>
          <w:p w:rsidR="0073486F" w:rsidRPr="00870476" w:rsidRDefault="0073486F" w:rsidP="0073486F">
            <w:pPr>
              <w:adjustRightInd w:val="0"/>
              <w:jc w:val="center"/>
              <w:rPr>
                <w:rFonts w:ascii="Arial Narrow" w:hAnsi="Arial Narrow"/>
                <w:color w:val="000000"/>
                <w:sz w:val="22"/>
                <w:szCs w:val="22"/>
              </w:rPr>
            </w:pPr>
            <w:r w:rsidRPr="00870476">
              <w:rPr>
                <w:rFonts w:ascii="Arial Narrow" w:hAnsi="Arial Narrow"/>
                <w:color w:val="000000"/>
                <w:sz w:val="22"/>
                <w:szCs w:val="22"/>
              </w:rPr>
              <w:t>a</w:t>
            </w:r>
          </w:p>
          <w:p w:rsidR="0073486F" w:rsidRPr="00870476" w:rsidRDefault="0073486F" w:rsidP="0073486F">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73486F" w:rsidRPr="00870476" w:rsidRDefault="0073486F" w:rsidP="0073486F">
            <w:pPr>
              <w:adjustRightInd w:val="0"/>
              <w:jc w:val="center"/>
              <w:rPr>
                <w:rFonts w:ascii="Arial Narrow" w:hAnsi="Arial Narrow"/>
                <w:color w:val="000000"/>
                <w:sz w:val="22"/>
                <w:szCs w:val="22"/>
              </w:rPr>
            </w:pPr>
            <w:r w:rsidRPr="00870476">
              <w:rPr>
                <w:rFonts w:ascii="Arial Narrow" w:hAnsi="Arial Narrow"/>
                <w:b/>
                <w:color w:val="000000"/>
                <w:sz w:val="22"/>
                <w:szCs w:val="22"/>
              </w:rPr>
              <w:t>čl. I</w:t>
            </w:r>
          </w:p>
        </w:tc>
        <w:tc>
          <w:tcPr>
            <w:tcW w:w="850" w:type="dxa"/>
            <w:tcBorders>
              <w:top w:val="single" w:sz="4" w:space="0" w:color="auto"/>
              <w:left w:val="single" w:sz="4" w:space="0" w:color="auto"/>
              <w:bottom w:val="nil"/>
              <w:right w:val="single" w:sz="4" w:space="0" w:color="auto"/>
            </w:tcBorders>
          </w:tcPr>
          <w:p w:rsidR="0073486F" w:rsidRPr="00870476" w:rsidRDefault="0073486F"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 22</w:t>
            </w:r>
          </w:p>
          <w:p w:rsidR="0073486F" w:rsidRPr="00870476" w:rsidRDefault="0073486F" w:rsidP="001906E6">
            <w:pPr>
              <w:adjustRightInd w:val="0"/>
              <w:jc w:val="center"/>
              <w:rPr>
                <w:rFonts w:ascii="Arial Narrow" w:hAnsi="Arial Narrow"/>
                <w:color w:val="000000"/>
                <w:sz w:val="22"/>
                <w:szCs w:val="22"/>
              </w:rPr>
            </w:pPr>
            <w:r w:rsidRPr="00870476">
              <w:rPr>
                <w:rFonts w:ascii="Arial Narrow" w:hAnsi="Arial Narrow"/>
                <w:color w:val="000000"/>
                <w:sz w:val="22"/>
                <w:szCs w:val="22"/>
              </w:rPr>
              <w:t>O: 11</w:t>
            </w:r>
          </w:p>
        </w:tc>
        <w:tc>
          <w:tcPr>
            <w:tcW w:w="4678" w:type="dxa"/>
            <w:tcBorders>
              <w:top w:val="single" w:sz="4" w:space="0" w:color="auto"/>
              <w:left w:val="single" w:sz="4" w:space="0" w:color="auto"/>
              <w:bottom w:val="nil"/>
              <w:right w:val="single" w:sz="4" w:space="0" w:color="auto"/>
            </w:tcBorders>
          </w:tcPr>
          <w:p w:rsidR="0073486F" w:rsidRPr="00870476" w:rsidRDefault="0073486F" w:rsidP="0073486F">
            <w:pPr>
              <w:adjustRightInd w:val="0"/>
              <w:jc w:val="both"/>
              <w:rPr>
                <w:rFonts w:ascii="Arial Narrow" w:hAnsi="Arial Narrow"/>
                <w:color w:val="000000"/>
                <w:sz w:val="22"/>
                <w:szCs w:val="22"/>
              </w:rPr>
            </w:pPr>
            <w:r w:rsidRPr="00870476">
              <w:rPr>
                <w:rFonts w:ascii="Arial Narrow" w:hAnsi="Arial Narrow"/>
                <w:color w:val="000000"/>
                <w:sz w:val="22"/>
                <w:szCs w:val="22"/>
              </w:rPr>
              <w:t xml:space="preserve">Oslobodenie podľa odseku 8 sa nevzťahuje na materskú účtovnú jednotku, ktorá emitovala cenné papiere a tieto cenné papiere boli prijaté na obchodovanie na regulovanom trhu členského štátu </w:t>
            </w:r>
            <w:r w:rsidR="00194F22" w:rsidRPr="00194F22">
              <w:rPr>
                <w:rFonts w:ascii="Arial Narrow" w:hAnsi="Arial Narrow"/>
                <w:b/>
                <w:strike/>
                <w:color w:val="000000"/>
                <w:sz w:val="22"/>
                <w:szCs w:val="22"/>
              </w:rPr>
              <w:t>alebo štátu Európskeho hospodárskeho priestoru</w:t>
            </w:r>
            <w:r w:rsidR="00194F22" w:rsidRPr="00194F22">
              <w:t xml:space="preserve"> </w:t>
            </w:r>
            <w:r w:rsidRPr="00870476">
              <w:rPr>
                <w:rFonts w:ascii="Arial Narrow" w:hAnsi="Arial Narrow"/>
                <w:color w:val="000000"/>
                <w:sz w:val="22"/>
                <w:szCs w:val="22"/>
              </w:rPr>
              <w:t xml:space="preserve">a oslobodenie podľa odseku 10 sa nevzťahuje na materskú účtovnú jednotku, ak je subjektom verejného záujmu alebo ak niektorá jej dcérska účtovná jednotka je subjektom verejného záujmu. Materská účtovná jednotka prestane uplatňovať oslobodenie od povinnosti zostavenia konsolidovanej účtovnej závierky od nasledujúceho účtovného obdobia, ak splní podmienky podľa odseku 10 dve po sebe idúce účtovné obdobia. Pri posudzovaní podmienok oslobodenia od zostavenia konsolidovanej </w:t>
            </w:r>
            <w:r w:rsidRPr="00870476">
              <w:rPr>
                <w:rFonts w:ascii="Arial Narrow" w:hAnsi="Arial Narrow"/>
                <w:color w:val="000000"/>
                <w:sz w:val="22"/>
                <w:szCs w:val="22"/>
              </w:rPr>
              <w:lastRenderedPageBreak/>
              <w:t>účtovnej závierky podľa odseku 10 materská účtovná jednotka postupuje takto:</w:t>
            </w:r>
          </w:p>
          <w:p w:rsidR="0073486F" w:rsidRPr="00870476" w:rsidRDefault="0073486F" w:rsidP="0073486F">
            <w:pPr>
              <w:adjustRightInd w:val="0"/>
              <w:jc w:val="both"/>
              <w:rPr>
                <w:rFonts w:ascii="Arial Narrow" w:hAnsi="Arial Narrow"/>
                <w:color w:val="000000"/>
                <w:sz w:val="22"/>
                <w:szCs w:val="22"/>
              </w:rPr>
            </w:pPr>
            <w:r w:rsidRPr="00870476">
              <w:rPr>
                <w:rFonts w:ascii="Arial Narrow" w:hAnsi="Arial Narrow"/>
                <w:color w:val="000000"/>
                <w:sz w:val="22"/>
                <w:szCs w:val="22"/>
              </w:rPr>
              <w:t>a)</w:t>
            </w:r>
            <w:r w:rsidR="00452408" w:rsidRPr="00870476">
              <w:rPr>
                <w:rFonts w:ascii="Arial Narrow" w:hAnsi="Arial Narrow"/>
                <w:color w:val="000000"/>
                <w:sz w:val="22"/>
                <w:szCs w:val="22"/>
              </w:rPr>
              <w:t xml:space="preserve"> </w:t>
            </w:r>
            <w:r w:rsidRPr="00870476">
              <w:rPr>
                <w:rFonts w:ascii="Arial Narrow" w:hAnsi="Arial Narrow"/>
                <w:color w:val="000000"/>
                <w:sz w:val="22"/>
                <w:szCs w:val="22"/>
              </w:rPr>
              <w:t>pri posúdení podmienok zahŕňa len tie dcérske účtovné jednotky, ktoré nespĺňajú podmienky podľa odseku 13,</w:t>
            </w:r>
          </w:p>
          <w:p w:rsidR="0073486F" w:rsidRPr="00870476" w:rsidRDefault="0073486F" w:rsidP="001906E6">
            <w:pPr>
              <w:adjustRightInd w:val="0"/>
              <w:jc w:val="both"/>
              <w:rPr>
                <w:rFonts w:ascii="Arial Narrow" w:hAnsi="Arial Narrow"/>
                <w:color w:val="000000"/>
                <w:sz w:val="22"/>
                <w:szCs w:val="22"/>
              </w:rPr>
            </w:pPr>
            <w:r w:rsidRPr="00870476">
              <w:rPr>
                <w:rFonts w:ascii="Arial Narrow" w:hAnsi="Arial Narrow"/>
                <w:color w:val="000000"/>
                <w:sz w:val="22"/>
                <w:szCs w:val="22"/>
              </w:rPr>
              <w:t>b)môže sa rozhodnúť, či bude posudzovať podmienky podľa odseku 10 písm. a) alebo odseku 10 písm. b).</w:t>
            </w:r>
          </w:p>
        </w:tc>
        <w:tc>
          <w:tcPr>
            <w:tcW w:w="709" w:type="dxa"/>
            <w:tcBorders>
              <w:top w:val="single" w:sz="4" w:space="0" w:color="auto"/>
              <w:left w:val="single" w:sz="4" w:space="0" w:color="auto"/>
              <w:bottom w:val="nil"/>
              <w:right w:val="single" w:sz="4" w:space="0" w:color="auto"/>
            </w:tcBorders>
          </w:tcPr>
          <w:p w:rsidR="0073486F" w:rsidRPr="00870476" w:rsidRDefault="00D66A56" w:rsidP="0073486F">
            <w:pPr>
              <w:adjustRightInd w:val="0"/>
              <w:rPr>
                <w:rFonts w:ascii="Arial Narrow" w:hAnsi="Arial Narrow"/>
                <w:color w:val="000000"/>
                <w:sz w:val="22"/>
                <w:szCs w:val="22"/>
              </w:rPr>
            </w:pPr>
            <w:r w:rsidRPr="00870476">
              <w:rPr>
                <w:rFonts w:ascii="Arial Narrow" w:hAnsi="Arial Narrow"/>
                <w:color w:val="000000"/>
                <w:sz w:val="22"/>
                <w:szCs w:val="22"/>
              </w:rPr>
              <w:lastRenderedPageBreak/>
              <w:t>Ú</w:t>
            </w:r>
          </w:p>
        </w:tc>
        <w:tc>
          <w:tcPr>
            <w:tcW w:w="934" w:type="dxa"/>
            <w:tcBorders>
              <w:top w:val="single" w:sz="4" w:space="0" w:color="auto"/>
              <w:left w:val="single" w:sz="4" w:space="0" w:color="auto"/>
              <w:bottom w:val="nil"/>
              <w:right w:val="single" w:sz="12" w:space="0" w:color="auto"/>
            </w:tcBorders>
          </w:tcPr>
          <w:p w:rsidR="0073486F" w:rsidRPr="00870476" w:rsidRDefault="0073486F" w:rsidP="0073486F">
            <w:pPr>
              <w:spacing w:before="75" w:after="75"/>
              <w:rPr>
                <w:rFonts w:ascii="Arial Narrow" w:hAnsi="Arial Narrow" w:cs="Arial"/>
                <w:sz w:val="22"/>
                <w:szCs w:val="22"/>
              </w:rPr>
            </w:pPr>
          </w:p>
        </w:tc>
      </w:tr>
      <w:tr w:rsidR="004C289D" w:rsidRPr="00870476" w:rsidTr="000F6E14">
        <w:trPr>
          <w:trHeight w:val="1550"/>
        </w:trPr>
        <w:tc>
          <w:tcPr>
            <w:tcW w:w="682" w:type="dxa"/>
            <w:tcBorders>
              <w:top w:val="single" w:sz="4" w:space="0" w:color="auto"/>
              <w:left w:val="single" w:sz="12" w:space="0" w:color="auto"/>
              <w:bottom w:val="nil"/>
              <w:right w:val="single" w:sz="4" w:space="0" w:color="auto"/>
            </w:tcBorders>
          </w:tcPr>
          <w:p w:rsidR="004C289D" w:rsidRPr="00870476" w:rsidRDefault="005E28ED"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Č</w:t>
            </w:r>
            <w:r w:rsidR="004C289D" w:rsidRPr="00870476">
              <w:rPr>
                <w:rFonts w:ascii="Arial Narrow" w:hAnsi="Arial Narrow" w:cs="Arial"/>
                <w:color w:val="000000"/>
                <w:sz w:val="22"/>
                <w:szCs w:val="22"/>
              </w:rPr>
              <w:t>:29</w:t>
            </w:r>
          </w:p>
          <w:p w:rsidR="004C289D" w:rsidRPr="00870476" w:rsidRDefault="004C289D"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O:2</w:t>
            </w:r>
          </w:p>
          <w:p w:rsidR="004C289D" w:rsidRPr="00870476" w:rsidRDefault="004C289D"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P:a</w:t>
            </w:r>
          </w:p>
        </w:tc>
        <w:tc>
          <w:tcPr>
            <w:tcW w:w="6604" w:type="dxa"/>
            <w:tcBorders>
              <w:top w:val="single" w:sz="4" w:space="0" w:color="auto"/>
              <w:left w:val="single" w:sz="4" w:space="0" w:color="auto"/>
              <w:bottom w:val="nil"/>
              <w:right w:val="single" w:sz="4" w:space="0" w:color="auto"/>
            </w:tcBorders>
          </w:tcPr>
          <w:p w:rsidR="004C289D" w:rsidRPr="00870476" w:rsidRDefault="004C289D" w:rsidP="004C289D">
            <w:pPr>
              <w:autoSpaceDE/>
              <w:autoSpaceDN/>
              <w:rPr>
                <w:rFonts w:ascii="Arial Narrow" w:hAnsi="Arial Narrow"/>
                <w:sz w:val="22"/>
                <w:szCs w:val="22"/>
              </w:rPr>
            </w:pPr>
            <w:r w:rsidRPr="00870476">
              <w:rPr>
                <w:rFonts w:ascii="Arial Narrow" w:eastAsia="Arial Unicode MS" w:hAnsi="Arial Narrow" w:cs="Arial Unicode MS"/>
                <w:sz w:val="22"/>
                <w:szCs w:val="22"/>
                <w:shd w:val="clear" w:color="auto" w:fill="FFFFFF"/>
              </w:rPr>
              <w:t>2.   </w:t>
            </w:r>
            <w:r w:rsidRPr="00870476">
              <w:rPr>
                <w:rFonts w:ascii="Arial Narrow" w:eastAsia="Arial Unicode MS" w:hAnsi="Arial Narrow" w:cs="Arial Unicode MS"/>
                <w:sz w:val="22"/>
                <w:szCs w:val="22"/>
              </w:rPr>
              <w:t>Uplatňujú sa tieto úpravy informácií vyžadovaných podľa článkov 19 a 20:</w:t>
            </w:r>
          </w:p>
          <w:p w:rsidR="004C289D" w:rsidRPr="00870476" w:rsidRDefault="004C289D" w:rsidP="004C289D">
            <w:pPr>
              <w:shd w:val="clear" w:color="auto" w:fill="FFFFFF"/>
              <w:autoSpaceDE/>
              <w:autoSpaceDN/>
              <w:jc w:val="both"/>
              <w:rPr>
                <w:rFonts w:ascii="Arial Narrow" w:eastAsia="Arial Unicode MS" w:hAnsi="Arial Narrow" w:cs="Arial Unicode MS"/>
                <w:sz w:val="22"/>
                <w:szCs w:val="22"/>
              </w:rPr>
            </w:pPr>
            <w:r w:rsidRPr="00870476">
              <w:rPr>
                <w:rFonts w:ascii="Arial Narrow" w:eastAsia="Arial Unicode MS" w:hAnsi="Arial Narrow" w:cs="Arial Unicode MS"/>
                <w:sz w:val="22"/>
                <w:szCs w:val="22"/>
              </w:rPr>
              <w:t>a) pri vykazovaní údajov o nadobudnutých vlastných akciách obsahuje konsolidovaná správa o hospodárení počet a menovitú hodnotu, alebo v prípade, že menovitú hodnotu nemajú, vypočítanú menovitú hodnotu všetkých akcií materského podniku, ktoré drží tento materský podnik, jeho dcérske podniky alebo osoby konajúce vo vlastnom mene, ale na účet ktoréhokoľvek z týchto podnikov. Členský štát môže povoliť alebo vyžadovať zverejnenie týchto údajov v poznámkach ku konsolidovanej účtovnej závierke;</w:t>
            </w:r>
          </w:p>
          <w:p w:rsidR="004C289D" w:rsidRPr="00870476" w:rsidRDefault="004C289D" w:rsidP="004C289D">
            <w:pPr>
              <w:shd w:val="clear" w:color="auto" w:fill="FFFFFF"/>
              <w:autoSpaceDE/>
              <w:autoSpaceDN/>
              <w:jc w:val="both"/>
              <w:rPr>
                <w:rFonts w:ascii="Arial Narrow" w:eastAsia="Arial Unicode MS" w:hAnsi="Arial Narrow" w:cs="Arial Unicode MS"/>
                <w:sz w:val="22"/>
                <w:szCs w:val="22"/>
              </w:rPr>
            </w:pPr>
          </w:p>
          <w:p w:rsidR="004C289D" w:rsidRPr="00870476" w:rsidRDefault="004C289D" w:rsidP="00393CB5">
            <w:pPr>
              <w:spacing w:before="75"/>
              <w:rPr>
                <w:rFonts w:ascii="Arial Narrow" w:hAnsi="Arial Narrow" w:cs="Arial"/>
                <w:b/>
                <w:sz w:val="22"/>
                <w:szCs w:val="22"/>
              </w:rPr>
            </w:pPr>
          </w:p>
        </w:tc>
        <w:tc>
          <w:tcPr>
            <w:tcW w:w="767" w:type="dxa"/>
            <w:tcBorders>
              <w:top w:val="single" w:sz="4" w:space="0" w:color="auto"/>
              <w:left w:val="single" w:sz="4" w:space="0" w:color="auto"/>
              <w:bottom w:val="nil"/>
              <w:right w:val="single" w:sz="12" w:space="0" w:color="auto"/>
            </w:tcBorders>
          </w:tcPr>
          <w:p w:rsidR="004C289D" w:rsidRPr="00870476" w:rsidRDefault="004C289D" w:rsidP="00393CB5">
            <w:pPr>
              <w:adjustRightInd w:val="0"/>
              <w:rPr>
                <w:rFonts w:ascii="Arial Narrow" w:hAnsi="Arial Narrow"/>
                <w:color w:val="000000"/>
                <w:sz w:val="22"/>
                <w:szCs w:val="22"/>
              </w:rPr>
            </w:pPr>
            <w:r w:rsidRPr="00870476">
              <w:rPr>
                <w:rFonts w:ascii="Arial Narrow" w:hAnsi="Arial Narrow"/>
                <w:color w:val="000000"/>
                <w:sz w:val="22"/>
                <w:szCs w:val="22"/>
              </w:rPr>
              <w:t>N</w:t>
            </w:r>
          </w:p>
        </w:tc>
        <w:tc>
          <w:tcPr>
            <w:tcW w:w="851" w:type="dxa"/>
            <w:tcBorders>
              <w:top w:val="single" w:sz="4" w:space="0" w:color="auto"/>
              <w:left w:val="nil"/>
              <w:bottom w:val="nil"/>
              <w:right w:val="single" w:sz="4" w:space="0" w:color="auto"/>
            </w:tcBorders>
          </w:tcPr>
          <w:p w:rsidR="004C289D" w:rsidRPr="00870476" w:rsidRDefault="004C289D" w:rsidP="004C289D">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4C289D" w:rsidRPr="00870476" w:rsidRDefault="004C289D" w:rsidP="004C289D">
            <w:pPr>
              <w:jc w:val="center"/>
              <w:rPr>
                <w:rFonts w:ascii="Arial Narrow" w:hAnsi="Arial Narrow" w:cs="Arial"/>
                <w:bCs/>
                <w:sz w:val="22"/>
                <w:szCs w:val="22"/>
              </w:rPr>
            </w:pPr>
            <w:r w:rsidRPr="00870476">
              <w:rPr>
                <w:rFonts w:ascii="Arial Narrow" w:hAnsi="Arial Narrow"/>
                <w:b/>
                <w:color w:val="000000"/>
                <w:sz w:val="22"/>
                <w:szCs w:val="22"/>
              </w:rPr>
              <w:t>čl. I </w:t>
            </w:r>
            <w:r w:rsidRPr="00870476">
              <w:rPr>
                <w:rFonts w:ascii="Arial Narrow" w:hAnsi="Arial Narrow"/>
                <w:color w:val="000000"/>
                <w:sz w:val="22"/>
                <w:szCs w:val="22"/>
              </w:rPr>
              <w:t>a</w:t>
            </w:r>
            <w:r w:rsidRPr="00870476">
              <w:rPr>
                <w:rFonts w:ascii="Arial Narrow" w:hAnsi="Arial Narrow"/>
                <w:b/>
                <w:color w:val="000000"/>
                <w:sz w:val="22"/>
                <w:szCs w:val="22"/>
              </w:rPr>
              <w:t xml:space="preserve"> </w:t>
            </w:r>
            <w:r w:rsidRPr="00870476">
              <w:rPr>
                <w:rFonts w:ascii="Arial Narrow" w:hAnsi="Arial Narrow" w:cs="Arial"/>
                <w:bCs/>
                <w:sz w:val="22"/>
                <w:szCs w:val="22"/>
              </w:rPr>
              <w:t xml:space="preserve">431/2002 </w:t>
            </w:r>
          </w:p>
          <w:p w:rsidR="004C289D" w:rsidRPr="00870476" w:rsidRDefault="004C289D" w:rsidP="00393CB5">
            <w:pPr>
              <w:adjustRightInd w:val="0"/>
              <w:rPr>
                <w:rFonts w:ascii="Arial Narrow" w:hAnsi="Arial Narrow"/>
                <w:color w:val="000000"/>
                <w:sz w:val="22"/>
                <w:szCs w:val="22"/>
              </w:rPr>
            </w:pPr>
          </w:p>
        </w:tc>
        <w:tc>
          <w:tcPr>
            <w:tcW w:w="850" w:type="dxa"/>
            <w:tcBorders>
              <w:top w:val="single" w:sz="4" w:space="0" w:color="auto"/>
              <w:left w:val="single" w:sz="4" w:space="0" w:color="auto"/>
              <w:bottom w:val="nil"/>
              <w:right w:val="single" w:sz="4" w:space="0" w:color="auto"/>
            </w:tcBorders>
          </w:tcPr>
          <w:p w:rsidR="004C289D" w:rsidRPr="00870476" w:rsidRDefault="004C289D" w:rsidP="00393CB5">
            <w:pPr>
              <w:jc w:val="center"/>
              <w:rPr>
                <w:rFonts w:ascii="Arial Narrow" w:hAnsi="Arial Narrow" w:cs="Arial"/>
                <w:color w:val="000000"/>
                <w:sz w:val="22"/>
                <w:szCs w:val="22"/>
              </w:rPr>
            </w:pPr>
            <w:r w:rsidRPr="00870476">
              <w:rPr>
                <w:rFonts w:ascii="Arial Narrow" w:hAnsi="Arial Narrow" w:cs="Arial"/>
                <w:color w:val="000000"/>
                <w:sz w:val="22"/>
                <w:szCs w:val="22"/>
              </w:rPr>
              <w:t xml:space="preserve">§ 20 </w:t>
            </w:r>
          </w:p>
          <w:p w:rsidR="004C289D" w:rsidRPr="00870476" w:rsidRDefault="004C289D" w:rsidP="00393CB5">
            <w:pPr>
              <w:jc w:val="center"/>
              <w:rPr>
                <w:rFonts w:ascii="Arial Narrow" w:hAnsi="Arial Narrow" w:cs="Arial"/>
                <w:color w:val="000000"/>
                <w:sz w:val="22"/>
                <w:szCs w:val="22"/>
              </w:rPr>
            </w:pPr>
            <w:r w:rsidRPr="00870476">
              <w:rPr>
                <w:rFonts w:ascii="Arial Narrow" w:hAnsi="Arial Narrow" w:cs="Arial"/>
                <w:color w:val="000000"/>
                <w:sz w:val="22"/>
                <w:szCs w:val="22"/>
              </w:rPr>
              <w:t>O:7</w:t>
            </w:r>
          </w:p>
        </w:tc>
        <w:tc>
          <w:tcPr>
            <w:tcW w:w="4678" w:type="dxa"/>
            <w:tcBorders>
              <w:top w:val="single" w:sz="4" w:space="0" w:color="auto"/>
              <w:left w:val="single" w:sz="4" w:space="0" w:color="auto"/>
              <w:bottom w:val="nil"/>
              <w:right w:val="single" w:sz="4" w:space="0" w:color="auto"/>
            </w:tcBorders>
          </w:tcPr>
          <w:p w:rsidR="004C289D" w:rsidRPr="00870476" w:rsidRDefault="004C289D" w:rsidP="005C7E42">
            <w:pPr>
              <w:jc w:val="both"/>
              <w:rPr>
                <w:rFonts w:ascii="Arial Narrow" w:hAnsi="Arial Narrow"/>
                <w:b/>
                <w:sz w:val="22"/>
                <w:szCs w:val="22"/>
              </w:rPr>
            </w:pPr>
            <w:r w:rsidRPr="00870476">
              <w:rPr>
                <w:rFonts w:ascii="Arial Narrow" w:hAnsi="Arial Narrow"/>
                <w:b/>
                <w:sz w:val="22"/>
                <w:szCs w:val="22"/>
              </w:rPr>
              <w:t>Ak účtovná jednotka emitovala cenné papiere, a aspoň niektoré z nich sú prijaté na obchodovanie na regulovanom trhu členského štátu a týka sa ich ponuka na prevzatie, je povinná vo výročnej správe  uviesť aj údaje o</w:t>
            </w:r>
          </w:p>
          <w:p w:rsidR="004C289D" w:rsidRPr="00870476" w:rsidRDefault="004C289D" w:rsidP="004C289D">
            <w:pPr>
              <w:shd w:val="clear" w:color="auto" w:fill="FFFFFF"/>
              <w:jc w:val="both"/>
              <w:rPr>
                <w:rFonts w:ascii="Arial Narrow" w:hAnsi="Arial Narrow"/>
                <w:sz w:val="22"/>
                <w:szCs w:val="22"/>
              </w:rPr>
            </w:pPr>
            <w:r w:rsidRPr="00870476">
              <w:rPr>
                <w:rFonts w:ascii="Arial Narrow" w:hAnsi="Arial Narrow" w:cs="Segoe UI"/>
                <w:sz w:val="22"/>
                <w:szCs w:val="22"/>
              </w:rPr>
              <w:t>a)</w:t>
            </w:r>
            <w:r w:rsidRPr="00870476">
              <w:rPr>
                <w:rFonts w:ascii="Arial Narrow" w:hAnsi="Arial Narrow"/>
                <w:sz w:val="22"/>
                <w:szCs w:val="22"/>
              </w:rPr>
              <w:t xml:space="preserve"> štruktúre základného imania vrátane údajov o cenných papieroch, ktoré</w:t>
            </w:r>
            <w:r w:rsidRPr="00870476">
              <w:rPr>
                <w:rFonts w:ascii="Arial Narrow" w:hAnsi="Arial Narrow"/>
                <w:b/>
                <w:sz w:val="22"/>
                <w:szCs w:val="22"/>
              </w:rPr>
              <w:t xml:space="preserve"> nie sú</w:t>
            </w:r>
            <w:r w:rsidRPr="00870476">
              <w:rPr>
                <w:rFonts w:ascii="Arial Narrow" w:hAnsi="Arial Narrow"/>
                <w:sz w:val="22"/>
                <w:szCs w:val="22"/>
              </w:rPr>
              <w:t xml:space="preserve"> prijaté na obchodovanie na regulovanom trhu v žiadnom členskom štáte s uvedením druhov akcií, opisu práv a povinností s nimi spojených pre každý druh akcií a ich percentuálny podiel na celkovom základnom imaní,</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b) obmedzeniach prevoditeľnosti cenných papierov,</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c) kvalifikovanej účasti na základnom imaní podľa osobitného predpisu,</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d) majiteľoch cenných papierov s osobitnými právami kontroly s uvedením opisu týchto práv,</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e) obmedzeniach hlasovacích práv,</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f) dohodách medzi majiteľmi cenných papierov, ktoré sú jej známe a ktoré môžu viesť k obmedzeniam prevoditeľnosti cenných papierov a obmedzeniam hlasovacích práv,</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g) pravidlách upravujúcich vymenovanie a odvolanie členov jej štatutárneho orgánu a zmenu stanov,</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h) právomociach jej štatutárneho orgánu, najmä ich právomoci rozhodnúť o vydaní akcií alebo spätnom odkúpení akcií,</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 xml:space="preserve">i) všetkých významných dohodách, ktorých je zmluvnou stranou a ktoré nadobúdajú účinnosť, menia sa alebo ktorých platnosť sa skončí v dôsledku zmeny jej kontrolných pomerov, ku ktorej došlo v súvislosti s ponukou na prevzatie, a o jej účinkoch s výnimkou prípadu, ak by ju ich zverejnenie vážne poškodilo; táto výnimka sa neuplatní, ak je povinná zverejniť tieto údaje v </w:t>
            </w:r>
            <w:r w:rsidRPr="00870476">
              <w:rPr>
                <w:rFonts w:ascii="Arial Narrow" w:hAnsi="Arial Narrow" w:cs="Segoe UI"/>
                <w:sz w:val="22"/>
                <w:szCs w:val="22"/>
              </w:rPr>
              <w:lastRenderedPageBreak/>
              <w:t>rámci plnenia povinností ustanovených osobitnými predpismi,</w:t>
            </w:r>
          </w:p>
          <w:p w:rsidR="004C289D" w:rsidRPr="00870476" w:rsidRDefault="004C289D" w:rsidP="004C289D">
            <w:pPr>
              <w:shd w:val="clear" w:color="auto" w:fill="FFFFFF"/>
              <w:jc w:val="both"/>
              <w:rPr>
                <w:rFonts w:ascii="Arial Narrow" w:hAnsi="Arial Narrow" w:cs="Segoe UI"/>
                <w:sz w:val="22"/>
                <w:szCs w:val="22"/>
              </w:rPr>
            </w:pPr>
            <w:r w:rsidRPr="00870476">
              <w:rPr>
                <w:rFonts w:ascii="Arial Narrow" w:hAnsi="Arial Narrow" w:cs="Segoe UI"/>
                <w:sz w:val="22"/>
                <w:szCs w:val="22"/>
              </w:rPr>
              <w:t>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tc>
        <w:tc>
          <w:tcPr>
            <w:tcW w:w="709" w:type="dxa"/>
            <w:tcBorders>
              <w:top w:val="single" w:sz="4" w:space="0" w:color="auto"/>
              <w:left w:val="single" w:sz="4" w:space="0" w:color="auto"/>
              <w:bottom w:val="nil"/>
              <w:right w:val="single" w:sz="4" w:space="0" w:color="auto"/>
            </w:tcBorders>
          </w:tcPr>
          <w:p w:rsidR="004C289D" w:rsidRPr="00870476" w:rsidRDefault="004C289D" w:rsidP="00393CB5">
            <w:pPr>
              <w:adjustRightInd w:val="0"/>
              <w:rPr>
                <w:rFonts w:ascii="Arial Narrow" w:hAnsi="Arial Narrow"/>
                <w:color w:val="000000"/>
                <w:sz w:val="22"/>
                <w:szCs w:val="22"/>
              </w:rPr>
            </w:pPr>
            <w:r w:rsidRPr="00870476">
              <w:rPr>
                <w:rFonts w:ascii="Arial Narrow" w:hAnsi="Arial Narrow"/>
                <w:color w:val="000000"/>
                <w:sz w:val="22"/>
                <w:szCs w:val="22"/>
              </w:rPr>
              <w:lastRenderedPageBreak/>
              <w:t>Ú</w:t>
            </w:r>
          </w:p>
        </w:tc>
        <w:tc>
          <w:tcPr>
            <w:tcW w:w="934" w:type="dxa"/>
            <w:tcBorders>
              <w:top w:val="single" w:sz="4" w:space="0" w:color="auto"/>
              <w:left w:val="single" w:sz="4" w:space="0" w:color="auto"/>
              <w:bottom w:val="nil"/>
              <w:right w:val="single" w:sz="12" w:space="0" w:color="auto"/>
            </w:tcBorders>
          </w:tcPr>
          <w:p w:rsidR="004C289D" w:rsidRPr="00870476" w:rsidRDefault="004C289D" w:rsidP="00393CB5">
            <w:pPr>
              <w:spacing w:before="75" w:after="75"/>
              <w:rPr>
                <w:rFonts w:ascii="Arial Narrow" w:hAnsi="Arial Narrow" w:cs="Arial"/>
                <w:sz w:val="22"/>
                <w:szCs w:val="22"/>
              </w:rPr>
            </w:pPr>
          </w:p>
        </w:tc>
      </w:tr>
      <w:tr w:rsidR="00D35C1C" w:rsidRPr="00870476" w:rsidTr="000F6E14">
        <w:trPr>
          <w:trHeight w:val="3742"/>
        </w:trPr>
        <w:tc>
          <w:tcPr>
            <w:tcW w:w="682" w:type="dxa"/>
            <w:tcBorders>
              <w:top w:val="single" w:sz="4" w:space="0" w:color="auto"/>
              <w:left w:val="single" w:sz="12" w:space="0" w:color="auto"/>
              <w:bottom w:val="nil"/>
              <w:right w:val="single" w:sz="4" w:space="0" w:color="auto"/>
            </w:tcBorders>
          </w:tcPr>
          <w:p w:rsidR="00D35C1C" w:rsidRPr="00870476" w:rsidRDefault="00D35C1C"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Č: 30</w:t>
            </w:r>
          </w:p>
          <w:p w:rsidR="00D35C1C" w:rsidRPr="00870476" w:rsidRDefault="00D35C1C"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O:1</w:t>
            </w:r>
          </w:p>
        </w:tc>
        <w:tc>
          <w:tcPr>
            <w:tcW w:w="6604" w:type="dxa"/>
            <w:tcBorders>
              <w:top w:val="single" w:sz="4" w:space="0" w:color="auto"/>
              <w:left w:val="single" w:sz="4" w:space="0" w:color="auto"/>
              <w:bottom w:val="nil"/>
              <w:right w:val="single" w:sz="4" w:space="0" w:color="auto"/>
            </w:tcBorders>
          </w:tcPr>
          <w:p w:rsidR="00D35C1C" w:rsidRPr="00870476" w:rsidRDefault="00D35C1C" w:rsidP="00393CB5">
            <w:pPr>
              <w:spacing w:before="75"/>
              <w:rPr>
                <w:rFonts w:ascii="Arial Narrow" w:hAnsi="Arial Narrow" w:cs="Arial"/>
                <w:b/>
                <w:sz w:val="22"/>
                <w:szCs w:val="22"/>
              </w:rPr>
            </w:pPr>
            <w:r w:rsidRPr="00870476">
              <w:rPr>
                <w:rFonts w:ascii="Arial Narrow" w:hAnsi="Arial Narrow" w:cs="Arial"/>
                <w:b/>
                <w:sz w:val="22"/>
                <w:szCs w:val="22"/>
              </w:rPr>
              <w:t>UVEREJŇOVANIE</w:t>
            </w:r>
          </w:p>
          <w:p w:rsidR="00D35C1C" w:rsidRPr="00870476" w:rsidRDefault="00D35C1C" w:rsidP="00393CB5">
            <w:pPr>
              <w:spacing w:before="75" w:after="75"/>
              <w:rPr>
                <w:rFonts w:ascii="Arial Narrow" w:hAnsi="Arial Narrow" w:cs="Arial"/>
                <w:sz w:val="22"/>
                <w:szCs w:val="22"/>
              </w:rPr>
            </w:pPr>
            <w:r w:rsidRPr="00870476">
              <w:rPr>
                <w:rFonts w:ascii="Arial Narrow" w:hAnsi="Arial Narrow" w:cs="Arial"/>
                <w:sz w:val="22"/>
                <w:szCs w:val="22"/>
              </w:rPr>
              <w:t>Článok 30</w:t>
            </w:r>
          </w:p>
          <w:p w:rsidR="00D35C1C" w:rsidRPr="00870476" w:rsidRDefault="00D35C1C" w:rsidP="00393CB5">
            <w:pPr>
              <w:spacing w:before="75" w:after="75"/>
              <w:rPr>
                <w:rFonts w:ascii="Arial Narrow" w:hAnsi="Arial Narrow" w:cs="Arial"/>
                <w:b/>
                <w:sz w:val="22"/>
                <w:szCs w:val="22"/>
              </w:rPr>
            </w:pPr>
            <w:r w:rsidRPr="00870476">
              <w:rPr>
                <w:rFonts w:ascii="Arial Narrow" w:hAnsi="Arial Narrow" w:cs="Arial"/>
                <w:b/>
                <w:sz w:val="22"/>
                <w:szCs w:val="22"/>
              </w:rPr>
              <w:t>Všeobecné požiadavky na uverejňovanie</w:t>
            </w:r>
          </w:p>
          <w:p w:rsidR="00D35C1C" w:rsidRPr="00870476" w:rsidRDefault="00D35C1C" w:rsidP="00393CB5">
            <w:pPr>
              <w:spacing w:before="75" w:after="75"/>
              <w:rPr>
                <w:rFonts w:ascii="Arial Narrow" w:hAnsi="Arial Narrow" w:cs="Arial"/>
                <w:sz w:val="22"/>
                <w:szCs w:val="22"/>
              </w:rPr>
            </w:pPr>
            <w:r w:rsidRPr="00870476">
              <w:rPr>
                <w:rFonts w:ascii="Arial Narrow" w:hAnsi="Arial Narrow" w:cs="Arial"/>
                <w:sz w:val="22"/>
                <w:szCs w:val="22"/>
              </w:rPr>
              <w:t>1. Členské štáty zabezpečia, aby podniky v primeranej lehote, ktorá neprekročí 12 mesiacov po dni, ku ktorému sa zostavuje účtovná závierka, uverejňovali riadne schválené ročné účtovné závierky a správu o hospodárení spolu s názorom predloženým štatutárnym audítorom alebo audítorskou spoločnosťou uvedenými v článku 34 tejto smernice, ako je stanovené v právnych predpisoch každého členského štátu, a v súlade s kapitolou 2 smernice 2009/101/ES.</w:t>
            </w:r>
          </w:p>
          <w:p w:rsidR="00D35C1C" w:rsidRPr="00870476" w:rsidRDefault="00D35C1C" w:rsidP="00393CB5">
            <w:pPr>
              <w:spacing w:before="75" w:after="75"/>
              <w:rPr>
                <w:rFonts w:ascii="Arial Narrow" w:hAnsi="Arial Narrow" w:cs="Arial"/>
                <w:b/>
                <w:sz w:val="22"/>
                <w:szCs w:val="22"/>
              </w:rPr>
            </w:pPr>
            <w:r w:rsidRPr="00870476">
              <w:rPr>
                <w:rFonts w:ascii="Arial Narrow" w:hAnsi="Arial Narrow" w:cs="Arial"/>
                <w:sz w:val="22"/>
                <w:szCs w:val="22"/>
              </w:rPr>
              <w:t>Členské štáty však môžu oslobodiť podniky od povinnosti uverejňovať správu o hospodárení v prípade, že je možné na požiadanie ľahko získať kópiu takejto celej správy alebo jej ktorejkoľvek časti za cenu, ktorá neprevyšuje jej administratívne náklady.</w:t>
            </w:r>
          </w:p>
        </w:tc>
        <w:tc>
          <w:tcPr>
            <w:tcW w:w="767" w:type="dxa"/>
            <w:vMerge w:val="restart"/>
            <w:tcBorders>
              <w:top w:val="single" w:sz="4" w:space="0" w:color="auto"/>
              <w:left w:val="single" w:sz="4" w:space="0" w:color="auto"/>
              <w:right w:val="single" w:sz="12" w:space="0" w:color="auto"/>
            </w:tcBorders>
          </w:tcPr>
          <w:p w:rsidR="00D35C1C" w:rsidRPr="00870476" w:rsidRDefault="00D35C1C" w:rsidP="00393CB5">
            <w:pPr>
              <w:adjustRightInd w:val="0"/>
              <w:rPr>
                <w:rFonts w:ascii="Arial Narrow" w:hAnsi="Arial Narrow"/>
                <w:color w:val="000000"/>
                <w:sz w:val="22"/>
                <w:szCs w:val="22"/>
              </w:rPr>
            </w:pPr>
            <w:r w:rsidRPr="00870476">
              <w:rPr>
                <w:rFonts w:ascii="Arial Narrow" w:hAnsi="Arial Narrow"/>
                <w:color w:val="000000"/>
                <w:sz w:val="22"/>
                <w:szCs w:val="22"/>
              </w:rPr>
              <w:t>N</w:t>
            </w: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r w:rsidRPr="00870476">
              <w:rPr>
                <w:rFonts w:ascii="Arial Narrow" w:hAnsi="Arial Narrow"/>
                <w:color w:val="000000"/>
                <w:sz w:val="22"/>
                <w:szCs w:val="22"/>
              </w:rPr>
              <w:t>D</w:t>
            </w:r>
          </w:p>
        </w:tc>
        <w:tc>
          <w:tcPr>
            <w:tcW w:w="851" w:type="dxa"/>
            <w:vMerge w:val="restart"/>
            <w:tcBorders>
              <w:top w:val="single" w:sz="4" w:space="0" w:color="auto"/>
              <w:left w:val="nil"/>
              <w:bottom w:val="nil"/>
              <w:right w:val="single" w:sz="4" w:space="0" w:color="auto"/>
            </w:tcBorders>
          </w:tcPr>
          <w:p w:rsidR="00D35C1C" w:rsidRPr="00870476" w:rsidRDefault="00D35C1C" w:rsidP="00393CB5">
            <w:pPr>
              <w:adjustRightInd w:val="0"/>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p>
          <w:p w:rsidR="00D35C1C" w:rsidRPr="00870476" w:rsidRDefault="00D35C1C" w:rsidP="005A2AE4">
            <w:pPr>
              <w:adjustRightInd w:val="0"/>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5A2AE4">
            <w:pPr>
              <w:adjustRightInd w:val="0"/>
              <w:rPr>
                <w:rFonts w:ascii="Arial Narrow" w:hAnsi="Arial Narrow"/>
                <w:b/>
                <w:color w:val="000000"/>
                <w:sz w:val="22"/>
                <w:szCs w:val="22"/>
              </w:rPr>
            </w:pPr>
            <w:r w:rsidRPr="00870476">
              <w:rPr>
                <w:rFonts w:ascii="Arial Narrow" w:hAnsi="Arial Narrow"/>
                <w:color w:val="000000"/>
                <w:sz w:val="22"/>
                <w:szCs w:val="22"/>
              </w:rPr>
              <w:t xml:space="preserve">a </w:t>
            </w:r>
            <w:r w:rsidRPr="00870476">
              <w:rPr>
                <w:rFonts w:ascii="Arial Narrow" w:hAnsi="Arial Narrow"/>
                <w:b/>
                <w:color w:val="000000"/>
                <w:sz w:val="22"/>
                <w:szCs w:val="22"/>
              </w:rPr>
              <w:t>návrh</w:t>
            </w:r>
          </w:p>
          <w:p w:rsidR="00D35C1C" w:rsidRPr="00870476" w:rsidRDefault="00D35C1C" w:rsidP="005A2AE4">
            <w:pPr>
              <w:adjustRightInd w:val="0"/>
              <w:jc w:val="center"/>
              <w:rPr>
                <w:rFonts w:ascii="Arial Narrow" w:hAnsi="Arial Narrow"/>
                <w:b/>
                <w:color w:val="000000"/>
                <w:sz w:val="22"/>
                <w:szCs w:val="22"/>
              </w:rPr>
            </w:pPr>
            <w:r w:rsidRPr="00870476">
              <w:rPr>
                <w:rFonts w:ascii="Arial Narrow" w:hAnsi="Arial Narrow"/>
                <w:b/>
                <w:color w:val="000000"/>
                <w:sz w:val="22"/>
                <w:szCs w:val="22"/>
              </w:rPr>
              <w:t>čl. I</w:t>
            </w: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Default="00D35C1C" w:rsidP="00393CB5">
            <w:pPr>
              <w:adjustRightInd w:val="0"/>
              <w:rPr>
                <w:rFonts w:ascii="Arial Narrow" w:hAnsi="Arial Narrow"/>
                <w:color w:val="000000"/>
                <w:sz w:val="22"/>
                <w:szCs w:val="22"/>
              </w:rPr>
            </w:pPr>
          </w:p>
          <w:p w:rsidR="00DE3FD4" w:rsidRPr="00870476" w:rsidRDefault="00DE3FD4"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393CB5">
            <w:pPr>
              <w:adjustRightInd w:val="0"/>
              <w:rPr>
                <w:rFonts w:ascii="Arial Narrow" w:hAnsi="Arial Narrow"/>
                <w:color w:val="000000"/>
                <w:sz w:val="22"/>
                <w:szCs w:val="22"/>
              </w:rPr>
            </w:pPr>
          </w:p>
          <w:p w:rsidR="00D35C1C" w:rsidRPr="00870476" w:rsidRDefault="00D35C1C" w:rsidP="00500C2E">
            <w:pPr>
              <w:adjustRightInd w:val="0"/>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b/>
                <w:color w:val="000000"/>
                <w:sz w:val="22"/>
                <w:szCs w:val="22"/>
              </w:rPr>
            </w:pPr>
          </w:p>
          <w:p w:rsidR="00D35C1C" w:rsidRPr="00870476" w:rsidRDefault="00D35C1C" w:rsidP="000F0F63">
            <w:pPr>
              <w:adjustRightInd w:val="0"/>
              <w:jc w:val="center"/>
              <w:rPr>
                <w:rFonts w:ascii="Arial Narrow" w:hAnsi="Arial Narrow"/>
                <w:b/>
                <w:color w:val="000000"/>
                <w:sz w:val="22"/>
                <w:szCs w:val="22"/>
              </w:rPr>
            </w:pPr>
          </w:p>
          <w:p w:rsidR="00D35C1C" w:rsidRPr="00870476" w:rsidRDefault="00D35C1C" w:rsidP="000F0F63">
            <w:pPr>
              <w:adjustRightInd w:val="0"/>
              <w:jc w:val="center"/>
              <w:rPr>
                <w:rFonts w:ascii="Arial Narrow" w:hAnsi="Arial Narrow"/>
                <w:b/>
                <w:color w:val="000000"/>
                <w:sz w:val="22"/>
                <w:szCs w:val="22"/>
              </w:rPr>
            </w:pPr>
          </w:p>
          <w:p w:rsidR="00D35C1C" w:rsidRDefault="00D35C1C" w:rsidP="000F0F63">
            <w:pPr>
              <w:adjustRightInd w:val="0"/>
              <w:jc w:val="center"/>
              <w:rPr>
                <w:rFonts w:ascii="Arial Narrow" w:hAnsi="Arial Narrow"/>
                <w:b/>
                <w:color w:val="000000"/>
                <w:sz w:val="22"/>
                <w:szCs w:val="22"/>
              </w:rPr>
            </w:pPr>
          </w:p>
          <w:p w:rsidR="00D35C1C" w:rsidRPr="00870476" w:rsidRDefault="00D35C1C" w:rsidP="000F0F63">
            <w:pPr>
              <w:adjustRightInd w:val="0"/>
              <w:jc w:val="center"/>
              <w:rPr>
                <w:rFonts w:ascii="Arial Narrow" w:hAnsi="Arial Narrow"/>
                <w:b/>
                <w:color w:val="000000"/>
                <w:sz w:val="22"/>
                <w:szCs w:val="22"/>
              </w:rPr>
            </w:pPr>
          </w:p>
          <w:p w:rsidR="00D35C1C" w:rsidRPr="00870476" w:rsidRDefault="00D35C1C" w:rsidP="00500C2E">
            <w:pPr>
              <w:adjustRightInd w:val="0"/>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833333">
            <w:pPr>
              <w:adjustRightInd w:val="0"/>
              <w:jc w:val="center"/>
              <w:rPr>
                <w:rFonts w:ascii="Arial Narrow" w:hAnsi="Arial Narrow"/>
                <w:color w:val="000000"/>
                <w:sz w:val="22"/>
                <w:szCs w:val="22"/>
              </w:rPr>
            </w:pPr>
            <w:r w:rsidRPr="00870476">
              <w:rPr>
                <w:rFonts w:ascii="Arial Narrow" w:hAnsi="Arial Narrow"/>
                <w:color w:val="000000"/>
                <w:sz w:val="22"/>
                <w:szCs w:val="22"/>
              </w:rPr>
              <w:t xml:space="preserve">a </w:t>
            </w:r>
          </w:p>
          <w:p w:rsidR="00D35C1C" w:rsidRPr="00870476" w:rsidRDefault="00D35C1C" w:rsidP="00833333">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D35C1C" w:rsidRPr="00870476" w:rsidRDefault="00D35C1C" w:rsidP="00833333">
            <w:pPr>
              <w:adjustRightInd w:val="0"/>
              <w:jc w:val="center"/>
              <w:rPr>
                <w:rFonts w:ascii="Arial Narrow" w:hAnsi="Arial Narrow"/>
                <w:b/>
                <w:color w:val="000000"/>
                <w:sz w:val="22"/>
                <w:szCs w:val="22"/>
              </w:rPr>
            </w:pPr>
            <w:r w:rsidRPr="00870476">
              <w:rPr>
                <w:rFonts w:ascii="Arial Narrow" w:hAnsi="Arial Narrow"/>
                <w:b/>
                <w:color w:val="000000"/>
                <w:sz w:val="22"/>
                <w:szCs w:val="22"/>
              </w:rPr>
              <w:t>čl. I</w:t>
            </w: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Default="00D35C1C" w:rsidP="000F0F63">
            <w:pPr>
              <w:adjustRightInd w:val="0"/>
              <w:jc w:val="center"/>
              <w:rPr>
                <w:rFonts w:ascii="Arial Narrow" w:hAnsi="Arial Narrow"/>
                <w:color w:val="000000"/>
                <w:sz w:val="22"/>
                <w:szCs w:val="22"/>
              </w:rPr>
            </w:pPr>
          </w:p>
          <w:p w:rsidR="00194F22" w:rsidRDefault="00194F22" w:rsidP="000F0F63">
            <w:pPr>
              <w:adjustRightInd w:val="0"/>
              <w:jc w:val="center"/>
              <w:rPr>
                <w:rFonts w:ascii="Arial Narrow" w:hAnsi="Arial Narrow"/>
                <w:color w:val="000000"/>
                <w:sz w:val="22"/>
                <w:szCs w:val="22"/>
              </w:rPr>
            </w:pPr>
          </w:p>
          <w:p w:rsidR="00194F22" w:rsidRDefault="00194F22" w:rsidP="000F0F63">
            <w:pPr>
              <w:adjustRightInd w:val="0"/>
              <w:jc w:val="center"/>
              <w:rPr>
                <w:rFonts w:ascii="Arial Narrow" w:hAnsi="Arial Narrow"/>
                <w:color w:val="000000"/>
                <w:sz w:val="22"/>
                <w:szCs w:val="22"/>
              </w:rPr>
            </w:pPr>
          </w:p>
          <w:p w:rsidR="000E638E" w:rsidRDefault="000E638E" w:rsidP="000F0F63">
            <w:pPr>
              <w:adjustRightInd w:val="0"/>
              <w:jc w:val="center"/>
              <w:rPr>
                <w:rFonts w:ascii="Arial Narrow" w:hAnsi="Arial Narrow"/>
                <w:color w:val="000000"/>
                <w:sz w:val="22"/>
                <w:szCs w:val="22"/>
              </w:rPr>
            </w:pPr>
          </w:p>
          <w:p w:rsidR="000E638E" w:rsidRPr="00870476" w:rsidRDefault="000E638E"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0917D9" w:rsidRDefault="000917D9" w:rsidP="000F0F63">
            <w:pPr>
              <w:adjustRightInd w:val="0"/>
              <w:jc w:val="center"/>
              <w:rPr>
                <w:rFonts w:ascii="Arial Narrow" w:hAnsi="Arial Narrow"/>
                <w:color w:val="000000"/>
                <w:sz w:val="22"/>
                <w:szCs w:val="22"/>
              </w:rPr>
            </w:pPr>
          </w:p>
          <w:p w:rsidR="00DE3FD4" w:rsidRDefault="00DE3FD4" w:rsidP="000F0F63">
            <w:pPr>
              <w:adjustRightInd w:val="0"/>
              <w:jc w:val="center"/>
              <w:rPr>
                <w:rFonts w:ascii="Arial Narrow" w:hAnsi="Arial Narrow"/>
                <w:color w:val="000000"/>
                <w:sz w:val="22"/>
                <w:szCs w:val="22"/>
              </w:rPr>
            </w:pPr>
          </w:p>
          <w:p w:rsidR="00194F22" w:rsidRPr="00870476" w:rsidRDefault="00194F22" w:rsidP="000F0F63">
            <w:pPr>
              <w:adjustRightInd w:val="0"/>
              <w:jc w:val="center"/>
              <w:rPr>
                <w:rFonts w:ascii="Arial Narrow" w:hAnsi="Arial Narrow"/>
                <w:color w:val="000000"/>
                <w:sz w:val="22"/>
                <w:szCs w:val="22"/>
              </w:rPr>
            </w:pPr>
          </w:p>
          <w:p w:rsidR="00D35C1C" w:rsidRPr="00870476" w:rsidRDefault="00D35C1C" w:rsidP="006725C3">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D35C1C" w:rsidRPr="00870476" w:rsidRDefault="00D35C1C" w:rsidP="006725C3">
            <w:pPr>
              <w:adjustRightInd w:val="0"/>
              <w:jc w:val="center"/>
              <w:rPr>
                <w:rFonts w:ascii="Arial Narrow" w:hAnsi="Arial Narrow"/>
                <w:b/>
                <w:color w:val="000000"/>
                <w:sz w:val="22"/>
                <w:szCs w:val="22"/>
              </w:rPr>
            </w:pPr>
            <w:r w:rsidRPr="00870476">
              <w:rPr>
                <w:rFonts w:ascii="Arial Narrow" w:hAnsi="Arial Narrow"/>
                <w:b/>
                <w:color w:val="000000"/>
                <w:sz w:val="22"/>
                <w:szCs w:val="22"/>
              </w:rPr>
              <w:t>čl. I</w:t>
            </w: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Default="00D35C1C" w:rsidP="000F0F63">
            <w:pPr>
              <w:adjustRightInd w:val="0"/>
              <w:jc w:val="center"/>
              <w:rPr>
                <w:rFonts w:ascii="Arial Narrow" w:hAnsi="Arial Narrow"/>
                <w:color w:val="000000"/>
                <w:sz w:val="22"/>
                <w:szCs w:val="22"/>
              </w:rPr>
            </w:pPr>
          </w:p>
          <w:p w:rsidR="000E5F2B" w:rsidRDefault="000E5F2B" w:rsidP="000F0F63">
            <w:pPr>
              <w:adjustRightInd w:val="0"/>
              <w:jc w:val="center"/>
              <w:rPr>
                <w:rFonts w:ascii="Arial Narrow" w:hAnsi="Arial Narrow"/>
                <w:color w:val="000000"/>
                <w:sz w:val="22"/>
                <w:szCs w:val="22"/>
              </w:rPr>
            </w:pPr>
          </w:p>
          <w:p w:rsidR="0012541D" w:rsidRDefault="0012541D" w:rsidP="000F0F63">
            <w:pPr>
              <w:adjustRightInd w:val="0"/>
              <w:jc w:val="center"/>
              <w:rPr>
                <w:rFonts w:ascii="Arial Narrow" w:hAnsi="Arial Narrow"/>
                <w:color w:val="000000"/>
                <w:sz w:val="22"/>
                <w:szCs w:val="22"/>
              </w:rPr>
            </w:pPr>
          </w:p>
          <w:p w:rsidR="00194F22" w:rsidRDefault="00194F22" w:rsidP="000F0F63">
            <w:pPr>
              <w:adjustRightInd w:val="0"/>
              <w:jc w:val="center"/>
              <w:rPr>
                <w:rFonts w:ascii="Arial Narrow" w:hAnsi="Arial Narrow"/>
                <w:color w:val="000000"/>
                <w:sz w:val="22"/>
                <w:szCs w:val="22"/>
              </w:rPr>
            </w:pPr>
          </w:p>
          <w:p w:rsidR="00DE3FD4" w:rsidRPr="00870476" w:rsidRDefault="00DE3FD4" w:rsidP="000F0F63">
            <w:pPr>
              <w:adjustRightInd w:val="0"/>
              <w:jc w:val="center"/>
              <w:rPr>
                <w:rFonts w:ascii="Arial Narrow" w:hAnsi="Arial Narrow"/>
                <w:color w:val="000000"/>
                <w:sz w:val="22"/>
                <w:szCs w:val="22"/>
              </w:rPr>
            </w:pPr>
          </w:p>
          <w:p w:rsidR="00D35C1C" w:rsidRPr="00870476" w:rsidRDefault="00D35C1C" w:rsidP="000F0F63">
            <w:pPr>
              <w:adjustRightInd w:val="0"/>
              <w:jc w:val="center"/>
              <w:rPr>
                <w:rFonts w:ascii="Arial Narrow" w:hAnsi="Arial Narrow"/>
                <w:color w:val="000000"/>
                <w:sz w:val="22"/>
                <w:szCs w:val="22"/>
              </w:rPr>
            </w:pPr>
          </w:p>
          <w:p w:rsidR="00D35C1C" w:rsidRPr="00870476" w:rsidRDefault="00D35C1C" w:rsidP="00D35C1C">
            <w:pPr>
              <w:adjustRightInd w:val="0"/>
              <w:rPr>
                <w:rFonts w:ascii="Arial Narrow" w:hAnsi="Arial Narrow"/>
                <w:color w:val="000000"/>
                <w:sz w:val="22"/>
                <w:szCs w:val="22"/>
              </w:rPr>
            </w:pPr>
            <w:r w:rsidRPr="00870476">
              <w:rPr>
                <w:rFonts w:ascii="Arial Narrow" w:hAnsi="Arial Narrow"/>
                <w:color w:val="000000"/>
                <w:sz w:val="22"/>
                <w:szCs w:val="22"/>
              </w:rPr>
              <w:t>431/2002</w:t>
            </w:r>
          </w:p>
          <w:p w:rsidR="00D35C1C" w:rsidRPr="00870476" w:rsidRDefault="00D35C1C" w:rsidP="00D35C1C">
            <w:pPr>
              <w:adjustRightInd w:val="0"/>
              <w:jc w:val="center"/>
              <w:rPr>
                <w:rFonts w:ascii="Arial Narrow" w:hAnsi="Arial Narrow"/>
                <w:b/>
                <w:color w:val="000000"/>
                <w:sz w:val="22"/>
                <w:szCs w:val="22"/>
              </w:rPr>
            </w:pPr>
          </w:p>
        </w:tc>
        <w:tc>
          <w:tcPr>
            <w:tcW w:w="850" w:type="dxa"/>
            <w:vMerge w:val="restart"/>
            <w:tcBorders>
              <w:top w:val="single" w:sz="4" w:space="0" w:color="auto"/>
              <w:left w:val="single" w:sz="4" w:space="0" w:color="auto"/>
              <w:bottom w:val="nil"/>
              <w:right w:val="single" w:sz="4" w:space="0" w:color="auto"/>
            </w:tcBorders>
          </w:tcPr>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lastRenderedPageBreak/>
              <w:t>§ 23</w:t>
            </w: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O: 1</w:t>
            </w: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1.veta</w:t>
            </w: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O:2</w:t>
            </w: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Default="00D35C1C" w:rsidP="00393CB5">
            <w:pPr>
              <w:jc w:val="center"/>
              <w:rPr>
                <w:rFonts w:ascii="Arial Narrow" w:hAnsi="Arial Narrow" w:cs="Arial"/>
                <w:b/>
                <w:color w:val="000000"/>
                <w:sz w:val="22"/>
                <w:szCs w:val="22"/>
              </w:rPr>
            </w:pPr>
          </w:p>
          <w:p w:rsidR="00DE3FD4" w:rsidRPr="00870476" w:rsidRDefault="00DE3FD4"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O: 6</w:t>
            </w: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b/>
                <w:color w:val="000000"/>
                <w:sz w:val="22"/>
                <w:szCs w:val="22"/>
              </w:rPr>
            </w:pPr>
          </w:p>
          <w:p w:rsidR="00D35C1C" w:rsidRDefault="00D35C1C" w:rsidP="00393CB5">
            <w:pPr>
              <w:jc w:val="center"/>
              <w:rPr>
                <w:rFonts w:ascii="Arial Narrow" w:hAnsi="Arial Narrow" w:cs="Arial"/>
                <w:b/>
                <w:color w:val="000000"/>
                <w:sz w:val="22"/>
                <w:szCs w:val="22"/>
              </w:rPr>
            </w:pPr>
          </w:p>
          <w:p w:rsidR="00194F22" w:rsidRPr="00870476" w:rsidRDefault="00194F22" w:rsidP="00393CB5">
            <w:pPr>
              <w:jc w:val="center"/>
              <w:rPr>
                <w:rFonts w:ascii="Arial Narrow" w:hAnsi="Arial Narrow" w:cs="Arial"/>
                <w:b/>
                <w:color w:val="000000"/>
                <w:sz w:val="22"/>
                <w:szCs w:val="22"/>
              </w:rPr>
            </w:pP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 23a</w:t>
            </w:r>
          </w:p>
          <w:p w:rsidR="00D35C1C" w:rsidRPr="00870476" w:rsidRDefault="00D35C1C" w:rsidP="00393CB5">
            <w:pPr>
              <w:jc w:val="center"/>
              <w:rPr>
                <w:rFonts w:ascii="Arial Narrow" w:hAnsi="Arial Narrow" w:cs="Arial"/>
                <w:color w:val="000000"/>
                <w:sz w:val="22"/>
                <w:szCs w:val="22"/>
              </w:rPr>
            </w:pPr>
            <w:r w:rsidRPr="00870476">
              <w:rPr>
                <w:rFonts w:ascii="Arial Narrow" w:hAnsi="Arial Narrow" w:cs="Arial"/>
                <w:color w:val="000000"/>
                <w:sz w:val="22"/>
                <w:szCs w:val="22"/>
              </w:rPr>
              <w:t>O: 3</w:t>
            </w: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Default="00D35C1C" w:rsidP="00393CB5">
            <w:pPr>
              <w:jc w:val="center"/>
              <w:rPr>
                <w:rFonts w:ascii="Arial Narrow" w:hAnsi="Arial Narrow" w:cs="Arial"/>
                <w:color w:val="000000"/>
                <w:sz w:val="22"/>
                <w:szCs w:val="22"/>
              </w:rPr>
            </w:pPr>
          </w:p>
          <w:p w:rsidR="00194F22" w:rsidRDefault="00194F22" w:rsidP="00393CB5">
            <w:pPr>
              <w:jc w:val="center"/>
              <w:rPr>
                <w:rFonts w:ascii="Arial Narrow" w:hAnsi="Arial Narrow" w:cs="Arial"/>
                <w:color w:val="000000"/>
                <w:sz w:val="22"/>
                <w:szCs w:val="22"/>
              </w:rPr>
            </w:pPr>
          </w:p>
          <w:p w:rsidR="00194F22" w:rsidRPr="00870476" w:rsidRDefault="00194F22" w:rsidP="00393CB5">
            <w:pPr>
              <w:jc w:val="center"/>
              <w:rPr>
                <w:rFonts w:ascii="Arial Narrow" w:hAnsi="Arial Narrow" w:cs="Arial"/>
                <w:color w:val="000000"/>
                <w:sz w:val="22"/>
                <w:szCs w:val="22"/>
              </w:rPr>
            </w:pPr>
          </w:p>
          <w:p w:rsidR="00D35C1C" w:rsidRPr="00870476" w:rsidRDefault="00D35C1C" w:rsidP="00393CB5">
            <w:pPr>
              <w:jc w:val="center"/>
              <w:rPr>
                <w:rFonts w:ascii="Arial Narrow" w:hAnsi="Arial Narrow" w:cs="Arial"/>
                <w:color w:val="000000"/>
                <w:sz w:val="22"/>
                <w:szCs w:val="22"/>
              </w:rPr>
            </w:pPr>
          </w:p>
          <w:p w:rsidR="00D35C1C" w:rsidRDefault="00D35C1C" w:rsidP="00393CB5">
            <w:pPr>
              <w:jc w:val="center"/>
              <w:rPr>
                <w:rFonts w:ascii="Arial Narrow" w:hAnsi="Arial Narrow" w:cs="Arial"/>
                <w:color w:val="000000"/>
                <w:sz w:val="22"/>
                <w:szCs w:val="22"/>
              </w:rPr>
            </w:pPr>
          </w:p>
          <w:p w:rsidR="000E638E" w:rsidRDefault="000E638E" w:rsidP="00393CB5">
            <w:pPr>
              <w:jc w:val="center"/>
              <w:rPr>
                <w:rFonts w:ascii="Arial Narrow" w:hAnsi="Arial Narrow" w:cs="Arial"/>
                <w:color w:val="000000"/>
                <w:sz w:val="22"/>
                <w:szCs w:val="22"/>
              </w:rPr>
            </w:pPr>
          </w:p>
          <w:p w:rsidR="000E638E" w:rsidRPr="00870476" w:rsidRDefault="000E638E" w:rsidP="00393CB5">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r w:rsidRPr="00870476">
              <w:rPr>
                <w:rFonts w:ascii="Arial Narrow" w:hAnsi="Arial Narrow" w:cs="Arial"/>
                <w:color w:val="000000"/>
                <w:sz w:val="22"/>
                <w:szCs w:val="22"/>
              </w:rPr>
              <w:t>§ 23a</w:t>
            </w:r>
          </w:p>
          <w:p w:rsidR="00D35C1C" w:rsidRPr="00870476" w:rsidRDefault="00D35C1C" w:rsidP="00833333">
            <w:pPr>
              <w:jc w:val="center"/>
              <w:rPr>
                <w:rFonts w:ascii="Arial Narrow" w:hAnsi="Arial Narrow" w:cs="Arial"/>
                <w:color w:val="000000"/>
                <w:sz w:val="22"/>
                <w:szCs w:val="22"/>
              </w:rPr>
            </w:pPr>
            <w:r w:rsidRPr="00870476">
              <w:rPr>
                <w:rFonts w:ascii="Arial Narrow" w:hAnsi="Arial Narrow" w:cs="Arial"/>
                <w:color w:val="000000"/>
                <w:sz w:val="22"/>
                <w:szCs w:val="22"/>
              </w:rPr>
              <w:t>O: 9</w:t>
            </w: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r w:rsidRPr="00870476">
              <w:rPr>
                <w:rFonts w:ascii="Arial Narrow" w:hAnsi="Arial Narrow" w:cs="Arial"/>
                <w:color w:val="000000"/>
                <w:sz w:val="22"/>
                <w:szCs w:val="22"/>
              </w:rPr>
              <w:t>§ 23a</w:t>
            </w:r>
          </w:p>
          <w:p w:rsidR="00D35C1C" w:rsidRPr="00870476" w:rsidRDefault="00D35C1C" w:rsidP="00833333">
            <w:pPr>
              <w:jc w:val="center"/>
              <w:rPr>
                <w:rFonts w:ascii="Arial Narrow" w:hAnsi="Arial Narrow" w:cs="Arial"/>
                <w:color w:val="000000"/>
                <w:sz w:val="22"/>
                <w:szCs w:val="22"/>
              </w:rPr>
            </w:pPr>
            <w:r w:rsidRPr="00870476">
              <w:rPr>
                <w:rFonts w:ascii="Arial Narrow" w:hAnsi="Arial Narrow" w:cs="Arial"/>
                <w:color w:val="000000"/>
                <w:sz w:val="22"/>
                <w:szCs w:val="22"/>
              </w:rPr>
              <w:t>O: 10</w:t>
            </w: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Pr="00870476" w:rsidRDefault="00D35C1C" w:rsidP="00833333">
            <w:pPr>
              <w:jc w:val="center"/>
              <w:rPr>
                <w:rFonts w:ascii="Arial Narrow" w:hAnsi="Arial Narrow" w:cs="Arial"/>
                <w:color w:val="000000"/>
                <w:sz w:val="22"/>
                <w:szCs w:val="22"/>
              </w:rPr>
            </w:pPr>
          </w:p>
          <w:p w:rsidR="00D35C1C" w:rsidRDefault="00D35C1C" w:rsidP="00833333">
            <w:pPr>
              <w:jc w:val="center"/>
              <w:rPr>
                <w:rFonts w:ascii="Arial Narrow" w:hAnsi="Arial Narrow" w:cs="Arial"/>
                <w:color w:val="000000"/>
                <w:sz w:val="22"/>
                <w:szCs w:val="22"/>
              </w:rPr>
            </w:pPr>
          </w:p>
          <w:p w:rsidR="00DE3FD4" w:rsidRPr="00870476" w:rsidRDefault="00DE3FD4" w:rsidP="00833333">
            <w:pPr>
              <w:jc w:val="center"/>
              <w:rPr>
                <w:rFonts w:ascii="Arial Narrow" w:hAnsi="Arial Narrow" w:cs="Arial"/>
                <w:color w:val="000000"/>
                <w:sz w:val="22"/>
                <w:szCs w:val="22"/>
              </w:rPr>
            </w:pPr>
          </w:p>
          <w:p w:rsidR="00194F22" w:rsidRPr="00870476" w:rsidRDefault="00194F22" w:rsidP="00833333">
            <w:pPr>
              <w:jc w:val="center"/>
              <w:rPr>
                <w:rFonts w:ascii="Arial Narrow" w:hAnsi="Arial Narrow" w:cs="Arial"/>
                <w:color w:val="000000"/>
                <w:sz w:val="22"/>
                <w:szCs w:val="22"/>
              </w:rPr>
            </w:pPr>
          </w:p>
          <w:p w:rsidR="00D35C1C" w:rsidRPr="005C7E42" w:rsidRDefault="00D35C1C" w:rsidP="007609AB">
            <w:pPr>
              <w:jc w:val="center"/>
              <w:rPr>
                <w:rFonts w:ascii="Arial Narrow" w:hAnsi="Arial Narrow" w:cs="Arial"/>
                <w:b/>
                <w:color w:val="000000"/>
                <w:sz w:val="22"/>
                <w:szCs w:val="22"/>
              </w:rPr>
            </w:pPr>
            <w:r w:rsidRPr="005C7E42">
              <w:rPr>
                <w:rFonts w:ascii="Arial Narrow" w:hAnsi="Arial Narrow" w:cs="Arial"/>
                <w:b/>
                <w:color w:val="000000"/>
                <w:sz w:val="22"/>
                <w:szCs w:val="22"/>
              </w:rPr>
              <w:t>§ 23a</w:t>
            </w:r>
          </w:p>
          <w:p w:rsidR="00D35C1C" w:rsidRPr="005C7E42" w:rsidRDefault="00D35C1C" w:rsidP="00833333">
            <w:pPr>
              <w:jc w:val="center"/>
              <w:rPr>
                <w:rFonts w:ascii="Arial Narrow" w:hAnsi="Arial Narrow" w:cs="Arial"/>
                <w:b/>
                <w:color w:val="000000"/>
                <w:sz w:val="22"/>
                <w:szCs w:val="22"/>
              </w:rPr>
            </w:pPr>
            <w:r w:rsidRPr="005C7E42">
              <w:rPr>
                <w:rFonts w:ascii="Arial Narrow" w:hAnsi="Arial Narrow" w:cs="Arial"/>
                <w:b/>
                <w:color w:val="000000"/>
                <w:sz w:val="22"/>
                <w:szCs w:val="22"/>
              </w:rPr>
              <w:t>O: 11</w:t>
            </w:r>
          </w:p>
          <w:p w:rsidR="00D35C1C" w:rsidRPr="00870476" w:rsidRDefault="00D35C1C" w:rsidP="00833333">
            <w:pPr>
              <w:jc w:val="center"/>
              <w:rPr>
                <w:rFonts w:ascii="Arial Narrow" w:hAnsi="Arial Narrow" w:cs="Arial"/>
                <w:b/>
                <w:color w:val="000000"/>
                <w:sz w:val="22"/>
                <w:szCs w:val="22"/>
              </w:rPr>
            </w:pPr>
          </w:p>
          <w:p w:rsidR="00D35C1C" w:rsidRPr="00870476" w:rsidRDefault="00D35C1C" w:rsidP="00833333">
            <w:pPr>
              <w:jc w:val="center"/>
              <w:rPr>
                <w:rFonts w:ascii="Arial Narrow" w:hAnsi="Arial Narrow" w:cs="Arial"/>
                <w:b/>
                <w:color w:val="000000"/>
                <w:sz w:val="22"/>
                <w:szCs w:val="22"/>
              </w:rPr>
            </w:pPr>
          </w:p>
          <w:p w:rsidR="00D35C1C" w:rsidRDefault="00D35C1C" w:rsidP="00833333">
            <w:pPr>
              <w:jc w:val="center"/>
              <w:rPr>
                <w:rFonts w:ascii="Arial Narrow" w:hAnsi="Arial Narrow" w:cs="Arial"/>
                <w:b/>
                <w:color w:val="000000"/>
                <w:sz w:val="22"/>
                <w:szCs w:val="22"/>
              </w:rPr>
            </w:pPr>
          </w:p>
          <w:p w:rsidR="0012541D" w:rsidRDefault="0012541D" w:rsidP="00833333">
            <w:pPr>
              <w:jc w:val="center"/>
              <w:rPr>
                <w:rFonts w:ascii="Arial Narrow" w:hAnsi="Arial Narrow" w:cs="Arial"/>
                <w:b/>
                <w:color w:val="000000"/>
                <w:sz w:val="22"/>
                <w:szCs w:val="22"/>
              </w:rPr>
            </w:pPr>
          </w:p>
          <w:p w:rsidR="0012541D" w:rsidRDefault="0012541D" w:rsidP="00833333">
            <w:pPr>
              <w:jc w:val="center"/>
              <w:rPr>
                <w:rFonts w:ascii="Arial Narrow" w:hAnsi="Arial Narrow" w:cs="Arial"/>
                <w:b/>
                <w:color w:val="000000"/>
                <w:sz w:val="22"/>
                <w:szCs w:val="22"/>
              </w:rPr>
            </w:pPr>
          </w:p>
          <w:p w:rsidR="00DE3FD4" w:rsidRDefault="00DE3FD4" w:rsidP="00833333">
            <w:pPr>
              <w:jc w:val="center"/>
              <w:rPr>
                <w:rFonts w:ascii="Arial Narrow" w:hAnsi="Arial Narrow" w:cs="Arial"/>
                <w:b/>
                <w:color w:val="000000"/>
                <w:sz w:val="22"/>
                <w:szCs w:val="22"/>
              </w:rPr>
            </w:pPr>
          </w:p>
          <w:p w:rsidR="00194F22" w:rsidRDefault="00194F22" w:rsidP="00833333">
            <w:pPr>
              <w:jc w:val="center"/>
              <w:rPr>
                <w:rFonts w:ascii="Arial Narrow" w:hAnsi="Arial Narrow" w:cs="Arial"/>
                <w:b/>
                <w:color w:val="000000"/>
                <w:sz w:val="22"/>
                <w:szCs w:val="22"/>
              </w:rPr>
            </w:pPr>
          </w:p>
          <w:p w:rsidR="00D35C1C" w:rsidRPr="00870476" w:rsidRDefault="00D35C1C" w:rsidP="00833333">
            <w:pPr>
              <w:jc w:val="center"/>
              <w:rPr>
                <w:rFonts w:ascii="Arial Narrow" w:hAnsi="Arial Narrow" w:cs="Arial"/>
                <w:b/>
                <w:color w:val="000000"/>
                <w:sz w:val="22"/>
                <w:szCs w:val="22"/>
              </w:rPr>
            </w:pPr>
          </w:p>
          <w:p w:rsidR="00D35C1C" w:rsidRPr="00870476" w:rsidRDefault="00D35C1C" w:rsidP="001D5D90">
            <w:pPr>
              <w:jc w:val="center"/>
              <w:rPr>
                <w:rFonts w:ascii="Arial Narrow" w:hAnsi="Arial Narrow" w:cs="Arial"/>
                <w:color w:val="000000"/>
                <w:sz w:val="22"/>
                <w:szCs w:val="22"/>
              </w:rPr>
            </w:pPr>
            <w:r w:rsidRPr="00870476">
              <w:rPr>
                <w:rFonts w:ascii="Arial Narrow" w:hAnsi="Arial Narrow" w:cs="Arial"/>
                <w:color w:val="000000"/>
                <w:sz w:val="22"/>
                <w:szCs w:val="22"/>
              </w:rPr>
              <w:t>§ 23a</w:t>
            </w:r>
          </w:p>
          <w:p w:rsidR="00D35C1C" w:rsidRPr="00870476" w:rsidRDefault="00D35C1C" w:rsidP="001D5D90">
            <w:pPr>
              <w:jc w:val="center"/>
              <w:rPr>
                <w:rFonts w:ascii="Arial Narrow" w:hAnsi="Arial Narrow" w:cs="Arial"/>
                <w:color w:val="000000"/>
                <w:sz w:val="22"/>
                <w:szCs w:val="22"/>
              </w:rPr>
            </w:pPr>
            <w:r w:rsidRPr="00870476">
              <w:rPr>
                <w:rFonts w:ascii="Arial Narrow" w:hAnsi="Arial Narrow" w:cs="Arial"/>
                <w:color w:val="000000"/>
                <w:sz w:val="22"/>
                <w:szCs w:val="22"/>
              </w:rPr>
              <w:t xml:space="preserve">O: </w:t>
            </w:r>
            <w:r w:rsidRPr="005C7E42">
              <w:rPr>
                <w:rFonts w:ascii="Arial Narrow" w:hAnsi="Arial Narrow" w:cs="Arial"/>
                <w:color w:val="000000"/>
                <w:sz w:val="22"/>
                <w:szCs w:val="22"/>
              </w:rPr>
              <w:t>12</w:t>
            </w:r>
          </w:p>
        </w:tc>
        <w:tc>
          <w:tcPr>
            <w:tcW w:w="4678" w:type="dxa"/>
            <w:vMerge w:val="restart"/>
            <w:tcBorders>
              <w:top w:val="single" w:sz="4" w:space="0" w:color="auto"/>
              <w:left w:val="single" w:sz="4" w:space="0" w:color="auto"/>
              <w:bottom w:val="nil"/>
              <w:right w:val="single" w:sz="4" w:space="0" w:color="auto"/>
            </w:tcBorders>
          </w:tcPr>
          <w:p w:rsidR="00D35C1C" w:rsidRPr="00870476" w:rsidRDefault="00D35C1C" w:rsidP="00393CB5">
            <w:pPr>
              <w:jc w:val="both"/>
              <w:rPr>
                <w:rFonts w:ascii="Arial Narrow" w:hAnsi="Arial Narrow" w:cs="Arial"/>
                <w:sz w:val="22"/>
                <w:szCs w:val="22"/>
              </w:rPr>
            </w:pPr>
            <w:r w:rsidRPr="00870476">
              <w:rPr>
                <w:rFonts w:ascii="Arial Narrow" w:hAnsi="Arial Narrow" w:cs="Arial"/>
                <w:sz w:val="22"/>
                <w:szCs w:val="22"/>
              </w:rPr>
              <w:lastRenderedPageBreak/>
              <w:t>(1) Register je informačným systémom verejnej správy,</w:t>
            </w:r>
            <w:r w:rsidR="009A11FB">
              <w:rPr>
                <w:rFonts w:ascii="Arial Narrow" w:hAnsi="Arial Narrow" w:cs="Arial"/>
                <w:sz w:val="22"/>
                <w:szCs w:val="22"/>
              </w:rPr>
              <w:t>(</w:t>
            </w:r>
            <w:r w:rsidRPr="009A11FB">
              <w:rPr>
                <w:rFonts w:ascii="Arial Narrow" w:hAnsi="Arial Narrow" w:cs="Arial"/>
                <w:sz w:val="22"/>
                <w:szCs w:val="22"/>
              </w:rPr>
              <w:t>29d</w:t>
            </w:r>
            <w:r w:rsidRPr="00870476">
              <w:rPr>
                <w:rFonts w:ascii="Arial Narrow" w:hAnsi="Arial Narrow" w:cs="Arial"/>
                <w:sz w:val="22"/>
                <w:szCs w:val="22"/>
              </w:rPr>
              <w:t>) správcom ktorého je ministerstvo</w:t>
            </w:r>
            <w:r w:rsidR="009A11FB">
              <w:rPr>
                <w:rFonts w:ascii="Arial Narrow" w:hAnsi="Arial Narrow" w:cs="Arial"/>
                <w:sz w:val="22"/>
                <w:szCs w:val="22"/>
              </w:rPr>
              <w:t>.</w:t>
            </w:r>
            <w:r w:rsidRPr="00870476">
              <w:rPr>
                <w:rFonts w:ascii="Arial Narrow" w:hAnsi="Arial Narrow" w:cs="Arial"/>
                <w:sz w:val="22"/>
                <w:szCs w:val="22"/>
              </w:rPr>
              <w:t xml:space="preserve">  </w:t>
            </w:r>
          </w:p>
          <w:p w:rsidR="00D35C1C" w:rsidRPr="00870476" w:rsidRDefault="00D35C1C" w:rsidP="00393CB5">
            <w:pPr>
              <w:jc w:val="both"/>
              <w:rPr>
                <w:rFonts w:ascii="Arial Narrow" w:hAnsi="Arial Narrow"/>
                <w:sz w:val="22"/>
                <w:szCs w:val="22"/>
              </w:rPr>
            </w:pPr>
            <w:r w:rsidRPr="00870476">
              <w:rPr>
                <w:rFonts w:ascii="Arial Narrow" w:hAnsi="Arial Narrow"/>
                <w:sz w:val="22"/>
                <w:szCs w:val="22"/>
              </w:rPr>
              <w:t xml:space="preserve">Poznámka pod čiarou k odkazu 29d) znie: </w:t>
            </w:r>
          </w:p>
          <w:p w:rsidR="00D35C1C" w:rsidRPr="00870476" w:rsidRDefault="00D35C1C" w:rsidP="00393CB5">
            <w:pPr>
              <w:jc w:val="both"/>
              <w:rPr>
                <w:rFonts w:ascii="Arial Narrow" w:hAnsi="Arial Narrow" w:cs="Arial"/>
                <w:sz w:val="22"/>
                <w:szCs w:val="22"/>
              </w:rPr>
            </w:pPr>
            <w:r w:rsidRPr="00870476">
              <w:rPr>
                <w:rFonts w:ascii="Arial Narrow" w:hAnsi="Arial Narrow"/>
                <w:sz w:val="22"/>
                <w:szCs w:val="22"/>
              </w:rPr>
              <w:t>29d) Zákon č. 95/2019 Z. z. o informačných technológiách vo verejnej správe a o zmene a doplnení niektorých zákonov v znení neskorších predpisov.</w:t>
            </w:r>
          </w:p>
          <w:p w:rsidR="00D35C1C" w:rsidRPr="00870476" w:rsidRDefault="00D35C1C" w:rsidP="00393CB5">
            <w:pPr>
              <w:jc w:val="both"/>
              <w:rPr>
                <w:rFonts w:ascii="Arial Narrow" w:hAnsi="Arial Narrow" w:cs="Arial"/>
                <w:sz w:val="22"/>
                <w:szCs w:val="22"/>
              </w:rPr>
            </w:pPr>
          </w:p>
          <w:p w:rsidR="00D35C1C" w:rsidRPr="00870476" w:rsidRDefault="00D35C1C" w:rsidP="00393CB5">
            <w:pPr>
              <w:jc w:val="both"/>
              <w:rPr>
                <w:rFonts w:ascii="Arial Narrow" w:hAnsi="Arial Narrow" w:cs="Arial"/>
                <w:sz w:val="22"/>
                <w:szCs w:val="22"/>
              </w:rPr>
            </w:pPr>
            <w:r w:rsidRPr="00870476">
              <w:rPr>
                <w:rFonts w:ascii="Arial Narrow" w:hAnsi="Arial Narrow" w:cs="Arial"/>
                <w:sz w:val="22"/>
                <w:szCs w:val="22"/>
              </w:rPr>
              <w:t>(2) Do registra sa ukladajú</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riadne individuálne účtovné závierky,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mimoriadne individuálne účtovné závierky,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riadne konsolidované účtovné závierky,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mimoriadne konsolidované účtovné závierky,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súhrnné účtovné závierky verejnej správy,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výkazy vybraných údajov z účtovných závierok podľa § 17a a 22,</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správy audítorov,</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individuálne výročné správy,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konsolidované výročné správy,</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 xml:space="preserve"> ročné finančné správy podľa osobitného predpisu.</w:t>
            </w:r>
            <w:r w:rsidRPr="00870476">
              <w:rPr>
                <w:rFonts w:ascii="Arial Narrow" w:hAnsi="Arial Narrow" w:cs="Arial"/>
                <w:sz w:val="22"/>
                <w:szCs w:val="22"/>
                <w:vertAlign w:val="superscript"/>
              </w:rPr>
              <w:t>29da</w:t>
            </w:r>
            <w:r w:rsidRPr="00870476">
              <w:rPr>
                <w:rFonts w:ascii="Arial Narrow" w:hAnsi="Arial Narrow" w:cs="Arial"/>
                <w:sz w:val="22"/>
                <w:szCs w:val="22"/>
              </w:rPr>
              <w:t xml:space="preserve">) </w:t>
            </w:r>
          </w:p>
          <w:p w:rsidR="00D35C1C" w:rsidRPr="00870476" w:rsidRDefault="00D35C1C" w:rsidP="00393CB5">
            <w:pPr>
              <w:numPr>
                <w:ilvl w:val="0"/>
                <w:numId w:val="30"/>
              </w:numPr>
              <w:ind w:left="524" w:hanging="283"/>
              <w:jc w:val="both"/>
              <w:rPr>
                <w:rFonts w:ascii="Arial Narrow" w:hAnsi="Arial Narrow" w:cs="Arial"/>
                <w:sz w:val="22"/>
                <w:szCs w:val="22"/>
              </w:rPr>
            </w:pPr>
            <w:r w:rsidRPr="00870476">
              <w:rPr>
                <w:rFonts w:ascii="Arial Narrow" w:hAnsi="Arial Narrow" w:cs="Arial"/>
                <w:sz w:val="22"/>
                <w:szCs w:val="22"/>
              </w:rPr>
              <w:t>oznámenie o dátume schválenia účtovnej závierky,</w:t>
            </w:r>
          </w:p>
          <w:p w:rsidR="00D35C1C" w:rsidRDefault="00D35C1C" w:rsidP="00393CB5">
            <w:pPr>
              <w:numPr>
                <w:ilvl w:val="0"/>
                <w:numId w:val="30"/>
              </w:numPr>
              <w:ind w:left="524" w:hanging="283"/>
              <w:jc w:val="both"/>
              <w:rPr>
                <w:rFonts w:ascii="Arial Narrow" w:hAnsi="Arial Narrow" w:cs="Arial"/>
                <w:b/>
                <w:sz w:val="22"/>
                <w:szCs w:val="22"/>
              </w:rPr>
            </w:pPr>
            <w:r w:rsidRPr="00870476">
              <w:rPr>
                <w:rFonts w:ascii="Arial Narrow" w:hAnsi="Arial Narrow" w:cs="Arial"/>
                <w:b/>
                <w:sz w:val="22"/>
                <w:szCs w:val="22"/>
              </w:rPr>
              <w:t>správy s informáciami o dani z príjmov.</w:t>
            </w:r>
          </w:p>
          <w:p w:rsidR="00194F22" w:rsidRPr="00870476" w:rsidRDefault="00194F22" w:rsidP="00194F22">
            <w:pPr>
              <w:ind w:left="524"/>
              <w:jc w:val="both"/>
              <w:rPr>
                <w:rFonts w:ascii="Arial Narrow" w:hAnsi="Arial Narrow" w:cs="Arial"/>
                <w:b/>
                <w:sz w:val="22"/>
                <w:szCs w:val="22"/>
              </w:rPr>
            </w:pPr>
          </w:p>
          <w:p w:rsidR="00D35C1C" w:rsidRPr="00870476" w:rsidRDefault="00D35C1C" w:rsidP="00393CB5">
            <w:pPr>
              <w:jc w:val="both"/>
              <w:rPr>
                <w:rFonts w:ascii="Arial Narrow" w:hAnsi="Arial Narrow"/>
                <w:sz w:val="22"/>
                <w:szCs w:val="22"/>
              </w:rPr>
            </w:pPr>
            <w:r w:rsidRPr="00870476">
              <w:rPr>
                <w:rFonts w:ascii="Arial Narrow" w:hAnsi="Arial Narrow"/>
                <w:sz w:val="22"/>
                <w:szCs w:val="22"/>
              </w:rPr>
              <w:t>29da) § 34 zákona č. 429/2002 Z. z. v znení neskorších predpisov.</w:t>
            </w:r>
          </w:p>
          <w:p w:rsidR="00D35C1C" w:rsidRPr="00870476" w:rsidRDefault="00D35C1C" w:rsidP="00393CB5">
            <w:pPr>
              <w:jc w:val="both"/>
              <w:rPr>
                <w:rFonts w:ascii="Arial Narrow" w:hAnsi="Arial Narrow" w:cs="Arial"/>
                <w:sz w:val="22"/>
                <w:szCs w:val="22"/>
              </w:rPr>
            </w:pPr>
          </w:p>
          <w:p w:rsidR="00D35C1C" w:rsidRPr="00870476" w:rsidRDefault="00D35C1C" w:rsidP="00393CB5">
            <w:pPr>
              <w:jc w:val="both"/>
              <w:rPr>
                <w:rFonts w:ascii="Arial Narrow" w:hAnsi="Arial Narrow" w:cs="Arial"/>
                <w:sz w:val="22"/>
                <w:szCs w:val="22"/>
              </w:rPr>
            </w:pPr>
            <w:r w:rsidRPr="00870476">
              <w:rPr>
                <w:rFonts w:ascii="Arial Narrow" w:hAnsi="Arial Narrow" w:cs="Arial"/>
                <w:sz w:val="22"/>
                <w:szCs w:val="22"/>
              </w:rPr>
              <w:t>(6) Register sa člení na verejnú časť a neverejnú časť. Neverejnú časť registra tvoria dokumenty podľa odseku 2</w:t>
            </w:r>
          </w:p>
          <w:p w:rsidR="00D35C1C" w:rsidRPr="00870476" w:rsidRDefault="00D35C1C" w:rsidP="00393CB5">
            <w:pPr>
              <w:jc w:val="both"/>
              <w:rPr>
                <w:rFonts w:ascii="Arial Narrow" w:hAnsi="Arial Narrow" w:cs="Arial"/>
                <w:sz w:val="22"/>
                <w:szCs w:val="22"/>
              </w:rPr>
            </w:pPr>
            <w:r w:rsidRPr="00870476">
              <w:rPr>
                <w:rFonts w:ascii="Arial Narrow" w:hAnsi="Arial Narrow" w:cs="Arial"/>
                <w:sz w:val="22"/>
                <w:szCs w:val="22"/>
              </w:rPr>
              <w:lastRenderedPageBreak/>
              <w:t>a)</w:t>
            </w:r>
            <w:r w:rsidRPr="00870476">
              <w:rPr>
                <w:rFonts w:ascii="Arial Narrow" w:hAnsi="Arial Narrow" w:cs="Arial"/>
                <w:sz w:val="22"/>
                <w:szCs w:val="22"/>
              </w:rPr>
              <w:tab/>
              <w:t>účtovnej jednotky uvedenej v § 17a ods. 1 písm. b) a pobočky zahraničnej finančnej inštitúcie29db),</w:t>
            </w:r>
          </w:p>
          <w:p w:rsidR="00D35C1C" w:rsidRPr="00870476" w:rsidRDefault="00D35C1C" w:rsidP="00393CB5">
            <w:pPr>
              <w:jc w:val="both"/>
              <w:rPr>
                <w:rFonts w:ascii="Arial Narrow" w:hAnsi="Arial Narrow" w:cs="Arial"/>
                <w:b/>
                <w:sz w:val="22"/>
                <w:szCs w:val="22"/>
              </w:rPr>
            </w:pPr>
            <w:r w:rsidRPr="00870476">
              <w:rPr>
                <w:rFonts w:ascii="Arial Narrow" w:hAnsi="Arial Narrow" w:cs="Arial"/>
                <w:sz w:val="22"/>
                <w:szCs w:val="22"/>
              </w:rPr>
              <w:t>b)</w:t>
            </w:r>
            <w:r w:rsidRPr="00870476">
              <w:rPr>
                <w:rFonts w:ascii="Arial Narrow" w:hAnsi="Arial Narrow" w:cs="Arial"/>
                <w:sz w:val="22"/>
                <w:szCs w:val="22"/>
              </w:rPr>
              <w:tab/>
              <w:t>fyzickej osoby, ktorá je účtovnou jednotkou.</w:t>
            </w:r>
          </w:p>
          <w:p w:rsidR="00D35C1C" w:rsidRPr="00870476" w:rsidRDefault="00D35C1C" w:rsidP="00393CB5">
            <w:pPr>
              <w:jc w:val="both"/>
              <w:rPr>
                <w:rFonts w:ascii="Arial Narrow" w:hAnsi="Arial Narrow" w:cs="Arial"/>
                <w:b/>
                <w:sz w:val="22"/>
                <w:szCs w:val="22"/>
              </w:rPr>
            </w:pPr>
            <w:r w:rsidRPr="00870476">
              <w:rPr>
                <w:rFonts w:ascii="Arial Narrow" w:hAnsi="Arial Narrow" w:cs="Arial"/>
                <w:sz w:val="22"/>
                <w:szCs w:val="22"/>
              </w:rPr>
              <w:t>29db) § 5 písm. ab) zákona č. 483/2001 Z. z. v znení zákona č. 213/2014 Z. z.</w:t>
            </w:r>
          </w:p>
          <w:p w:rsidR="00680864" w:rsidRPr="00870476" w:rsidRDefault="00680864" w:rsidP="00393CB5">
            <w:pPr>
              <w:jc w:val="both"/>
              <w:rPr>
                <w:rFonts w:ascii="Arial Narrow" w:hAnsi="Arial Narrow" w:cs="Arial"/>
                <w:sz w:val="22"/>
                <w:szCs w:val="22"/>
              </w:rPr>
            </w:pPr>
          </w:p>
          <w:p w:rsidR="00D35C1C" w:rsidRDefault="00D35C1C" w:rsidP="00393CB5">
            <w:pPr>
              <w:jc w:val="both"/>
              <w:rPr>
                <w:rFonts w:ascii="Arial Narrow" w:hAnsi="Arial Narrow" w:cs="Arial"/>
                <w:sz w:val="22"/>
                <w:szCs w:val="22"/>
              </w:rPr>
            </w:pPr>
            <w:r w:rsidRPr="00870476">
              <w:rPr>
                <w:rFonts w:ascii="Arial Narrow" w:hAnsi="Arial Narrow" w:cs="Arial"/>
                <w:sz w:val="22"/>
                <w:szCs w:val="22"/>
              </w:rPr>
              <w:t xml:space="preserve">Účtovná jednotka ukladá riadnu individuálnu účtovnú závierku a mimoriadnu individuálnu účtovnú závierku v registri najneskôr do šiestich mesiacov od dátumu, ku ktorému sa účtovná závierka zostavuje, ak </w:t>
            </w:r>
            <w:r w:rsidRPr="00870476">
              <w:rPr>
                <w:rFonts w:ascii="Arial Narrow" w:hAnsi="Arial Narrow" w:cs="Arial"/>
                <w:b/>
                <w:sz w:val="22"/>
                <w:szCs w:val="22"/>
              </w:rPr>
              <w:t>§ 22a ods. 3 alebo</w:t>
            </w:r>
            <w:r w:rsidRPr="00870476">
              <w:rPr>
                <w:rFonts w:ascii="Arial Narrow" w:hAnsi="Arial Narrow" w:cs="Arial"/>
                <w:sz w:val="22"/>
                <w:szCs w:val="22"/>
              </w:rPr>
              <w:t xml:space="preserve">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Dokumenty podľa § 23 ods. 2 ukladá do registra za zanikajúcu účtovnú jednotku nástupnícka účtovná jednotka; do dňa účinkov splynutia, zlúčenia alebo rozdelenia ich môže uložiť zanikajúca účtovná jednotka.</w:t>
            </w:r>
          </w:p>
          <w:p w:rsidR="00194F22" w:rsidRPr="00870476" w:rsidRDefault="00194F22" w:rsidP="00393CB5">
            <w:pPr>
              <w:jc w:val="both"/>
              <w:rPr>
                <w:rFonts w:ascii="Arial Narrow" w:hAnsi="Arial Narrow" w:cs="Arial"/>
                <w:sz w:val="22"/>
                <w:szCs w:val="22"/>
              </w:rPr>
            </w:pPr>
          </w:p>
          <w:p w:rsidR="00D35C1C" w:rsidRDefault="00D35C1C" w:rsidP="00455D49">
            <w:pPr>
              <w:jc w:val="both"/>
              <w:rPr>
                <w:rFonts w:ascii="Arial Narrow" w:hAnsi="Arial Narrow" w:cs="Arial"/>
                <w:sz w:val="22"/>
                <w:szCs w:val="22"/>
              </w:rPr>
            </w:pPr>
            <w:r w:rsidRPr="00870476">
              <w:rPr>
                <w:rFonts w:ascii="Arial Narrow" w:hAnsi="Arial Narrow" w:cs="Arial"/>
                <w:sz w:val="22"/>
                <w:szCs w:val="22"/>
              </w:rPr>
              <w:t>29i) Napríklad § 24 ods. 3 zákona č. 147/1997 Z. z., § 33 ods. 4 zákona č. 213/1997 Z. z., zákon č. 595/2003 Z. z. v znení neskorších predpisov.</w:t>
            </w:r>
          </w:p>
          <w:p w:rsidR="00194F22" w:rsidRPr="00870476" w:rsidRDefault="00194F22" w:rsidP="00455D49">
            <w:pPr>
              <w:jc w:val="both"/>
              <w:rPr>
                <w:rFonts w:ascii="Arial Narrow" w:hAnsi="Arial Narrow" w:cs="Arial"/>
                <w:sz w:val="22"/>
                <w:szCs w:val="22"/>
              </w:rPr>
            </w:pPr>
          </w:p>
          <w:p w:rsidR="00D35C1C" w:rsidRPr="00870476" w:rsidRDefault="00D35C1C" w:rsidP="00455D49">
            <w:pPr>
              <w:jc w:val="both"/>
              <w:rPr>
                <w:rFonts w:ascii="Arial Narrow" w:hAnsi="Arial Narrow" w:cs="Arial"/>
                <w:sz w:val="22"/>
                <w:szCs w:val="22"/>
              </w:rPr>
            </w:pPr>
            <w:r w:rsidRPr="00870476">
              <w:rPr>
                <w:rFonts w:ascii="Arial Narrow" w:hAnsi="Arial Narrow" w:cs="Arial"/>
                <w:sz w:val="22"/>
                <w:szCs w:val="22"/>
              </w:rPr>
              <w:t>Účtovná jednotka je zodpovedná za správnosť uložených dokumentov podľa § 23 ods. 2</w:t>
            </w:r>
            <w:r w:rsidRPr="00870476">
              <w:rPr>
                <w:rFonts w:ascii="Arial Narrow" w:hAnsi="Arial Narrow" w:cs="Arial"/>
                <w:b/>
                <w:sz w:val="22"/>
                <w:szCs w:val="22"/>
              </w:rPr>
              <w:t>,</w:t>
            </w:r>
            <w:r w:rsidRPr="00870476">
              <w:rPr>
                <w:rFonts w:ascii="Arial Narrow" w:hAnsi="Arial Narrow" w:cs="Arial"/>
                <w:sz w:val="22"/>
                <w:szCs w:val="22"/>
              </w:rPr>
              <w:t xml:space="preserve"> </w:t>
            </w:r>
            <w:r w:rsidRPr="00870476">
              <w:rPr>
                <w:rFonts w:ascii="Arial Narrow" w:hAnsi="Arial Narrow" w:cs="Arial"/>
                <w:b/>
                <w:sz w:val="22"/>
                <w:szCs w:val="22"/>
              </w:rPr>
              <w:t>ak § 21f neustanovuje inak.</w:t>
            </w:r>
            <w:r w:rsidRPr="00870476">
              <w:rPr>
                <w:rFonts w:ascii="Arial Narrow" w:hAnsi="Arial Narrow" w:cs="Arial"/>
                <w:sz w:val="22"/>
                <w:szCs w:val="22"/>
              </w:rPr>
              <w:t xml:space="preserve"> Účtovná jednotka, na ktorú sa vzťahuje povinnosť overovania podľa § 19 alebo § 22, nesmie zverejniť informácie, ktoré predtým neboli overené audítorom, spôsobom, ktorý by mohol používateľa uviesť do omylu, že audítorom overené boli.</w:t>
            </w:r>
          </w:p>
          <w:p w:rsidR="00D35C1C" w:rsidRPr="00870476" w:rsidRDefault="00D35C1C" w:rsidP="00455D49">
            <w:pPr>
              <w:jc w:val="both"/>
              <w:rPr>
                <w:rFonts w:ascii="Arial Narrow" w:hAnsi="Arial Narrow" w:cs="Arial"/>
                <w:sz w:val="22"/>
                <w:szCs w:val="22"/>
              </w:rPr>
            </w:pPr>
          </w:p>
          <w:p w:rsidR="00D35C1C" w:rsidRDefault="00D35C1C" w:rsidP="001D5D90">
            <w:pPr>
              <w:jc w:val="both"/>
              <w:rPr>
                <w:rFonts w:ascii="Arial Narrow" w:hAnsi="Arial Narrow" w:cs="Arial"/>
                <w:sz w:val="22"/>
                <w:szCs w:val="22"/>
              </w:rPr>
            </w:pPr>
            <w:r w:rsidRPr="00870476">
              <w:rPr>
                <w:rFonts w:ascii="Arial Narrow" w:hAnsi="Arial Narrow" w:cs="Arial"/>
                <w:sz w:val="22"/>
                <w:szCs w:val="22"/>
              </w:rPr>
              <w:t xml:space="preserve">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w:t>
            </w:r>
            <w:r w:rsidRPr="00870476">
              <w:rPr>
                <w:rFonts w:ascii="Arial Narrow" w:hAnsi="Arial Narrow" w:cs="Arial"/>
                <w:sz w:val="22"/>
                <w:szCs w:val="22"/>
              </w:rPr>
              <w:lastRenderedPageBreak/>
              <w:t>alebo družstva z obchodného registra, ktorý bol oprávnený konať za obchodnú spoločnosť alebo družstvo v rozsahu zapísanom v obchodnom registri pred výmazom obchodnej spoločnosti alebo družstva z obchodného registra.</w:t>
            </w:r>
          </w:p>
          <w:p w:rsidR="00DE3FD4" w:rsidRDefault="00DE3FD4" w:rsidP="001D5D90">
            <w:pPr>
              <w:jc w:val="both"/>
              <w:rPr>
                <w:rFonts w:ascii="Arial Narrow" w:hAnsi="Arial Narrow" w:cs="Arial"/>
                <w:sz w:val="22"/>
                <w:szCs w:val="22"/>
              </w:rPr>
            </w:pPr>
          </w:p>
          <w:p w:rsidR="0012541D" w:rsidRDefault="00D35C1C" w:rsidP="0012541D">
            <w:pPr>
              <w:jc w:val="both"/>
            </w:pPr>
            <w:r w:rsidRPr="00870476">
              <w:rPr>
                <w:rFonts w:ascii="Arial Narrow" w:hAnsi="Arial Narrow" w:cs="Arial"/>
                <w:b/>
                <w:sz w:val="22"/>
                <w:szCs w:val="22"/>
              </w:rPr>
              <w:t>Účtovná jednotka, na ktorú sa vzťahuje povinnosť uloženia  správy s informáciami o dani z príjmov podľa § 21a až 21c</w:t>
            </w:r>
            <w:r w:rsidR="00DE3FD4">
              <w:rPr>
                <w:rFonts w:ascii="Arial Narrow" w:hAnsi="Arial Narrow" w:cs="Arial"/>
                <w:b/>
                <w:sz w:val="22"/>
                <w:szCs w:val="22"/>
              </w:rPr>
              <w:t xml:space="preserve"> do registra</w:t>
            </w:r>
            <w:r w:rsidRPr="00870476">
              <w:rPr>
                <w:rFonts w:ascii="Arial Narrow" w:hAnsi="Arial Narrow" w:cs="Arial"/>
                <w:b/>
                <w:sz w:val="22"/>
                <w:szCs w:val="22"/>
              </w:rPr>
              <w:t xml:space="preserve">,  je povinná ju uložiť v registri </w:t>
            </w:r>
            <w:r w:rsidR="0012541D" w:rsidRPr="0012541D">
              <w:rPr>
                <w:rFonts w:ascii="Arial Narrow" w:hAnsi="Arial Narrow" w:cs="Arial"/>
                <w:b/>
                <w:sz w:val="22"/>
                <w:szCs w:val="22"/>
              </w:rPr>
              <w:t>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r w:rsidR="0012541D">
              <w:t xml:space="preserve"> </w:t>
            </w:r>
          </w:p>
          <w:p w:rsidR="00DE3FD4" w:rsidRDefault="00DE3FD4" w:rsidP="0012541D">
            <w:pPr>
              <w:jc w:val="both"/>
            </w:pPr>
          </w:p>
          <w:p w:rsidR="00D35C1C" w:rsidRPr="00870476" w:rsidRDefault="00D35C1C" w:rsidP="0012541D">
            <w:pPr>
              <w:jc w:val="both"/>
              <w:rPr>
                <w:rFonts w:ascii="Arial Narrow" w:hAnsi="Arial Narrow" w:cs="Arial"/>
                <w:sz w:val="22"/>
                <w:szCs w:val="22"/>
              </w:rPr>
            </w:pPr>
            <w:r w:rsidRPr="00870476">
              <w:rPr>
                <w:rFonts w:ascii="Arial Narrow" w:hAnsi="Arial Narrow" w:cs="Arial"/>
                <w:sz w:val="22"/>
                <w:szCs w:val="22"/>
              </w:rPr>
              <w:t>V prípade, ak dokument doručený účtovnou jednotkou obsahuje osobné údaje, prevádzkovateľ registra je oprávnený ich spracúvať v súlade s § 23b ods. 3.</w:t>
            </w:r>
          </w:p>
        </w:tc>
        <w:tc>
          <w:tcPr>
            <w:tcW w:w="709" w:type="dxa"/>
            <w:vMerge w:val="restart"/>
            <w:tcBorders>
              <w:top w:val="single" w:sz="4" w:space="0" w:color="auto"/>
              <w:left w:val="single" w:sz="4" w:space="0" w:color="auto"/>
              <w:bottom w:val="nil"/>
              <w:right w:val="single" w:sz="4" w:space="0" w:color="auto"/>
            </w:tcBorders>
          </w:tcPr>
          <w:p w:rsidR="00D35C1C" w:rsidRPr="00870476" w:rsidRDefault="00D35C1C" w:rsidP="00393CB5">
            <w:pPr>
              <w:adjustRightInd w:val="0"/>
              <w:rPr>
                <w:rFonts w:ascii="Arial Narrow" w:hAnsi="Arial Narrow"/>
                <w:color w:val="000000"/>
                <w:sz w:val="22"/>
                <w:szCs w:val="22"/>
              </w:rPr>
            </w:pPr>
            <w:r w:rsidRPr="00870476">
              <w:rPr>
                <w:rFonts w:ascii="Arial Narrow" w:hAnsi="Arial Narrow"/>
                <w:color w:val="000000"/>
                <w:sz w:val="22"/>
                <w:szCs w:val="22"/>
              </w:rPr>
              <w:lastRenderedPageBreak/>
              <w:t>Ú</w:t>
            </w: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p>
          <w:p w:rsidR="00680864" w:rsidRPr="00870476" w:rsidRDefault="00680864" w:rsidP="00393CB5">
            <w:pPr>
              <w:adjustRightInd w:val="0"/>
              <w:rPr>
                <w:rFonts w:ascii="Arial Narrow" w:hAnsi="Arial Narrow"/>
                <w:color w:val="000000"/>
                <w:sz w:val="22"/>
                <w:szCs w:val="22"/>
              </w:rPr>
            </w:pPr>
            <w:r w:rsidRPr="00870476">
              <w:rPr>
                <w:rFonts w:ascii="Arial Narrow" w:hAnsi="Arial Narrow"/>
                <w:color w:val="000000"/>
                <w:sz w:val="22"/>
                <w:szCs w:val="22"/>
              </w:rPr>
              <w:t>Ú</w:t>
            </w:r>
          </w:p>
        </w:tc>
        <w:tc>
          <w:tcPr>
            <w:tcW w:w="934" w:type="dxa"/>
            <w:vMerge w:val="restart"/>
            <w:tcBorders>
              <w:top w:val="single" w:sz="4" w:space="0" w:color="auto"/>
              <w:left w:val="single" w:sz="4" w:space="0" w:color="auto"/>
              <w:bottom w:val="nil"/>
              <w:right w:val="single" w:sz="12" w:space="0" w:color="auto"/>
            </w:tcBorders>
          </w:tcPr>
          <w:p w:rsidR="00D35C1C" w:rsidRPr="00870476" w:rsidRDefault="00D35C1C" w:rsidP="00393CB5">
            <w:pPr>
              <w:spacing w:before="75" w:after="75"/>
              <w:rPr>
                <w:rFonts w:ascii="Arial Narrow" w:hAnsi="Arial Narrow" w:cs="Arial"/>
                <w:sz w:val="22"/>
                <w:szCs w:val="22"/>
              </w:rPr>
            </w:pPr>
          </w:p>
          <w:p w:rsidR="00D35C1C" w:rsidRPr="00870476" w:rsidRDefault="00D35C1C" w:rsidP="00393CB5">
            <w:pPr>
              <w:spacing w:before="75" w:after="75"/>
              <w:rPr>
                <w:rFonts w:ascii="Arial Narrow" w:hAnsi="Arial Narrow" w:cs="Arial"/>
                <w:sz w:val="22"/>
                <w:szCs w:val="22"/>
              </w:rPr>
            </w:pPr>
          </w:p>
        </w:tc>
      </w:tr>
      <w:tr w:rsidR="00D35C1C" w:rsidRPr="00870476" w:rsidTr="000F6E14">
        <w:tc>
          <w:tcPr>
            <w:tcW w:w="682" w:type="dxa"/>
            <w:tcBorders>
              <w:top w:val="single" w:sz="4" w:space="0" w:color="auto"/>
              <w:left w:val="single" w:sz="12" w:space="0" w:color="auto"/>
              <w:right w:val="single" w:sz="4" w:space="0" w:color="auto"/>
            </w:tcBorders>
          </w:tcPr>
          <w:p w:rsidR="00D35C1C" w:rsidRPr="00870476" w:rsidRDefault="00D35C1C"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Č: 30</w:t>
            </w:r>
          </w:p>
          <w:p w:rsidR="00D35C1C" w:rsidRPr="00870476" w:rsidRDefault="00D35C1C"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O:2</w:t>
            </w:r>
          </w:p>
          <w:p w:rsidR="00D35C1C" w:rsidRPr="00870476" w:rsidRDefault="00D35C1C" w:rsidP="00393CB5">
            <w:pPr>
              <w:spacing w:line="276" w:lineRule="auto"/>
              <w:jc w:val="center"/>
              <w:rPr>
                <w:rFonts w:ascii="Arial Narrow" w:hAnsi="Arial Narrow" w:cs="Arial"/>
                <w:b/>
                <w:color w:val="000000"/>
                <w:sz w:val="22"/>
                <w:szCs w:val="22"/>
              </w:rPr>
            </w:pPr>
            <w:r w:rsidRPr="00870476">
              <w:rPr>
                <w:rFonts w:ascii="Arial Narrow" w:hAnsi="Arial Narrow" w:cs="Arial"/>
                <w:color w:val="000000"/>
                <w:sz w:val="22"/>
                <w:szCs w:val="22"/>
              </w:rPr>
              <w:t>P:a</w:t>
            </w:r>
          </w:p>
        </w:tc>
        <w:tc>
          <w:tcPr>
            <w:tcW w:w="6604" w:type="dxa"/>
            <w:tcBorders>
              <w:top w:val="single" w:sz="4" w:space="0" w:color="auto"/>
              <w:left w:val="single" w:sz="4" w:space="0" w:color="auto"/>
              <w:right w:val="single" w:sz="4" w:space="0" w:color="auto"/>
            </w:tcBorders>
          </w:tcPr>
          <w:p w:rsidR="00D35C1C" w:rsidRPr="00870476" w:rsidRDefault="00D35C1C" w:rsidP="00393CB5">
            <w:pPr>
              <w:spacing w:before="75" w:after="75"/>
              <w:rPr>
                <w:rFonts w:ascii="Arial Narrow" w:hAnsi="Arial Narrow" w:cs="Arial"/>
                <w:sz w:val="22"/>
                <w:szCs w:val="22"/>
              </w:rPr>
            </w:pPr>
            <w:r w:rsidRPr="00870476">
              <w:rPr>
                <w:rFonts w:ascii="Arial Narrow" w:hAnsi="Arial Narrow" w:cs="Arial"/>
                <w:sz w:val="22"/>
                <w:szCs w:val="22"/>
              </w:rPr>
              <w:t>Členské štáty môžu podnik uvedený v prílohe II, na ktorý sa vzhľadom na článok 1 ods. 1 písm. b) vzťahujú koordinačné opatrenia ustanovené touto smernicou, oslobodiť od povinnosti uverejňovať jeho účtovnú závierku v súlade s článkom 3 smernice 2009/101/ES pod podmienkou, že je táto účtovná závierka k dispozícii verejnosti v jeho ústredí, a to v týchto prípadoch:</w:t>
            </w:r>
          </w:p>
          <w:p w:rsidR="00D35C1C" w:rsidRPr="00870476" w:rsidRDefault="00D35C1C" w:rsidP="00393CB5">
            <w:pPr>
              <w:spacing w:before="75" w:after="75"/>
              <w:rPr>
                <w:rFonts w:ascii="Arial Narrow" w:hAnsi="Arial Narrow" w:cs="Arial"/>
                <w:sz w:val="22"/>
                <w:szCs w:val="22"/>
              </w:rPr>
            </w:pPr>
            <w:r w:rsidRPr="00870476">
              <w:rPr>
                <w:rFonts w:ascii="Arial Narrow" w:hAnsi="Arial Narrow" w:cs="Arial"/>
                <w:sz w:val="22"/>
                <w:szCs w:val="22"/>
              </w:rPr>
              <w:t>a) všetci spoločníci dotknutého podniku, ktorí ručia neobmedzene, sú podnikmi uvedenými v prílohe I, na ktoré sa vzťahujú právne predpisy iných členských štátov, ako je členský štát, ktorého právo sa vzťahuje na dotknutý podnik, a žiadny z týchto podnikov neuverejňuje účtovnú závierku dotknutého podniku spolu so svojou vlastnou účtovnou závierkou;</w:t>
            </w:r>
          </w:p>
        </w:tc>
        <w:tc>
          <w:tcPr>
            <w:tcW w:w="767" w:type="dxa"/>
            <w:vMerge/>
            <w:tcBorders>
              <w:left w:val="single" w:sz="4" w:space="0" w:color="auto"/>
              <w:right w:val="single" w:sz="12" w:space="0" w:color="auto"/>
            </w:tcBorders>
          </w:tcPr>
          <w:p w:rsidR="00D35C1C" w:rsidRPr="00870476" w:rsidRDefault="00D35C1C" w:rsidP="00393CB5">
            <w:pPr>
              <w:adjustRightInd w:val="0"/>
              <w:rPr>
                <w:rFonts w:ascii="Arial Narrow" w:hAnsi="Arial Narrow"/>
                <w:color w:val="000000"/>
                <w:sz w:val="22"/>
                <w:szCs w:val="22"/>
              </w:rPr>
            </w:pPr>
          </w:p>
        </w:tc>
        <w:tc>
          <w:tcPr>
            <w:tcW w:w="851" w:type="dxa"/>
            <w:vMerge/>
            <w:tcBorders>
              <w:left w:val="nil"/>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850"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4678"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934" w:type="dxa"/>
            <w:vMerge/>
            <w:tcBorders>
              <w:left w:val="single" w:sz="4" w:space="0" w:color="auto"/>
              <w:right w:val="single" w:sz="12" w:space="0" w:color="auto"/>
            </w:tcBorders>
          </w:tcPr>
          <w:p w:rsidR="00D35C1C" w:rsidRPr="00870476" w:rsidRDefault="00D35C1C" w:rsidP="00393CB5">
            <w:pPr>
              <w:spacing w:before="75" w:after="75"/>
              <w:rPr>
                <w:rFonts w:ascii="Arial Narrow" w:hAnsi="Arial Narrow" w:cs="Arial"/>
                <w:sz w:val="22"/>
                <w:szCs w:val="22"/>
              </w:rPr>
            </w:pPr>
          </w:p>
        </w:tc>
      </w:tr>
      <w:tr w:rsidR="00D35C1C" w:rsidRPr="00870476" w:rsidTr="000F6E14">
        <w:tc>
          <w:tcPr>
            <w:tcW w:w="682" w:type="dxa"/>
            <w:tcBorders>
              <w:top w:val="single" w:sz="4" w:space="0" w:color="auto"/>
              <w:left w:val="single" w:sz="12" w:space="0" w:color="auto"/>
              <w:right w:val="single" w:sz="4" w:space="0" w:color="auto"/>
            </w:tcBorders>
          </w:tcPr>
          <w:p w:rsidR="00D35C1C" w:rsidRPr="00870476" w:rsidRDefault="00D35C1C"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P:b</w:t>
            </w:r>
          </w:p>
        </w:tc>
        <w:tc>
          <w:tcPr>
            <w:tcW w:w="6604" w:type="dxa"/>
            <w:tcBorders>
              <w:top w:val="single" w:sz="4" w:space="0" w:color="auto"/>
              <w:left w:val="single" w:sz="4" w:space="0" w:color="auto"/>
              <w:right w:val="single" w:sz="4" w:space="0" w:color="auto"/>
            </w:tcBorders>
          </w:tcPr>
          <w:p w:rsidR="00D35C1C" w:rsidRPr="00870476" w:rsidRDefault="00D35C1C" w:rsidP="00393CB5">
            <w:pPr>
              <w:spacing w:before="75" w:after="75"/>
              <w:rPr>
                <w:rFonts w:ascii="Arial Narrow" w:hAnsi="Arial Narrow" w:cs="EUAlbertina"/>
                <w:color w:val="000000"/>
                <w:sz w:val="22"/>
                <w:szCs w:val="22"/>
              </w:rPr>
            </w:pPr>
            <w:r w:rsidRPr="00870476">
              <w:rPr>
                <w:rFonts w:ascii="Arial Narrow" w:hAnsi="Arial Narrow" w:cs="EUAlbertina"/>
                <w:color w:val="000000"/>
                <w:sz w:val="22"/>
                <w:szCs w:val="22"/>
              </w:rPr>
              <w:t xml:space="preserve">všetci </w:t>
            </w:r>
            <w:r w:rsidRPr="00870476">
              <w:rPr>
                <w:rFonts w:ascii="Arial Narrow" w:hAnsi="Arial Narrow" w:cs="Arial"/>
                <w:sz w:val="22"/>
                <w:szCs w:val="22"/>
              </w:rPr>
              <w:t>spoločníci</w:t>
            </w:r>
            <w:r w:rsidRPr="00870476">
              <w:rPr>
                <w:rFonts w:ascii="Arial Narrow" w:hAnsi="Arial Narrow" w:cs="EUAlbertina"/>
                <w:color w:val="000000"/>
                <w:sz w:val="22"/>
                <w:szCs w:val="22"/>
              </w:rPr>
              <w:t xml:space="preserve"> dotknutého podniku, ktorí ručia neobmedzene, sú podnikmi, na ktoré sa nevzťahujú právne predpisy členského štátu, ale majú právnu formu porovnateľnú s právnymi formami </w:t>
            </w:r>
            <w:r w:rsidRPr="00870476">
              <w:rPr>
                <w:rFonts w:ascii="Arial Narrow" w:hAnsi="Arial Narrow" w:cs="Arial"/>
                <w:sz w:val="22"/>
                <w:szCs w:val="22"/>
              </w:rPr>
              <w:t>uvedenými</w:t>
            </w:r>
            <w:r w:rsidRPr="00870476">
              <w:rPr>
                <w:rFonts w:ascii="Arial Narrow" w:hAnsi="Arial Narrow" w:cs="EUAlbertina"/>
                <w:color w:val="000000"/>
                <w:sz w:val="22"/>
                <w:szCs w:val="22"/>
              </w:rPr>
              <w:t xml:space="preserve"> v smernici 2009/101/ES.</w:t>
            </w:r>
          </w:p>
          <w:p w:rsidR="005C7E42" w:rsidRPr="00870476" w:rsidRDefault="00D35C1C" w:rsidP="00194F22">
            <w:pPr>
              <w:spacing w:before="75" w:after="75"/>
              <w:rPr>
                <w:rFonts w:ascii="Arial Narrow" w:hAnsi="Arial Narrow" w:cs="Arial"/>
                <w:sz w:val="22"/>
                <w:szCs w:val="22"/>
              </w:rPr>
            </w:pPr>
            <w:r w:rsidRPr="00870476">
              <w:rPr>
                <w:rFonts w:ascii="Arial Narrow" w:hAnsi="Arial Narrow" w:cs="EUAlbertina"/>
                <w:color w:val="000000"/>
                <w:sz w:val="22"/>
                <w:szCs w:val="22"/>
              </w:rPr>
              <w:lastRenderedPageBreak/>
              <w:t>Kópie účtovnej závierky je možné získať na požiadanie. Cena tejto kópie nesmie prekročiť jej administratívne náklady.</w:t>
            </w:r>
          </w:p>
        </w:tc>
        <w:tc>
          <w:tcPr>
            <w:tcW w:w="767" w:type="dxa"/>
            <w:vMerge/>
            <w:tcBorders>
              <w:left w:val="single" w:sz="4" w:space="0" w:color="auto"/>
              <w:right w:val="single" w:sz="12" w:space="0" w:color="auto"/>
            </w:tcBorders>
          </w:tcPr>
          <w:p w:rsidR="00D35C1C" w:rsidRPr="00870476" w:rsidRDefault="00D35C1C" w:rsidP="00393CB5">
            <w:pPr>
              <w:adjustRightInd w:val="0"/>
              <w:rPr>
                <w:rFonts w:ascii="Arial Narrow" w:hAnsi="Arial Narrow"/>
                <w:color w:val="000000"/>
                <w:sz w:val="22"/>
                <w:szCs w:val="22"/>
              </w:rPr>
            </w:pPr>
          </w:p>
        </w:tc>
        <w:tc>
          <w:tcPr>
            <w:tcW w:w="851" w:type="dxa"/>
            <w:vMerge/>
            <w:tcBorders>
              <w:left w:val="nil"/>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850"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4678"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D35C1C" w:rsidRPr="00870476" w:rsidRDefault="00D35C1C" w:rsidP="00393CB5">
            <w:pPr>
              <w:adjustRightInd w:val="0"/>
              <w:rPr>
                <w:rFonts w:ascii="Arial Narrow" w:hAnsi="Arial Narrow"/>
                <w:color w:val="000000"/>
                <w:sz w:val="22"/>
                <w:szCs w:val="22"/>
              </w:rPr>
            </w:pPr>
          </w:p>
        </w:tc>
        <w:tc>
          <w:tcPr>
            <w:tcW w:w="934" w:type="dxa"/>
            <w:vMerge/>
            <w:tcBorders>
              <w:left w:val="single" w:sz="4" w:space="0" w:color="auto"/>
              <w:right w:val="single" w:sz="12" w:space="0" w:color="auto"/>
            </w:tcBorders>
          </w:tcPr>
          <w:p w:rsidR="00D35C1C" w:rsidRPr="00870476" w:rsidRDefault="00D35C1C" w:rsidP="00393CB5">
            <w:pPr>
              <w:spacing w:before="75" w:after="75"/>
              <w:rPr>
                <w:rFonts w:ascii="Arial Narrow" w:hAnsi="Arial Narrow" w:cs="Arial"/>
                <w:sz w:val="22"/>
                <w:szCs w:val="22"/>
              </w:rPr>
            </w:pPr>
          </w:p>
        </w:tc>
      </w:tr>
      <w:tr w:rsidR="007609AB" w:rsidRPr="00870476" w:rsidTr="000F6E14">
        <w:tc>
          <w:tcPr>
            <w:tcW w:w="682" w:type="dxa"/>
            <w:tcBorders>
              <w:top w:val="single" w:sz="4" w:space="0" w:color="auto"/>
              <w:left w:val="single" w:sz="12" w:space="0" w:color="auto"/>
              <w:right w:val="single" w:sz="4" w:space="0" w:color="auto"/>
            </w:tcBorders>
          </w:tcPr>
          <w:p w:rsidR="00D35C1C" w:rsidRPr="00870476" w:rsidRDefault="00D35C1C" w:rsidP="00393CB5">
            <w:pPr>
              <w:spacing w:line="276" w:lineRule="auto"/>
              <w:jc w:val="center"/>
              <w:rPr>
                <w:rFonts w:ascii="Arial Narrow" w:hAnsi="Arial Narrow" w:cs="Arial"/>
                <w:color w:val="000000"/>
                <w:sz w:val="22"/>
                <w:szCs w:val="22"/>
              </w:rPr>
            </w:pPr>
          </w:p>
          <w:p w:rsidR="00D35C1C" w:rsidRPr="00870476" w:rsidRDefault="00D35C1C" w:rsidP="00393CB5">
            <w:pPr>
              <w:spacing w:line="276" w:lineRule="auto"/>
              <w:jc w:val="center"/>
              <w:rPr>
                <w:rFonts w:ascii="Arial Narrow" w:hAnsi="Arial Narrow" w:cs="Arial"/>
                <w:color w:val="000000"/>
                <w:sz w:val="22"/>
                <w:szCs w:val="22"/>
              </w:rPr>
            </w:pPr>
          </w:p>
          <w:p w:rsidR="00680864" w:rsidRPr="00870476" w:rsidRDefault="00680864" w:rsidP="00393CB5">
            <w:pPr>
              <w:spacing w:line="276" w:lineRule="auto"/>
              <w:jc w:val="center"/>
              <w:rPr>
                <w:rFonts w:ascii="Arial Narrow" w:hAnsi="Arial Narrow" w:cs="Arial"/>
                <w:color w:val="000000"/>
                <w:sz w:val="22"/>
                <w:szCs w:val="22"/>
              </w:rPr>
            </w:pPr>
          </w:p>
          <w:p w:rsidR="007609AB" w:rsidRPr="00870476" w:rsidRDefault="007609AB"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Č: 30</w:t>
            </w:r>
          </w:p>
          <w:p w:rsidR="007609AB" w:rsidRPr="00870476" w:rsidRDefault="007609AB" w:rsidP="00393CB5">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O:3</w:t>
            </w:r>
          </w:p>
        </w:tc>
        <w:tc>
          <w:tcPr>
            <w:tcW w:w="6604" w:type="dxa"/>
            <w:tcBorders>
              <w:top w:val="single" w:sz="4" w:space="0" w:color="auto"/>
              <w:left w:val="single" w:sz="4" w:space="0" w:color="auto"/>
              <w:bottom w:val="single" w:sz="4" w:space="0" w:color="auto"/>
              <w:right w:val="single" w:sz="4" w:space="0" w:color="auto"/>
            </w:tcBorders>
          </w:tcPr>
          <w:p w:rsidR="00D35C1C" w:rsidRPr="00870476" w:rsidRDefault="00D35C1C" w:rsidP="00393CB5">
            <w:pPr>
              <w:spacing w:before="75" w:after="75"/>
              <w:rPr>
                <w:rFonts w:ascii="Arial Narrow" w:hAnsi="Arial Narrow" w:cs="Arial"/>
                <w:sz w:val="22"/>
                <w:szCs w:val="22"/>
              </w:rPr>
            </w:pPr>
          </w:p>
          <w:p w:rsidR="00680864" w:rsidRPr="00870476" w:rsidRDefault="00680864" w:rsidP="00393CB5">
            <w:pPr>
              <w:spacing w:before="75" w:after="75"/>
              <w:rPr>
                <w:rFonts w:ascii="Arial Narrow" w:hAnsi="Arial Narrow" w:cs="Arial"/>
                <w:sz w:val="22"/>
                <w:szCs w:val="22"/>
              </w:rPr>
            </w:pPr>
          </w:p>
          <w:p w:rsidR="00D35C1C" w:rsidRPr="00870476" w:rsidRDefault="00D35C1C" w:rsidP="00393CB5">
            <w:pPr>
              <w:spacing w:before="75" w:after="75"/>
              <w:rPr>
                <w:rFonts w:ascii="Arial Narrow" w:hAnsi="Arial Narrow" w:cs="Arial"/>
                <w:sz w:val="22"/>
                <w:szCs w:val="22"/>
              </w:rPr>
            </w:pPr>
          </w:p>
          <w:p w:rsidR="007609AB" w:rsidRPr="00870476" w:rsidRDefault="007609AB" w:rsidP="00393CB5">
            <w:pPr>
              <w:spacing w:before="75" w:after="75"/>
              <w:rPr>
                <w:rFonts w:ascii="Arial Narrow" w:hAnsi="Arial Narrow" w:cs="Arial"/>
                <w:sz w:val="22"/>
                <w:szCs w:val="22"/>
              </w:rPr>
            </w:pPr>
            <w:r w:rsidRPr="00870476">
              <w:rPr>
                <w:rFonts w:ascii="Arial Narrow" w:hAnsi="Arial Narrow" w:cs="Arial"/>
                <w:sz w:val="22"/>
                <w:szCs w:val="22"/>
              </w:rPr>
              <w:t>Odsek 1 sa uplatňuje v súvislosti s konsolidovanými účtovnými závierkami a konsolidovanými správami o hospodárení.</w:t>
            </w:r>
          </w:p>
          <w:p w:rsidR="007609AB" w:rsidRPr="00870476" w:rsidRDefault="007609AB" w:rsidP="00393CB5">
            <w:pPr>
              <w:spacing w:before="75" w:after="75"/>
              <w:rPr>
                <w:rFonts w:ascii="Arial Narrow" w:hAnsi="Arial Narrow" w:cs="Arial"/>
                <w:sz w:val="22"/>
                <w:szCs w:val="22"/>
              </w:rPr>
            </w:pPr>
            <w:r w:rsidRPr="00870476">
              <w:rPr>
                <w:rFonts w:ascii="Arial Narrow" w:hAnsi="Arial Narrow" w:cs="Arial"/>
                <w:sz w:val="22"/>
                <w:szCs w:val="22"/>
              </w:rPr>
              <w:t>Ak je podnik, ktorý zostavuje konsolidovanú účtovnú závierku, niektorým z druhov podnikov uvedených v prílohe II a vo vnútroštátnom práve jeho členského štátu sa od neho nevyžaduje, aby uverejnil dokumenty uvedené v odseku 1 rovnakým spôsobom, ako sa stanovuje v článku 3 smernice 2009/101/ES, sprístupní takéto dokumenty pre verejnosť aspoň vo svojom ústredí, a na žiadosť poskytne ich kópiu, ktorej cena neprevyšuje jej administratívne náklady.</w:t>
            </w:r>
          </w:p>
        </w:tc>
        <w:tc>
          <w:tcPr>
            <w:tcW w:w="767" w:type="dxa"/>
            <w:tcBorders>
              <w:top w:val="single" w:sz="4" w:space="0" w:color="auto"/>
              <w:left w:val="single" w:sz="4" w:space="0" w:color="auto"/>
              <w:bottom w:val="single" w:sz="4" w:space="0" w:color="auto"/>
              <w:right w:val="single" w:sz="12" w:space="0" w:color="auto"/>
            </w:tcBorders>
          </w:tcPr>
          <w:p w:rsidR="00D35C1C" w:rsidRPr="00870476" w:rsidRDefault="00D35C1C" w:rsidP="00393CB5">
            <w:pPr>
              <w:spacing w:after="200" w:line="276" w:lineRule="auto"/>
              <w:jc w:val="center"/>
              <w:rPr>
                <w:rFonts w:ascii="Arial Narrow" w:hAnsi="Arial Narrow" w:cs="Arial"/>
                <w:color w:val="000000"/>
                <w:sz w:val="22"/>
                <w:szCs w:val="22"/>
              </w:rPr>
            </w:pPr>
          </w:p>
          <w:p w:rsidR="00680864" w:rsidRDefault="00680864" w:rsidP="00393CB5">
            <w:pPr>
              <w:spacing w:after="200" w:line="276" w:lineRule="auto"/>
              <w:jc w:val="center"/>
              <w:rPr>
                <w:rFonts w:ascii="Arial Narrow" w:hAnsi="Arial Narrow" w:cs="Arial"/>
                <w:color w:val="000000"/>
                <w:sz w:val="22"/>
                <w:szCs w:val="22"/>
              </w:rPr>
            </w:pPr>
          </w:p>
          <w:p w:rsidR="007609AB" w:rsidRPr="00870476" w:rsidRDefault="00D35C1C" w:rsidP="00D35C1C">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N</w:t>
            </w:r>
          </w:p>
        </w:tc>
        <w:tc>
          <w:tcPr>
            <w:tcW w:w="851" w:type="dxa"/>
            <w:vMerge/>
            <w:tcBorders>
              <w:left w:val="nil"/>
              <w:bottom w:val="single" w:sz="4" w:space="0" w:color="auto"/>
              <w:right w:val="single" w:sz="4" w:space="0" w:color="auto"/>
            </w:tcBorders>
          </w:tcPr>
          <w:p w:rsidR="007609AB" w:rsidRPr="00870476" w:rsidRDefault="007609AB" w:rsidP="00393CB5">
            <w:pPr>
              <w:spacing w:after="200" w:line="276" w:lineRule="auto"/>
              <w:jc w:val="center"/>
              <w:rPr>
                <w:rFonts w:ascii="Arial Narrow" w:hAnsi="Arial Narrow" w:cs="Arial"/>
                <w:color w:val="000000"/>
                <w:sz w:val="22"/>
                <w:szCs w:val="22"/>
              </w:rPr>
            </w:pPr>
          </w:p>
        </w:tc>
        <w:tc>
          <w:tcPr>
            <w:tcW w:w="850" w:type="dxa"/>
            <w:vMerge/>
            <w:tcBorders>
              <w:left w:val="single" w:sz="4" w:space="0" w:color="auto"/>
              <w:bottom w:val="single" w:sz="4" w:space="0" w:color="auto"/>
              <w:right w:val="single" w:sz="4" w:space="0" w:color="auto"/>
            </w:tcBorders>
          </w:tcPr>
          <w:p w:rsidR="007609AB" w:rsidRPr="00870476" w:rsidRDefault="007609AB" w:rsidP="00393CB5">
            <w:pPr>
              <w:jc w:val="center"/>
              <w:rPr>
                <w:rFonts w:ascii="Arial Narrow" w:hAnsi="Arial Narrow" w:cs="Arial"/>
                <w:color w:val="000000"/>
                <w:sz w:val="22"/>
                <w:szCs w:val="22"/>
              </w:rPr>
            </w:pPr>
          </w:p>
        </w:tc>
        <w:tc>
          <w:tcPr>
            <w:tcW w:w="4678" w:type="dxa"/>
            <w:vMerge/>
            <w:tcBorders>
              <w:left w:val="single" w:sz="4" w:space="0" w:color="auto"/>
              <w:bottom w:val="single" w:sz="4" w:space="0" w:color="auto"/>
              <w:right w:val="single" w:sz="4" w:space="0" w:color="auto"/>
            </w:tcBorders>
          </w:tcPr>
          <w:p w:rsidR="007609AB" w:rsidRPr="00870476" w:rsidRDefault="007609AB" w:rsidP="00393CB5">
            <w:pPr>
              <w:jc w:val="both"/>
              <w:rPr>
                <w:rFonts w:ascii="Arial Narrow" w:hAnsi="Arial Narrow" w:cs="Arial"/>
                <w:sz w:val="22"/>
                <w:szCs w:val="22"/>
              </w:rPr>
            </w:pPr>
          </w:p>
        </w:tc>
        <w:tc>
          <w:tcPr>
            <w:tcW w:w="709" w:type="dxa"/>
            <w:vMerge/>
            <w:tcBorders>
              <w:left w:val="single" w:sz="4" w:space="0" w:color="auto"/>
              <w:bottom w:val="single" w:sz="4" w:space="0" w:color="auto"/>
              <w:right w:val="single" w:sz="4" w:space="0" w:color="auto"/>
            </w:tcBorders>
          </w:tcPr>
          <w:p w:rsidR="007609AB" w:rsidRPr="00870476" w:rsidRDefault="007609AB" w:rsidP="00393CB5">
            <w:pPr>
              <w:spacing w:line="276" w:lineRule="auto"/>
              <w:jc w:val="center"/>
              <w:rPr>
                <w:rFonts w:ascii="Arial Narrow" w:hAnsi="Arial Narrow" w:cs="Arial"/>
                <w:color w:val="000000"/>
                <w:sz w:val="22"/>
                <w:szCs w:val="22"/>
              </w:rPr>
            </w:pPr>
          </w:p>
        </w:tc>
        <w:tc>
          <w:tcPr>
            <w:tcW w:w="934" w:type="dxa"/>
            <w:vMerge/>
            <w:tcBorders>
              <w:left w:val="single" w:sz="4" w:space="0" w:color="auto"/>
              <w:bottom w:val="single" w:sz="4" w:space="0" w:color="auto"/>
              <w:right w:val="single" w:sz="12" w:space="0" w:color="auto"/>
            </w:tcBorders>
          </w:tcPr>
          <w:p w:rsidR="007609AB" w:rsidRPr="00870476" w:rsidRDefault="007609AB" w:rsidP="00393CB5">
            <w:pPr>
              <w:spacing w:before="75" w:after="75"/>
              <w:rPr>
                <w:rFonts w:ascii="Arial Narrow" w:hAnsi="Arial Narrow" w:cs="Arial"/>
                <w:sz w:val="22"/>
                <w:szCs w:val="22"/>
              </w:rPr>
            </w:pPr>
          </w:p>
        </w:tc>
      </w:tr>
      <w:tr w:rsidR="00AB6AF1" w:rsidRPr="00870476" w:rsidTr="000F6E14">
        <w:tc>
          <w:tcPr>
            <w:tcW w:w="682" w:type="dxa"/>
            <w:vMerge w:val="restart"/>
            <w:tcBorders>
              <w:top w:val="single" w:sz="4" w:space="0" w:color="auto"/>
              <w:left w:val="single" w:sz="12" w:space="0" w:color="auto"/>
              <w:right w:val="single" w:sz="4" w:space="0" w:color="auto"/>
            </w:tcBorders>
          </w:tcPr>
          <w:p w:rsidR="00AB6AF1" w:rsidRPr="00870476" w:rsidRDefault="00AB6AF1" w:rsidP="00B732ED">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Č: 33</w:t>
            </w:r>
          </w:p>
          <w:p w:rsidR="00AB6AF1" w:rsidRPr="00870476" w:rsidRDefault="00AB6AF1" w:rsidP="00B732ED">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O:2</w:t>
            </w:r>
          </w:p>
        </w:tc>
        <w:tc>
          <w:tcPr>
            <w:tcW w:w="6604" w:type="dxa"/>
            <w:vMerge w:val="restart"/>
            <w:tcBorders>
              <w:top w:val="single" w:sz="4" w:space="0" w:color="auto"/>
              <w:left w:val="single" w:sz="4" w:space="0" w:color="auto"/>
              <w:bottom w:val="nil"/>
              <w:right w:val="single" w:sz="4" w:space="0" w:color="auto"/>
            </w:tcBorders>
          </w:tcPr>
          <w:p w:rsidR="00AB6AF1" w:rsidRPr="00870476" w:rsidRDefault="00AB6AF1" w:rsidP="00B732ED">
            <w:pPr>
              <w:spacing w:before="75" w:after="75"/>
              <w:rPr>
                <w:rFonts w:ascii="Arial Narrow" w:hAnsi="Arial Narrow" w:cs="Arial"/>
                <w:sz w:val="22"/>
                <w:szCs w:val="22"/>
              </w:rPr>
            </w:pPr>
            <w:r w:rsidRPr="00870476">
              <w:rPr>
                <w:rFonts w:ascii="Arial Narrow" w:hAnsi="Arial Narrow" w:cs="Arial"/>
                <w:sz w:val="22"/>
                <w:szCs w:val="22"/>
              </w:rPr>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767" w:type="dxa"/>
            <w:vMerge w:val="restart"/>
            <w:tcBorders>
              <w:top w:val="single" w:sz="4" w:space="0" w:color="auto"/>
              <w:left w:val="single" w:sz="4" w:space="0" w:color="auto"/>
              <w:bottom w:val="nil"/>
              <w:right w:val="single" w:sz="12" w:space="0" w:color="auto"/>
            </w:tcBorders>
          </w:tcPr>
          <w:p w:rsidR="00AB6AF1" w:rsidRPr="00870476" w:rsidRDefault="00AB6AF1" w:rsidP="00B732ED">
            <w:pPr>
              <w:spacing w:after="200"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N</w:t>
            </w:r>
          </w:p>
        </w:tc>
        <w:tc>
          <w:tcPr>
            <w:tcW w:w="851" w:type="dxa"/>
            <w:vMerge w:val="restart"/>
            <w:tcBorders>
              <w:top w:val="single" w:sz="4" w:space="0" w:color="auto"/>
              <w:left w:val="single" w:sz="12" w:space="0" w:color="auto"/>
              <w:right w:val="single" w:sz="4" w:space="0" w:color="auto"/>
            </w:tcBorders>
          </w:tcPr>
          <w:p w:rsidR="00AB6AF1" w:rsidRPr="00870476" w:rsidRDefault="00AB6AF1" w:rsidP="00131937">
            <w:pPr>
              <w:spacing w:line="276" w:lineRule="auto"/>
              <w:ind w:left="-6"/>
              <w:jc w:val="center"/>
              <w:rPr>
                <w:rFonts w:ascii="Arial Narrow" w:hAnsi="Arial Narrow" w:cs="Arial"/>
                <w:color w:val="000000"/>
                <w:sz w:val="22"/>
                <w:szCs w:val="22"/>
              </w:rPr>
            </w:pPr>
            <w:r w:rsidRPr="00870476">
              <w:rPr>
                <w:rFonts w:ascii="Arial Narrow" w:hAnsi="Arial Narrow" w:cs="Arial"/>
                <w:color w:val="000000"/>
                <w:sz w:val="22"/>
                <w:szCs w:val="22"/>
              </w:rPr>
              <w:t>431/2002</w:t>
            </w:r>
          </w:p>
          <w:p w:rsidR="00AB6AF1" w:rsidRPr="00870476" w:rsidRDefault="00AB6AF1" w:rsidP="00131937">
            <w:pPr>
              <w:spacing w:line="276" w:lineRule="auto"/>
              <w:ind w:left="-6"/>
              <w:jc w:val="center"/>
              <w:rPr>
                <w:rFonts w:ascii="Arial Narrow" w:hAnsi="Arial Narrow" w:cs="Arial"/>
                <w:color w:val="000000"/>
                <w:sz w:val="22"/>
                <w:szCs w:val="22"/>
              </w:rPr>
            </w:pPr>
            <w:r w:rsidRPr="00870476">
              <w:rPr>
                <w:rFonts w:ascii="Arial Narrow" w:hAnsi="Arial Narrow" w:cs="Arial"/>
                <w:color w:val="000000"/>
                <w:sz w:val="22"/>
                <w:szCs w:val="22"/>
              </w:rPr>
              <w:t>a</w:t>
            </w:r>
          </w:p>
          <w:p w:rsidR="000F0F63" w:rsidRPr="00870476" w:rsidRDefault="000F0F63" w:rsidP="00131937">
            <w:pPr>
              <w:adjustRightInd w:val="0"/>
              <w:ind w:left="-6"/>
              <w:jc w:val="center"/>
              <w:rPr>
                <w:rFonts w:ascii="Arial Narrow" w:hAnsi="Arial Narrow"/>
                <w:b/>
                <w:color w:val="000000"/>
                <w:sz w:val="22"/>
                <w:szCs w:val="22"/>
              </w:rPr>
            </w:pPr>
            <w:r w:rsidRPr="00870476">
              <w:rPr>
                <w:rFonts w:ascii="Arial Narrow" w:hAnsi="Arial Narrow"/>
                <w:b/>
                <w:color w:val="000000"/>
                <w:sz w:val="22"/>
                <w:szCs w:val="22"/>
              </w:rPr>
              <w:t>návrh</w:t>
            </w:r>
          </w:p>
          <w:p w:rsidR="00AB6AF1" w:rsidRPr="00870476" w:rsidRDefault="000F0F63" w:rsidP="00131937">
            <w:pPr>
              <w:spacing w:line="276" w:lineRule="auto"/>
              <w:ind w:left="-6"/>
              <w:jc w:val="center"/>
              <w:rPr>
                <w:rFonts w:ascii="Arial Narrow" w:hAnsi="Arial Narrow"/>
                <w:b/>
                <w:color w:val="000000"/>
                <w:sz w:val="22"/>
                <w:szCs w:val="22"/>
              </w:rPr>
            </w:pPr>
            <w:r w:rsidRPr="00870476">
              <w:rPr>
                <w:rFonts w:ascii="Arial Narrow" w:hAnsi="Arial Narrow"/>
                <w:b/>
                <w:color w:val="000000"/>
                <w:sz w:val="22"/>
                <w:szCs w:val="22"/>
              </w:rPr>
              <w:t>čl. I</w:t>
            </w:r>
          </w:p>
          <w:p w:rsidR="006A6903" w:rsidRPr="00870476" w:rsidRDefault="006A6903" w:rsidP="00131937">
            <w:pPr>
              <w:spacing w:line="276" w:lineRule="auto"/>
              <w:ind w:left="-6"/>
              <w:jc w:val="center"/>
              <w:rPr>
                <w:rFonts w:ascii="Arial Narrow" w:hAnsi="Arial Narrow"/>
                <w:b/>
                <w:color w:val="000000"/>
                <w:sz w:val="22"/>
                <w:szCs w:val="22"/>
              </w:rPr>
            </w:pPr>
          </w:p>
          <w:p w:rsidR="006A6903" w:rsidRPr="00870476" w:rsidRDefault="006A6903" w:rsidP="00131937">
            <w:pPr>
              <w:spacing w:line="276" w:lineRule="auto"/>
              <w:ind w:left="-6"/>
              <w:jc w:val="center"/>
              <w:rPr>
                <w:rFonts w:ascii="Arial Narrow" w:hAnsi="Arial Narrow"/>
                <w:b/>
                <w:color w:val="000000"/>
                <w:sz w:val="22"/>
                <w:szCs w:val="22"/>
              </w:rPr>
            </w:pPr>
          </w:p>
          <w:p w:rsidR="006A6903" w:rsidRPr="00870476" w:rsidRDefault="006A6903" w:rsidP="00131937">
            <w:pPr>
              <w:spacing w:line="276" w:lineRule="auto"/>
              <w:ind w:left="-6"/>
              <w:jc w:val="center"/>
              <w:rPr>
                <w:rFonts w:ascii="Arial Narrow" w:hAnsi="Arial Narrow"/>
                <w:b/>
                <w:color w:val="000000"/>
                <w:sz w:val="22"/>
                <w:szCs w:val="22"/>
              </w:rPr>
            </w:pPr>
          </w:p>
          <w:p w:rsidR="006A6903" w:rsidRDefault="006A6903" w:rsidP="00131937">
            <w:pPr>
              <w:spacing w:line="276" w:lineRule="auto"/>
              <w:ind w:left="-6"/>
              <w:jc w:val="center"/>
              <w:rPr>
                <w:rFonts w:ascii="Arial Narrow" w:hAnsi="Arial Narrow"/>
                <w:b/>
                <w:color w:val="000000"/>
                <w:sz w:val="22"/>
                <w:szCs w:val="22"/>
              </w:rPr>
            </w:pPr>
          </w:p>
          <w:p w:rsidR="00194F22" w:rsidRDefault="00194F22" w:rsidP="00131937">
            <w:pPr>
              <w:spacing w:line="276" w:lineRule="auto"/>
              <w:ind w:left="-6"/>
              <w:jc w:val="center"/>
              <w:rPr>
                <w:rFonts w:ascii="Arial Narrow" w:hAnsi="Arial Narrow"/>
                <w:b/>
                <w:color w:val="000000"/>
                <w:sz w:val="22"/>
                <w:szCs w:val="22"/>
              </w:rPr>
            </w:pPr>
          </w:p>
          <w:p w:rsidR="00194F22" w:rsidRDefault="00194F22" w:rsidP="00131937">
            <w:pPr>
              <w:spacing w:line="276" w:lineRule="auto"/>
              <w:ind w:left="-6"/>
              <w:jc w:val="center"/>
              <w:rPr>
                <w:rFonts w:ascii="Arial Narrow" w:hAnsi="Arial Narrow"/>
                <w:b/>
                <w:color w:val="000000"/>
                <w:sz w:val="22"/>
                <w:szCs w:val="22"/>
              </w:rPr>
            </w:pPr>
          </w:p>
          <w:p w:rsidR="00194F22" w:rsidRDefault="00194F22" w:rsidP="00131937">
            <w:pPr>
              <w:spacing w:line="276" w:lineRule="auto"/>
              <w:ind w:left="-6"/>
              <w:jc w:val="center"/>
              <w:rPr>
                <w:rFonts w:ascii="Arial Narrow" w:hAnsi="Arial Narrow"/>
                <w:b/>
                <w:color w:val="000000"/>
                <w:sz w:val="22"/>
                <w:szCs w:val="22"/>
              </w:rPr>
            </w:pPr>
          </w:p>
          <w:p w:rsidR="00194F22" w:rsidRPr="00870476" w:rsidRDefault="00194F22" w:rsidP="00131937">
            <w:pPr>
              <w:spacing w:line="276" w:lineRule="auto"/>
              <w:ind w:left="-6"/>
              <w:jc w:val="center"/>
              <w:rPr>
                <w:rFonts w:ascii="Arial Narrow" w:hAnsi="Arial Narrow"/>
                <w:b/>
                <w:color w:val="000000"/>
                <w:sz w:val="22"/>
                <w:szCs w:val="22"/>
              </w:rPr>
            </w:pPr>
          </w:p>
          <w:p w:rsidR="006A6903" w:rsidRDefault="006A6903" w:rsidP="00131937">
            <w:pPr>
              <w:spacing w:line="276" w:lineRule="auto"/>
              <w:ind w:left="-6"/>
              <w:jc w:val="center"/>
              <w:rPr>
                <w:rFonts w:ascii="Arial Narrow" w:hAnsi="Arial Narrow"/>
                <w:b/>
                <w:color w:val="000000"/>
                <w:sz w:val="22"/>
                <w:szCs w:val="22"/>
              </w:rPr>
            </w:pPr>
          </w:p>
          <w:p w:rsidR="000E638E" w:rsidRDefault="000E638E" w:rsidP="00131937">
            <w:pPr>
              <w:spacing w:line="276" w:lineRule="auto"/>
              <w:ind w:left="-6"/>
              <w:jc w:val="center"/>
              <w:rPr>
                <w:rFonts w:ascii="Arial Narrow" w:hAnsi="Arial Narrow"/>
                <w:b/>
                <w:color w:val="000000"/>
                <w:sz w:val="22"/>
                <w:szCs w:val="22"/>
              </w:rPr>
            </w:pPr>
          </w:p>
          <w:p w:rsidR="000E638E" w:rsidRPr="00870476" w:rsidRDefault="000E638E" w:rsidP="00131937">
            <w:pPr>
              <w:spacing w:line="276" w:lineRule="auto"/>
              <w:ind w:left="-6"/>
              <w:jc w:val="center"/>
              <w:rPr>
                <w:rFonts w:ascii="Arial Narrow" w:hAnsi="Arial Narrow"/>
                <w:b/>
                <w:color w:val="000000"/>
                <w:sz w:val="22"/>
                <w:szCs w:val="22"/>
              </w:rPr>
            </w:pPr>
          </w:p>
          <w:p w:rsidR="006A6903" w:rsidRPr="00870476" w:rsidRDefault="006A6903" w:rsidP="00131937">
            <w:pPr>
              <w:spacing w:line="276" w:lineRule="auto"/>
              <w:ind w:left="-6"/>
              <w:jc w:val="center"/>
              <w:rPr>
                <w:rFonts w:ascii="Arial Narrow" w:hAnsi="Arial Narrow"/>
                <w:b/>
                <w:color w:val="000000"/>
                <w:sz w:val="22"/>
                <w:szCs w:val="22"/>
              </w:rPr>
            </w:pPr>
          </w:p>
          <w:p w:rsidR="006A6903" w:rsidRPr="00870476" w:rsidRDefault="006A6903" w:rsidP="006A6903">
            <w:pPr>
              <w:spacing w:line="276" w:lineRule="auto"/>
              <w:ind w:left="-6"/>
              <w:jc w:val="center"/>
              <w:rPr>
                <w:rFonts w:ascii="Arial Narrow" w:hAnsi="Arial Narrow" w:cs="Arial"/>
                <w:color w:val="000000"/>
                <w:sz w:val="22"/>
                <w:szCs w:val="22"/>
              </w:rPr>
            </w:pPr>
            <w:r w:rsidRPr="00870476">
              <w:rPr>
                <w:rFonts w:ascii="Arial Narrow" w:hAnsi="Arial Narrow" w:cs="Arial"/>
                <w:color w:val="000000"/>
                <w:sz w:val="22"/>
                <w:szCs w:val="22"/>
              </w:rPr>
              <w:lastRenderedPageBreak/>
              <w:t>431/2002</w:t>
            </w:r>
          </w:p>
          <w:p w:rsidR="006A6903" w:rsidRPr="00870476" w:rsidRDefault="006A6903" w:rsidP="00131937">
            <w:pPr>
              <w:spacing w:line="276" w:lineRule="auto"/>
              <w:ind w:left="-6"/>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870476" w:rsidRDefault="00AB6AF1" w:rsidP="00AB6AF1">
            <w:pPr>
              <w:jc w:val="center"/>
              <w:rPr>
                <w:rFonts w:ascii="Arial Narrow" w:hAnsi="Arial Narrow" w:cs="Arial"/>
                <w:color w:val="000000"/>
                <w:sz w:val="22"/>
                <w:szCs w:val="22"/>
              </w:rPr>
            </w:pPr>
            <w:r w:rsidRPr="00870476">
              <w:rPr>
                <w:rFonts w:ascii="Arial Narrow" w:hAnsi="Arial Narrow" w:cs="Arial"/>
                <w:color w:val="000000"/>
                <w:sz w:val="22"/>
                <w:szCs w:val="22"/>
              </w:rPr>
              <w:lastRenderedPageBreak/>
              <w:t>§ 38</w:t>
            </w:r>
          </w:p>
          <w:p w:rsidR="00AB6AF1" w:rsidRPr="00870476" w:rsidRDefault="00AB6AF1" w:rsidP="00AB6AF1">
            <w:pPr>
              <w:jc w:val="center"/>
              <w:rPr>
                <w:rFonts w:ascii="Arial Narrow" w:hAnsi="Arial Narrow" w:cs="Arial"/>
                <w:color w:val="000000"/>
                <w:sz w:val="22"/>
                <w:szCs w:val="22"/>
              </w:rPr>
            </w:pPr>
            <w:r w:rsidRPr="00870476">
              <w:rPr>
                <w:rFonts w:ascii="Arial Narrow" w:hAnsi="Arial Narrow" w:cs="Arial"/>
                <w:color w:val="000000"/>
                <w:sz w:val="22"/>
                <w:szCs w:val="22"/>
              </w:rPr>
              <w:t>O: 1</w:t>
            </w:r>
          </w:p>
          <w:p w:rsidR="00AB6AF1" w:rsidRPr="00870476" w:rsidRDefault="00AB6AF1" w:rsidP="00AB6AF1">
            <w:pPr>
              <w:jc w:val="center"/>
              <w:rPr>
                <w:rFonts w:ascii="Arial Narrow" w:hAnsi="Arial Narrow" w:cs="Arial"/>
                <w:color w:val="000000"/>
                <w:sz w:val="22"/>
                <w:szCs w:val="22"/>
              </w:rPr>
            </w:pPr>
            <w:r w:rsidRPr="00870476">
              <w:rPr>
                <w:rFonts w:ascii="Arial Narrow" w:hAnsi="Arial Narrow" w:cs="Arial"/>
                <w:color w:val="000000"/>
                <w:sz w:val="22"/>
                <w:szCs w:val="22"/>
              </w:rPr>
              <w:t>P:a</w:t>
            </w:r>
          </w:p>
        </w:tc>
        <w:tc>
          <w:tcPr>
            <w:tcW w:w="4678" w:type="dxa"/>
            <w:tcBorders>
              <w:left w:val="single" w:sz="4" w:space="0" w:color="auto"/>
              <w:bottom w:val="single" w:sz="4" w:space="0" w:color="auto"/>
              <w:right w:val="single" w:sz="4" w:space="0" w:color="auto"/>
            </w:tcBorders>
          </w:tcPr>
          <w:p w:rsidR="00AB6AF1" w:rsidRPr="00870476" w:rsidRDefault="00AB6AF1" w:rsidP="00AB6AF1">
            <w:pPr>
              <w:jc w:val="both"/>
              <w:rPr>
                <w:rFonts w:ascii="Arial Narrow" w:hAnsi="Arial Narrow" w:cs="Arial"/>
                <w:sz w:val="22"/>
                <w:szCs w:val="22"/>
              </w:rPr>
            </w:pPr>
            <w:r w:rsidRPr="00870476">
              <w:rPr>
                <w:rFonts w:ascii="Arial Narrow" w:hAnsi="Arial Narrow" w:cs="Arial"/>
                <w:sz w:val="22"/>
                <w:szCs w:val="22"/>
              </w:rPr>
              <w:t>Správneho deliktu sa dopustí účtovná jednotka, ak</w:t>
            </w:r>
          </w:p>
          <w:p w:rsidR="00AB6AF1" w:rsidRPr="00870476" w:rsidRDefault="00AB6AF1" w:rsidP="00AB6AF1">
            <w:pPr>
              <w:jc w:val="both"/>
              <w:rPr>
                <w:rFonts w:ascii="Arial Narrow" w:hAnsi="Arial Narrow" w:cs="Arial"/>
                <w:sz w:val="22"/>
                <w:szCs w:val="22"/>
              </w:rPr>
            </w:pPr>
            <w:r w:rsidRPr="00870476">
              <w:rPr>
                <w:rFonts w:ascii="Arial Narrow" w:hAnsi="Arial Narrow" w:cs="Arial"/>
                <w:sz w:val="22"/>
                <w:szCs w:val="22"/>
              </w:rPr>
              <w:t>a) neviedla účtovníctvo podľa § 4 ods. 1 alebo nezostavila účtovnú závierku podľa § 6 ods. 4,</w:t>
            </w:r>
          </w:p>
        </w:tc>
        <w:tc>
          <w:tcPr>
            <w:tcW w:w="709" w:type="dxa"/>
            <w:vMerge w:val="restart"/>
            <w:tcBorders>
              <w:top w:val="single" w:sz="4" w:space="0" w:color="auto"/>
              <w:left w:val="single" w:sz="4" w:space="0" w:color="auto"/>
              <w:bottom w:val="single" w:sz="4" w:space="0" w:color="auto"/>
              <w:right w:val="single" w:sz="4" w:space="0" w:color="auto"/>
            </w:tcBorders>
          </w:tcPr>
          <w:p w:rsidR="00AB6AF1" w:rsidRPr="00870476" w:rsidRDefault="006A6903" w:rsidP="00002C0C">
            <w:pPr>
              <w:spacing w:line="276" w:lineRule="auto"/>
              <w:jc w:val="center"/>
              <w:rPr>
                <w:rFonts w:ascii="Arial Narrow" w:hAnsi="Arial Narrow" w:cs="Arial"/>
                <w:color w:val="000000"/>
                <w:sz w:val="22"/>
                <w:szCs w:val="22"/>
              </w:rPr>
            </w:pPr>
            <w:r w:rsidRPr="00870476">
              <w:rPr>
                <w:rFonts w:ascii="Arial Narrow" w:hAnsi="Arial Narrow" w:cs="Arial"/>
                <w:color w:val="000000"/>
                <w:sz w:val="22"/>
                <w:szCs w:val="22"/>
              </w:rPr>
              <w:t>Ú</w:t>
            </w:r>
          </w:p>
        </w:tc>
        <w:tc>
          <w:tcPr>
            <w:tcW w:w="934" w:type="dxa"/>
            <w:vMerge w:val="restart"/>
            <w:tcBorders>
              <w:top w:val="single" w:sz="4" w:space="0" w:color="auto"/>
              <w:left w:val="single" w:sz="4" w:space="0" w:color="auto"/>
              <w:bottom w:val="single" w:sz="4" w:space="0" w:color="auto"/>
              <w:right w:val="single" w:sz="12" w:space="0" w:color="auto"/>
            </w:tcBorders>
          </w:tcPr>
          <w:p w:rsidR="00AB6AF1" w:rsidRPr="00870476" w:rsidRDefault="00AB6AF1" w:rsidP="00002C0C">
            <w:pPr>
              <w:spacing w:before="75" w:after="75"/>
              <w:rPr>
                <w:rFonts w:ascii="Arial Narrow" w:hAnsi="Arial Narrow" w:cs="Arial"/>
                <w:sz w:val="22"/>
                <w:szCs w:val="22"/>
              </w:rPr>
            </w:pPr>
          </w:p>
        </w:tc>
      </w:tr>
      <w:tr w:rsidR="00AB6AF1" w:rsidRPr="00870476" w:rsidTr="000F6E14">
        <w:tc>
          <w:tcPr>
            <w:tcW w:w="682" w:type="dxa"/>
            <w:vMerge/>
            <w:tcBorders>
              <w:left w:val="single" w:sz="12" w:space="0" w:color="auto"/>
              <w:right w:val="single" w:sz="4" w:space="0" w:color="auto"/>
            </w:tcBorders>
          </w:tcPr>
          <w:p w:rsidR="00AB6AF1" w:rsidRPr="00870476" w:rsidRDefault="00AB6AF1" w:rsidP="00B732ED">
            <w:pPr>
              <w:spacing w:line="276" w:lineRule="auto"/>
              <w:jc w:val="center"/>
              <w:rPr>
                <w:rFonts w:ascii="Arial Narrow" w:hAnsi="Arial Narrow" w:cs="Arial"/>
                <w:color w:val="000000"/>
                <w:sz w:val="22"/>
                <w:szCs w:val="22"/>
              </w:rPr>
            </w:pPr>
          </w:p>
        </w:tc>
        <w:tc>
          <w:tcPr>
            <w:tcW w:w="6604" w:type="dxa"/>
            <w:vMerge/>
            <w:tcBorders>
              <w:top w:val="single" w:sz="4" w:space="0" w:color="auto"/>
              <w:left w:val="single" w:sz="4" w:space="0" w:color="auto"/>
              <w:bottom w:val="nil"/>
              <w:right w:val="single" w:sz="4" w:space="0" w:color="auto"/>
            </w:tcBorders>
          </w:tcPr>
          <w:p w:rsidR="00AB6AF1" w:rsidRPr="00870476" w:rsidRDefault="00AB6AF1" w:rsidP="00B732ED">
            <w:pPr>
              <w:spacing w:before="75" w:after="75"/>
              <w:rPr>
                <w:rFonts w:ascii="Arial Narrow" w:hAnsi="Arial Narrow" w:cs="Arial"/>
                <w:sz w:val="22"/>
                <w:szCs w:val="22"/>
              </w:rPr>
            </w:pPr>
          </w:p>
        </w:tc>
        <w:tc>
          <w:tcPr>
            <w:tcW w:w="767" w:type="dxa"/>
            <w:vMerge/>
            <w:tcBorders>
              <w:top w:val="single" w:sz="4" w:space="0" w:color="auto"/>
              <w:left w:val="single" w:sz="4" w:space="0" w:color="auto"/>
              <w:bottom w:val="nil"/>
              <w:right w:val="single" w:sz="12" w:space="0" w:color="auto"/>
            </w:tcBorders>
          </w:tcPr>
          <w:p w:rsidR="00AB6AF1" w:rsidRPr="00870476" w:rsidRDefault="00AB6AF1" w:rsidP="00B732ED">
            <w:pPr>
              <w:spacing w:after="200" w:line="276" w:lineRule="auto"/>
              <w:jc w:val="center"/>
              <w:rPr>
                <w:rFonts w:ascii="Arial Narrow" w:hAnsi="Arial Narrow" w:cs="Arial"/>
                <w:color w:val="000000"/>
                <w:sz w:val="22"/>
                <w:szCs w:val="22"/>
              </w:rPr>
            </w:pPr>
          </w:p>
        </w:tc>
        <w:tc>
          <w:tcPr>
            <w:tcW w:w="851" w:type="dxa"/>
            <w:vMerge/>
            <w:tcBorders>
              <w:left w:val="single" w:sz="12" w:space="0" w:color="auto"/>
              <w:right w:val="single" w:sz="4" w:space="0" w:color="auto"/>
            </w:tcBorders>
          </w:tcPr>
          <w:p w:rsidR="00AB6AF1" w:rsidRPr="00870476" w:rsidRDefault="00AB6AF1" w:rsidP="00B732ED">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870476" w:rsidRDefault="00AB6AF1" w:rsidP="00B732ED">
            <w:pPr>
              <w:jc w:val="center"/>
              <w:rPr>
                <w:rFonts w:ascii="Arial Narrow" w:hAnsi="Arial Narrow" w:cs="Arial"/>
                <w:b/>
                <w:color w:val="000000"/>
                <w:sz w:val="22"/>
                <w:szCs w:val="22"/>
              </w:rPr>
            </w:pPr>
            <w:r w:rsidRPr="00870476">
              <w:rPr>
                <w:rFonts w:ascii="Arial Narrow" w:hAnsi="Arial Narrow" w:cs="Arial"/>
                <w:color w:val="000000"/>
                <w:sz w:val="22"/>
                <w:szCs w:val="22"/>
              </w:rPr>
              <w:t>P:c</w:t>
            </w:r>
          </w:p>
        </w:tc>
        <w:tc>
          <w:tcPr>
            <w:tcW w:w="4678" w:type="dxa"/>
            <w:tcBorders>
              <w:left w:val="single" w:sz="4" w:space="0" w:color="auto"/>
              <w:bottom w:val="single" w:sz="4" w:space="0" w:color="auto"/>
              <w:right w:val="single" w:sz="4" w:space="0" w:color="auto"/>
            </w:tcBorders>
          </w:tcPr>
          <w:p w:rsidR="00AB6AF1" w:rsidRPr="00870476" w:rsidRDefault="00282445" w:rsidP="00282445">
            <w:pPr>
              <w:jc w:val="both"/>
              <w:rPr>
                <w:rFonts w:ascii="Arial Narrow" w:hAnsi="Arial Narrow" w:cs="Arial"/>
                <w:sz w:val="22"/>
                <w:szCs w:val="22"/>
              </w:rPr>
            </w:pPr>
            <w:r w:rsidRPr="00870476">
              <w:rPr>
                <w:rFonts w:ascii="Arial Narrow" w:hAnsi="Arial Narrow" w:cs="Arial"/>
                <w:sz w:val="22"/>
                <w:szCs w:val="22"/>
              </w:rPr>
              <w:t>c) neuložila dokumenty a oznámenie podľa § 23a ods. 1 až 9 a 23b</w:t>
            </w:r>
            <w:r>
              <w:rPr>
                <w:rFonts w:ascii="Arial Narrow" w:hAnsi="Arial Narrow" w:cs="Arial"/>
                <w:sz w:val="22"/>
                <w:szCs w:val="22"/>
              </w:rPr>
              <w:t>,</w:t>
            </w:r>
            <w:r w:rsidRPr="00870476">
              <w:rPr>
                <w:rFonts w:ascii="Arial Narrow" w:hAnsi="Arial Narrow" w:cs="Arial"/>
                <w:sz w:val="22"/>
                <w:szCs w:val="22"/>
              </w:rPr>
              <w:t> nezverejnila dokumenty podľa § 23d</w:t>
            </w:r>
            <w:r>
              <w:rPr>
                <w:rFonts w:ascii="Arial Narrow" w:hAnsi="Arial Narrow" w:cs="Arial"/>
                <w:sz w:val="22"/>
                <w:szCs w:val="22"/>
              </w:rPr>
              <w:t xml:space="preserve"> alebo nevyhovela výzve podľa § 23b ods. 1 alebo ods. 6 v určenej lehote alebo určenom rozsahu</w:t>
            </w:r>
            <w:r w:rsidRPr="00870476">
              <w:rPr>
                <w:rFonts w:ascii="Arial Narrow" w:hAnsi="Arial Narrow" w:cs="Arial"/>
                <w:sz w:val="22"/>
                <w:szCs w:val="22"/>
              </w:rPr>
              <w:t>,</w:t>
            </w:r>
          </w:p>
        </w:tc>
        <w:tc>
          <w:tcPr>
            <w:tcW w:w="709" w:type="dxa"/>
            <w:vMerge/>
            <w:tcBorders>
              <w:top w:val="single" w:sz="4" w:space="0" w:color="auto"/>
              <w:left w:val="single" w:sz="4" w:space="0" w:color="auto"/>
              <w:bottom w:val="single" w:sz="4" w:space="0" w:color="auto"/>
              <w:right w:val="single" w:sz="4" w:space="0" w:color="auto"/>
            </w:tcBorders>
          </w:tcPr>
          <w:p w:rsidR="00AB6AF1" w:rsidRPr="00870476" w:rsidRDefault="00AB6AF1" w:rsidP="00B732ED">
            <w:pPr>
              <w:spacing w:line="276" w:lineRule="auto"/>
              <w:jc w:val="center"/>
              <w:rPr>
                <w:rFonts w:ascii="Arial Narrow" w:hAnsi="Arial Narrow" w:cs="Arial"/>
                <w:color w:val="000000"/>
                <w:sz w:val="22"/>
                <w:szCs w:val="22"/>
              </w:rPr>
            </w:pPr>
          </w:p>
        </w:tc>
        <w:tc>
          <w:tcPr>
            <w:tcW w:w="934" w:type="dxa"/>
            <w:vMerge/>
            <w:tcBorders>
              <w:top w:val="single" w:sz="4" w:space="0" w:color="auto"/>
              <w:left w:val="single" w:sz="4" w:space="0" w:color="auto"/>
              <w:bottom w:val="single" w:sz="4" w:space="0" w:color="auto"/>
              <w:right w:val="single" w:sz="12" w:space="0" w:color="auto"/>
            </w:tcBorders>
          </w:tcPr>
          <w:p w:rsidR="00AB6AF1" w:rsidRPr="00870476" w:rsidRDefault="00AB6AF1" w:rsidP="00B732ED">
            <w:pPr>
              <w:spacing w:before="75" w:after="75"/>
              <w:rPr>
                <w:rFonts w:ascii="Arial Narrow" w:hAnsi="Arial Narrow" w:cs="Arial"/>
                <w:sz w:val="22"/>
                <w:szCs w:val="22"/>
              </w:rPr>
            </w:pPr>
          </w:p>
        </w:tc>
      </w:tr>
      <w:tr w:rsidR="00AB6AF1" w:rsidRPr="00870476" w:rsidTr="000F6E14">
        <w:tc>
          <w:tcPr>
            <w:tcW w:w="682" w:type="dxa"/>
            <w:vMerge/>
            <w:tcBorders>
              <w:left w:val="single" w:sz="12" w:space="0" w:color="auto"/>
              <w:right w:val="single" w:sz="4" w:space="0" w:color="auto"/>
            </w:tcBorders>
          </w:tcPr>
          <w:p w:rsidR="00AB6AF1" w:rsidRPr="00870476" w:rsidRDefault="00AB6AF1" w:rsidP="00B732ED">
            <w:pPr>
              <w:spacing w:line="276" w:lineRule="auto"/>
              <w:jc w:val="center"/>
              <w:rPr>
                <w:rFonts w:ascii="Arial Narrow" w:hAnsi="Arial Narrow" w:cs="Arial"/>
                <w:b/>
                <w:color w:val="000000"/>
                <w:sz w:val="22"/>
                <w:szCs w:val="22"/>
              </w:rPr>
            </w:pPr>
          </w:p>
        </w:tc>
        <w:tc>
          <w:tcPr>
            <w:tcW w:w="6604" w:type="dxa"/>
            <w:vMerge/>
            <w:tcBorders>
              <w:top w:val="single" w:sz="4" w:space="0" w:color="auto"/>
              <w:left w:val="single" w:sz="4" w:space="0" w:color="auto"/>
              <w:bottom w:val="nil"/>
              <w:right w:val="single" w:sz="4" w:space="0" w:color="auto"/>
            </w:tcBorders>
          </w:tcPr>
          <w:p w:rsidR="00AB6AF1" w:rsidRPr="00870476" w:rsidRDefault="00AB6AF1" w:rsidP="00B732ED">
            <w:pPr>
              <w:spacing w:before="75" w:after="75"/>
              <w:rPr>
                <w:rFonts w:ascii="Arial Narrow" w:hAnsi="Arial Narrow" w:cs="Arial"/>
                <w:sz w:val="22"/>
                <w:szCs w:val="22"/>
              </w:rPr>
            </w:pPr>
          </w:p>
        </w:tc>
        <w:tc>
          <w:tcPr>
            <w:tcW w:w="767" w:type="dxa"/>
            <w:vMerge/>
            <w:tcBorders>
              <w:top w:val="single" w:sz="4" w:space="0" w:color="auto"/>
              <w:left w:val="single" w:sz="4" w:space="0" w:color="auto"/>
              <w:bottom w:val="nil"/>
              <w:right w:val="single" w:sz="12" w:space="0" w:color="auto"/>
            </w:tcBorders>
          </w:tcPr>
          <w:p w:rsidR="00AB6AF1" w:rsidRPr="00870476" w:rsidRDefault="00AB6AF1" w:rsidP="00B732ED">
            <w:pPr>
              <w:spacing w:after="200" w:line="276" w:lineRule="auto"/>
              <w:jc w:val="center"/>
              <w:rPr>
                <w:rFonts w:ascii="Arial Narrow" w:hAnsi="Arial Narrow" w:cs="Arial"/>
                <w:b/>
                <w:color w:val="000000"/>
                <w:sz w:val="22"/>
                <w:szCs w:val="22"/>
              </w:rPr>
            </w:pPr>
          </w:p>
        </w:tc>
        <w:tc>
          <w:tcPr>
            <w:tcW w:w="851" w:type="dxa"/>
            <w:vMerge/>
            <w:tcBorders>
              <w:left w:val="single" w:sz="12" w:space="0" w:color="auto"/>
              <w:right w:val="single" w:sz="4" w:space="0" w:color="auto"/>
            </w:tcBorders>
          </w:tcPr>
          <w:p w:rsidR="00AB6AF1" w:rsidRPr="00870476" w:rsidRDefault="00AB6AF1" w:rsidP="00B732ED">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870476" w:rsidRDefault="00AB6AF1" w:rsidP="00B732ED">
            <w:pPr>
              <w:jc w:val="center"/>
              <w:rPr>
                <w:rFonts w:ascii="Arial Narrow" w:hAnsi="Arial Narrow" w:cs="Arial"/>
                <w:color w:val="000000"/>
                <w:sz w:val="22"/>
                <w:szCs w:val="22"/>
              </w:rPr>
            </w:pPr>
            <w:r w:rsidRPr="00870476">
              <w:rPr>
                <w:rFonts w:ascii="Arial Narrow" w:hAnsi="Arial Narrow" w:cs="Arial"/>
                <w:color w:val="000000"/>
                <w:sz w:val="22"/>
                <w:szCs w:val="22"/>
              </w:rPr>
              <w:t>P:d</w:t>
            </w:r>
          </w:p>
        </w:tc>
        <w:tc>
          <w:tcPr>
            <w:tcW w:w="4678" w:type="dxa"/>
            <w:tcBorders>
              <w:left w:val="single" w:sz="4" w:space="0" w:color="auto"/>
              <w:bottom w:val="single" w:sz="4" w:space="0" w:color="auto"/>
              <w:right w:val="single" w:sz="4" w:space="0" w:color="auto"/>
            </w:tcBorders>
          </w:tcPr>
          <w:p w:rsidR="00AB6AF1" w:rsidRPr="00870476" w:rsidRDefault="00AB6AF1" w:rsidP="00B732ED">
            <w:pPr>
              <w:jc w:val="both"/>
              <w:rPr>
                <w:rFonts w:ascii="Arial Narrow" w:hAnsi="Arial Narrow" w:cs="Arial"/>
                <w:sz w:val="22"/>
                <w:szCs w:val="22"/>
              </w:rPr>
            </w:pPr>
            <w:r w:rsidRPr="00870476">
              <w:rPr>
                <w:rFonts w:ascii="Arial Narrow" w:hAnsi="Arial Narrow" w:cs="Arial"/>
                <w:sz w:val="22"/>
                <w:szCs w:val="22"/>
              </w:rPr>
              <w:t>d) nedala overiť účtovnú závierku  alebo súlad údajov účtovnej závierky s výročnou správou audítorom  a tým porušila ustanovenia § 19,  22 alebo § 22a,</w:t>
            </w:r>
          </w:p>
        </w:tc>
        <w:tc>
          <w:tcPr>
            <w:tcW w:w="709" w:type="dxa"/>
            <w:vMerge/>
            <w:tcBorders>
              <w:top w:val="single" w:sz="4" w:space="0" w:color="auto"/>
              <w:left w:val="single" w:sz="4" w:space="0" w:color="auto"/>
              <w:bottom w:val="single" w:sz="4" w:space="0" w:color="auto"/>
              <w:right w:val="single" w:sz="4" w:space="0" w:color="auto"/>
            </w:tcBorders>
          </w:tcPr>
          <w:p w:rsidR="00AB6AF1" w:rsidRPr="00870476" w:rsidRDefault="00AB6AF1" w:rsidP="00B732ED">
            <w:pPr>
              <w:spacing w:line="276" w:lineRule="auto"/>
              <w:jc w:val="center"/>
              <w:rPr>
                <w:rFonts w:ascii="Arial Narrow" w:hAnsi="Arial Narrow" w:cs="Arial"/>
                <w:color w:val="000000"/>
                <w:sz w:val="22"/>
                <w:szCs w:val="22"/>
              </w:rPr>
            </w:pPr>
          </w:p>
        </w:tc>
        <w:tc>
          <w:tcPr>
            <w:tcW w:w="934" w:type="dxa"/>
            <w:vMerge/>
            <w:tcBorders>
              <w:top w:val="single" w:sz="4" w:space="0" w:color="auto"/>
              <w:left w:val="single" w:sz="4" w:space="0" w:color="auto"/>
              <w:bottom w:val="single" w:sz="4" w:space="0" w:color="auto"/>
              <w:right w:val="single" w:sz="12" w:space="0" w:color="auto"/>
            </w:tcBorders>
          </w:tcPr>
          <w:p w:rsidR="00AB6AF1" w:rsidRPr="00870476" w:rsidRDefault="00AB6AF1" w:rsidP="00B732ED">
            <w:pPr>
              <w:spacing w:before="75" w:after="75"/>
              <w:rPr>
                <w:rFonts w:ascii="Arial Narrow" w:hAnsi="Arial Narrow" w:cs="Arial"/>
                <w:sz w:val="22"/>
                <w:szCs w:val="22"/>
              </w:rPr>
            </w:pPr>
          </w:p>
        </w:tc>
      </w:tr>
      <w:tr w:rsidR="001D5D90" w:rsidRPr="00870476" w:rsidTr="000F6E14">
        <w:tc>
          <w:tcPr>
            <w:tcW w:w="682" w:type="dxa"/>
            <w:vMerge/>
            <w:tcBorders>
              <w:left w:val="single" w:sz="12" w:space="0" w:color="auto"/>
              <w:right w:val="single" w:sz="4" w:space="0" w:color="auto"/>
            </w:tcBorders>
          </w:tcPr>
          <w:p w:rsidR="001D5D90" w:rsidRPr="00870476" w:rsidRDefault="001D5D90" w:rsidP="00393CB5">
            <w:pPr>
              <w:spacing w:line="276" w:lineRule="auto"/>
              <w:jc w:val="center"/>
              <w:rPr>
                <w:rFonts w:ascii="Arial Narrow" w:hAnsi="Arial Narrow" w:cs="Arial"/>
                <w:b/>
                <w:color w:val="000000"/>
                <w:sz w:val="22"/>
                <w:szCs w:val="22"/>
              </w:rPr>
            </w:pPr>
          </w:p>
        </w:tc>
        <w:tc>
          <w:tcPr>
            <w:tcW w:w="6604" w:type="dxa"/>
            <w:vMerge/>
            <w:tcBorders>
              <w:top w:val="single" w:sz="4" w:space="0" w:color="auto"/>
              <w:left w:val="single" w:sz="4" w:space="0" w:color="auto"/>
              <w:bottom w:val="nil"/>
              <w:right w:val="single" w:sz="4" w:space="0" w:color="auto"/>
            </w:tcBorders>
          </w:tcPr>
          <w:p w:rsidR="001D5D90" w:rsidRPr="00870476" w:rsidRDefault="001D5D90" w:rsidP="00393CB5">
            <w:pPr>
              <w:spacing w:before="75" w:after="75"/>
              <w:rPr>
                <w:rFonts w:ascii="Arial Narrow" w:hAnsi="Arial Narrow" w:cs="Arial"/>
                <w:sz w:val="22"/>
                <w:szCs w:val="22"/>
              </w:rPr>
            </w:pPr>
          </w:p>
        </w:tc>
        <w:tc>
          <w:tcPr>
            <w:tcW w:w="767" w:type="dxa"/>
            <w:vMerge/>
            <w:tcBorders>
              <w:top w:val="single" w:sz="4" w:space="0" w:color="auto"/>
              <w:left w:val="single" w:sz="4" w:space="0" w:color="auto"/>
              <w:bottom w:val="nil"/>
              <w:right w:val="single" w:sz="12" w:space="0" w:color="auto"/>
            </w:tcBorders>
          </w:tcPr>
          <w:p w:rsidR="001D5D90" w:rsidRPr="00870476" w:rsidRDefault="001D5D90" w:rsidP="00393CB5">
            <w:pPr>
              <w:spacing w:after="200" w:line="276" w:lineRule="auto"/>
              <w:jc w:val="center"/>
              <w:rPr>
                <w:rFonts w:ascii="Arial Narrow" w:hAnsi="Arial Narrow" w:cs="Arial"/>
                <w:b/>
                <w:color w:val="000000"/>
                <w:sz w:val="22"/>
                <w:szCs w:val="22"/>
              </w:rPr>
            </w:pPr>
          </w:p>
        </w:tc>
        <w:tc>
          <w:tcPr>
            <w:tcW w:w="851" w:type="dxa"/>
            <w:vMerge/>
            <w:tcBorders>
              <w:left w:val="single" w:sz="12" w:space="0" w:color="auto"/>
              <w:bottom w:val="single" w:sz="4" w:space="0" w:color="auto"/>
              <w:right w:val="single" w:sz="4" w:space="0" w:color="auto"/>
            </w:tcBorders>
          </w:tcPr>
          <w:p w:rsidR="001D5D90" w:rsidRPr="00870476" w:rsidRDefault="001D5D90" w:rsidP="00393CB5">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1D5D90" w:rsidRPr="00870476" w:rsidRDefault="001D5D90" w:rsidP="001D5D90">
            <w:pPr>
              <w:jc w:val="center"/>
              <w:rPr>
                <w:rFonts w:ascii="Arial Narrow" w:hAnsi="Arial Narrow" w:cs="Arial"/>
                <w:color w:val="000000"/>
                <w:sz w:val="22"/>
                <w:szCs w:val="22"/>
              </w:rPr>
            </w:pPr>
            <w:r w:rsidRPr="00870476">
              <w:rPr>
                <w:rFonts w:ascii="Arial Narrow" w:hAnsi="Arial Narrow" w:cs="Arial"/>
                <w:color w:val="000000"/>
                <w:sz w:val="22"/>
                <w:szCs w:val="22"/>
              </w:rPr>
              <w:t>P:k</w:t>
            </w:r>
          </w:p>
        </w:tc>
        <w:tc>
          <w:tcPr>
            <w:tcW w:w="4678" w:type="dxa"/>
            <w:tcBorders>
              <w:left w:val="single" w:sz="4" w:space="0" w:color="auto"/>
              <w:bottom w:val="single" w:sz="4" w:space="0" w:color="auto"/>
              <w:right w:val="single" w:sz="4" w:space="0" w:color="auto"/>
            </w:tcBorders>
          </w:tcPr>
          <w:p w:rsidR="001D5D90" w:rsidRPr="00870476" w:rsidRDefault="001D5D90" w:rsidP="000110B6">
            <w:pPr>
              <w:jc w:val="both"/>
              <w:rPr>
                <w:rFonts w:ascii="Arial Narrow" w:hAnsi="Arial Narrow" w:cs="Arial"/>
                <w:sz w:val="22"/>
                <w:szCs w:val="22"/>
              </w:rPr>
            </w:pPr>
            <w:r w:rsidRPr="00870476">
              <w:rPr>
                <w:rFonts w:ascii="Arial Narrow" w:hAnsi="Arial Narrow" w:cs="Arial"/>
                <w:sz w:val="22"/>
                <w:szCs w:val="22"/>
              </w:rPr>
              <w:t xml:space="preserve">k) porušila ustanovenia § 31 až 33 </w:t>
            </w:r>
            <w:r w:rsidRPr="00870476">
              <w:rPr>
                <w:rFonts w:ascii="Arial Narrow" w:hAnsi="Arial Narrow" w:cs="Arial"/>
                <w:b/>
                <w:sz w:val="22"/>
                <w:szCs w:val="22"/>
              </w:rPr>
              <w:t>alebo nevyhovela výzve podľa § 31 ods. 8 v určenej lehote alebo  určenom rozsahu</w:t>
            </w:r>
            <w:r w:rsidR="00101960" w:rsidRPr="00101960">
              <w:rPr>
                <w:rFonts w:ascii="Arial Narrow" w:hAnsi="Arial Narrow" w:cs="Arial"/>
                <w:sz w:val="22"/>
                <w:szCs w:val="22"/>
              </w:rPr>
              <w:t>,</w:t>
            </w:r>
          </w:p>
        </w:tc>
        <w:tc>
          <w:tcPr>
            <w:tcW w:w="709" w:type="dxa"/>
            <w:vMerge/>
            <w:tcBorders>
              <w:top w:val="single" w:sz="4" w:space="0" w:color="auto"/>
              <w:left w:val="single" w:sz="4" w:space="0" w:color="auto"/>
              <w:bottom w:val="single" w:sz="4" w:space="0" w:color="auto"/>
              <w:right w:val="single" w:sz="4" w:space="0" w:color="auto"/>
            </w:tcBorders>
          </w:tcPr>
          <w:p w:rsidR="001D5D90" w:rsidRPr="00870476" w:rsidRDefault="001D5D90" w:rsidP="00393CB5">
            <w:pPr>
              <w:spacing w:line="276" w:lineRule="auto"/>
              <w:jc w:val="center"/>
              <w:rPr>
                <w:rFonts w:ascii="Arial Narrow" w:hAnsi="Arial Narrow" w:cs="Arial"/>
                <w:color w:val="000000"/>
                <w:sz w:val="22"/>
                <w:szCs w:val="22"/>
              </w:rPr>
            </w:pPr>
          </w:p>
        </w:tc>
        <w:tc>
          <w:tcPr>
            <w:tcW w:w="934" w:type="dxa"/>
            <w:vMerge/>
            <w:tcBorders>
              <w:top w:val="single" w:sz="4" w:space="0" w:color="auto"/>
              <w:left w:val="single" w:sz="4" w:space="0" w:color="auto"/>
              <w:bottom w:val="single" w:sz="4" w:space="0" w:color="auto"/>
              <w:right w:val="single" w:sz="12" w:space="0" w:color="auto"/>
            </w:tcBorders>
          </w:tcPr>
          <w:p w:rsidR="001D5D90" w:rsidRPr="00870476" w:rsidRDefault="001D5D90" w:rsidP="00393CB5">
            <w:pPr>
              <w:spacing w:before="75" w:after="75"/>
              <w:rPr>
                <w:rFonts w:ascii="Arial Narrow" w:hAnsi="Arial Narrow" w:cs="Arial"/>
                <w:sz w:val="22"/>
                <w:szCs w:val="22"/>
              </w:rPr>
            </w:pPr>
          </w:p>
        </w:tc>
      </w:tr>
      <w:tr w:rsidR="001D5D90" w:rsidRPr="00870476" w:rsidTr="000F6E14">
        <w:tc>
          <w:tcPr>
            <w:tcW w:w="682" w:type="dxa"/>
            <w:vMerge/>
            <w:tcBorders>
              <w:left w:val="single" w:sz="12" w:space="0" w:color="auto"/>
              <w:right w:val="single" w:sz="4" w:space="0" w:color="auto"/>
            </w:tcBorders>
          </w:tcPr>
          <w:p w:rsidR="001D5D90" w:rsidRPr="00870476" w:rsidRDefault="001D5D90" w:rsidP="00393CB5">
            <w:pPr>
              <w:spacing w:line="276" w:lineRule="auto"/>
              <w:jc w:val="center"/>
              <w:rPr>
                <w:rFonts w:ascii="Arial Narrow" w:hAnsi="Arial Narrow" w:cs="Arial"/>
                <w:b/>
                <w:color w:val="000000"/>
                <w:sz w:val="22"/>
                <w:szCs w:val="22"/>
              </w:rPr>
            </w:pPr>
          </w:p>
        </w:tc>
        <w:tc>
          <w:tcPr>
            <w:tcW w:w="6604" w:type="dxa"/>
            <w:vMerge/>
            <w:tcBorders>
              <w:top w:val="single" w:sz="4" w:space="0" w:color="auto"/>
              <w:left w:val="single" w:sz="4" w:space="0" w:color="auto"/>
              <w:bottom w:val="nil"/>
              <w:right w:val="single" w:sz="4" w:space="0" w:color="auto"/>
            </w:tcBorders>
          </w:tcPr>
          <w:p w:rsidR="001D5D90" w:rsidRPr="00870476" w:rsidRDefault="001D5D90" w:rsidP="00393CB5">
            <w:pPr>
              <w:spacing w:before="75" w:after="75"/>
              <w:rPr>
                <w:rFonts w:ascii="Arial Narrow" w:hAnsi="Arial Narrow" w:cs="Arial"/>
                <w:sz w:val="22"/>
                <w:szCs w:val="22"/>
              </w:rPr>
            </w:pPr>
          </w:p>
        </w:tc>
        <w:tc>
          <w:tcPr>
            <w:tcW w:w="767" w:type="dxa"/>
            <w:vMerge/>
            <w:tcBorders>
              <w:top w:val="single" w:sz="4" w:space="0" w:color="auto"/>
              <w:left w:val="single" w:sz="4" w:space="0" w:color="auto"/>
              <w:bottom w:val="nil"/>
              <w:right w:val="single" w:sz="12" w:space="0" w:color="auto"/>
            </w:tcBorders>
          </w:tcPr>
          <w:p w:rsidR="001D5D90" w:rsidRPr="00870476" w:rsidRDefault="001D5D90" w:rsidP="00393CB5">
            <w:pPr>
              <w:spacing w:after="200" w:line="276" w:lineRule="auto"/>
              <w:jc w:val="center"/>
              <w:rPr>
                <w:rFonts w:ascii="Arial Narrow" w:hAnsi="Arial Narrow" w:cs="Arial"/>
                <w:b/>
                <w:color w:val="000000"/>
                <w:sz w:val="22"/>
                <w:szCs w:val="22"/>
              </w:rPr>
            </w:pPr>
          </w:p>
        </w:tc>
        <w:tc>
          <w:tcPr>
            <w:tcW w:w="851" w:type="dxa"/>
            <w:vMerge/>
            <w:tcBorders>
              <w:left w:val="single" w:sz="12" w:space="0" w:color="auto"/>
              <w:bottom w:val="single" w:sz="4" w:space="0" w:color="auto"/>
              <w:right w:val="single" w:sz="4" w:space="0" w:color="auto"/>
            </w:tcBorders>
          </w:tcPr>
          <w:p w:rsidR="001D5D90" w:rsidRPr="00870476" w:rsidRDefault="001D5D90" w:rsidP="00393CB5">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1D5D90" w:rsidRPr="00870476" w:rsidRDefault="001D5D90" w:rsidP="001D5D90">
            <w:pPr>
              <w:jc w:val="center"/>
              <w:rPr>
                <w:rFonts w:ascii="Arial Narrow" w:hAnsi="Arial Narrow" w:cs="Arial"/>
                <w:b/>
                <w:color w:val="000000"/>
                <w:sz w:val="22"/>
                <w:szCs w:val="22"/>
              </w:rPr>
            </w:pPr>
            <w:r w:rsidRPr="00870476">
              <w:rPr>
                <w:rFonts w:ascii="Arial Narrow" w:hAnsi="Arial Narrow" w:cs="Arial"/>
                <w:b/>
                <w:color w:val="000000"/>
                <w:sz w:val="22"/>
                <w:szCs w:val="22"/>
              </w:rPr>
              <w:t>P:o</w:t>
            </w:r>
          </w:p>
        </w:tc>
        <w:tc>
          <w:tcPr>
            <w:tcW w:w="4678" w:type="dxa"/>
            <w:tcBorders>
              <w:left w:val="single" w:sz="4" w:space="0" w:color="auto"/>
              <w:bottom w:val="single" w:sz="4" w:space="0" w:color="auto"/>
              <w:right w:val="single" w:sz="4" w:space="0" w:color="auto"/>
            </w:tcBorders>
          </w:tcPr>
          <w:p w:rsidR="001D5D90" w:rsidRPr="00870476" w:rsidRDefault="0012541D" w:rsidP="00194F22">
            <w:pPr>
              <w:jc w:val="both"/>
              <w:rPr>
                <w:rFonts w:ascii="Arial Narrow" w:hAnsi="Arial Narrow" w:cs="Arial"/>
                <w:b/>
                <w:sz w:val="22"/>
                <w:szCs w:val="22"/>
              </w:rPr>
            </w:pPr>
            <w:r w:rsidRPr="0012541D">
              <w:rPr>
                <w:rFonts w:ascii="Arial Narrow" w:hAnsi="Arial Narrow" w:cs="Arial"/>
                <w:b/>
                <w:sz w:val="22"/>
                <w:szCs w:val="22"/>
              </w:rPr>
              <w:t>o)</w:t>
            </w:r>
            <w:r>
              <w:rPr>
                <w:rFonts w:ascii="Arial Narrow" w:hAnsi="Arial Narrow" w:cs="Arial"/>
                <w:b/>
                <w:sz w:val="22"/>
                <w:szCs w:val="22"/>
              </w:rPr>
              <w:t xml:space="preserve"> </w:t>
            </w:r>
            <w:r w:rsidRPr="0012541D">
              <w:rPr>
                <w:rFonts w:ascii="Arial Narrow" w:hAnsi="Arial Narrow" w:cs="Arial"/>
                <w:b/>
                <w:sz w:val="22"/>
                <w:szCs w:val="22"/>
              </w:rPr>
              <w:t>uložila správu s informáciami o dani z príjmov, ktorá neobsahuje náležitosti ustanovené opatrením vydaným podľa  § 21a ods. 6 alebo usporiadanie a označovanie týchto náležitostí je v rozpore s opatrením vydaným podľa § 21a ods. 6</w:t>
            </w:r>
            <w:r w:rsidR="00194F22">
              <w:rPr>
                <w:rFonts w:ascii="Arial Narrow" w:hAnsi="Arial Narrow" w:cs="Arial"/>
                <w:b/>
                <w:sz w:val="22"/>
                <w:szCs w:val="22"/>
              </w:rPr>
              <w:t xml:space="preserve"> alebo</w:t>
            </w:r>
            <w:r w:rsidRPr="0012541D">
              <w:rPr>
                <w:rFonts w:ascii="Arial Narrow" w:hAnsi="Arial Narrow" w:cs="Arial"/>
                <w:b/>
                <w:sz w:val="22"/>
                <w:szCs w:val="22"/>
              </w:rPr>
              <w:t xml:space="preserve"> porušila  ustanovenie § 21e alebo</w:t>
            </w:r>
            <w:r>
              <w:rPr>
                <w:rFonts w:ascii="Arial Narrow" w:hAnsi="Arial Narrow" w:cs="Arial"/>
                <w:b/>
                <w:sz w:val="22"/>
                <w:szCs w:val="22"/>
              </w:rPr>
              <w:t xml:space="preserve"> </w:t>
            </w:r>
            <w:r w:rsidRPr="0012541D">
              <w:rPr>
                <w:rFonts w:ascii="Arial Narrow" w:hAnsi="Arial Narrow" w:cs="Arial"/>
                <w:b/>
                <w:sz w:val="22"/>
                <w:szCs w:val="22"/>
              </w:rPr>
              <w:t>§ 23a ods. 11</w:t>
            </w:r>
            <w:r>
              <w:rPr>
                <w:rFonts w:ascii="Arial Narrow" w:hAnsi="Arial Narrow" w:cs="Arial"/>
                <w:b/>
                <w:sz w:val="22"/>
                <w:szCs w:val="22"/>
              </w:rPr>
              <w:t>.</w:t>
            </w:r>
          </w:p>
        </w:tc>
        <w:tc>
          <w:tcPr>
            <w:tcW w:w="709" w:type="dxa"/>
            <w:vMerge/>
            <w:tcBorders>
              <w:top w:val="single" w:sz="4" w:space="0" w:color="auto"/>
              <w:left w:val="single" w:sz="4" w:space="0" w:color="auto"/>
              <w:bottom w:val="single" w:sz="4" w:space="0" w:color="auto"/>
              <w:right w:val="single" w:sz="4" w:space="0" w:color="auto"/>
            </w:tcBorders>
          </w:tcPr>
          <w:p w:rsidR="001D5D90" w:rsidRPr="00870476" w:rsidRDefault="001D5D90" w:rsidP="00393CB5">
            <w:pPr>
              <w:spacing w:line="276" w:lineRule="auto"/>
              <w:jc w:val="center"/>
              <w:rPr>
                <w:rFonts w:ascii="Arial Narrow" w:hAnsi="Arial Narrow" w:cs="Arial"/>
                <w:color w:val="000000"/>
                <w:sz w:val="22"/>
                <w:szCs w:val="22"/>
              </w:rPr>
            </w:pPr>
          </w:p>
        </w:tc>
        <w:tc>
          <w:tcPr>
            <w:tcW w:w="934" w:type="dxa"/>
            <w:vMerge/>
            <w:tcBorders>
              <w:top w:val="single" w:sz="4" w:space="0" w:color="auto"/>
              <w:left w:val="single" w:sz="4" w:space="0" w:color="auto"/>
              <w:bottom w:val="single" w:sz="4" w:space="0" w:color="auto"/>
              <w:right w:val="single" w:sz="12" w:space="0" w:color="auto"/>
            </w:tcBorders>
          </w:tcPr>
          <w:p w:rsidR="001D5D90" w:rsidRPr="00870476" w:rsidRDefault="001D5D90" w:rsidP="00393CB5">
            <w:pPr>
              <w:spacing w:before="75" w:after="75"/>
              <w:rPr>
                <w:rFonts w:ascii="Arial Narrow" w:hAnsi="Arial Narrow" w:cs="Arial"/>
                <w:sz w:val="22"/>
                <w:szCs w:val="22"/>
              </w:rPr>
            </w:pPr>
          </w:p>
        </w:tc>
      </w:tr>
      <w:tr w:rsidR="00AB6AF1" w:rsidRPr="00870476" w:rsidTr="000F6E14">
        <w:tc>
          <w:tcPr>
            <w:tcW w:w="682" w:type="dxa"/>
            <w:vMerge/>
            <w:tcBorders>
              <w:left w:val="single" w:sz="12" w:space="0" w:color="auto"/>
              <w:right w:val="single" w:sz="4" w:space="0" w:color="auto"/>
            </w:tcBorders>
          </w:tcPr>
          <w:p w:rsidR="00AB6AF1" w:rsidRPr="00870476" w:rsidRDefault="00AB6AF1" w:rsidP="00393CB5">
            <w:pPr>
              <w:spacing w:line="276" w:lineRule="auto"/>
              <w:jc w:val="center"/>
              <w:rPr>
                <w:rFonts w:ascii="Arial Narrow" w:hAnsi="Arial Narrow" w:cs="Arial"/>
                <w:b/>
                <w:color w:val="000000"/>
                <w:sz w:val="22"/>
                <w:szCs w:val="22"/>
              </w:rPr>
            </w:pPr>
          </w:p>
        </w:tc>
        <w:tc>
          <w:tcPr>
            <w:tcW w:w="6604" w:type="dxa"/>
            <w:vMerge/>
            <w:tcBorders>
              <w:top w:val="single" w:sz="4" w:space="0" w:color="auto"/>
              <w:left w:val="single" w:sz="4" w:space="0" w:color="auto"/>
              <w:bottom w:val="nil"/>
              <w:right w:val="single" w:sz="4" w:space="0" w:color="auto"/>
            </w:tcBorders>
          </w:tcPr>
          <w:p w:rsidR="00AB6AF1" w:rsidRPr="00870476" w:rsidRDefault="00AB6AF1" w:rsidP="00393CB5">
            <w:pPr>
              <w:spacing w:before="75" w:after="75"/>
              <w:rPr>
                <w:rFonts w:ascii="Arial Narrow" w:hAnsi="Arial Narrow" w:cs="Arial"/>
                <w:sz w:val="22"/>
                <w:szCs w:val="22"/>
              </w:rPr>
            </w:pPr>
          </w:p>
        </w:tc>
        <w:tc>
          <w:tcPr>
            <w:tcW w:w="767" w:type="dxa"/>
            <w:vMerge/>
            <w:tcBorders>
              <w:top w:val="single" w:sz="4" w:space="0" w:color="auto"/>
              <w:left w:val="single" w:sz="4" w:space="0" w:color="auto"/>
              <w:bottom w:val="nil"/>
              <w:right w:val="single" w:sz="12" w:space="0" w:color="auto"/>
            </w:tcBorders>
          </w:tcPr>
          <w:p w:rsidR="00AB6AF1" w:rsidRPr="00870476" w:rsidRDefault="00AB6AF1" w:rsidP="00393CB5">
            <w:pPr>
              <w:spacing w:after="200" w:line="276" w:lineRule="auto"/>
              <w:jc w:val="center"/>
              <w:rPr>
                <w:rFonts w:ascii="Arial Narrow" w:hAnsi="Arial Narrow" w:cs="Arial"/>
                <w:b/>
                <w:color w:val="000000"/>
                <w:sz w:val="22"/>
                <w:szCs w:val="22"/>
              </w:rPr>
            </w:pPr>
          </w:p>
        </w:tc>
        <w:tc>
          <w:tcPr>
            <w:tcW w:w="851" w:type="dxa"/>
            <w:vMerge/>
            <w:tcBorders>
              <w:left w:val="single" w:sz="12" w:space="0" w:color="auto"/>
              <w:bottom w:val="single" w:sz="4" w:space="0" w:color="auto"/>
              <w:right w:val="single" w:sz="4" w:space="0" w:color="auto"/>
            </w:tcBorders>
          </w:tcPr>
          <w:p w:rsidR="00AB6AF1" w:rsidRPr="00870476" w:rsidRDefault="00AB6AF1" w:rsidP="00393CB5">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870476" w:rsidRDefault="00AB6AF1" w:rsidP="00292FD6">
            <w:pPr>
              <w:jc w:val="center"/>
              <w:rPr>
                <w:rFonts w:ascii="Arial Narrow" w:hAnsi="Arial Narrow" w:cs="Arial"/>
                <w:color w:val="000000"/>
                <w:sz w:val="22"/>
                <w:szCs w:val="22"/>
              </w:rPr>
            </w:pPr>
            <w:r w:rsidRPr="00870476">
              <w:rPr>
                <w:rFonts w:ascii="Arial Narrow" w:hAnsi="Arial Narrow" w:cs="Arial"/>
                <w:color w:val="000000"/>
                <w:sz w:val="22"/>
                <w:szCs w:val="22"/>
              </w:rPr>
              <w:t>§ 38</w:t>
            </w:r>
          </w:p>
          <w:p w:rsidR="00AB6AF1" w:rsidRPr="00870476" w:rsidRDefault="00AB6AF1" w:rsidP="00292FD6">
            <w:pPr>
              <w:jc w:val="center"/>
              <w:rPr>
                <w:rFonts w:ascii="Arial Narrow" w:hAnsi="Arial Narrow" w:cs="Arial"/>
                <w:color w:val="000000"/>
                <w:sz w:val="22"/>
                <w:szCs w:val="22"/>
              </w:rPr>
            </w:pPr>
            <w:r w:rsidRPr="00870476">
              <w:rPr>
                <w:rFonts w:ascii="Arial Narrow" w:hAnsi="Arial Narrow" w:cs="Arial"/>
                <w:color w:val="000000"/>
                <w:sz w:val="22"/>
                <w:szCs w:val="22"/>
              </w:rPr>
              <w:t>O:8</w:t>
            </w:r>
          </w:p>
          <w:p w:rsidR="00AB6AF1" w:rsidRPr="00870476" w:rsidRDefault="00AB6AF1" w:rsidP="00393CB5">
            <w:pPr>
              <w:jc w:val="center"/>
              <w:rPr>
                <w:rFonts w:ascii="Arial Narrow" w:hAnsi="Arial Narrow" w:cs="Arial"/>
                <w:color w:val="000000"/>
                <w:sz w:val="22"/>
                <w:szCs w:val="22"/>
              </w:rPr>
            </w:pPr>
          </w:p>
        </w:tc>
        <w:tc>
          <w:tcPr>
            <w:tcW w:w="4678" w:type="dxa"/>
            <w:tcBorders>
              <w:left w:val="single" w:sz="4" w:space="0" w:color="auto"/>
              <w:bottom w:val="single" w:sz="4" w:space="0" w:color="auto"/>
              <w:right w:val="single" w:sz="4" w:space="0" w:color="auto"/>
            </w:tcBorders>
          </w:tcPr>
          <w:p w:rsidR="00410550" w:rsidRPr="00870476" w:rsidRDefault="00AB6AF1" w:rsidP="001D5D90">
            <w:pPr>
              <w:jc w:val="both"/>
              <w:rPr>
                <w:rFonts w:ascii="Arial Narrow" w:hAnsi="Arial Narrow" w:cs="Arial"/>
                <w:b/>
                <w:sz w:val="22"/>
                <w:szCs w:val="22"/>
              </w:rPr>
            </w:pPr>
            <w:r w:rsidRPr="00870476">
              <w:rPr>
                <w:rFonts w:ascii="Arial Narrow" w:hAnsi="Arial Narrow" w:cs="Arial"/>
                <w:sz w:val="22"/>
                <w:szCs w:val="22"/>
              </w:rPr>
              <w:t>Daňový úrad je oprávnený vykonávať kontrolu dodržiavania ustanovení tohto zákona. Na vykonávanie kontroly, na konanie o uložení pokuty vrátane jej vymáhania a na opravné prostriedky proti rozhodnutiu o uložení pokuty sa primerane vzťahuje daňový poriadok. Pokutu za správny delikt uloží daňový úrad, ktorý vykonal kontrolu dodržiavania ustanovení tohto zákona.</w:t>
            </w:r>
          </w:p>
        </w:tc>
        <w:tc>
          <w:tcPr>
            <w:tcW w:w="709" w:type="dxa"/>
            <w:vMerge/>
            <w:tcBorders>
              <w:top w:val="single" w:sz="4" w:space="0" w:color="auto"/>
              <w:left w:val="single" w:sz="4" w:space="0" w:color="auto"/>
              <w:bottom w:val="single" w:sz="4" w:space="0" w:color="auto"/>
              <w:right w:val="single" w:sz="4" w:space="0" w:color="auto"/>
            </w:tcBorders>
          </w:tcPr>
          <w:p w:rsidR="00AB6AF1" w:rsidRPr="00870476" w:rsidRDefault="00AB6AF1" w:rsidP="00393CB5">
            <w:pPr>
              <w:spacing w:line="276" w:lineRule="auto"/>
              <w:jc w:val="center"/>
              <w:rPr>
                <w:rFonts w:ascii="Arial Narrow" w:hAnsi="Arial Narrow" w:cs="Arial"/>
                <w:color w:val="000000"/>
                <w:sz w:val="22"/>
                <w:szCs w:val="22"/>
              </w:rPr>
            </w:pPr>
          </w:p>
        </w:tc>
        <w:tc>
          <w:tcPr>
            <w:tcW w:w="934" w:type="dxa"/>
            <w:vMerge/>
            <w:tcBorders>
              <w:top w:val="single" w:sz="4" w:space="0" w:color="auto"/>
              <w:left w:val="single" w:sz="4" w:space="0" w:color="auto"/>
              <w:bottom w:val="single" w:sz="4" w:space="0" w:color="auto"/>
              <w:right w:val="single" w:sz="12" w:space="0" w:color="auto"/>
            </w:tcBorders>
          </w:tcPr>
          <w:p w:rsidR="00AB6AF1" w:rsidRPr="00870476" w:rsidRDefault="00AB6AF1" w:rsidP="00393CB5">
            <w:pPr>
              <w:spacing w:before="75" w:after="75"/>
              <w:rPr>
                <w:rFonts w:ascii="Arial Narrow" w:hAnsi="Arial Narrow" w:cs="Arial"/>
                <w:sz w:val="22"/>
                <w:szCs w:val="22"/>
              </w:rPr>
            </w:pPr>
          </w:p>
        </w:tc>
      </w:tr>
      <w:tr w:rsidR="00FE0A12" w:rsidRPr="00870476" w:rsidTr="000F6E14">
        <w:trPr>
          <w:trHeight w:val="1181"/>
        </w:trPr>
        <w:tc>
          <w:tcPr>
            <w:tcW w:w="682" w:type="dxa"/>
            <w:tcBorders>
              <w:top w:val="single" w:sz="4" w:space="0" w:color="auto"/>
              <w:left w:val="single" w:sz="12" w:space="0" w:color="auto"/>
              <w:right w:val="single" w:sz="4" w:space="0" w:color="auto"/>
            </w:tcBorders>
          </w:tcPr>
          <w:p w:rsidR="00FE0A12" w:rsidRPr="00FE0A12" w:rsidRDefault="00FE0A12" w:rsidP="00DE3FD4">
            <w:pPr>
              <w:spacing w:line="276" w:lineRule="auto"/>
              <w:jc w:val="center"/>
              <w:rPr>
                <w:rFonts w:ascii="Arial Narrow" w:hAnsi="Arial Narrow" w:cs="Arial"/>
                <w:color w:val="000000"/>
                <w:sz w:val="22"/>
                <w:szCs w:val="22"/>
              </w:rPr>
            </w:pPr>
            <w:r w:rsidRPr="00FE0A12">
              <w:rPr>
                <w:rFonts w:ascii="Arial Narrow" w:hAnsi="Arial Narrow" w:cs="Arial"/>
                <w:color w:val="000000"/>
                <w:sz w:val="22"/>
                <w:szCs w:val="22"/>
              </w:rPr>
              <w:t>Č: 34</w:t>
            </w:r>
          </w:p>
          <w:p w:rsidR="00FE0A12" w:rsidRDefault="00FE0A12" w:rsidP="00DE3FD4">
            <w:pPr>
              <w:spacing w:line="276" w:lineRule="auto"/>
              <w:jc w:val="center"/>
              <w:rPr>
                <w:rFonts w:ascii="Arial Narrow" w:hAnsi="Arial Narrow" w:cs="Arial"/>
                <w:color w:val="000000"/>
                <w:sz w:val="22"/>
                <w:szCs w:val="22"/>
              </w:rPr>
            </w:pPr>
            <w:r w:rsidRPr="00FE0A12">
              <w:rPr>
                <w:rFonts w:ascii="Arial Narrow" w:hAnsi="Arial Narrow" w:cs="Arial"/>
                <w:color w:val="000000"/>
                <w:sz w:val="22"/>
                <w:szCs w:val="22"/>
              </w:rPr>
              <w:t>O: 1</w:t>
            </w:r>
          </w:p>
          <w:p w:rsidR="00FE0A12" w:rsidRPr="00870476" w:rsidRDefault="00FE0A12" w:rsidP="00292FD6">
            <w:pPr>
              <w:spacing w:after="200" w:line="276" w:lineRule="auto"/>
              <w:jc w:val="center"/>
              <w:rPr>
                <w:rFonts w:ascii="Arial Narrow" w:hAnsi="Arial Narrow" w:cs="Arial"/>
                <w:b/>
                <w:color w:val="000000"/>
                <w:sz w:val="22"/>
                <w:szCs w:val="22"/>
              </w:rPr>
            </w:pPr>
            <w:r>
              <w:rPr>
                <w:rFonts w:ascii="Arial Narrow" w:hAnsi="Arial Narrow" w:cs="Arial"/>
                <w:color w:val="000000"/>
                <w:sz w:val="22"/>
                <w:szCs w:val="22"/>
              </w:rPr>
              <w:t>P: b</w:t>
            </w:r>
          </w:p>
        </w:tc>
        <w:tc>
          <w:tcPr>
            <w:tcW w:w="6604" w:type="dxa"/>
            <w:tcBorders>
              <w:top w:val="nil"/>
              <w:left w:val="single" w:sz="4" w:space="0" w:color="auto"/>
              <w:right w:val="single" w:sz="4" w:space="0" w:color="auto"/>
            </w:tcBorders>
          </w:tcPr>
          <w:p w:rsidR="00FE0A12" w:rsidRDefault="00FE0A12" w:rsidP="00FE0A12">
            <w:pPr>
              <w:adjustRightInd w:val="0"/>
              <w:rPr>
                <w:rFonts w:ascii="Arial Narrow" w:hAnsi="Arial Narrow"/>
                <w:bCs/>
                <w:color w:val="000000"/>
                <w:sz w:val="22"/>
                <w:szCs w:val="22"/>
              </w:rPr>
            </w:pPr>
            <w:r>
              <w:rPr>
                <w:rFonts w:ascii="Arial Narrow" w:hAnsi="Arial Narrow"/>
                <w:bCs/>
                <w:color w:val="000000"/>
                <w:sz w:val="22"/>
                <w:szCs w:val="22"/>
              </w:rPr>
              <w:t>Štatutárni audítori alebo audítorské spoločnosti taktiež</w:t>
            </w:r>
          </w:p>
          <w:p w:rsidR="00FE0A12" w:rsidRPr="00FE0A12" w:rsidRDefault="00FE0A12" w:rsidP="00FE0A12">
            <w:pPr>
              <w:adjustRightInd w:val="0"/>
              <w:rPr>
                <w:rFonts w:ascii="Arial Narrow" w:hAnsi="Arial Narrow"/>
                <w:bCs/>
                <w:color w:val="000000"/>
                <w:sz w:val="22"/>
                <w:szCs w:val="22"/>
              </w:rPr>
            </w:pPr>
            <w:r w:rsidRPr="00FE0A12">
              <w:rPr>
                <w:rFonts w:ascii="Arial Narrow" w:hAnsi="Arial Narrow"/>
                <w:bCs/>
                <w:color w:val="000000"/>
                <w:sz w:val="22"/>
                <w:szCs w:val="22"/>
              </w:rPr>
              <w:t>b) uvedú, či na základe poznania a porozumenia podnik</w:t>
            </w:r>
            <w:r>
              <w:rPr>
                <w:rFonts w:ascii="Arial Narrow" w:hAnsi="Arial Narrow"/>
                <w:bCs/>
                <w:color w:val="000000"/>
                <w:sz w:val="22"/>
                <w:szCs w:val="22"/>
              </w:rPr>
              <w:t>u</w:t>
            </w:r>
            <w:r w:rsidRPr="00FE0A12">
              <w:rPr>
                <w:rFonts w:ascii="Arial Narrow" w:hAnsi="Arial Narrow"/>
                <w:bCs/>
                <w:color w:val="000000"/>
                <w:sz w:val="22"/>
                <w:szCs w:val="22"/>
              </w:rPr>
              <w:t xml:space="preserve"> a jeho prostredia získaných počas auditu, audítor alebo audítorská spoločnosť zistili významné nesprávnosti v správe o hospodárení, pričom uvedú charakter každej takejto nesprávnosti</w:t>
            </w:r>
          </w:p>
        </w:tc>
        <w:tc>
          <w:tcPr>
            <w:tcW w:w="767" w:type="dxa"/>
            <w:tcBorders>
              <w:top w:val="nil"/>
              <w:left w:val="single" w:sz="4" w:space="0" w:color="auto"/>
              <w:right w:val="single" w:sz="12" w:space="0" w:color="auto"/>
            </w:tcBorders>
          </w:tcPr>
          <w:p w:rsidR="00FE0A12" w:rsidRPr="00870476" w:rsidRDefault="00FE0A12" w:rsidP="00292FD6">
            <w:pPr>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right w:val="single" w:sz="4" w:space="0" w:color="auto"/>
            </w:tcBorders>
          </w:tcPr>
          <w:p w:rsidR="00FE0A12" w:rsidRPr="00870476" w:rsidRDefault="00FE0A12" w:rsidP="00FE0A12">
            <w:pPr>
              <w:jc w:val="center"/>
              <w:rPr>
                <w:rFonts w:ascii="Arial Narrow" w:hAnsi="Arial Narrow" w:cs="Arial"/>
                <w:bCs/>
                <w:sz w:val="22"/>
                <w:szCs w:val="22"/>
              </w:rPr>
            </w:pPr>
            <w:r w:rsidRPr="00870476">
              <w:rPr>
                <w:rFonts w:ascii="Arial Narrow" w:hAnsi="Arial Narrow" w:cs="Arial"/>
                <w:bCs/>
                <w:sz w:val="22"/>
                <w:szCs w:val="22"/>
              </w:rPr>
              <w:t>431/2002</w:t>
            </w:r>
          </w:p>
          <w:p w:rsidR="00FE0A12" w:rsidRPr="00870476" w:rsidRDefault="00FE0A12" w:rsidP="00FE0A12">
            <w:pPr>
              <w:jc w:val="center"/>
              <w:rPr>
                <w:rFonts w:ascii="Arial Narrow" w:hAnsi="Arial Narrow" w:cs="Arial"/>
                <w:bCs/>
                <w:sz w:val="22"/>
                <w:szCs w:val="22"/>
              </w:rPr>
            </w:pPr>
            <w:r w:rsidRPr="00870476">
              <w:rPr>
                <w:rFonts w:ascii="Arial Narrow" w:hAnsi="Arial Narrow" w:cs="Arial"/>
                <w:bCs/>
                <w:sz w:val="22"/>
                <w:szCs w:val="22"/>
              </w:rPr>
              <w:t>a</w:t>
            </w:r>
          </w:p>
          <w:p w:rsidR="00FE0A12" w:rsidRPr="00870476" w:rsidRDefault="00FE0A12" w:rsidP="00FE0A12">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FE0A12" w:rsidRPr="00870476" w:rsidRDefault="00FE0A12" w:rsidP="00DE3FD4">
            <w:pPr>
              <w:jc w:val="center"/>
              <w:rPr>
                <w:rFonts w:ascii="Arial Narrow" w:hAnsi="Arial Narrow" w:cs="Arial"/>
                <w:bCs/>
                <w:sz w:val="22"/>
                <w:szCs w:val="22"/>
              </w:rPr>
            </w:pPr>
            <w:r w:rsidRPr="00870476">
              <w:rPr>
                <w:rFonts w:ascii="Arial Narrow" w:hAnsi="Arial Narrow"/>
                <w:b/>
                <w:color w:val="000000"/>
                <w:sz w:val="22"/>
                <w:szCs w:val="22"/>
              </w:rPr>
              <w:t>čl. I</w:t>
            </w:r>
            <w:r w:rsidRPr="00870476">
              <w:rPr>
                <w:rFonts w:ascii="Arial Narrow" w:hAnsi="Arial Narrow" w:cs="Arial"/>
                <w:b/>
                <w:bCs/>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FE0A12" w:rsidRDefault="00FE0A12" w:rsidP="00292FD6">
            <w:pPr>
              <w:pStyle w:val="Normlny0"/>
              <w:jc w:val="center"/>
              <w:rPr>
                <w:rFonts w:ascii="Arial Narrow" w:hAnsi="Arial Narrow"/>
                <w:sz w:val="22"/>
                <w:szCs w:val="22"/>
              </w:rPr>
            </w:pPr>
            <w:r>
              <w:rPr>
                <w:rFonts w:ascii="Arial Narrow" w:hAnsi="Arial Narrow"/>
                <w:sz w:val="22"/>
                <w:szCs w:val="22"/>
              </w:rPr>
              <w:t>§ 20</w:t>
            </w:r>
          </w:p>
          <w:p w:rsidR="00FE0A12" w:rsidRDefault="00FE0A12" w:rsidP="00292FD6">
            <w:pPr>
              <w:pStyle w:val="Normlny0"/>
              <w:jc w:val="center"/>
              <w:rPr>
                <w:rFonts w:ascii="Arial Narrow" w:hAnsi="Arial Narrow"/>
                <w:sz w:val="22"/>
                <w:szCs w:val="22"/>
              </w:rPr>
            </w:pPr>
            <w:r>
              <w:rPr>
                <w:rFonts w:ascii="Arial Narrow" w:hAnsi="Arial Narrow"/>
                <w:sz w:val="22"/>
                <w:szCs w:val="22"/>
              </w:rPr>
              <w:t>O: 3</w:t>
            </w:r>
          </w:p>
          <w:p w:rsidR="00FE0A12" w:rsidRPr="00870476" w:rsidRDefault="00FE0A12" w:rsidP="00292FD6">
            <w:pPr>
              <w:pStyle w:val="Normlny0"/>
              <w:jc w:val="center"/>
              <w:rPr>
                <w:rFonts w:ascii="Arial Narrow" w:hAnsi="Arial Narrow"/>
                <w:sz w:val="22"/>
                <w:szCs w:val="22"/>
              </w:rPr>
            </w:pPr>
            <w:r>
              <w:rPr>
                <w:rFonts w:ascii="Arial Narrow" w:hAnsi="Arial Narrow"/>
                <w:sz w:val="22"/>
                <w:szCs w:val="22"/>
              </w:rPr>
              <w:t>P: e</w:t>
            </w:r>
          </w:p>
        </w:tc>
        <w:tc>
          <w:tcPr>
            <w:tcW w:w="4678" w:type="dxa"/>
            <w:tcBorders>
              <w:top w:val="single" w:sz="4" w:space="0" w:color="auto"/>
              <w:left w:val="single" w:sz="4" w:space="0" w:color="auto"/>
              <w:bottom w:val="single" w:sz="4" w:space="0" w:color="auto"/>
              <w:right w:val="single" w:sz="4" w:space="0" w:color="auto"/>
            </w:tcBorders>
          </w:tcPr>
          <w:p w:rsidR="00FE0A12" w:rsidRPr="00870476" w:rsidRDefault="00FE0A12" w:rsidP="00DE3FD4">
            <w:pPr>
              <w:jc w:val="both"/>
              <w:rPr>
                <w:rFonts w:ascii="Arial Narrow" w:hAnsi="Arial Narrow" w:cs="Arial"/>
                <w:sz w:val="22"/>
                <w:szCs w:val="22"/>
              </w:rPr>
            </w:pPr>
            <w:r w:rsidRPr="00597742">
              <w:rPr>
                <w:rFonts w:ascii="Arial Narrow" w:hAnsi="Arial Narrow"/>
                <w:sz w:val="22"/>
                <w:szCs w:val="22"/>
              </w:rPr>
              <w:t xml:space="preserve">e) uviesť, či na základe poznatkov o účtovnej jednotke a situácii v nej </w:t>
            </w:r>
            <w:r w:rsidRPr="00597742">
              <w:rPr>
                <w:rFonts w:ascii="Arial Narrow" w:hAnsi="Arial Narrow"/>
                <w:b/>
                <w:sz w:val="22"/>
                <w:szCs w:val="22"/>
              </w:rPr>
              <w:t>získaných počas auditu účtovnej závierky</w:t>
            </w:r>
            <w:r w:rsidRPr="00597742">
              <w:rPr>
                <w:rFonts w:ascii="Arial Narrow" w:hAnsi="Arial Narrow"/>
                <w:sz w:val="22"/>
                <w:szCs w:val="22"/>
              </w:rPr>
              <w:t xml:space="preserve"> zistil významné nesprávnosti vo výročnej správe a uviesť charakter každej takej významnej nesprávnosti.</w:t>
            </w:r>
          </w:p>
        </w:tc>
        <w:tc>
          <w:tcPr>
            <w:tcW w:w="709" w:type="dxa"/>
            <w:tcBorders>
              <w:top w:val="single" w:sz="4" w:space="0" w:color="auto"/>
              <w:left w:val="single" w:sz="4" w:space="0" w:color="auto"/>
              <w:right w:val="single" w:sz="4" w:space="0" w:color="auto"/>
            </w:tcBorders>
          </w:tcPr>
          <w:p w:rsidR="00FE0A12" w:rsidRPr="00870476" w:rsidRDefault="00FE0A12" w:rsidP="00292FD6">
            <w:pPr>
              <w:jc w:val="center"/>
              <w:rPr>
                <w:rFonts w:ascii="Arial Narrow" w:hAnsi="Arial Narrow"/>
                <w:sz w:val="22"/>
                <w:szCs w:val="22"/>
              </w:rPr>
            </w:pPr>
            <w:r>
              <w:rPr>
                <w:rFonts w:ascii="Arial Narrow" w:hAnsi="Arial Narrow"/>
                <w:sz w:val="22"/>
                <w:szCs w:val="22"/>
              </w:rPr>
              <w:t>Ú</w:t>
            </w:r>
          </w:p>
        </w:tc>
        <w:tc>
          <w:tcPr>
            <w:tcW w:w="934" w:type="dxa"/>
            <w:tcBorders>
              <w:top w:val="single" w:sz="4" w:space="0" w:color="auto"/>
              <w:left w:val="single" w:sz="4" w:space="0" w:color="auto"/>
              <w:right w:val="single" w:sz="12" w:space="0" w:color="auto"/>
            </w:tcBorders>
          </w:tcPr>
          <w:p w:rsidR="00FE0A12" w:rsidRPr="00870476" w:rsidRDefault="00FE0A12" w:rsidP="00292FD6">
            <w:pPr>
              <w:pStyle w:val="Nadpis1"/>
              <w:rPr>
                <w:rFonts w:ascii="Arial Narrow" w:hAnsi="Arial Narrow"/>
                <w:b w:val="0"/>
                <w:bCs w:val="0"/>
                <w:sz w:val="22"/>
                <w:szCs w:val="22"/>
              </w:rPr>
            </w:pPr>
          </w:p>
        </w:tc>
      </w:tr>
      <w:tr w:rsidR="00410550" w:rsidRPr="00870476" w:rsidTr="000F6E14">
        <w:tc>
          <w:tcPr>
            <w:tcW w:w="682" w:type="dxa"/>
            <w:vMerge w:val="restart"/>
            <w:tcBorders>
              <w:top w:val="single" w:sz="4" w:space="0" w:color="auto"/>
              <w:left w:val="single" w:sz="12" w:space="0" w:color="auto"/>
              <w:right w:val="single" w:sz="4" w:space="0" w:color="auto"/>
            </w:tcBorders>
          </w:tcPr>
          <w:p w:rsidR="00410550" w:rsidRPr="00FE0A12" w:rsidRDefault="00FE0A12" w:rsidP="00292FD6">
            <w:pPr>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Č</w:t>
            </w:r>
            <w:r w:rsidR="00410550" w:rsidRPr="00FE0A12">
              <w:rPr>
                <w:rFonts w:ascii="Arial Narrow" w:hAnsi="Arial Narrow" w:cs="Arial"/>
                <w:color w:val="000000"/>
                <w:sz w:val="22"/>
                <w:szCs w:val="22"/>
              </w:rPr>
              <w:t>: 51</w:t>
            </w:r>
          </w:p>
        </w:tc>
        <w:tc>
          <w:tcPr>
            <w:tcW w:w="6604" w:type="dxa"/>
            <w:vMerge w:val="restart"/>
            <w:tcBorders>
              <w:top w:val="single" w:sz="4" w:space="0" w:color="auto"/>
              <w:left w:val="single" w:sz="4" w:space="0" w:color="auto"/>
              <w:right w:val="single" w:sz="4" w:space="0" w:color="auto"/>
            </w:tcBorders>
          </w:tcPr>
          <w:p w:rsidR="00410550" w:rsidRPr="00870476" w:rsidRDefault="00410550" w:rsidP="00292FD6">
            <w:pPr>
              <w:adjustRightInd w:val="0"/>
              <w:rPr>
                <w:rFonts w:ascii="Arial Narrow" w:hAnsi="Arial Narrow"/>
                <w:b/>
                <w:bCs/>
                <w:color w:val="000000"/>
                <w:sz w:val="22"/>
                <w:szCs w:val="22"/>
              </w:rPr>
            </w:pPr>
            <w:r w:rsidRPr="00870476">
              <w:rPr>
                <w:rFonts w:ascii="Arial Narrow" w:hAnsi="Arial Narrow"/>
                <w:b/>
                <w:bCs/>
                <w:color w:val="000000"/>
                <w:sz w:val="22"/>
                <w:szCs w:val="22"/>
              </w:rPr>
              <w:t xml:space="preserve">Sankcie </w:t>
            </w:r>
          </w:p>
          <w:p w:rsidR="00410550" w:rsidRPr="00870476" w:rsidRDefault="00410550" w:rsidP="00292FD6">
            <w:pPr>
              <w:adjustRightInd w:val="0"/>
              <w:rPr>
                <w:rFonts w:ascii="Arial Narrow" w:hAnsi="Arial Narrow"/>
                <w:bCs/>
                <w:color w:val="000000"/>
                <w:sz w:val="22"/>
                <w:szCs w:val="22"/>
              </w:rPr>
            </w:pPr>
            <w:r w:rsidRPr="00870476">
              <w:rPr>
                <w:rFonts w:ascii="Arial Narrow" w:hAnsi="Arial Narrow"/>
                <w:bCs/>
                <w:color w:val="000000"/>
                <w:sz w:val="22"/>
                <w:szCs w:val="22"/>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767" w:type="dxa"/>
            <w:vMerge w:val="restart"/>
            <w:tcBorders>
              <w:top w:val="single" w:sz="4" w:space="0" w:color="auto"/>
              <w:left w:val="single" w:sz="4" w:space="0" w:color="auto"/>
              <w:right w:val="single" w:sz="12" w:space="0" w:color="auto"/>
            </w:tcBorders>
          </w:tcPr>
          <w:p w:rsidR="00410550" w:rsidRPr="00870476" w:rsidRDefault="00CF63F3" w:rsidP="00292FD6">
            <w:pPr>
              <w:jc w:val="center"/>
              <w:rPr>
                <w:rFonts w:ascii="Arial Narrow" w:hAnsi="Arial Narrow"/>
                <w:sz w:val="22"/>
                <w:szCs w:val="22"/>
              </w:rPr>
            </w:pPr>
            <w:r w:rsidRPr="00870476">
              <w:rPr>
                <w:rFonts w:ascii="Arial Narrow" w:hAnsi="Arial Narrow"/>
                <w:sz w:val="22"/>
                <w:szCs w:val="22"/>
              </w:rPr>
              <w:t>N</w:t>
            </w:r>
          </w:p>
        </w:tc>
        <w:tc>
          <w:tcPr>
            <w:tcW w:w="851" w:type="dxa"/>
            <w:vMerge w:val="restart"/>
            <w:tcBorders>
              <w:top w:val="single" w:sz="4" w:space="0" w:color="auto"/>
              <w:left w:val="nil"/>
              <w:right w:val="single" w:sz="4" w:space="0" w:color="auto"/>
            </w:tcBorders>
          </w:tcPr>
          <w:p w:rsidR="00410550" w:rsidRPr="00870476" w:rsidRDefault="00410550" w:rsidP="00292FD6">
            <w:pPr>
              <w:jc w:val="center"/>
              <w:rPr>
                <w:rFonts w:ascii="Arial Narrow" w:hAnsi="Arial Narrow" w:cs="Arial"/>
                <w:bCs/>
                <w:sz w:val="22"/>
                <w:szCs w:val="22"/>
              </w:rPr>
            </w:pPr>
            <w:r w:rsidRPr="00870476">
              <w:rPr>
                <w:rFonts w:ascii="Arial Narrow" w:hAnsi="Arial Narrow" w:cs="Arial"/>
                <w:bCs/>
                <w:sz w:val="22"/>
                <w:szCs w:val="22"/>
              </w:rPr>
              <w:t>431/2002</w:t>
            </w:r>
          </w:p>
          <w:p w:rsidR="00410550" w:rsidRPr="00870476" w:rsidRDefault="00410550" w:rsidP="00292FD6">
            <w:pPr>
              <w:jc w:val="center"/>
              <w:rPr>
                <w:rFonts w:ascii="Arial Narrow" w:hAnsi="Arial Narrow" w:cs="Arial"/>
                <w:bCs/>
                <w:sz w:val="22"/>
                <w:szCs w:val="22"/>
              </w:rPr>
            </w:pPr>
            <w:r w:rsidRPr="00870476">
              <w:rPr>
                <w:rFonts w:ascii="Arial Narrow" w:hAnsi="Arial Narrow" w:cs="Arial"/>
                <w:bCs/>
                <w:sz w:val="22"/>
                <w:szCs w:val="22"/>
              </w:rPr>
              <w:t>a</w:t>
            </w:r>
          </w:p>
          <w:p w:rsidR="000F0F63" w:rsidRPr="00870476" w:rsidRDefault="000F0F63" w:rsidP="000F0F63">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410550" w:rsidRPr="00870476" w:rsidRDefault="000F0F63" w:rsidP="000F0F63">
            <w:pPr>
              <w:jc w:val="center"/>
              <w:rPr>
                <w:rFonts w:ascii="Arial Narrow" w:hAnsi="Arial Narrow" w:cs="Arial"/>
                <w:b/>
                <w:bCs/>
                <w:sz w:val="22"/>
                <w:szCs w:val="22"/>
              </w:rPr>
            </w:pPr>
            <w:r w:rsidRPr="00870476">
              <w:rPr>
                <w:rFonts w:ascii="Arial Narrow" w:hAnsi="Arial Narrow"/>
                <w:b/>
                <w:color w:val="000000"/>
                <w:sz w:val="22"/>
                <w:szCs w:val="22"/>
              </w:rPr>
              <w:t>čl. I</w:t>
            </w:r>
            <w:r w:rsidRPr="00870476">
              <w:rPr>
                <w:rFonts w:ascii="Arial Narrow" w:hAnsi="Arial Narrow" w:cs="Arial"/>
                <w:b/>
                <w:bCs/>
                <w:sz w:val="22"/>
                <w:szCs w:val="22"/>
              </w:rPr>
              <w:t xml:space="preserve"> </w:t>
            </w: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Pr="00870476" w:rsidRDefault="00410550" w:rsidP="00292FD6">
            <w:pPr>
              <w:jc w:val="center"/>
              <w:rPr>
                <w:rFonts w:ascii="Arial Narrow" w:hAnsi="Arial Narrow" w:cs="Arial"/>
                <w:b/>
                <w:bCs/>
                <w:sz w:val="22"/>
                <w:szCs w:val="22"/>
              </w:rPr>
            </w:pPr>
          </w:p>
          <w:p w:rsidR="00410550" w:rsidRDefault="00410550"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Pr="00870476" w:rsidRDefault="000E638E" w:rsidP="00292FD6">
            <w:pPr>
              <w:jc w:val="center"/>
              <w:rPr>
                <w:rFonts w:ascii="Arial Narrow" w:hAnsi="Arial Narrow" w:cs="Arial"/>
                <w:b/>
                <w:bCs/>
                <w:sz w:val="22"/>
                <w:szCs w:val="22"/>
              </w:rPr>
            </w:pPr>
          </w:p>
          <w:p w:rsidR="00CF63F3" w:rsidRPr="00870476" w:rsidRDefault="00CF63F3" w:rsidP="00292FD6">
            <w:pPr>
              <w:jc w:val="center"/>
              <w:rPr>
                <w:rFonts w:ascii="Arial Narrow" w:hAnsi="Arial Narrow" w:cs="Arial"/>
                <w:b/>
                <w:bCs/>
                <w:sz w:val="22"/>
                <w:szCs w:val="22"/>
              </w:rPr>
            </w:pPr>
          </w:p>
          <w:p w:rsidR="00CF63F3" w:rsidRPr="00870476" w:rsidRDefault="00CF63F3" w:rsidP="00292FD6">
            <w:pPr>
              <w:jc w:val="center"/>
              <w:rPr>
                <w:rFonts w:ascii="Arial Narrow" w:hAnsi="Arial Narrow" w:cs="Arial"/>
                <w:b/>
                <w:bCs/>
                <w:sz w:val="22"/>
                <w:szCs w:val="22"/>
              </w:rPr>
            </w:pPr>
          </w:p>
          <w:p w:rsidR="006A6903" w:rsidRPr="00870476" w:rsidRDefault="006A6903" w:rsidP="00292FD6">
            <w:pPr>
              <w:jc w:val="center"/>
              <w:rPr>
                <w:rFonts w:ascii="Arial Narrow" w:hAnsi="Arial Narrow" w:cs="Arial"/>
                <w:bCs/>
                <w:sz w:val="22"/>
                <w:szCs w:val="22"/>
              </w:rPr>
            </w:pPr>
            <w:r w:rsidRPr="00870476">
              <w:rPr>
                <w:rFonts w:ascii="Arial Narrow" w:hAnsi="Arial Narrow" w:cs="Arial"/>
                <w:bCs/>
                <w:sz w:val="22"/>
                <w:szCs w:val="22"/>
              </w:rPr>
              <w:t>431/2002</w:t>
            </w:r>
          </w:p>
          <w:p w:rsidR="006A6903" w:rsidRDefault="006A6903" w:rsidP="00292FD6">
            <w:pPr>
              <w:jc w:val="center"/>
              <w:rPr>
                <w:rFonts w:ascii="Arial Narrow" w:hAnsi="Arial Narrow" w:cs="Arial"/>
                <w:b/>
                <w:bCs/>
                <w:sz w:val="22"/>
                <w:szCs w:val="22"/>
              </w:rPr>
            </w:pPr>
          </w:p>
          <w:p w:rsidR="005C7E42" w:rsidRDefault="005C7E42"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E638E" w:rsidRDefault="000E638E" w:rsidP="00292FD6">
            <w:pPr>
              <w:jc w:val="center"/>
              <w:rPr>
                <w:rFonts w:ascii="Arial Narrow" w:hAnsi="Arial Narrow" w:cs="Arial"/>
                <w:b/>
                <w:bCs/>
                <w:sz w:val="22"/>
                <w:szCs w:val="22"/>
              </w:rPr>
            </w:pPr>
          </w:p>
          <w:p w:rsidR="000F0F63" w:rsidRPr="00870476" w:rsidRDefault="000F0F63" w:rsidP="000F0F63">
            <w:pPr>
              <w:adjustRightInd w:val="0"/>
              <w:jc w:val="center"/>
              <w:rPr>
                <w:rFonts w:ascii="Arial Narrow" w:hAnsi="Arial Narrow"/>
                <w:b/>
                <w:color w:val="000000"/>
                <w:sz w:val="22"/>
                <w:szCs w:val="22"/>
              </w:rPr>
            </w:pPr>
            <w:r w:rsidRPr="00870476">
              <w:rPr>
                <w:rFonts w:ascii="Arial Narrow" w:hAnsi="Arial Narrow"/>
                <w:b/>
                <w:color w:val="000000"/>
                <w:sz w:val="22"/>
                <w:szCs w:val="22"/>
              </w:rPr>
              <w:t>návrh</w:t>
            </w:r>
          </w:p>
          <w:p w:rsidR="00410550" w:rsidRPr="00870476" w:rsidRDefault="000F0F63" w:rsidP="000F0F63">
            <w:pPr>
              <w:jc w:val="center"/>
              <w:rPr>
                <w:rFonts w:ascii="Arial Narrow" w:hAnsi="Arial Narrow" w:cs="Arial"/>
                <w:b/>
                <w:bCs/>
                <w:sz w:val="22"/>
                <w:szCs w:val="22"/>
              </w:rPr>
            </w:pPr>
            <w:r w:rsidRPr="00870476">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410550" w:rsidRPr="00870476" w:rsidRDefault="00410550" w:rsidP="00292FD6">
            <w:pPr>
              <w:pStyle w:val="Normlny0"/>
              <w:jc w:val="center"/>
              <w:rPr>
                <w:rFonts w:ascii="Arial Narrow" w:hAnsi="Arial Narrow"/>
                <w:sz w:val="22"/>
                <w:szCs w:val="22"/>
              </w:rPr>
            </w:pPr>
            <w:r w:rsidRPr="00870476">
              <w:rPr>
                <w:rFonts w:ascii="Arial Narrow" w:hAnsi="Arial Narrow"/>
                <w:sz w:val="22"/>
                <w:szCs w:val="22"/>
              </w:rPr>
              <w:lastRenderedPageBreak/>
              <w:t>§ 38</w:t>
            </w:r>
          </w:p>
          <w:p w:rsidR="00410550" w:rsidRPr="00870476" w:rsidRDefault="00410550" w:rsidP="00292FD6">
            <w:pPr>
              <w:pStyle w:val="Normlny0"/>
              <w:jc w:val="center"/>
              <w:rPr>
                <w:rFonts w:ascii="Arial Narrow" w:hAnsi="Arial Narrow"/>
                <w:sz w:val="22"/>
                <w:szCs w:val="22"/>
              </w:rPr>
            </w:pPr>
            <w:r w:rsidRPr="00870476">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cPr>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Správneho deliktu sa dopustí účtovná jednotka, ak</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a)</w:t>
            </w:r>
            <w:r w:rsidR="001906E6">
              <w:rPr>
                <w:rFonts w:ascii="Arial Narrow" w:hAnsi="Arial Narrow" w:cs="Arial"/>
                <w:sz w:val="22"/>
                <w:szCs w:val="22"/>
              </w:rPr>
              <w:t xml:space="preserve"> </w:t>
            </w:r>
            <w:r w:rsidRPr="00870476">
              <w:rPr>
                <w:rFonts w:ascii="Arial Narrow" w:hAnsi="Arial Narrow" w:cs="Arial"/>
                <w:sz w:val="22"/>
                <w:szCs w:val="22"/>
              </w:rPr>
              <w:t>neviedla účtovníctvo podľa § 4 ods. 1 alebo nezostavila účtovnú závierku podľa § 6 ods. 4,</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b)</w:t>
            </w:r>
            <w:r w:rsidR="001906E6">
              <w:rPr>
                <w:rFonts w:ascii="Arial Narrow" w:hAnsi="Arial Narrow" w:cs="Arial"/>
                <w:sz w:val="22"/>
                <w:szCs w:val="22"/>
              </w:rPr>
              <w:t xml:space="preserve"> </w:t>
            </w:r>
            <w:r w:rsidRPr="00870476">
              <w:rPr>
                <w:rFonts w:ascii="Arial Narrow" w:hAnsi="Arial Narrow" w:cs="Arial"/>
                <w:sz w:val="22"/>
                <w:szCs w:val="22"/>
              </w:rPr>
              <w:t>neotvorila účtovné knihy alebo neuzavrela účtovné knihy podľa § 16,</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c) neuložila dokumenty podľa § 23a ods. 1 až 9 a 23b, nezverejnila dokumenty podľa § 23d alebo nevyhovela výzve podľa § 23b ods. 1 alebo ods. 6 v určenej lehote alebo určenom rozsahu,</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d) nedala overiť účtovnú závierku alebo súlad údajov účtovnej závierky s výročnou správou audítorom a tým porušila ustanovenia § 19, 22 alebo § 22a,</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e) nedala schváliť alebo nedala odvolať audítora podľa § 19 ods. 2,</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f) neviedla účtovníctvo podľa § 8 a toto porušenie malo vplyv na nesprávne vykázanie skutočností v účtovnej závierke,</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g) neviedla účtovníctvo podľa § 8 a toto porušenie nemalo vplyv na vykázanie skutočností v účtovnej závierke,</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h) porušila ustanovenia § 9,</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i) porušila ustanovenia § 17,</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j) nedodržala oceňovanie podľa § 24 až 28,</w:t>
            </w:r>
          </w:p>
          <w:p w:rsidR="001D5D90" w:rsidRPr="00870476" w:rsidRDefault="001D5D90" w:rsidP="001D5D90">
            <w:pPr>
              <w:jc w:val="both"/>
              <w:rPr>
                <w:rFonts w:ascii="Arial Narrow" w:hAnsi="Arial Narrow" w:cs="Arial"/>
                <w:b/>
                <w:sz w:val="22"/>
                <w:szCs w:val="22"/>
              </w:rPr>
            </w:pPr>
            <w:r w:rsidRPr="00870476">
              <w:rPr>
                <w:rFonts w:ascii="Arial Narrow" w:hAnsi="Arial Narrow" w:cs="Arial"/>
                <w:sz w:val="22"/>
                <w:szCs w:val="22"/>
              </w:rPr>
              <w:t xml:space="preserve">k) porušila ustanovenia § 31 až 33 </w:t>
            </w:r>
            <w:r w:rsidRPr="00870476">
              <w:rPr>
                <w:rFonts w:ascii="Arial Narrow" w:hAnsi="Arial Narrow" w:cs="Arial"/>
                <w:b/>
                <w:sz w:val="22"/>
                <w:szCs w:val="22"/>
              </w:rPr>
              <w:t>alebo nevyhovela výzve podľa § 31 ods. 8 v určenej lehote alebo v určenom rozsahu</w:t>
            </w:r>
            <w:r w:rsidRPr="00290B75">
              <w:rPr>
                <w:rFonts w:ascii="Arial Narrow" w:hAnsi="Arial Narrow" w:cs="Arial"/>
                <w:sz w:val="22"/>
                <w:szCs w:val="22"/>
              </w:rPr>
              <w:t>,</w:t>
            </w:r>
            <w:r w:rsidRPr="00870476">
              <w:rPr>
                <w:rFonts w:ascii="Arial Narrow" w:hAnsi="Arial Narrow" w:cs="Arial"/>
                <w:b/>
                <w:sz w:val="22"/>
                <w:szCs w:val="22"/>
              </w:rPr>
              <w:t xml:space="preserve"> </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l) porušila ustanovenia § 34,</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m) porušila ustanovenia § 35,</w:t>
            </w:r>
          </w:p>
          <w:p w:rsidR="001D5D90" w:rsidRPr="00870476" w:rsidRDefault="001D5D90" w:rsidP="001D5D90">
            <w:pPr>
              <w:jc w:val="both"/>
              <w:rPr>
                <w:rFonts w:ascii="Arial Narrow" w:hAnsi="Arial Narrow" w:cs="Arial"/>
                <w:sz w:val="22"/>
                <w:szCs w:val="22"/>
              </w:rPr>
            </w:pPr>
            <w:r w:rsidRPr="00870476">
              <w:rPr>
                <w:rFonts w:ascii="Arial Narrow" w:hAnsi="Arial Narrow" w:cs="Arial"/>
                <w:sz w:val="22"/>
                <w:szCs w:val="22"/>
              </w:rPr>
              <w:t>n) porušila ustanovenie § 11 ods. 3,</w:t>
            </w:r>
          </w:p>
          <w:p w:rsidR="00410550" w:rsidRPr="00870476" w:rsidRDefault="001D5D90" w:rsidP="00194F22">
            <w:pPr>
              <w:jc w:val="both"/>
              <w:rPr>
                <w:rFonts w:ascii="Arial Narrow" w:hAnsi="Arial Narrow" w:cs="Arial"/>
                <w:b/>
                <w:sz w:val="22"/>
                <w:szCs w:val="22"/>
              </w:rPr>
            </w:pPr>
            <w:r w:rsidRPr="00870476">
              <w:rPr>
                <w:rFonts w:ascii="Arial Narrow" w:hAnsi="Arial Narrow" w:cs="Arial"/>
                <w:b/>
                <w:sz w:val="22"/>
                <w:szCs w:val="22"/>
              </w:rPr>
              <w:lastRenderedPageBreak/>
              <w:t xml:space="preserve">o) </w:t>
            </w:r>
            <w:r w:rsidR="0012541D" w:rsidRPr="0012541D">
              <w:rPr>
                <w:rFonts w:ascii="Arial Narrow" w:hAnsi="Arial Narrow" w:cs="Arial"/>
                <w:b/>
                <w:sz w:val="22"/>
                <w:szCs w:val="22"/>
              </w:rPr>
              <w:t>uložila správu s informáciami o dani z príjmov, ktorá neobsahuje náležitosti ustanovené opatrením vydaným podľa  § 21a ods. 6 alebo usporiadanie a označovanie týchto náležitostí je v rozpore s opatrením vydaným podľa § 21a ods. 6</w:t>
            </w:r>
            <w:r w:rsidR="00194F22">
              <w:rPr>
                <w:rFonts w:ascii="Arial Narrow" w:hAnsi="Arial Narrow" w:cs="Arial"/>
                <w:b/>
                <w:sz w:val="22"/>
                <w:szCs w:val="22"/>
              </w:rPr>
              <w:t xml:space="preserve"> alebo</w:t>
            </w:r>
            <w:r w:rsidR="0012541D" w:rsidRPr="0012541D">
              <w:rPr>
                <w:rFonts w:ascii="Arial Narrow" w:hAnsi="Arial Narrow" w:cs="Arial"/>
                <w:b/>
                <w:sz w:val="22"/>
                <w:szCs w:val="22"/>
              </w:rPr>
              <w:t xml:space="preserve"> porušila  ustanovenie § 21e alebo § 23a ods. 11</w:t>
            </w:r>
            <w:r w:rsidR="00194F22">
              <w:rPr>
                <w:rFonts w:ascii="Arial Narrow" w:hAnsi="Arial Narrow" w:cs="Arial"/>
                <w:b/>
                <w:sz w:val="22"/>
                <w:szCs w:val="22"/>
              </w:rPr>
              <w:t>.</w:t>
            </w:r>
          </w:p>
        </w:tc>
        <w:tc>
          <w:tcPr>
            <w:tcW w:w="709" w:type="dxa"/>
            <w:vMerge w:val="restart"/>
            <w:tcBorders>
              <w:top w:val="single" w:sz="4" w:space="0" w:color="auto"/>
              <w:left w:val="single" w:sz="4" w:space="0" w:color="auto"/>
              <w:right w:val="single" w:sz="4" w:space="0" w:color="auto"/>
            </w:tcBorders>
          </w:tcPr>
          <w:p w:rsidR="00410550" w:rsidRPr="00870476" w:rsidRDefault="006A6903" w:rsidP="00292FD6">
            <w:pPr>
              <w:jc w:val="center"/>
              <w:rPr>
                <w:rFonts w:ascii="Arial Narrow" w:hAnsi="Arial Narrow"/>
                <w:sz w:val="22"/>
                <w:szCs w:val="22"/>
              </w:rPr>
            </w:pPr>
            <w:r w:rsidRPr="00870476">
              <w:rPr>
                <w:rFonts w:ascii="Arial Narrow" w:hAnsi="Arial Narrow"/>
                <w:sz w:val="22"/>
                <w:szCs w:val="22"/>
              </w:rPr>
              <w:lastRenderedPageBreak/>
              <w:t>Ú</w:t>
            </w:r>
          </w:p>
        </w:tc>
        <w:tc>
          <w:tcPr>
            <w:tcW w:w="934" w:type="dxa"/>
            <w:vMerge w:val="restart"/>
            <w:tcBorders>
              <w:top w:val="single" w:sz="4" w:space="0" w:color="auto"/>
              <w:left w:val="single" w:sz="4" w:space="0" w:color="auto"/>
              <w:right w:val="single" w:sz="12" w:space="0" w:color="auto"/>
            </w:tcBorders>
          </w:tcPr>
          <w:p w:rsidR="00410550" w:rsidRPr="00870476" w:rsidRDefault="00410550" w:rsidP="00292FD6">
            <w:pPr>
              <w:pStyle w:val="Nadpis1"/>
              <w:rPr>
                <w:rFonts w:ascii="Arial Narrow" w:hAnsi="Arial Narrow"/>
                <w:b w:val="0"/>
                <w:bCs w:val="0"/>
                <w:sz w:val="22"/>
                <w:szCs w:val="22"/>
              </w:rPr>
            </w:pPr>
          </w:p>
        </w:tc>
      </w:tr>
      <w:tr w:rsidR="00410550" w:rsidRPr="00870476" w:rsidTr="000F6E14">
        <w:tc>
          <w:tcPr>
            <w:tcW w:w="682" w:type="dxa"/>
            <w:vMerge/>
            <w:tcBorders>
              <w:left w:val="single" w:sz="12" w:space="0" w:color="auto"/>
              <w:bottom w:val="single" w:sz="4" w:space="0" w:color="auto"/>
              <w:right w:val="single" w:sz="4" w:space="0" w:color="auto"/>
            </w:tcBorders>
          </w:tcPr>
          <w:p w:rsidR="00410550" w:rsidRPr="00870476" w:rsidRDefault="00410550" w:rsidP="002C4B42">
            <w:pPr>
              <w:jc w:val="center"/>
              <w:rPr>
                <w:rFonts w:ascii="Arial Narrow" w:hAnsi="Arial Narrow"/>
                <w:sz w:val="22"/>
                <w:szCs w:val="22"/>
              </w:rPr>
            </w:pPr>
          </w:p>
        </w:tc>
        <w:tc>
          <w:tcPr>
            <w:tcW w:w="6604" w:type="dxa"/>
            <w:vMerge/>
            <w:tcBorders>
              <w:left w:val="single" w:sz="4" w:space="0" w:color="auto"/>
              <w:bottom w:val="single" w:sz="4" w:space="0" w:color="auto"/>
              <w:right w:val="single" w:sz="4" w:space="0" w:color="auto"/>
            </w:tcBorders>
          </w:tcPr>
          <w:p w:rsidR="00410550" w:rsidRPr="00870476" w:rsidRDefault="00410550" w:rsidP="002C4B42">
            <w:pPr>
              <w:adjustRightInd w:val="0"/>
              <w:rPr>
                <w:rFonts w:ascii="Arial Narrow" w:hAnsi="Arial Narrow"/>
                <w:b/>
                <w:bCs/>
                <w:color w:val="000000"/>
                <w:sz w:val="22"/>
                <w:szCs w:val="22"/>
              </w:rPr>
            </w:pPr>
          </w:p>
        </w:tc>
        <w:tc>
          <w:tcPr>
            <w:tcW w:w="767" w:type="dxa"/>
            <w:vMerge/>
            <w:tcBorders>
              <w:left w:val="single" w:sz="4" w:space="0" w:color="auto"/>
              <w:bottom w:val="single" w:sz="4" w:space="0" w:color="auto"/>
              <w:right w:val="single" w:sz="12" w:space="0" w:color="auto"/>
            </w:tcBorders>
          </w:tcPr>
          <w:p w:rsidR="00410550" w:rsidRPr="00870476" w:rsidRDefault="00410550" w:rsidP="002C4B42">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410550" w:rsidRPr="00870476" w:rsidRDefault="00410550" w:rsidP="002C4B42">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410550" w:rsidRPr="00870476" w:rsidRDefault="00410550" w:rsidP="002C4B42">
            <w:pPr>
              <w:pStyle w:val="Normlny0"/>
              <w:jc w:val="center"/>
              <w:rPr>
                <w:rFonts w:ascii="Arial Narrow" w:hAnsi="Arial Narrow"/>
                <w:sz w:val="22"/>
                <w:szCs w:val="22"/>
              </w:rPr>
            </w:pPr>
            <w:r w:rsidRPr="00870476">
              <w:rPr>
                <w:rFonts w:ascii="Arial Narrow" w:hAnsi="Arial Narrow"/>
                <w:sz w:val="22"/>
                <w:szCs w:val="22"/>
              </w:rPr>
              <w:t>§ 38</w:t>
            </w:r>
          </w:p>
          <w:p w:rsidR="00410550" w:rsidRPr="00870476" w:rsidRDefault="00410550" w:rsidP="002C4B42">
            <w:pPr>
              <w:pStyle w:val="Normlny0"/>
              <w:jc w:val="center"/>
              <w:rPr>
                <w:rFonts w:ascii="Arial Narrow" w:hAnsi="Arial Narrow"/>
                <w:b/>
                <w:sz w:val="22"/>
                <w:szCs w:val="22"/>
              </w:rPr>
            </w:pPr>
            <w:r w:rsidRPr="00870476">
              <w:rPr>
                <w:rFonts w:ascii="Arial Narrow" w:hAnsi="Arial Narrow"/>
                <w:sz w:val="22"/>
                <w:szCs w:val="22"/>
              </w:rPr>
              <w:t>O: 2</w:t>
            </w:r>
          </w:p>
        </w:tc>
        <w:tc>
          <w:tcPr>
            <w:tcW w:w="4678" w:type="dxa"/>
            <w:tcBorders>
              <w:top w:val="single" w:sz="4" w:space="0" w:color="auto"/>
              <w:left w:val="single" w:sz="4" w:space="0" w:color="auto"/>
              <w:bottom w:val="single" w:sz="4" w:space="0" w:color="auto"/>
              <w:right w:val="single" w:sz="4" w:space="0" w:color="auto"/>
            </w:tcBorders>
          </w:tcPr>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Daňový úrad uloží pokutu za správny delikt</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a) podľa odseku 1 písm. a) a n) od 1 000 eur do 3 000 000 eur,</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b) podľa odseku 1 písm. b) až f) do 2 % z celkovej sumy majetku vykázanej</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1. v súvahe zostavenej za kontrolované účtovné obdobie v ocenení upravenom o položky podľa § 26 ods. 3; najviac však 1 000 000 eur,</w:t>
            </w:r>
          </w:p>
          <w:p w:rsidR="001906E6" w:rsidRDefault="00B81789" w:rsidP="001906E6">
            <w:pPr>
              <w:jc w:val="both"/>
              <w:rPr>
                <w:rFonts w:ascii="Arial Narrow" w:hAnsi="Arial Narrow" w:cs="Arial"/>
                <w:sz w:val="22"/>
                <w:szCs w:val="22"/>
              </w:rPr>
            </w:pPr>
            <w:r w:rsidRPr="00870476">
              <w:rPr>
                <w:rFonts w:ascii="Arial Narrow" w:hAnsi="Arial Narrow" w:cs="Arial"/>
                <w:sz w:val="22"/>
                <w:szCs w:val="22"/>
              </w:rPr>
              <w:t>2. vo výkaze o majetku a záväzkoch zostavenom za kontrolované účtovné obdobie; najviac 1 000 000 eur,</w:t>
            </w:r>
          </w:p>
          <w:p w:rsidR="00B81789" w:rsidRPr="00870476" w:rsidRDefault="00B81789" w:rsidP="001906E6">
            <w:pPr>
              <w:jc w:val="both"/>
              <w:rPr>
                <w:rFonts w:ascii="Arial Narrow" w:hAnsi="Arial Narrow" w:cs="Arial"/>
                <w:sz w:val="22"/>
                <w:szCs w:val="22"/>
              </w:rPr>
            </w:pPr>
            <w:r w:rsidRPr="00870476">
              <w:rPr>
                <w:rFonts w:ascii="Arial Narrow" w:hAnsi="Arial Narrow" w:cs="Arial"/>
                <w:sz w:val="22"/>
                <w:szCs w:val="22"/>
              </w:rPr>
              <w:t>c) podľa odseku 1 písm. h) až l) do 2 % z celkovej sumy majetku vykázanej</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1. v súvahe zostavenej za kontrolované účtovné obdobie v ocenení upravenom o položky podľa § 26 ods. 3; najviac 100 000 eur,</w:t>
            </w:r>
          </w:p>
          <w:p w:rsidR="001906E6" w:rsidRDefault="00B81789" w:rsidP="001906E6">
            <w:pPr>
              <w:jc w:val="both"/>
              <w:rPr>
                <w:rFonts w:ascii="Arial Narrow" w:hAnsi="Arial Narrow" w:cs="Arial"/>
                <w:sz w:val="22"/>
                <w:szCs w:val="22"/>
              </w:rPr>
            </w:pPr>
            <w:r w:rsidRPr="00870476">
              <w:rPr>
                <w:rFonts w:ascii="Arial Narrow" w:hAnsi="Arial Narrow" w:cs="Arial"/>
                <w:sz w:val="22"/>
                <w:szCs w:val="22"/>
              </w:rPr>
              <w:t>2. vo výkaze o majetku a záväzkoch zostavenom za kontrolované účtovné obdobie; najviac však 100 000 eur,</w:t>
            </w:r>
          </w:p>
          <w:p w:rsidR="00B81789" w:rsidRPr="00870476" w:rsidRDefault="00B81789" w:rsidP="001906E6">
            <w:pPr>
              <w:jc w:val="both"/>
              <w:rPr>
                <w:rFonts w:ascii="Arial Narrow" w:hAnsi="Arial Narrow" w:cs="Arial"/>
                <w:sz w:val="22"/>
                <w:szCs w:val="22"/>
              </w:rPr>
            </w:pPr>
            <w:r w:rsidRPr="00870476">
              <w:rPr>
                <w:rFonts w:ascii="Arial Narrow" w:hAnsi="Arial Narrow" w:cs="Arial"/>
                <w:sz w:val="22"/>
                <w:szCs w:val="22"/>
              </w:rPr>
              <w:t>d) podľa odseku 1 písm. g) do 2 % z celkovej sumy majetku vykázanej</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1. v súvahe zostavenej za kontrolované účtovné obdobie v ocenení upravenom o položky podľa § 26 ods. 3; najviac 1 000 eur,</w:t>
            </w:r>
          </w:p>
          <w:p w:rsidR="005C7E42" w:rsidRDefault="00B81789" w:rsidP="005C7E42">
            <w:pPr>
              <w:jc w:val="both"/>
              <w:rPr>
                <w:rFonts w:ascii="Arial Narrow" w:hAnsi="Arial Narrow" w:cs="Arial"/>
                <w:sz w:val="22"/>
                <w:szCs w:val="22"/>
              </w:rPr>
            </w:pPr>
            <w:r w:rsidRPr="00870476">
              <w:rPr>
                <w:rFonts w:ascii="Arial Narrow" w:hAnsi="Arial Narrow" w:cs="Arial"/>
                <w:sz w:val="22"/>
                <w:szCs w:val="22"/>
              </w:rPr>
              <w:t>2. vo výkaze o majetku a záväzkoch zostavenom za kontrolované účtovné obdobie; najviac však 1 000 eur,</w:t>
            </w:r>
          </w:p>
          <w:p w:rsidR="00B81789" w:rsidRPr="00870476" w:rsidRDefault="00B81789" w:rsidP="005C7E42">
            <w:pPr>
              <w:jc w:val="both"/>
              <w:rPr>
                <w:rFonts w:ascii="Arial Narrow" w:hAnsi="Arial Narrow" w:cs="Arial"/>
                <w:sz w:val="22"/>
                <w:szCs w:val="22"/>
              </w:rPr>
            </w:pPr>
            <w:r w:rsidRPr="00870476">
              <w:rPr>
                <w:rFonts w:ascii="Arial Narrow" w:hAnsi="Arial Narrow" w:cs="Arial"/>
                <w:sz w:val="22"/>
                <w:szCs w:val="22"/>
              </w:rPr>
              <w:t xml:space="preserve">e) podľa odseku 1 písm. c) </w:t>
            </w:r>
            <w:r w:rsidR="00475C0E" w:rsidRPr="00870476">
              <w:rPr>
                <w:rFonts w:ascii="Arial Narrow" w:hAnsi="Arial Narrow" w:cs="Arial"/>
                <w:b/>
                <w:sz w:val="22"/>
                <w:szCs w:val="22"/>
              </w:rPr>
              <w:t>a </w:t>
            </w:r>
            <w:r w:rsidRPr="00870476">
              <w:rPr>
                <w:rFonts w:ascii="Arial Narrow" w:hAnsi="Arial Narrow" w:cs="Arial"/>
                <w:b/>
                <w:sz w:val="22"/>
                <w:szCs w:val="22"/>
              </w:rPr>
              <w:t xml:space="preserve"> k)</w:t>
            </w:r>
            <w:r w:rsidRPr="00870476">
              <w:rPr>
                <w:rFonts w:ascii="Arial Narrow" w:hAnsi="Arial Narrow" w:cs="Arial"/>
                <w:sz w:val="22"/>
                <w:szCs w:val="22"/>
              </w:rPr>
              <w:t xml:space="preserve"> od 100 eur do 10 000 eur, ak nie je možné zistiť celkovú sumu majetku alebo účtovná jednotka nevykazuje žiaden majetok,</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f) podľa odseku 1 písm. m) od 100 eur do 100 000 eur,</w:t>
            </w:r>
          </w:p>
          <w:p w:rsidR="00410550" w:rsidRPr="00870476" w:rsidRDefault="00B81789" w:rsidP="00B81789">
            <w:pPr>
              <w:jc w:val="both"/>
              <w:rPr>
                <w:rFonts w:ascii="Arial Narrow" w:hAnsi="Arial Narrow" w:cs="Arial"/>
                <w:b/>
                <w:sz w:val="22"/>
                <w:szCs w:val="22"/>
              </w:rPr>
            </w:pPr>
            <w:r w:rsidRPr="00870476">
              <w:rPr>
                <w:rFonts w:ascii="Arial Narrow" w:hAnsi="Arial Narrow" w:cs="Arial"/>
                <w:b/>
                <w:sz w:val="22"/>
                <w:szCs w:val="22"/>
              </w:rPr>
              <w:t>g) podľa odseku 1 písm. o) od 100 eur do 10 000 eur.</w:t>
            </w:r>
          </w:p>
        </w:tc>
        <w:tc>
          <w:tcPr>
            <w:tcW w:w="709" w:type="dxa"/>
            <w:vMerge/>
            <w:tcBorders>
              <w:left w:val="single" w:sz="4" w:space="0" w:color="auto"/>
              <w:bottom w:val="nil"/>
              <w:right w:val="single" w:sz="4" w:space="0" w:color="auto"/>
            </w:tcBorders>
          </w:tcPr>
          <w:p w:rsidR="00410550" w:rsidRPr="00870476" w:rsidRDefault="00410550" w:rsidP="002C4B42">
            <w:pPr>
              <w:jc w:val="center"/>
              <w:rPr>
                <w:rFonts w:ascii="Arial Narrow" w:hAnsi="Arial Narrow"/>
                <w:sz w:val="22"/>
                <w:szCs w:val="22"/>
              </w:rPr>
            </w:pPr>
          </w:p>
        </w:tc>
        <w:tc>
          <w:tcPr>
            <w:tcW w:w="934" w:type="dxa"/>
            <w:vMerge/>
            <w:tcBorders>
              <w:left w:val="single" w:sz="4" w:space="0" w:color="auto"/>
              <w:bottom w:val="nil"/>
              <w:right w:val="single" w:sz="12" w:space="0" w:color="auto"/>
            </w:tcBorders>
          </w:tcPr>
          <w:p w:rsidR="00410550" w:rsidRPr="00870476" w:rsidRDefault="00410550" w:rsidP="002C4B42">
            <w:pPr>
              <w:pStyle w:val="Nadpis1"/>
              <w:rPr>
                <w:rFonts w:ascii="Arial Narrow" w:hAnsi="Arial Narrow"/>
                <w:b w:val="0"/>
                <w:bCs w:val="0"/>
                <w:sz w:val="22"/>
                <w:szCs w:val="22"/>
              </w:rPr>
            </w:pPr>
          </w:p>
        </w:tc>
      </w:tr>
      <w:tr w:rsidR="00410550" w:rsidRPr="00870476" w:rsidTr="000F6E14">
        <w:tc>
          <w:tcPr>
            <w:tcW w:w="682" w:type="dxa"/>
            <w:vMerge/>
            <w:tcBorders>
              <w:left w:val="single" w:sz="12" w:space="0" w:color="auto"/>
              <w:bottom w:val="single" w:sz="4" w:space="0" w:color="auto"/>
              <w:right w:val="single" w:sz="4" w:space="0" w:color="auto"/>
            </w:tcBorders>
          </w:tcPr>
          <w:p w:rsidR="00410550" w:rsidRPr="00870476" w:rsidRDefault="00410550" w:rsidP="00292FD6">
            <w:pPr>
              <w:jc w:val="center"/>
              <w:rPr>
                <w:rFonts w:ascii="Arial Narrow" w:hAnsi="Arial Narrow"/>
                <w:sz w:val="22"/>
                <w:szCs w:val="22"/>
              </w:rPr>
            </w:pPr>
          </w:p>
        </w:tc>
        <w:tc>
          <w:tcPr>
            <w:tcW w:w="6604" w:type="dxa"/>
            <w:vMerge/>
            <w:tcBorders>
              <w:left w:val="single" w:sz="4" w:space="0" w:color="auto"/>
              <w:bottom w:val="single" w:sz="4" w:space="0" w:color="auto"/>
              <w:right w:val="single" w:sz="4" w:space="0" w:color="auto"/>
            </w:tcBorders>
          </w:tcPr>
          <w:p w:rsidR="00410550" w:rsidRPr="00870476" w:rsidRDefault="00410550" w:rsidP="00292FD6">
            <w:pPr>
              <w:adjustRightInd w:val="0"/>
              <w:rPr>
                <w:rFonts w:ascii="Arial Narrow" w:hAnsi="Arial Narrow"/>
                <w:b/>
                <w:bCs/>
                <w:color w:val="000000"/>
                <w:sz w:val="22"/>
                <w:szCs w:val="22"/>
              </w:rPr>
            </w:pPr>
          </w:p>
        </w:tc>
        <w:tc>
          <w:tcPr>
            <w:tcW w:w="767" w:type="dxa"/>
            <w:vMerge/>
            <w:tcBorders>
              <w:left w:val="single" w:sz="4" w:space="0" w:color="auto"/>
              <w:bottom w:val="single" w:sz="4" w:space="0" w:color="auto"/>
              <w:right w:val="single" w:sz="12" w:space="0" w:color="auto"/>
            </w:tcBorders>
          </w:tcPr>
          <w:p w:rsidR="00410550" w:rsidRPr="00870476" w:rsidRDefault="00410550" w:rsidP="00292FD6">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410550" w:rsidRPr="00870476" w:rsidRDefault="00410550" w:rsidP="00292FD6">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410550" w:rsidRPr="00870476" w:rsidRDefault="00410550" w:rsidP="002C4B42">
            <w:pPr>
              <w:pStyle w:val="Normlny0"/>
              <w:jc w:val="center"/>
              <w:rPr>
                <w:rFonts w:ascii="Arial Narrow" w:hAnsi="Arial Narrow"/>
                <w:sz w:val="22"/>
                <w:szCs w:val="22"/>
              </w:rPr>
            </w:pPr>
            <w:r w:rsidRPr="00870476">
              <w:rPr>
                <w:rFonts w:ascii="Arial Narrow" w:hAnsi="Arial Narrow"/>
                <w:sz w:val="22"/>
                <w:szCs w:val="22"/>
              </w:rPr>
              <w:t>§ 38</w:t>
            </w:r>
          </w:p>
          <w:p w:rsidR="00410550" w:rsidRPr="00870476" w:rsidRDefault="00410550" w:rsidP="002C4B42">
            <w:pPr>
              <w:pStyle w:val="Normlny0"/>
              <w:jc w:val="center"/>
              <w:rPr>
                <w:rFonts w:ascii="Arial Narrow" w:hAnsi="Arial Narrow"/>
                <w:b/>
                <w:sz w:val="22"/>
                <w:szCs w:val="22"/>
              </w:rPr>
            </w:pPr>
            <w:r w:rsidRPr="00870476">
              <w:rPr>
                <w:rFonts w:ascii="Arial Narrow" w:hAnsi="Arial Narrow"/>
                <w:sz w:val="22"/>
                <w:szCs w:val="22"/>
              </w:rPr>
              <w:t>O: 3</w:t>
            </w:r>
          </w:p>
        </w:tc>
        <w:tc>
          <w:tcPr>
            <w:tcW w:w="4678" w:type="dxa"/>
            <w:tcBorders>
              <w:top w:val="single" w:sz="4" w:space="0" w:color="auto"/>
              <w:left w:val="single" w:sz="4" w:space="0" w:color="auto"/>
              <w:bottom w:val="single" w:sz="4" w:space="0" w:color="auto"/>
              <w:right w:val="single" w:sz="4" w:space="0" w:color="auto"/>
            </w:tcBorders>
          </w:tcPr>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Správneho deliktu sa dopustí fyzická osoba podľa</w:t>
            </w:r>
          </w:p>
          <w:p w:rsidR="00B81789" w:rsidRPr="00870476" w:rsidRDefault="00B81789" w:rsidP="00B81789">
            <w:pPr>
              <w:jc w:val="both"/>
              <w:rPr>
                <w:rFonts w:ascii="Arial Narrow" w:hAnsi="Arial Narrow" w:cs="Arial"/>
                <w:sz w:val="22"/>
                <w:szCs w:val="22"/>
              </w:rPr>
            </w:pPr>
            <w:r w:rsidRPr="00870476">
              <w:rPr>
                <w:rFonts w:ascii="Arial Narrow" w:hAnsi="Arial Narrow" w:cs="Arial"/>
                <w:sz w:val="22"/>
                <w:szCs w:val="22"/>
              </w:rPr>
              <w:t>a) § 1 ods. 3 písm. a), ak porušila ustanovenie § 35 ods. 6,</w:t>
            </w:r>
          </w:p>
          <w:p w:rsidR="00410550" w:rsidRPr="00870476" w:rsidRDefault="00B81789" w:rsidP="00B81789">
            <w:pPr>
              <w:jc w:val="both"/>
              <w:rPr>
                <w:rFonts w:ascii="Arial Narrow" w:hAnsi="Arial Narrow" w:cs="Arial"/>
                <w:b/>
                <w:sz w:val="22"/>
                <w:szCs w:val="22"/>
              </w:rPr>
            </w:pPr>
            <w:r w:rsidRPr="00870476">
              <w:rPr>
                <w:rFonts w:ascii="Arial Narrow" w:hAnsi="Arial Narrow" w:cs="Arial"/>
                <w:sz w:val="22"/>
                <w:szCs w:val="22"/>
              </w:rPr>
              <w:t>b) § 1 ods. 3 písm. b), ak porušila ustanovenie § 23a ods. 10.</w:t>
            </w:r>
          </w:p>
        </w:tc>
        <w:tc>
          <w:tcPr>
            <w:tcW w:w="709" w:type="dxa"/>
            <w:vMerge w:val="restart"/>
            <w:tcBorders>
              <w:top w:val="nil"/>
              <w:left w:val="single" w:sz="4" w:space="0" w:color="auto"/>
              <w:bottom w:val="nil"/>
              <w:right w:val="single" w:sz="4" w:space="0" w:color="auto"/>
            </w:tcBorders>
          </w:tcPr>
          <w:p w:rsidR="00410550" w:rsidRPr="00870476" w:rsidRDefault="00410550" w:rsidP="00292FD6">
            <w:pPr>
              <w:jc w:val="center"/>
              <w:rPr>
                <w:rFonts w:ascii="Arial Narrow" w:hAnsi="Arial Narrow"/>
                <w:sz w:val="22"/>
                <w:szCs w:val="22"/>
              </w:rPr>
            </w:pPr>
          </w:p>
        </w:tc>
        <w:tc>
          <w:tcPr>
            <w:tcW w:w="934" w:type="dxa"/>
            <w:vMerge w:val="restart"/>
            <w:tcBorders>
              <w:top w:val="nil"/>
              <w:left w:val="single" w:sz="4" w:space="0" w:color="auto"/>
              <w:bottom w:val="nil"/>
              <w:right w:val="single" w:sz="12" w:space="0" w:color="auto"/>
            </w:tcBorders>
          </w:tcPr>
          <w:p w:rsidR="00410550" w:rsidRPr="00870476" w:rsidRDefault="00410550" w:rsidP="00292FD6">
            <w:pPr>
              <w:pStyle w:val="Nadpis1"/>
              <w:rPr>
                <w:rFonts w:ascii="Arial Narrow" w:hAnsi="Arial Narrow"/>
                <w:b w:val="0"/>
                <w:bCs w:val="0"/>
                <w:sz w:val="22"/>
                <w:szCs w:val="22"/>
              </w:rPr>
            </w:pPr>
          </w:p>
        </w:tc>
      </w:tr>
      <w:tr w:rsidR="00B81789" w:rsidRPr="00870476" w:rsidTr="000F6E14">
        <w:tc>
          <w:tcPr>
            <w:tcW w:w="682" w:type="dxa"/>
            <w:vMerge/>
            <w:tcBorders>
              <w:left w:val="single" w:sz="12" w:space="0" w:color="auto"/>
              <w:bottom w:val="single" w:sz="4" w:space="0" w:color="auto"/>
              <w:right w:val="single" w:sz="4" w:space="0" w:color="auto"/>
            </w:tcBorders>
          </w:tcPr>
          <w:p w:rsidR="00B81789" w:rsidRPr="00870476" w:rsidRDefault="00B81789" w:rsidP="00B81789">
            <w:pPr>
              <w:jc w:val="center"/>
              <w:rPr>
                <w:rFonts w:ascii="Arial Narrow" w:hAnsi="Arial Narrow"/>
                <w:sz w:val="22"/>
                <w:szCs w:val="22"/>
              </w:rPr>
            </w:pPr>
          </w:p>
        </w:tc>
        <w:tc>
          <w:tcPr>
            <w:tcW w:w="6604" w:type="dxa"/>
            <w:vMerge/>
            <w:tcBorders>
              <w:left w:val="single" w:sz="4" w:space="0" w:color="auto"/>
              <w:bottom w:val="single" w:sz="4" w:space="0" w:color="auto"/>
              <w:right w:val="single" w:sz="4" w:space="0" w:color="auto"/>
            </w:tcBorders>
          </w:tcPr>
          <w:p w:rsidR="00B81789" w:rsidRPr="00870476" w:rsidRDefault="00B81789" w:rsidP="00B81789">
            <w:pPr>
              <w:adjustRightInd w:val="0"/>
              <w:rPr>
                <w:rFonts w:ascii="Arial Narrow" w:hAnsi="Arial Narrow"/>
                <w:b/>
                <w:bCs/>
                <w:color w:val="000000"/>
                <w:sz w:val="22"/>
                <w:szCs w:val="22"/>
              </w:rPr>
            </w:pPr>
          </w:p>
        </w:tc>
        <w:tc>
          <w:tcPr>
            <w:tcW w:w="767" w:type="dxa"/>
            <w:vMerge/>
            <w:tcBorders>
              <w:left w:val="single" w:sz="4" w:space="0" w:color="auto"/>
              <w:bottom w:val="single" w:sz="4" w:space="0" w:color="auto"/>
              <w:right w:val="single" w:sz="12" w:space="0" w:color="auto"/>
            </w:tcBorders>
          </w:tcPr>
          <w:p w:rsidR="00B81789" w:rsidRPr="00870476" w:rsidRDefault="00B81789" w:rsidP="00B81789">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B81789" w:rsidRPr="00870476" w:rsidRDefault="00B81789" w:rsidP="00B81789">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B81789" w:rsidRPr="00870476" w:rsidRDefault="00B81789" w:rsidP="00B81789">
            <w:pPr>
              <w:pStyle w:val="Normlny0"/>
              <w:jc w:val="center"/>
              <w:rPr>
                <w:rFonts w:ascii="Arial Narrow" w:hAnsi="Arial Narrow"/>
                <w:sz w:val="22"/>
                <w:szCs w:val="22"/>
              </w:rPr>
            </w:pPr>
            <w:r w:rsidRPr="00870476">
              <w:rPr>
                <w:rFonts w:ascii="Arial Narrow" w:hAnsi="Arial Narrow"/>
                <w:sz w:val="22"/>
                <w:szCs w:val="22"/>
              </w:rPr>
              <w:t>§ 38</w:t>
            </w:r>
          </w:p>
          <w:p w:rsidR="00B81789" w:rsidRPr="00870476" w:rsidRDefault="00B81789" w:rsidP="00B81789">
            <w:pPr>
              <w:pStyle w:val="Normlny0"/>
              <w:jc w:val="center"/>
              <w:rPr>
                <w:rFonts w:ascii="Arial Narrow" w:hAnsi="Arial Narrow"/>
                <w:sz w:val="22"/>
                <w:szCs w:val="22"/>
              </w:rPr>
            </w:pPr>
            <w:r w:rsidRPr="00870476">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cPr>
          <w:p w:rsidR="00B81789" w:rsidRPr="00870476" w:rsidRDefault="00B81789" w:rsidP="00B81789">
            <w:pPr>
              <w:pStyle w:val="Zkladntext"/>
              <w:rPr>
                <w:rFonts w:ascii="Arial Narrow" w:hAnsi="Arial Narrow" w:cs="Arial"/>
                <w:color w:val="auto"/>
                <w:sz w:val="22"/>
                <w:szCs w:val="22"/>
              </w:rPr>
            </w:pPr>
            <w:r w:rsidRPr="00870476">
              <w:rPr>
                <w:rFonts w:ascii="Arial Narrow" w:hAnsi="Arial Narrow" w:cs="Arial"/>
                <w:color w:val="auto"/>
                <w:sz w:val="22"/>
                <w:szCs w:val="22"/>
              </w:rPr>
              <w:t>Daňový úrad za správny delikt podľa odseku 3 uloží pokutu od 100 eur do 100 000 eur.</w:t>
            </w:r>
          </w:p>
        </w:tc>
        <w:tc>
          <w:tcPr>
            <w:tcW w:w="709" w:type="dxa"/>
            <w:vMerge/>
            <w:tcBorders>
              <w:top w:val="nil"/>
              <w:left w:val="single" w:sz="4" w:space="0" w:color="auto"/>
              <w:bottom w:val="single" w:sz="4" w:space="0" w:color="auto"/>
              <w:right w:val="single" w:sz="4" w:space="0" w:color="auto"/>
            </w:tcBorders>
          </w:tcPr>
          <w:p w:rsidR="00B81789" w:rsidRPr="00870476" w:rsidRDefault="00B81789" w:rsidP="00B81789">
            <w:pPr>
              <w:jc w:val="center"/>
              <w:rPr>
                <w:rFonts w:ascii="Arial Narrow" w:hAnsi="Arial Narrow"/>
                <w:sz w:val="22"/>
                <w:szCs w:val="22"/>
              </w:rPr>
            </w:pPr>
          </w:p>
        </w:tc>
        <w:tc>
          <w:tcPr>
            <w:tcW w:w="934" w:type="dxa"/>
            <w:vMerge/>
            <w:tcBorders>
              <w:top w:val="nil"/>
              <w:left w:val="single" w:sz="4" w:space="0" w:color="auto"/>
              <w:bottom w:val="single" w:sz="4" w:space="0" w:color="auto"/>
              <w:right w:val="single" w:sz="12" w:space="0" w:color="auto"/>
            </w:tcBorders>
          </w:tcPr>
          <w:p w:rsidR="00B81789" w:rsidRPr="00870476" w:rsidRDefault="00B81789" w:rsidP="00B81789">
            <w:pPr>
              <w:pStyle w:val="Nadpis1"/>
              <w:rPr>
                <w:rFonts w:ascii="Arial Narrow" w:hAnsi="Arial Narrow"/>
                <w:b w:val="0"/>
                <w:bCs w:val="0"/>
                <w:sz w:val="22"/>
                <w:szCs w:val="22"/>
              </w:rPr>
            </w:pPr>
          </w:p>
        </w:tc>
      </w:tr>
      <w:tr w:rsidR="00B81789" w:rsidRPr="00870476" w:rsidTr="000F6E14">
        <w:tc>
          <w:tcPr>
            <w:tcW w:w="682" w:type="dxa"/>
            <w:vMerge/>
            <w:tcBorders>
              <w:left w:val="single" w:sz="12" w:space="0" w:color="auto"/>
              <w:bottom w:val="single" w:sz="4" w:space="0" w:color="auto"/>
              <w:right w:val="single" w:sz="4" w:space="0" w:color="auto"/>
            </w:tcBorders>
          </w:tcPr>
          <w:p w:rsidR="00B81789" w:rsidRPr="00870476" w:rsidRDefault="00B81789" w:rsidP="00292FD6">
            <w:pPr>
              <w:jc w:val="center"/>
              <w:rPr>
                <w:rFonts w:ascii="Arial Narrow" w:hAnsi="Arial Narrow"/>
                <w:sz w:val="22"/>
                <w:szCs w:val="22"/>
              </w:rPr>
            </w:pPr>
          </w:p>
        </w:tc>
        <w:tc>
          <w:tcPr>
            <w:tcW w:w="6604" w:type="dxa"/>
            <w:vMerge/>
            <w:tcBorders>
              <w:left w:val="single" w:sz="4" w:space="0" w:color="auto"/>
              <w:bottom w:val="single" w:sz="4" w:space="0" w:color="auto"/>
              <w:right w:val="single" w:sz="4" w:space="0" w:color="auto"/>
            </w:tcBorders>
          </w:tcPr>
          <w:p w:rsidR="00B81789" w:rsidRPr="00870476" w:rsidRDefault="00B81789" w:rsidP="00292FD6">
            <w:pPr>
              <w:adjustRightInd w:val="0"/>
              <w:rPr>
                <w:rFonts w:ascii="Arial Narrow" w:hAnsi="Arial Narrow"/>
                <w:b/>
                <w:bCs/>
                <w:color w:val="000000"/>
                <w:sz w:val="22"/>
                <w:szCs w:val="22"/>
              </w:rPr>
            </w:pPr>
          </w:p>
        </w:tc>
        <w:tc>
          <w:tcPr>
            <w:tcW w:w="767" w:type="dxa"/>
            <w:vMerge/>
            <w:tcBorders>
              <w:left w:val="single" w:sz="4" w:space="0" w:color="auto"/>
              <w:bottom w:val="single" w:sz="4" w:space="0" w:color="auto"/>
              <w:right w:val="single" w:sz="12" w:space="0" w:color="auto"/>
            </w:tcBorders>
          </w:tcPr>
          <w:p w:rsidR="00B81789" w:rsidRPr="00870476" w:rsidRDefault="00B81789" w:rsidP="00292FD6">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B81789" w:rsidRPr="00870476" w:rsidRDefault="00B81789" w:rsidP="00292FD6">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B81789" w:rsidRPr="00870476" w:rsidRDefault="00B81789" w:rsidP="008E176A">
            <w:pPr>
              <w:pStyle w:val="Normlny0"/>
              <w:jc w:val="center"/>
              <w:rPr>
                <w:rFonts w:ascii="Arial Narrow" w:hAnsi="Arial Narrow"/>
                <w:b/>
                <w:sz w:val="22"/>
                <w:szCs w:val="22"/>
              </w:rPr>
            </w:pPr>
            <w:r w:rsidRPr="00870476">
              <w:rPr>
                <w:rFonts w:ascii="Arial Narrow" w:hAnsi="Arial Narrow"/>
                <w:b/>
                <w:sz w:val="22"/>
                <w:szCs w:val="22"/>
              </w:rPr>
              <w:t>§ 39</w:t>
            </w:r>
            <w:r w:rsidR="008E176A">
              <w:rPr>
                <w:rFonts w:ascii="Arial Narrow" w:hAnsi="Arial Narrow"/>
                <w:b/>
                <w:sz w:val="22"/>
                <w:szCs w:val="22"/>
              </w:rPr>
              <w:t>z</w:t>
            </w:r>
          </w:p>
        </w:tc>
        <w:tc>
          <w:tcPr>
            <w:tcW w:w="4678" w:type="dxa"/>
            <w:tcBorders>
              <w:top w:val="single" w:sz="4" w:space="0" w:color="auto"/>
              <w:left w:val="single" w:sz="4" w:space="0" w:color="auto"/>
              <w:bottom w:val="single" w:sz="4" w:space="0" w:color="auto"/>
              <w:right w:val="single" w:sz="4" w:space="0" w:color="auto"/>
            </w:tcBorders>
          </w:tcPr>
          <w:p w:rsidR="00B81789" w:rsidRPr="00870476" w:rsidRDefault="00B81789" w:rsidP="000E638E">
            <w:pPr>
              <w:pStyle w:val="Zkladntext"/>
              <w:jc w:val="both"/>
              <w:rPr>
                <w:rFonts w:ascii="Arial Narrow" w:hAnsi="Arial Narrow" w:cs="Arial"/>
                <w:b/>
                <w:color w:val="auto"/>
                <w:sz w:val="22"/>
                <w:szCs w:val="22"/>
              </w:rPr>
            </w:pPr>
            <w:r w:rsidRPr="00870476">
              <w:rPr>
                <w:rFonts w:ascii="Arial Narrow" w:hAnsi="Arial Narrow" w:cs="Arial"/>
                <w:b/>
                <w:color w:val="auto"/>
                <w:sz w:val="22"/>
                <w:szCs w:val="22"/>
              </w:rPr>
              <w:t>Prechodné ustanovenie k úpravám účinným od 1. januára 2023</w:t>
            </w:r>
          </w:p>
          <w:p w:rsidR="00B81789" w:rsidRPr="00870476" w:rsidRDefault="00B81789" w:rsidP="000E638E">
            <w:pPr>
              <w:pStyle w:val="Zkladntext"/>
              <w:jc w:val="both"/>
              <w:rPr>
                <w:rFonts w:ascii="Arial Narrow" w:hAnsi="Arial Narrow" w:cs="Arial"/>
                <w:color w:val="auto"/>
                <w:sz w:val="22"/>
                <w:szCs w:val="22"/>
              </w:rPr>
            </w:pPr>
            <w:r w:rsidRPr="00870476">
              <w:rPr>
                <w:rFonts w:ascii="Arial Narrow" w:hAnsi="Arial Narrow" w:cs="Arial"/>
                <w:b/>
                <w:color w:val="auto"/>
                <w:sz w:val="22"/>
                <w:szCs w:val="22"/>
              </w:rPr>
              <w:t>Ustanovenia § 38 ods. 1 písm. k) a ods. 2 písm. e) v znení účinnom od 1. januára 2023 sa použijú na správne delikty spáchané po 31. decembri 2022.</w:t>
            </w:r>
          </w:p>
        </w:tc>
        <w:tc>
          <w:tcPr>
            <w:tcW w:w="709" w:type="dxa"/>
            <w:vMerge/>
            <w:tcBorders>
              <w:top w:val="nil"/>
              <w:left w:val="single" w:sz="4" w:space="0" w:color="auto"/>
              <w:bottom w:val="single" w:sz="4" w:space="0" w:color="auto"/>
              <w:right w:val="single" w:sz="4" w:space="0" w:color="auto"/>
            </w:tcBorders>
          </w:tcPr>
          <w:p w:rsidR="00B81789" w:rsidRPr="00870476" w:rsidRDefault="00B81789" w:rsidP="00292FD6">
            <w:pPr>
              <w:jc w:val="center"/>
              <w:rPr>
                <w:rFonts w:ascii="Arial Narrow" w:hAnsi="Arial Narrow"/>
                <w:sz w:val="22"/>
                <w:szCs w:val="22"/>
              </w:rPr>
            </w:pPr>
          </w:p>
        </w:tc>
        <w:tc>
          <w:tcPr>
            <w:tcW w:w="934" w:type="dxa"/>
            <w:vMerge/>
            <w:tcBorders>
              <w:top w:val="nil"/>
              <w:left w:val="single" w:sz="4" w:space="0" w:color="auto"/>
              <w:bottom w:val="single" w:sz="4" w:space="0" w:color="auto"/>
              <w:right w:val="single" w:sz="12" w:space="0" w:color="auto"/>
            </w:tcBorders>
          </w:tcPr>
          <w:p w:rsidR="00B81789" w:rsidRPr="00870476" w:rsidRDefault="00B81789" w:rsidP="00292FD6">
            <w:pPr>
              <w:pStyle w:val="Nadpis1"/>
              <w:rPr>
                <w:rFonts w:ascii="Arial Narrow" w:hAnsi="Arial Narrow"/>
                <w:b w:val="0"/>
                <w:bCs w:val="0"/>
                <w:sz w:val="22"/>
                <w:szCs w:val="22"/>
              </w:rPr>
            </w:pPr>
          </w:p>
        </w:tc>
      </w:tr>
      <w:tr w:rsidR="00410550" w:rsidRPr="00870476" w:rsidTr="000F6E14">
        <w:tc>
          <w:tcPr>
            <w:tcW w:w="682" w:type="dxa"/>
            <w:vMerge/>
            <w:tcBorders>
              <w:left w:val="single" w:sz="12" w:space="0" w:color="auto"/>
              <w:bottom w:val="single" w:sz="12" w:space="0" w:color="auto"/>
              <w:right w:val="single" w:sz="4" w:space="0" w:color="auto"/>
            </w:tcBorders>
          </w:tcPr>
          <w:p w:rsidR="00410550" w:rsidRPr="00870476" w:rsidRDefault="00410550" w:rsidP="00292FD6">
            <w:pPr>
              <w:jc w:val="center"/>
              <w:rPr>
                <w:rFonts w:ascii="Arial Narrow" w:hAnsi="Arial Narrow"/>
                <w:sz w:val="22"/>
                <w:szCs w:val="22"/>
              </w:rPr>
            </w:pPr>
          </w:p>
        </w:tc>
        <w:tc>
          <w:tcPr>
            <w:tcW w:w="6604" w:type="dxa"/>
            <w:vMerge/>
            <w:tcBorders>
              <w:left w:val="single" w:sz="4" w:space="0" w:color="auto"/>
              <w:bottom w:val="single" w:sz="12" w:space="0" w:color="auto"/>
              <w:right w:val="single" w:sz="4" w:space="0" w:color="auto"/>
            </w:tcBorders>
          </w:tcPr>
          <w:p w:rsidR="00410550" w:rsidRPr="00870476" w:rsidRDefault="00410550" w:rsidP="00292FD6">
            <w:pPr>
              <w:adjustRightInd w:val="0"/>
              <w:rPr>
                <w:rFonts w:ascii="Arial Narrow" w:hAnsi="Arial Narrow"/>
                <w:b/>
                <w:bCs/>
                <w:color w:val="000000"/>
                <w:sz w:val="22"/>
                <w:szCs w:val="22"/>
              </w:rPr>
            </w:pPr>
          </w:p>
        </w:tc>
        <w:tc>
          <w:tcPr>
            <w:tcW w:w="767" w:type="dxa"/>
            <w:vMerge/>
            <w:tcBorders>
              <w:left w:val="single" w:sz="4" w:space="0" w:color="auto"/>
              <w:bottom w:val="single" w:sz="12" w:space="0" w:color="auto"/>
              <w:right w:val="single" w:sz="12" w:space="0" w:color="auto"/>
            </w:tcBorders>
          </w:tcPr>
          <w:p w:rsidR="00410550" w:rsidRPr="00870476" w:rsidRDefault="00410550" w:rsidP="00292FD6">
            <w:pPr>
              <w:jc w:val="center"/>
              <w:rPr>
                <w:rFonts w:ascii="Arial Narrow" w:hAnsi="Arial Narrow"/>
                <w:sz w:val="22"/>
                <w:szCs w:val="22"/>
              </w:rPr>
            </w:pPr>
          </w:p>
        </w:tc>
        <w:tc>
          <w:tcPr>
            <w:tcW w:w="851" w:type="dxa"/>
            <w:vMerge/>
            <w:tcBorders>
              <w:left w:val="nil"/>
              <w:bottom w:val="single" w:sz="12" w:space="0" w:color="auto"/>
              <w:right w:val="single" w:sz="4" w:space="0" w:color="auto"/>
            </w:tcBorders>
          </w:tcPr>
          <w:p w:rsidR="00410550" w:rsidRPr="00870476" w:rsidRDefault="00410550" w:rsidP="00292FD6">
            <w:pPr>
              <w:jc w:val="center"/>
              <w:rPr>
                <w:rFonts w:ascii="Arial Narrow" w:hAnsi="Arial Narrow"/>
                <w:sz w:val="22"/>
                <w:szCs w:val="22"/>
              </w:rPr>
            </w:pPr>
          </w:p>
        </w:tc>
        <w:tc>
          <w:tcPr>
            <w:tcW w:w="850" w:type="dxa"/>
            <w:tcBorders>
              <w:top w:val="single" w:sz="4" w:space="0" w:color="auto"/>
              <w:left w:val="single" w:sz="4" w:space="0" w:color="auto"/>
              <w:bottom w:val="single" w:sz="12" w:space="0" w:color="auto"/>
              <w:right w:val="single" w:sz="4" w:space="0" w:color="auto"/>
            </w:tcBorders>
          </w:tcPr>
          <w:p w:rsidR="00410550" w:rsidRPr="00870476" w:rsidRDefault="00B81789" w:rsidP="00292FD6">
            <w:pPr>
              <w:pStyle w:val="Normlny0"/>
              <w:jc w:val="center"/>
              <w:rPr>
                <w:rFonts w:ascii="Arial Narrow" w:hAnsi="Arial Narrow"/>
                <w:b/>
                <w:sz w:val="22"/>
                <w:szCs w:val="22"/>
              </w:rPr>
            </w:pPr>
            <w:r w:rsidRPr="00870476">
              <w:rPr>
                <w:rFonts w:ascii="Arial Narrow" w:hAnsi="Arial Narrow"/>
                <w:b/>
                <w:sz w:val="22"/>
                <w:szCs w:val="22"/>
              </w:rPr>
              <w:t>§ 39z</w:t>
            </w:r>
            <w:r w:rsidR="008E176A">
              <w:rPr>
                <w:rFonts w:ascii="Arial Narrow" w:hAnsi="Arial Narrow"/>
                <w:b/>
                <w:sz w:val="22"/>
                <w:szCs w:val="22"/>
              </w:rPr>
              <w:t>a</w:t>
            </w:r>
          </w:p>
          <w:p w:rsidR="00B81789" w:rsidRPr="00870476" w:rsidRDefault="00B81789" w:rsidP="00292FD6">
            <w:pPr>
              <w:pStyle w:val="Normlny0"/>
              <w:jc w:val="center"/>
              <w:rPr>
                <w:rFonts w:ascii="Arial Narrow" w:hAnsi="Arial Narrow"/>
                <w:b/>
                <w:sz w:val="22"/>
                <w:szCs w:val="22"/>
              </w:rPr>
            </w:pPr>
            <w:r w:rsidRPr="00870476">
              <w:rPr>
                <w:rFonts w:ascii="Arial Narrow" w:hAnsi="Arial Narrow"/>
                <w:b/>
                <w:sz w:val="22"/>
                <w:szCs w:val="22"/>
              </w:rPr>
              <w:t>O:3</w:t>
            </w:r>
          </w:p>
        </w:tc>
        <w:tc>
          <w:tcPr>
            <w:tcW w:w="4678" w:type="dxa"/>
            <w:tcBorders>
              <w:top w:val="single" w:sz="4" w:space="0" w:color="auto"/>
              <w:left w:val="single" w:sz="4" w:space="0" w:color="auto"/>
              <w:bottom w:val="single" w:sz="12" w:space="0" w:color="auto"/>
              <w:right w:val="single" w:sz="4" w:space="0" w:color="auto"/>
            </w:tcBorders>
          </w:tcPr>
          <w:p w:rsidR="00410550" w:rsidRPr="00870476" w:rsidRDefault="00B81789" w:rsidP="000E638E">
            <w:pPr>
              <w:pStyle w:val="Zkladntext"/>
              <w:jc w:val="both"/>
              <w:rPr>
                <w:rFonts w:ascii="Arial Narrow" w:hAnsi="Arial Narrow" w:cs="Arial"/>
                <w:b/>
                <w:color w:val="auto"/>
                <w:sz w:val="22"/>
                <w:szCs w:val="22"/>
              </w:rPr>
            </w:pPr>
            <w:r w:rsidRPr="00870476">
              <w:rPr>
                <w:rFonts w:ascii="Arial Narrow" w:hAnsi="Arial Narrow" w:cs="Arial"/>
                <w:b/>
                <w:color w:val="auto"/>
                <w:sz w:val="22"/>
                <w:szCs w:val="22"/>
              </w:rPr>
              <w:t>Ustanovenia § 38 ods. 1 písm. o) a ods. 2 písm. g) v znení účinnom od 22. júna 2023 sa použijú na správne delikty spáchané po 21. júni 2023.</w:t>
            </w:r>
          </w:p>
        </w:tc>
        <w:tc>
          <w:tcPr>
            <w:tcW w:w="709" w:type="dxa"/>
            <w:vMerge/>
            <w:tcBorders>
              <w:top w:val="nil"/>
              <w:left w:val="single" w:sz="4" w:space="0" w:color="auto"/>
              <w:bottom w:val="single" w:sz="12" w:space="0" w:color="auto"/>
              <w:right w:val="single" w:sz="4" w:space="0" w:color="auto"/>
            </w:tcBorders>
          </w:tcPr>
          <w:p w:rsidR="00410550" w:rsidRPr="00870476" w:rsidRDefault="00410550" w:rsidP="00292FD6">
            <w:pPr>
              <w:jc w:val="center"/>
              <w:rPr>
                <w:rFonts w:ascii="Arial Narrow" w:hAnsi="Arial Narrow"/>
                <w:sz w:val="22"/>
                <w:szCs w:val="22"/>
              </w:rPr>
            </w:pPr>
          </w:p>
        </w:tc>
        <w:tc>
          <w:tcPr>
            <w:tcW w:w="934" w:type="dxa"/>
            <w:vMerge/>
            <w:tcBorders>
              <w:top w:val="nil"/>
              <w:left w:val="single" w:sz="4" w:space="0" w:color="auto"/>
              <w:bottom w:val="single" w:sz="12" w:space="0" w:color="auto"/>
              <w:right w:val="single" w:sz="12" w:space="0" w:color="auto"/>
            </w:tcBorders>
          </w:tcPr>
          <w:p w:rsidR="00410550" w:rsidRPr="00870476" w:rsidRDefault="00410550" w:rsidP="00292FD6">
            <w:pPr>
              <w:pStyle w:val="Nadpis1"/>
              <w:rPr>
                <w:rFonts w:ascii="Arial Narrow" w:hAnsi="Arial Narrow"/>
                <w:b w:val="0"/>
                <w:bCs w:val="0"/>
                <w:sz w:val="22"/>
                <w:szCs w:val="22"/>
              </w:rPr>
            </w:pPr>
          </w:p>
        </w:tc>
      </w:tr>
    </w:tbl>
    <w:p w:rsidR="000E5F2B" w:rsidRDefault="000E5F2B">
      <w:pPr>
        <w:autoSpaceDE/>
        <w:autoSpaceDN/>
        <w:rPr>
          <w:rFonts w:ascii="Arial Narrow" w:hAnsi="Arial Narrow"/>
          <w:sz w:val="22"/>
          <w:szCs w:val="22"/>
        </w:rPr>
      </w:pP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1960"/>
        <w:gridCol w:w="7580"/>
      </w:tblGrid>
      <w:tr w:rsidR="008C54C3" w:rsidRPr="00D74E1A" w:rsidTr="00360DD3">
        <w:tc>
          <w:tcPr>
            <w:tcW w:w="2410" w:type="dxa"/>
            <w:tcBorders>
              <w:top w:val="nil"/>
              <w:left w:val="nil"/>
              <w:bottom w:val="nil"/>
              <w:right w:val="nil"/>
            </w:tcBorders>
          </w:tcPr>
          <w:p w:rsidR="008C54C3" w:rsidRPr="00870476" w:rsidRDefault="008C54C3">
            <w:pPr>
              <w:pStyle w:val="Normlny0"/>
              <w:autoSpaceDE/>
              <w:autoSpaceDN/>
              <w:spacing w:after="60"/>
              <w:rPr>
                <w:rFonts w:ascii="Arial Narrow" w:hAnsi="Arial Narrow"/>
                <w:sz w:val="22"/>
                <w:szCs w:val="22"/>
                <w:lang w:eastAsia="sk-SK"/>
              </w:rPr>
            </w:pPr>
            <w:r w:rsidRPr="00870476">
              <w:rPr>
                <w:rFonts w:ascii="Arial Narrow" w:hAnsi="Arial Narrow"/>
                <w:sz w:val="22"/>
                <w:szCs w:val="22"/>
                <w:lang w:eastAsia="sk-SK"/>
              </w:rPr>
              <w:t>V stĺpci (1):</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Č – článok</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O – odsek</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V – veta</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 xml:space="preserve">P – </w:t>
            </w:r>
            <w:r w:rsidR="00DA0F6C" w:rsidRPr="00870476">
              <w:rPr>
                <w:rFonts w:ascii="Arial Narrow" w:hAnsi="Arial Narrow"/>
                <w:sz w:val="22"/>
                <w:szCs w:val="22"/>
              </w:rPr>
              <w:t>číslo</w:t>
            </w:r>
            <w:r w:rsidRPr="00870476">
              <w:rPr>
                <w:rFonts w:ascii="Arial Narrow" w:hAnsi="Arial Narrow"/>
                <w:sz w:val="22"/>
                <w:szCs w:val="22"/>
              </w:rPr>
              <w:t xml:space="preserve"> (</w:t>
            </w:r>
            <w:r w:rsidR="00DA0F6C" w:rsidRPr="00870476">
              <w:rPr>
                <w:rFonts w:ascii="Arial Narrow" w:hAnsi="Arial Narrow"/>
                <w:sz w:val="22"/>
                <w:szCs w:val="22"/>
              </w:rPr>
              <w:t>písmeno</w:t>
            </w:r>
            <w:r w:rsidRPr="00870476">
              <w:rPr>
                <w:rFonts w:ascii="Arial Narrow" w:hAnsi="Arial Narrow"/>
                <w:sz w:val="22"/>
                <w:szCs w:val="22"/>
              </w:rPr>
              <w:t>)</w:t>
            </w:r>
          </w:p>
          <w:p w:rsidR="008C54C3" w:rsidRPr="00870476" w:rsidRDefault="008C54C3">
            <w:pPr>
              <w:autoSpaceDE/>
              <w:autoSpaceDN/>
              <w:rPr>
                <w:rFonts w:ascii="Arial Narrow" w:hAnsi="Arial Narrow"/>
                <w:sz w:val="22"/>
                <w:szCs w:val="22"/>
              </w:rPr>
            </w:pPr>
          </w:p>
        </w:tc>
        <w:tc>
          <w:tcPr>
            <w:tcW w:w="3780" w:type="dxa"/>
            <w:tcBorders>
              <w:top w:val="nil"/>
              <w:left w:val="nil"/>
              <w:bottom w:val="nil"/>
              <w:right w:val="nil"/>
            </w:tcBorders>
          </w:tcPr>
          <w:p w:rsidR="008C54C3" w:rsidRPr="00870476" w:rsidRDefault="008C54C3">
            <w:pPr>
              <w:pStyle w:val="Normlny0"/>
              <w:autoSpaceDE/>
              <w:autoSpaceDN/>
              <w:spacing w:after="60"/>
              <w:rPr>
                <w:rFonts w:ascii="Arial Narrow" w:hAnsi="Arial Narrow"/>
                <w:sz w:val="22"/>
                <w:szCs w:val="22"/>
                <w:lang w:eastAsia="sk-SK"/>
              </w:rPr>
            </w:pPr>
            <w:r w:rsidRPr="00870476">
              <w:rPr>
                <w:rFonts w:ascii="Arial Narrow" w:hAnsi="Arial Narrow"/>
                <w:sz w:val="22"/>
                <w:szCs w:val="22"/>
                <w:lang w:eastAsia="sk-SK"/>
              </w:rPr>
              <w:t>V stĺpci (3):</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N – bežná transpozícia</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O – transpozícia s možnosťou voľby</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D – transpozícia podľa úvahy (dobrovoľná)</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n.a. – transpozícia sa neuskutočňuje</w:t>
            </w:r>
          </w:p>
        </w:tc>
        <w:tc>
          <w:tcPr>
            <w:tcW w:w="1960" w:type="dxa"/>
            <w:tcBorders>
              <w:top w:val="nil"/>
              <w:left w:val="nil"/>
              <w:bottom w:val="nil"/>
              <w:right w:val="nil"/>
            </w:tcBorders>
          </w:tcPr>
          <w:p w:rsidR="008C54C3" w:rsidRPr="00870476" w:rsidRDefault="008C54C3">
            <w:pPr>
              <w:pStyle w:val="Normlny0"/>
              <w:autoSpaceDE/>
              <w:autoSpaceDN/>
              <w:spacing w:after="60"/>
              <w:rPr>
                <w:rFonts w:ascii="Arial Narrow" w:hAnsi="Arial Narrow"/>
                <w:sz w:val="22"/>
                <w:szCs w:val="22"/>
                <w:lang w:eastAsia="sk-SK"/>
              </w:rPr>
            </w:pPr>
            <w:r w:rsidRPr="00870476">
              <w:rPr>
                <w:rFonts w:ascii="Arial Narrow" w:hAnsi="Arial Narrow"/>
                <w:sz w:val="22"/>
                <w:szCs w:val="22"/>
                <w:lang w:eastAsia="sk-SK"/>
              </w:rPr>
              <w:t>V stĺpci (5):</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Č – článok</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 – paragraf</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O – odsek</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V – veta</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P – písmeno (číslo)</w:t>
            </w:r>
          </w:p>
        </w:tc>
        <w:tc>
          <w:tcPr>
            <w:tcW w:w="7580" w:type="dxa"/>
            <w:tcBorders>
              <w:top w:val="nil"/>
              <w:left w:val="nil"/>
              <w:bottom w:val="nil"/>
              <w:right w:val="nil"/>
            </w:tcBorders>
          </w:tcPr>
          <w:p w:rsidR="008C54C3" w:rsidRPr="00870476" w:rsidRDefault="008C54C3">
            <w:pPr>
              <w:pStyle w:val="Normlny0"/>
              <w:autoSpaceDE/>
              <w:autoSpaceDN/>
              <w:spacing w:after="60"/>
              <w:rPr>
                <w:rFonts w:ascii="Arial Narrow" w:hAnsi="Arial Narrow"/>
                <w:sz w:val="22"/>
                <w:szCs w:val="22"/>
                <w:lang w:eastAsia="sk-SK"/>
              </w:rPr>
            </w:pPr>
            <w:r w:rsidRPr="00870476">
              <w:rPr>
                <w:rFonts w:ascii="Arial Narrow" w:hAnsi="Arial Narrow"/>
                <w:sz w:val="22"/>
                <w:szCs w:val="22"/>
                <w:lang w:eastAsia="sk-SK"/>
              </w:rPr>
              <w:t>V stĺpci (7):</w:t>
            </w:r>
          </w:p>
          <w:p w:rsidR="008C54C3" w:rsidRPr="00870476" w:rsidRDefault="008C54C3" w:rsidP="008C54C3">
            <w:pPr>
              <w:autoSpaceDE/>
              <w:autoSpaceDN/>
              <w:ind w:left="290" w:hanging="290"/>
              <w:rPr>
                <w:rFonts w:ascii="Arial Narrow" w:hAnsi="Arial Narrow"/>
                <w:sz w:val="22"/>
                <w:szCs w:val="22"/>
              </w:rPr>
            </w:pPr>
            <w:r w:rsidRPr="00870476">
              <w:rPr>
                <w:rFonts w:ascii="Arial Narrow" w:hAnsi="Arial Narrow"/>
                <w:sz w:val="22"/>
                <w:szCs w:val="22"/>
              </w:rPr>
              <w:t>Ú – úplná zhoda (ak bolo ustanovenie smernice prebraté v celom rozsahu, správne, v príslušnej form</w:t>
            </w:r>
            <w:r w:rsidR="00391DC5" w:rsidRPr="00870476">
              <w:rPr>
                <w:rFonts w:ascii="Arial Narrow" w:hAnsi="Arial Narrow"/>
                <w:sz w:val="22"/>
                <w:szCs w:val="22"/>
              </w:rPr>
              <w:t>e</w:t>
            </w:r>
            <w:r w:rsidRPr="00870476">
              <w:rPr>
                <w:rFonts w:ascii="Arial Narrow" w:hAnsi="Arial Narrow"/>
                <w:sz w:val="22"/>
                <w:szCs w:val="22"/>
              </w:rPr>
              <w:t>, so zabezpečenou inštitucionálnou</w:t>
            </w:r>
            <w:r w:rsidR="000C2E53" w:rsidRPr="00870476">
              <w:rPr>
                <w:rFonts w:ascii="Arial Narrow" w:hAnsi="Arial Narrow"/>
                <w:sz w:val="22"/>
                <w:szCs w:val="22"/>
              </w:rPr>
              <w:t xml:space="preserve"> </w:t>
            </w:r>
            <w:r w:rsidRPr="00870476">
              <w:rPr>
                <w:rFonts w:ascii="Arial Narrow" w:hAnsi="Arial Narrow"/>
                <w:sz w:val="22"/>
                <w:szCs w:val="22"/>
              </w:rPr>
              <w:t xml:space="preserve"> </w:t>
            </w:r>
            <w:r w:rsidR="000C2E53" w:rsidRPr="00870476">
              <w:rPr>
                <w:rFonts w:ascii="Arial Narrow" w:hAnsi="Arial Narrow"/>
                <w:sz w:val="22"/>
                <w:szCs w:val="22"/>
              </w:rPr>
              <w:t>i</w:t>
            </w:r>
            <w:r w:rsidRPr="00870476">
              <w:rPr>
                <w:rFonts w:ascii="Arial Narrow" w:hAnsi="Arial Narrow"/>
                <w:sz w:val="22"/>
                <w:szCs w:val="22"/>
              </w:rPr>
              <w:t>nfraštruktúrou, s príslušnými sankciami a vo vzájomnej súvislosti)</w:t>
            </w:r>
          </w:p>
          <w:p w:rsidR="008C54C3" w:rsidRPr="00870476" w:rsidRDefault="008C54C3">
            <w:pPr>
              <w:autoSpaceDE/>
              <w:autoSpaceDN/>
              <w:rPr>
                <w:rFonts w:ascii="Arial Narrow" w:hAnsi="Arial Narrow"/>
                <w:sz w:val="22"/>
                <w:szCs w:val="22"/>
              </w:rPr>
            </w:pPr>
            <w:r w:rsidRPr="00870476">
              <w:rPr>
                <w:rFonts w:ascii="Arial Narrow" w:hAnsi="Arial Narrow"/>
                <w:sz w:val="22"/>
                <w:szCs w:val="22"/>
              </w:rPr>
              <w:t>Č – čiastočná zhoda (ak minimálne jedna z podmienok úplnej zhody nie je splnená)</w:t>
            </w:r>
          </w:p>
          <w:p w:rsidR="008C54C3" w:rsidRPr="00870476" w:rsidRDefault="008C54C3">
            <w:pPr>
              <w:pStyle w:val="Zarkazkladnhotextu2"/>
              <w:rPr>
                <w:rFonts w:ascii="Arial Narrow" w:hAnsi="Arial Narrow"/>
                <w:sz w:val="22"/>
                <w:szCs w:val="22"/>
              </w:rPr>
            </w:pPr>
            <w:r w:rsidRPr="00870476">
              <w:rPr>
                <w:rFonts w:ascii="Arial Narrow" w:hAnsi="Arial Narrow"/>
                <w:sz w:val="22"/>
                <w:szCs w:val="22"/>
              </w:rPr>
              <w:t>Ž – žiadna zhoda (ak nebola dosiahnutá ani úplná ani čiast. zhoda alebo k prebratiu dôjde v budúcnosti)</w:t>
            </w:r>
          </w:p>
          <w:p w:rsidR="008C54C3" w:rsidRPr="00D74E1A" w:rsidRDefault="008C54C3">
            <w:pPr>
              <w:autoSpaceDE/>
              <w:autoSpaceDN/>
              <w:ind w:left="290" w:hanging="290"/>
              <w:rPr>
                <w:rFonts w:ascii="Arial Narrow" w:hAnsi="Arial Narrow"/>
                <w:sz w:val="22"/>
                <w:szCs w:val="22"/>
              </w:rPr>
            </w:pPr>
            <w:r w:rsidRPr="00870476">
              <w:rPr>
                <w:rFonts w:ascii="Arial Narrow" w:hAnsi="Arial Narrow"/>
                <w:sz w:val="22"/>
                <w:szCs w:val="22"/>
              </w:rPr>
              <w:t>n.a. – neaplikovateľnosť (ak sa ustanovenie smernice netýka SR alebo nie je potrebné ho prebrať)</w:t>
            </w:r>
          </w:p>
        </w:tc>
      </w:tr>
    </w:tbl>
    <w:p w:rsidR="008C54C3" w:rsidRPr="00D74E1A" w:rsidRDefault="008C54C3" w:rsidP="00360DD3">
      <w:pPr>
        <w:pStyle w:val="Hlavika"/>
        <w:tabs>
          <w:tab w:val="clear" w:pos="4536"/>
          <w:tab w:val="clear" w:pos="9072"/>
        </w:tabs>
        <w:autoSpaceDE/>
        <w:autoSpaceDN/>
        <w:rPr>
          <w:rFonts w:ascii="Arial Narrow" w:hAnsi="Arial Narrow"/>
          <w:sz w:val="22"/>
          <w:szCs w:val="22"/>
        </w:rPr>
      </w:pPr>
    </w:p>
    <w:sectPr w:rsidR="008C54C3" w:rsidRPr="00D74E1A" w:rsidSect="006B721E">
      <w:footerReference w:type="default" r:id="rId10"/>
      <w:pgSz w:w="16838" w:h="11906" w:orient="landscape" w:code="9"/>
      <w:pgMar w:top="720" w:right="68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3D" w:rsidRDefault="00B84C3D">
      <w:r>
        <w:separator/>
      </w:r>
    </w:p>
  </w:endnote>
  <w:endnote w:type="continuationSeparator" w:id="0">
    <w:p w:rsidR="00B84C3D" w:rsidRDefault="00B8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1C" w:rsidRDefault="00D35C1C">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6595A">
      <w:rPr>
        <w:rStyle w:val="slostrany"/>
        <w:noProof/>
      </w:rPr>
      <w:t>2</w:t>
    </w:r>
    <w:r>
      <w:rPr>
        <w:rStyle w:val="slostrany"/>
      </w:rPr>
      <w:fldChar w:fldCharType="end"/>
    </w:r>
  </w:p>
  <w:p w:rsidR="00D35C1C" w:rsidRDefault="00D35C1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3D" w:rsidRDefault="00B84C3D">
      <w:r>
        <w:separator/>
      </w:r>
    </w:p>
  </w:footnote>
  <w:footnote w:type="continuationSeparator" w:id="0">
    <w:p w:rsidR="00B84C3D" w:rsidRDefault="00B8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7BD"/>
    <w:multiLevelType w:val="hybridMultilevel"/>
    <w:tmpl w:val="A66055BA"/>
    <w:lvl w:ilvl="0" w:tplc="041B0017">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CC264B"/>
    <w:multiLevelType w:val="hybridMultilevel"/>
    <w:tmpl w:val="99943D4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6F52313"/>
    <w:multiLevelType w:val="hybridMultilevel"/>
    <w:tmpl w:val="C8E21F66"/>
    <w:lvl w:ilvl="0" w:tplc="0405000F">
      <w:start w:val="1"/>
      <w:numFmt w:val="decimal"/>
      <w:lvlText w:val="%1."/>
      <w:lvlJc w:val="left"/>
      <w:pPr>
        <w:tabs>
          <w:tab w:val="num" w:pos="360"/>
        </w:tabs>
        <w:ind w:left="360" w:hanging="360"/>
      </w:pPr>
      <w:rPr>
        <w:rFonts w:cs="Times New Roman" w:hint="default"/>
      </w:rPr>
    </w:lvl>
    <w:lvl w:ilvl="1" w:tplc="F80A626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14A5A"/>
    <w:multiLevelType w:val="hybridMultilevel"/>
    <w:tmpl w:val="377AB118"/>
    <w:lvl w:ilvl="0" w:tplc="193A097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05569"/>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62B2E03"/>
    <w:multiLevelType w:val="hybridMultilevel"/>
    <w:tmpl w:val="8982C1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1C5D5E3E"/>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3" w15:restartNumberingAfterBreak="0">
    <w:nsid w:val="220E1992"/>
    <w:multiLevelType w:val="hybridMultilevel"/>
    <w:tmpl w:val="132A9B00"/>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FA6959"/>
    <w:multiLevelType w:val="hybridMultilevel"/>
    <w:tmpl w:val="5246DD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7" w15:restartNumberingAfterBreak="0">
    <w:nsid w:val="484128E3"/>
    <w:multiLevelType w:val="hybridMultilevel"/>
    <w:tmpl w:val="BA2244C0"/>
    <w:lvl w:ilvl="0" w:tplc="F5B600AA">
      <w:start w:val="1"/>
      <w:numFmt w:val="lowerLetter"/>
      <w:lvlText w:val="%1)"/>
      <w:lvlJc w:val="left"/>
      <w:pPr>
        <w:ind w:left="905" w:hanging="360"/>
      </w:pPr>
      <w:rPr>
        <w:rFonts w:ascii="Arial Narrow" w:hAnsi="Arial Narrow" w:cs="Times New Roman" w:hint="default"/>
        <w:strike w:val="0"/>
        <w:sz w:val="22"/>
        <w:szCs w:val="22"/>
      </w:rPr>
    </w:lvl>
    <w:lvl w:ilvl="1" w:tplc="041B0019" w:tentative="1">
      <w:start w:val="1"/>
      <w:numFmt w:val="lowerLetter"/>
      <w:lvlText w:val="%2."/>
      <w:lvlJc w:val="left"/>
      <w:pPr>
        <w:ind w:left="1625" w:hanging="360"/>
      </w:pPr>
      <w:rPr>
        <w:rFonts w:cs="Times New Roman"/>
      </w:rPr>
    </w:lvl>
    <w:lvl w:ilvl="2" w:tplc="041B001B" w:tentative="1">
      <w:start w:val="1"/>
      <w:numFmt w:val="lowerRoman"/>
      <w:lvlText w:val="%3."/>
      <w:lvlJc w:val="right"/>
      <w:pPr>
        <w:ind w:left="2345" w:hanging="180"/>
      </w:pPr>
      <w:rPr>
        <w:rFonts w:cs="Times New Roman"/>
      </w:rPr>
    </w:lvl>
    <w:lvl w:ilvl="3" w:tplc="041B000F" w:tentative="1">
      <w:start w:val="1"/>
      <w:numFmt w:val="decimal"/>
      <w:lvlText w:val="%4."/>
      <w:lvlJc w:val="left"/>
      <w:pPr>
        <w:ind w:left="3065" w:hanging="360"/>
      </w:pPr>
      <w:rPr>
        <w:rFonts w:cs="Times New Roman"/>
      </w:rPr>
    </w:lvl>
    <w:lvl w:ilvl="4" w:tplc="041B0019" w:tentative="1">
      <w:start w:val="1"/>
      <w:numFmt w:val="lowerLetter"/>
      <w:lvlText w:val="%5."/>
      <w:lvlJc w:val="left"/>
      <w:pPr>
        <w:ind w:left="3785" w:hanging="360"/>
      </w:pPr>
      <w:rPr>
        <w:rFonts w:cs="Times New Roman"/>
      </w:rPr>
    </w:lvl>
    <w:lvl w:ilvl="5" w:tplc="041B001B" w:tentative="1">
      <w:start w:val="1"/>
      <w:numFmt w:val="lowerRoman"/>
      <w:lvlText w:val="%6."/>
      <w:lvlJc w:val="right"/>
      <w:pPr>
        <w:ind w:left="4505" w:hanging="180"/>
      </w:pPr>
      <w:rPr>
        <w:rFonts w:cs="Times New Roman"/>
      </w:rPr>
    </w:lvl>
    <w:lvl w:ilvl="6" w:tplc="041B000F" w:tentative="1">
      <w:start w:val="1"/>
      <w:numFmt w:val="decimal"/>
      <w:lvlText w:val="%7."/>
      <w:lvlJc w:val="left"/>
      <w:pPr>
        <w:ind w:left="5225" w:hanging="360"/>
      </w:pPr>
      <w:rPr>
        <w:rFonts w:cs="Times New Roman"/>
      </w:rPr>
    </w:lvl>
    <w:lvl w:ilvl="7" w:tplc="041B0019" w:tentative="1">
      <w:start w:val="1"/>
      <w:numFmt w:val="lowerLetter"/>
      <w:lvlText w:val="%8."/>
      <w:lvlJc w:val="left"/>
      <w:pPr>
        <w:ind w:left="5945" w:hanging="360"/>
      </w:pPr>
      <w:rPr>
        <w:rFonts w:cs="Times New Roman"/>
      </w:rPr>
    </w:lvl>
    <w:lvl w:ilvl="8" w:tplc="041B001B" w:tentative="1">
      <w:start w:val="1"/>
      <w:numFmt w:val="lowerRoman"/>
      <w:lvlText w:val="%9."/>
      <w:lvlJc w:val="right"/>
      <w:pPr>
        <w:ind w:left="6665" w:hanging="180"/>
      </w:pPr>
      <w:rPr>
        <w:rFonts w:cs="Times New Roman"/>
      </w:rPr>
    </w:lvl>
  </w:abstractNum>
  <w:abstractNum w:abstractNumId="1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345B59"/>
    <w:multiLevelType w:val="singleLevel"/>
    <w:tmpl w:val="041B000F"/>
    <w:lvl w:ilvl="0">
      <w:start w:val="1"/>
      <w:numFmt w:val="decimal"/>
      <w:lvlText w:val="%1."/>
      <w:lvlJc w:val="left"/>
      <w:pPr>
        <w:ind w:left="502" w:hanging="360"/>
      </w:pPr>
      <w:rPr>
        <w:rFonts w:cs="Times New Roman" w:hint="default"/>
      </w:rPr>
    </w:lvl>
  </w:abstractNum>
  <w:abstractNum w:abstractNumId="22" w15:restartNumberingAfterBreak="0">
    <w:nsid w:val="523E6170"/>
    <w:multiLevelType w:val="hybridMultilevel"/>
    <w:tmpl w:val="E6CE0522"/>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70BC7"/>
    <w:multiLevelType w:val="hybridMultilevel"/>
    <w:tmpl w:val="26C266C6"/>
    <w:lvl w:ilvl="0" w:tplc="041B000F">
      <w:start w:val="1"/>
      <w:numFmt w:val="decimal"/>
      <w:lvlText w:val="%1."/>
      <w:lvlJc w:val="left"/>
      <w:pPr>
        <w:ind w:left="1477" w:hanging="360"/>
      </w:pPr>
    </w:lvl>
    <w:lvl w:ilvl="1" w:tplc="041B0019" w:tentative="1">
      <w:start w:val="1"/>
      <w:numFmt w:val="lowerLetter"/>
      <w:lvlText w:val="%2."/>
      <w:lvlJc w:val="left"/>
      <w:pPr>
        <w:ind w:left="2197" w:hanging="360"/>
      </w:pPr>
    </w:lvl>
    <w:lvl w:ilvl="2" w:tplc="041B001B" w:tentative="1">
      <w:start w:val="1"/>
      <w:numFmt w:val="lowerRoman"/>
      <w:lvlText w:val="%3."/>
      <w:lvlJc w:val="right"/>
      <w:pPr>
        <w:ind w:left="2917" w:hanging="180"/>
      </w:pPr>
    </w:lvl>
    <w:lvl w:ilvl="3" w:tplc="041B000F" w:tentative="1">
      <w:start w:val="1"/>
      <w:numFmt w:val="decimal"/>
      <w:lvlText w:val="%4."/>
      <w:lvlJc w:val="left"/>
      <w:pPr>
        <w:ind w:left="3637" w:hanging="360"/>
      </w:pPr>
    </w:lvl>
    <w:lvl w:ilvl="4" w:tplc="041B0019" w:tentative="1">
      <w:start w:val="1"/>
      <w:numFmt w:val="lowerLetter"/>
      <w:lvlText w:val="%5."/>
      <w:lvlJc w:val="left"/>
      <w:pPr>
        <w:ind w:left="4357" w:hanging="360"/>
      </w:pPr>
    </w:lvl>
    <w:lvl w:ilvl="5" w:tplc="041B001B" w:tentative="1">
      <w:start w:val="1"/>
      <w:numFmt w:val="lowerRoman"/>
      <w:lvlText w:val="%6."/>
      <w:lvlJc w:val="right"/>
      <w:pPr>
        <w:ind w:left="5077" w:hanging="180"/>
      </w:pPr>
    </w:lvl>
    <w:lvl w:ilvl="6" w:tplc="041B000F" w:tentative="1">
      <w:start w:val="1"/>
      <w:numFmt w:val="decimal"/>
      <w:lvlText w:val="%7."/>
      <w:lvlJc w:val="left"/>
      <w:pPr>
        <w:ind w:left="5797" w:hanging="360"/>
      </w:pPr>
    </w:lvl>
    <w:lvl w:ilvl="7" w:tplc="041B0019" w:tentative="1">
      <w:start w:val="1"/>
      <w:numFmt w:val="lowerLetter"/>
      <w:lvlText w:val="%8."/>
      <w:lvlJc w:val="left"/>
      <w:pPr>
        <w:ind w:left="6517" w:hanging="360"/>
      </w:pPr>
    </w:lvl>
    <w:lvl w:ilvl="8" w:tplc="041B001B" w:tentative="1">
      <w:start w:val="1"/>
      <w:numFmt w:val="lowerRoman"/>
      <w:lvlText w:val="%9."/>
      <w:lvlJc w:val="right"/>
      <w:pPr>
        <w:ind w:left="7237" w:hanging="180"/>
      </w:pPr>
    </w:lvl>
  </w:abstractNum>
  <w:abstractNum w:abstractNumId="25" w15:restartNumberingAfterBreak="0">
    <w:nsid w:val="5D747492"/>
    <w:multiLevelType w:val="hybridMultilevel"/>
    <w:tmpl w:val="58181D96"/>
    <w:lvl w:ilvl="0" w:tplc="48BA89E0">
      <w:start w:val="1"/>
      <w:numFmt w:val="lowerLetter"/>
      <w:lvlText w:val="%1)"/>
      <w:lvlJc w:val="left"/>
      <w:pPr>
        <w:tabs>
          <w:tab w:val="num" w:pos="786"/>
        </w:tabs>
        <w:ind w:left="786" w:hanging="360"/>
      </w:pPr>
      <w:rPr>
        <w:rFonts w:ascii="Arial Narrow" w:hAnsi="Arial Narrow" w:cs="Arial Narrow" w:hint="default"/>
        <w:b w:val="0"/>
        <w:bCs w:val="0"/>
        <w:sz w:val="22"/>
        <w:szCs w:val="22"/>
      </w:rPr>
    </w:lvl>
    <w:lvl w:ilvl="1" w:tplc="03F8BEB4">
      <w:start w:val="1"/>
      <w:numFmt w:val="lowerRoman"/>
      <w:lvlText w:val="%2)"/>
      <w:lvlJc w:val="left"/>
      <w:pPr>
        <w:tabs>
          <w:tab w:val="num" w:pos="1866"/>
        </w:tabs>
        <w:ind w:left="1866" w:hanging="720"/>
      </w:pPr>
      <w:rPr>
        <w:rFonts w:cs="Times New Roman" w:hint="default"/>
        <w:b w:val="0"/>
        <w:bCs w:val="0"/>
        <w:sz w:val="16"/>
        <w:szCs w:val="16"/>
      </w:rPr>
    </w:lvl>
    <w:lvl w:ilvl="2" w:tplc="041B001B">
      <w:start w:val="1"/>
      <w:numFmt w:val="lowerRoman"/>
      <w:lvlText w:val="%3."/>
      <w:lvlJc w:val="right"/>
      <w:pPr>
        <w:tabs>
          <w:tab w:val="num" w:pos="2226"/>
        </w:tabs>
        <w:ind w:left="2226" w:hanging="180"/>
      </w:pPr>
      <w:rPr>
        <w:rFonts w:cs="Times New Roman"/>
      </w:rPr>
    </w:lvl>
    <w:lvl w:ilvl="3" w:tplc="2612F200">
      <w:start w:val="1"/>
      <w:numFmt w:val="decimal"/>
      <w:lvlText w:val="%4."/>
      <w:lvlJc w:val="left"/>
      <w:pPr>
        <w:tabs>
          <w:tab w:val="num" w:pos="2946"/>
        </w:tabs>
        <w:ind w:left="2946" w:hanging="360"/>
      </w:pPr>
      <w:rPr>
        <w:rFonts w:cs="Times New Roman" w:hint="default"/>
        <w:b w:val="0"/>
        <w:bCs w:val="0"/>
        <w:sz w:val="22"/>
        <w:szCs w:val="22"/>
      </w:rPr>
    </w:lvl>
    <w:lvl w:ilvl="4" w:tplc="041B0019">
      <w:start w:val="1"/>
      <w:numFmt w:val="lowerLetter"/>
      <w:lvlText w:val="%5."/>
      <w:lvlJc w:val="left"/>
      <w:pPr>
        <w:tabs>
          <w:tab w:val="num" w:pos="3666"/>
        </w:tabs>
        <w:ind w:left="3666" w:hanging="360"/>
      </w:pPr>
      <w:rPr>
        <w:rFonts w:cs="Times New Roman"/>
      </w:rPr>
    </w:lvl>
    <w:lvl w:ilvl="5" w:tplc="041B001B">
      <w:start w:val="1"/>
      <w:numFmt w:val="lowerRoman"/>
      <w:lvlText w:val="%6."/>
      <w:lvlJc w:val="right"/>
      <w:pPr>
        <w:tabs>
          <w:tab w:val="num" w:pos="4386"/>
        </w:tabs>
        <w:ind w:left="4386" w:hanging="18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lowerLetter"/>
      <w:lvlText w:val="%8."/>
      <w:lvlJc w:val="left"/>
      <w:pPr>
        <w:tabs>
          <w:tab w:val="num" w:pos="5826"/>
        </w:tabs>
        <w:ind w:left="5826" w:hanging="360"/>
      </w:pPr>
      <w:rPr>
        <w:rFonts w:cs="Times New Roman"/>
      </w:rPr>
    </w:lvl>
    <w:lvl w:ilvl="8" w:tplc="041B001B">
      <w:start w:val="1"/>
      <w:numFmt w:val="lowerRoman"/>
      <w:lvlText w:val="%9."/>
      <w:lvlJc w:val="right"/>
      <w:pPr>
        <w:tabs>
          <w:tab w:val="num" w:pos="6546"/>
        </w:tabs>
        <w:ind w:left="6546" w:hanging="180"/>
      </w:pPr>
      <w:rPr>
        <w:rFonts w:cs="Times New Roman"/>
      </w:rPr>
    </w:lvl>
  </w:abstractNum>
  <w:abstractNum w:abstractNumId="26" w15:restartNumberingAfterBreak="0">
    <w:nsid w:val="61C637E8"/>
    <w:multiLevelType w:val="hybridMultilevel"/>
    <w:tmpl w:val="09569F84"/>
    <w:lvl w:ilvl="0" w:tplc="041B0017">
      <w:start w:val="1"/>
      <w:numFmt w:val="lowerLetter"/>
      <w:lvlText w:val="%1)"/>
      <w:lvlJc w:val="left"/>
      <w:pPr>
        <w:ind w:left="1117" w:hanging="360"/>
      </w:p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27" w15:restartNumberingAfterBreak="0">
    <w:nsid w:val="657A4289"/>
    <w:multiLevelType w:val="hybridMultilevel"/>
    <w:tmpl w:val="9238FF28"/>
    <w:lvl w:ilvl="0" w:tplc="01207570">
      <w:start w:val="2"/>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7503B5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7D707FEE"/>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FBF1B7F"/>
    <w:multiLevelType w:val="hybridMultilevel"/>
    <w:tmpl w:val="C28894FE"/>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8"/>
    <w:lvlOverride w:ilvl="0">
      <w:startOverride w:val="3"/>
    </w:lvlOverride>
  </w:num>
  <w:num w:numId="3">
    <w:abstractNumId w:val="16"/>
  </w:num>
  <w:num w:numId="4">
    <w:abstractNumId w:val="16"/>
    <w:lvlOverride w:ilvl="0">
      <w:startOverride w:val="2"/>
    </w:lvlOverride>
  </w:num>
  <w:num w:numId="5">
    <w:abstractNumId w:val="11"/>
  </w:num>
  <w:num w:numId="6">
    <w:abstractNumId w:val="11"/>
    <w:lvlOverride w:ilvl="0">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23"/>
  </w:num>
  <w:num w:numId="12">
    <w:abstractNumId w:val="7"/>
  </w:num>
  <w:num w:numId="13">
    <w:abstractNumId w:val="20"/>
  </w:num>
  <w:num w:numId="14">
    <w:abstractNumId w:val="5"/>
  </w:num>
  <w:num w:numId="15">
    <w:abstractNumId w:val="19"/>
  </w:num>
  <w:num w:numId="16">
    <w:abstractNumId w:val="28"/>
  </w:num>
  <w:num w:numId="17">
    <w:abstractNumId w:val="10"/>
  </w:num>
  <w:num w:numId="18">
    <w:abstractNumId w:val="12"/>
  </w:num>
  <w:num w:numId="19">
    <w:abstractNumId w:val="21"/>
  </w:num>
  <w:num w:numId="20">
    <w:abstractNumId w:val="30"/>
  </w:num>
  <w:num w:numId="21">
    <w:abstractNumId w:val="4"/>
  </w:num>
  <w:num w:numId="22">
    <w:abstractNumId w:val="2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7"/>
  </w:num>
  <w:num w:numId="27">
    <w:abstractNumId w:val="22"/>
  </w:num>
  <w:num w:numId="28">
    <w:abstractNumId w:val="6"/>
  </w:num>
  <w:num w:numId="29">
    <w:abstractNumId w:val="29"/>
  </w:num>
  <w:num w:numId="30">
    <w:abstractNumId w:val="17"/>
  </w:num>
  <w:num w:numId="31">
    <w:abstractNumId w:val="0"/>
  </w:num>
  <w:num w:numId="32">
    <w:abstractNumId w:val="1"/>
  </w:num>
  <w:num w:numId="33">
    <w:abstractNumId w:val="9"/>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C0C"/>
    <w:rsid w:val="000110B6"/>
    <w:rsid w:val="00012792"/>
    <w:rsid w:val="00021117"/>
    <w:rsid w:val="00025920"/>
    <w:rsid w:val="0003471E"/>
    <w:rsid w:val="00043330"/>
    <w:rsid w:val="00047278"/>
    <w:rsid w:val="000633B5"/>
    <w:rsid w:val="000917D9"/>
    <w:rsid w:val="0009232E"/>
    <w:rsid w:val="0009233F"/>
    <w:rsid w:val="00092C6E"/>
    <w:rsid w:val="000A30C9"/>
    <w:rsid w:val="000B1729"/>
    <w:rsid w:val="000C2E53"/>
    <w:rsid w:val="000C6C5C"/>
    <w:rsid w:val="000C76D7"/>
    <w:rsid w:val="000E03CB"/>
    <w:rsid w:val="000E4886"/>
    <w:rsid w:val="000E5F2B"/>
    <w:rsid w:val="000E638E"/>
    <w:rsid w:val="000F0F63"/>
    <w:rsid w:val="000F27EB"/>
    <w:rsid w:val="000F6E14"/>
    <w:rsid w:val="00101960"/>
    <w:rsid w:val="00107C21"/>
    <w:rsid w:val="00121E12"/>
    <w:rsid w:val="001253E2"/>
    <w:rsid w:val="0012541D"/>
    <w:rsid w:val="00126BF2"/>
    <w:rsid w:val="00127033"/>
    <w:rsid w:val="00131937"/>
    <w:rsid w:val="00153B33"/>
    <w:rsid w:val="0016595A"/>
    <w:rsid w:val="001906E6"/>
    <w:rsid w:val="00194F22"/>
    <w:rsid w:val="001A254B"/>
    <w:rsid w:val="001A2DED"/>
    <w:rsid w:val="001B5416"/>
    <w:rsid w:val="001C7755"/>
    <w:rsid w:val="001D5D90"/>
    <w:rsid w:val="001E638A"/>
    <w:rsid w:val="00200CE9"/>
    <w:rsid w:val="0021609C"/>
    <w:rsid w:val="00217BF4"/>
    <w:rsid w:val="0026453A"/>
    <w:rsid w:val="00270E65"/>
    <w:rsid w:val="00277585"/>
    <w:rsid w:val="00282445"/>
    <w:rsid w:val="002865FB"/>
    <w:rsid w:val="00290B75"/>
    <w:rsid w:val="00292FD6"/>
    <w:rsid w:val="00295CB2"/>
    <w:rsid w:val="002C4B42"/>
    <w:rsid w:val="002C5F55"/>
    <w:rsid w:val="002D1F26"/>
    <w:rsid w:val="002E11B0"/>
    <w:rsid w:val="002E1D16"/>
    <w:rsid w:val="002F259A"/>
    <w:rsid w:val="002F5E57"/>
    <w:rsid w:val="00360DD3"/>
    <w:rsid w:val="003818BF"/>
    <w:rsid w:val="003831AA"/>
    <w:rsid w:val="00391DC5"/>
    <w:rsid w:val="00393CB5"/>
    <w:rsid w:val="003B0E6C"/>
    <w:rsid w:val="003C4268"/>
    <w:rsid w:val="003E053C"/>
    <w:rsid w:val="003E6CDD"/>
    <w:rsid w:val="003E7B78"/>
    <w:rsid w:val="003F3A84"/>
    <w:rsid w:val="00410550"/>
    <w:rsid w:val="00411E20"/>
    <w:rsid w:val="00423FE5"/>
    <w:rsid w:val="00424270"/>
    <w:rsid w:val="0043237A"/>
    <w:rsid w:val="00433BBB"/>
    <w:rsid w:val="00440A2A"/>
    <w:rsid w:val="00440AE2"/>
    <w:rsid w:val="00452408"/>
    <w:rsid w:val="00455D49"/>
    <w:rsid w:val="004577EC"/>
    <w:rsid w:val="00475C0E"/>
    <w:rsid w:val="00486727"/>
    <w:rsid w:val="004A7243"/>
    <w:rsid w:val="004C289D"/>
    <w:rsid w:val="004D0FCA"/>
    <w:rsid w:val="004D62CC"/>
    <w:rsid w:val="004E30E1"/>
    <w:rsid w:val="004F78C5"/>
    <w:rsid w:val="00500C2E"/>
    <w:rsid w:val="00514D8E"/>
    <w:rsid w:val="005170A9"/>
    <w:rsid w:val="00544F8F"/>
    <w:rsid w:val="005513AA"/>
    <w:rsid w:val="005732BC"/>
    <w:rsid w:val="005919EC"/>
    <w:rsid w:val="005947B8"/>
    <w:rsid w:val="00594D03"/>
    <w:rsid w:val="005A2AE4"/>
    <w:rsid w:val="005C0BCC"/>
    <w:rsid w:val="005C7E42"/>
    <w:rsid w:val="005E08D4"/>
    <w:rsid w:val="005E147F"/>
    <w:rsid w:val="005E28ED"/>
    <w:rsid w:val="0060697C"/>
    <w:rsid w:val="00612873"/>
    <w:rsid w:val="00617927"/>
    <w:rsid w:val="00622967"/>
    <w:rsid w:val="00626BBE"/>
    <w:rsid w:val="0063136C"/>
    <w:rsid w:val="00641164"/>
    <w:rsid w:val="0064397E"/>
    <w:rsid w:val="0065524E"/>
    <w:rsid w:val="00664B83"/>
    <w:rsid w:val="006725C3"/>
    <w:rsid w:val="00680864"/>
    <w:rsid w:val="00683A6B"/>
    <w:rsid w:val="006903C3"/>
    <w:rsid w:val="00697D85"/>
    <w:rsid w:val="006A3C9E"/>
    <w:rsid w:val="006A6903"/>
    <w:rsid w:val="006B721E"/>
    <w:rsid w:val="006D0585"/>
    <w:rsid w:val="006D179C"/>
    <w:rsid w:val="006D2CC2"/>
    <w:rsid w:val="006E2CA3"/>
    <w:rsid w:val="006E476E"/>
    <w:rsid w:val="006E689D"/>
    <w:rsid w:val="006F1121"/>
    <w:rsid w:val="00700075"/>
    <w:rsid w:val="00701CDB"/>
    <w:rsid w:val="00710FB0"/>
    <w:rsid w:val="00714776"/>
    <w:rsid w:val="007160C5"/>
    <w:rsid w:val="00716C11"/>
    <w:rsid w:val="00725858"/>
    <w:rsid w:val="00733A2B"/>
    <w:rsid w:val="0073486F"/>
    <w:rsid w:val="00736E4E"/>
    <w:rsid w:val="0073777C"/>
    <w:rsid w:val="00737D73"/>
    <w:rsid w:val="00740618"/>
    <w:rsid w:val="00742501"/>
    <w:rsid w:val="00752008"/>
    <w:rsid w:val="007543CB"/>
    <w:rsid w:val="00756853"/>
    <w:rsid w:val="007609AB"/>
    <w:rsid w:val="00770C2A"/>
    <w:rsid w:val="0078287E"/>
    <w:rsid w:val="007945F9"/>
    <w:rsid w:val="00794F43"/>
    <w:rsid w:val="007B4F52"/>
    <w:rsid w:val="007B5E61"/>
    <w:rsid w:val="007B6B0E"/>
    <w:rsid w:val="007C7023"/>
    <w:rsid w:val="007D6A82"/>
    <w:rsid w:val="007E09C6"/>
    <w:rsid w:val="00801B29"/>
    <w:rsid w:val="00814110"/>
    <w:rsid w:val="00814E7B"/>
    <w:rsid w:val="0082147A"/>
    <w:rsid w:val="0082536D"/>
    <w:rsid w:val="00833333"/>
    <w:rsid w:val="00840D76"/>
    <w:rsid w:val="00854BEA"/>
    <w:rsid w:val="00857EA6"/>
    <w:rsid w:val="00865376"/>
    <w:rsid w:val="00870476"/>
    <w:rsid w:val="008843B7"/>
    <w:rsid w:val="00886FC6"/>
    <w:rsid w:val="008A5161"/>
    <w:rsid w:val="008C2D66"/>
    <w:rsid w:val="008C54C3"/>
    <w:rsid w:val="008C7921"/>
    <w:rsid w:val="008D105B"/>
    <w:rsid w:val="008D2586"/>
    <w:rsid w:val="008E176A"/>
    <w:rsid w:val="008E73BA"/>
    <w:rsid w:val="00915BAC"/>
    <w:rsid w:val="0091636B"/>
    <w:rsid w:val="00930557"/>
    <w:rsid w:val="009402B6"/>
    <w:rsid w:val="009557B2"/>
    <w:rsid w:val="009612CE"/>
    <w:rsid w:val="0096284B"/>
    <w:rsid w:val="0097005C"/>
    <w:rsid w:val="009753B6"/>
    <w:rsid w:val="00976F6A"/>
    <w:rsid w:val="009826E3"/>
    <w:rsid w:val="009A11FB"/>
    <w:rsid w:val="009B2EAD"/>
    <w:rsid w:val="009B7F21"/>
    <w:rsid w:val="009C316F"/>
    <w:rsid w:val="009E62DB"/>
    <w:rsid w:val="009F0338"/>
    <w:rsid w:val="00A033F1"/>
    <w:rsid w:val="00A16ECF"/>
    <w:rsid w:val="00A270AE"/>
    <w:rsid w:val="00A274D2"/>
    <w:rsid w:val="00A457FC"/>
    <w:rsid w:val="00A46A0E"/>
    <w:rsid w:val="00A71ABE"/>
    <w:rsid w:val="00A80F67"/>
    <w:rsid w:val="00A847B4"/>
    <w:rsid w:val="00A85F10"/>
    <w:rsid w:val="00A9063F"/>
    <w:rsid w:val="00A91B17"/>
    <w:rsid w:val="00A95F46"/>
    <w:rsid w:val="00AB15A9"/>
    <w:rsid w:val="00AB6AF1"/>
    <w:rsid w:val="00B16E6B"/>
    <w:rsid w:val="00B34415"/>
    <w:rsid w:val="00B46D40"/>
    <w:rsid w:val="00B47CF6"/>
    <w:rsid w:val="00B60067"/>
    <w:rsid w:val="00B64B09"/>
    <w:rsid w:val="00B732ED"/>
    <w:rsid w:val="00B81789"/>
    <w:rsid w:val="00B84551"/>
    <w:rsid w:val="00B84C3D"/>
    <w:rsid w:val="00BF7B25"/>
    <w:rsid w:val="00C12C64"/>
    <w:rsid w:val="00C139A5"/>
    <w:rsid w:val="00C21CEF"/>
    <w:rsid w:val="00C22392"/>
    <w:rsid w:val="00C23B45"/>
    <w:rsid w:val="00C24965"/>
    <w:rsid w:val="00C34EF5"/>
    <w:rsid w:val="00C37146"/>
    <w:rsid w:val="00C4773A"/>
    <w:rsid w:val="00C50849"/>
    <w:rsid w:val="00C777E2"/>
    <w:rsid w:val="00C848C5"/>
    <w:rsid w:val="00C87AD9"/>
    <w:rsid w:val="00CA41DB"/>
    <w:rsid w:val="00CB13E4"/>
    <w:rsid w:val="00CB2E5D"/>
    <w:rsid w:val="00CB64E4"/>
    <w:rsid w:val="00CC1517"/>
    <w:rsid w:val="00CC1706"/>
    <w:rsid w:val="00CC1ECC"/>
    <w:rsid w:val="00CC72CF"/>
    <w:rsid w:val="00CD4AD3"/>
    <w:rsid w:val="00CD6FDD"/>
    <w:rsid w:val="00CD70EA"/>
    <w:rsid w:val="00CE7607"/>
    <w:rsid w:val="00CF524A"/>
    <w:rsid w:val="00CF63F3"/>
    <w:rsid w:val="00D134F0"/>
    <w:rsid w:val="00D22A7B"/>
    <w:rsid w:val="00D27CC1"/>
    <w:rsid w:val="00D35C1C"/>
    <w:rsid w:val="00D427F6"/>
    <w:rsid w:val="00D443A0"/>
    <w:rsid w:val="00D50451"/>
    <w:rsid w:val="00D53D47"/>
    <w:rsid w:val="00D66A56"/>
    <w:rsid w:val="00D735BD"/>
    <w:rsid w:val="00D74E1A"/>
    <w:rsid w:val="00D75523"/>
    <w:rsid w:val="00D76024"/>
    <w:rsid w:val="00DA0F6C"/>
    <w:rsid w:val="00DE0F85"/>
    <w:rsid w:val="00DE20DC"/>
    <w:rsid w:val="00DE3459"/>
    <w:rsid w:val="00DE3FD4"/>
    <w:rsid w:val="00DE65B7"/>
    <w:rsid w:val="00DF209A"/>
    <w:rsid w:val="00DF2DB3"/>
    <w:rsid w:val="00E01CA4"/>
    <w:rsid w:val="00E43298"/>
    <w:rsid w:val="00E521A0"/>
    <w:rsid w:val="00E53D69"/>
    <w:rsid w:val="00E745B5"/>
    <w:rsid w:val="00E75E2F"/>
    <w:rsid w:val="00E87512"/>
    <w:rsid w:val="00E87F8C"/>
    <w:rsid w:val="00E93403"/>
    <w:rsid w:val="00EA30DC"/>
    <w:rsid w:val="00EB129B"/>
    <w:rsid w:val="00EB17B9"/>
    <w:rsid w:val="00EB2DB9"/>
    <w:rsid w:val="00EC6ACB"/>
    <w:rsid w:val="00EE7DD6"/>
    <w:rsid w:val="00EF535C"/>
    <w:rsid w:val="00F02685"/>
    <w:rsid w:val="00F047A8"/>
    <w:rsid w:val="00F127B9"/>
    <w:rsid w:val="00F147AE"/>
    <w:rsid w:val="00F1639F"/>
    <w:rsid w:val="00F243E7"/>
    <w:rsid w:val="00F248DB"/>
    <w:rsid w:val="00F3193C"/>
    <w:rsid w:val="00F3417D"/>
    <w:rsid w:val="00F4080C"/>
    <w:rsid w:val="00F41776"/>
    <w:rsid w:val="00F47D24"/>
    <w:rsid w:val="00F71158"/>
    <w:rsid w:val="00F83B13"/>
    <w:rsid w:val="00FA2C04"/>
    <w:rsid w:val="00FB285E"/>
    <w:rsid w:val="00FB55DC"/>
    <w:rsid w:val="00FC1520"/>
    <w:rsid w:val="00FE0A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70F40A-EC66-4A49-BE9F-E3BD81E5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autoSpaceDE/>
      <w:autoSpaceDN/>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7005C"/>
    <w:pPr>
      <w:autoSpaceDE/>
      <w:autoSpaceDN/>
      <w:ind w:left="708"/>
    </w:pPr>
    <w:rPr>
      <w:sz w:val="20"/>
      <w:szCs w:val="20"/>
      <w:lang w:eastAsia="cs-CZ"/>
    </w:rPr>
  </w:style>
  <w:style w:type="paragraph" w:styleId="Textbubliny">
    <w:name w:val="Balloon Text"/>
    <w:basedOn w:val="Normlny"/>
    <w:link w:val="TextbublinyChar"/>
    <w:uiPriority w:val="99"/>
    <w:semiHidden/>
    <w:unhideWhenUsed/>
    <w:rsid w:val="006B721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B721E"/>
    <w:rPr>
      <w:rFonts w:ascii="Tahoma" w:hAnsi="Tahoma" w:cs="Tahoma"/>
      <w:sz w:val="16"/>
      <w:szCs w:val="1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71ABE"/>
    <w:rPr>
      <w:sz w:val="20"/>
      <w:lang w:val="x-none" w:eastAsia="cs-CZ"/>
    </w:rPr>
  </w:style>
  <w:style w:type="character" w:styleId="Zstupntext">
    <w:name w:val="Placeholder Text"/>
    <w:basedOn w:val="Predvolenpsmoodseku"/>
    <w:uiPriority w:val="99"/>
    <w:semiHidden/>
    <w:rsid w:val="00930557"/>
    <w:rPr>
      <w:rFonts w:ascii="Times New Roman" w:hAnsi="Times New Roman" w:cs="Times New Roman"/>
      <w:color w:val="808080"/>
    </w:rPr>
  </w:style>
  <w:style w:type="character" w:styleId="Hypertextovprepojenie">
    <w:name w:val="Hyperlink"/>
    <w:basedOn w:val="Predvolenpsmoodseku"/>
    <w:uiPriority w:val="99"/>
    <w:unhideWhenUsed/>
    <w:rsid w:val="007945F9"/>
    <w:rPr>
      <w:rFonts w:cs="Times New Roman"/>
      <w:color w:val="0000FF"/>
      <w:u w:val="single"/>
    </w:rPr>
  </w:style>
  <w:style w:type="character" w:customStyle="1" w:styleId="no-parag">
    <w:name w:val="no-parag"/>
    <w:basedOn w:val="Predvolenpsmoodseku"/>
    <w:rsid w:val="003831AA"/>
  </w:style>
  <w:style w:type="paragraph" w:customStyle="1" w:styleId="norm">
    <w:name w:val="norm"/>
    <w:basedOn w:val="Normlny"/>
    <w:rsid w:val="003831AA"/>
    <w:pPr>
      <w:autoSpaceDE/>
      <w:autoSpaceDN/>
      <w:spacing w:before="100" w:beforeAutospacing="1" w:after="100" w:afterAutospacing="1"/>
    </w:pPr>
  </w:style>
  <w:style w:type="character" w:customStyle="1" w:styleId="superscript">
    <w:name w:val="superscript"/>
    <w:basedOn w:val="Predvolenpsmoodseku"/>
    <w:rsid w:val="0038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762">
      <w:marLeft w:val="0"/>
      <w:marRight w:val="0"/>
      <w:marTop w:val="0"/>
      <w:marBottom w:val="0"/>
      <w:divBdr>
        <w:top w:val="none" w:sz="0" w:space="0" w:color="auto"/>
        <w:left w:val="none" w:sz="0" w:space="0" w:color="auto"/>
        <w:bottom w:val="none" w:sz="0" w:space="0" w:color="auto"/>
        <w:right w:val="none" w:sz="0" w:space="0" w:color="auto"/>
      </w:divBdr>
      <w:divsChild>
        <w:div w:id="4014780">
          <w:marLeft w:val="255"/>
          <w:marRight w:val="0"/>
          <w:marTop w:val="0"/>
          <w:marBottom w:val="0"/>
          <w:divBdr>
            <w:top w:val="none" w:sz="0" w:space="0" w:color="auto"/>
            <w:left w:val="none" w:sz="0" w:space="0" w:color="auto"/>
            <w:bottom w:val="none" w:sz="0" w:space="0" w:color="auto"/>
            <w:right w:val="none" w:sz="0" w:space="0" w:color="auto"/>
          </w:divBdr>
          <w:divsChild>
            <w:div w:id="4014779">
              <w:marLeft w:val="255"/>
              <w:marRight w:val="0"/>
              <w:marTop w:val="75"/>
              <w:marBottom w:val="0"/>
              <w:divBdr>
                <w:top w:val="none" w:sz="0" w:space="0" w:color="auto"/>
                <w:left w:val="none" w:sz="0" w:space="0" w:color="auto"/>
                <w:bottom w:val="none" w:sz="0" w:space="0" w:color="auto"/>
                <w:right w:val="none" w:sz="0" w:space="0" w:color="auto"/>
              </w:divBdr>
              <w:divsChild>
                <w:div w:id="4014784">
                  <w:marLeft w:val="0"/>
                  <w:marRight w:val="225"/>
                  <w:marTop w:val="0"/>
                  <w:marBottom w:val="0"/>
                  <w:divBdr>
                    <w:top w:val="none" w:sz="0" w:space="0" w:color="auto"/>
                    <w:left w:val="none" w:sz="0" w:space="0" w:color="auto"/>
                    <w:bottom w:val="none" w:sz="0" w:space="0" w:color="auto"/>
                    <w:right w:val="none" w:sz="0" w:space="0" w:color="auto"/>
                  </w:divBdr>
                </w:div>
              </w:divsChild>
            </w:div>
            <w:div w:id="4014782">
              <w:marLeft w:val="255"/>
              <w:marRight w:val="0"/>
              <w:marTop w:val="75"/>
              <w:marBottom w:val="0"/>
              <w:divBdr>
                <w:top w:val="none" w:sz="0" w:space="0" w:color="auto"/>
                <w:left w:val="none" w:sz="0" w:space="0" w:color="auto"/>
                <w:bottom w:val="none" w:sz="0" w:space="0" w:color="auto"/>
                <w:right w:val="none" w:sz="0" w:space="0" w:color="auto"/>
              </w:divBdr>
              <w:divsChild>
                <w:div w:id="4014788">
                  <w:marLeft w:val="0"/>
                  <w:marRight w:val="225"/>
                  <w:marTop w:val="0"/>
                  <w:marBottom w:val="0"/>
                  <w:divBdr>
                    <w:top w:val="none" w:sz="0" w:space="0" w:color="auto"/>
                    <w:left w:val="none" w:sz="0" w:space="0" w:color="auto"/>
                    <w:bottom w:val="none" w:sz="0" w:space="0" w:color="auto"/>
                    <w:right w:val="none" w:sz="0" w:space="0" w:color="auto"/>
                  </w:divBdr>
                </w:div>
              </w:divsChild>
            </w:div>
            <w:div w:id="4014783">
              <w:marLeft w:val="255"/>
              <w:marRight w:val="0"/>
              <w:marTop w:val="75"/>
              <w:marBottom w:val="0"/>
              <w:divBdr>
                <w:top w:val="none" w:sz="0" w:space="0" w:color="auto"/>
                <w:left w:val="none" w:sz="0" w:space="0" w:color="auto"/>
                <w:bottom w:val="none" w:sz="0" w:space="0" w:color="auto"/>
                <w:right w:val="none" w:sz="0" w:space="0" w:color="auto"/>
              </w:divBdr>
              <w:divsChild>
                <w:div w:id="4014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4781">
          <w:marLeft w:val="255"/>
          <w:marRight w:val="0"/>
          <w:marTop w:val="0"/>
          <w:marBottom w:val="0"/>
          <w:divBdr>
            <w:top w:val="none" w:sz="0" w:space="0" w:color="auto"/>
            <w:left w:val="none" w:sz="0" w:space="0" w:color="auto"/>
            <w:bottom w:val="none" w:sz="0" w:space="0" w:color="auto"/>
            <w:right w:val="none" w:sz="0" w:space="0" w:color="auto"/>
          </w:divBdr>
        </w:div>
        <w:div w:id="4014785">
          <w:marLeft w:val="255"/>
          <w:marRight w:val="0"/>
          <w:marTop w:val="0"/>
          <w:marBottom w:val="0"/>
          <w:divBdr>
            <w:top w:val="none" w:sz="0" w:space="0" w:color="auto"/>
            <w:left w:val="none" w:sz="0" w:space="0" w:color="auto"/>
            <w:bottom w:val="none" w:sz="0" w:space="0" w:color="auto"/>
            <w:right w:val="none" w:sz="0" w:space="0" w:color="auto"/>
          </w:divBdr>
        </w:div>
        <w:div w:id="4014787">
          <w:marLeft w:val="255"/>
          <w:marRight w:val="0"/>
          <w:marTop w:val="0"/>
          <w:marBottom w:val="0"/>
          <w:divBdr>
            <w:top w:val="none" w:sz="0" w:space="0" w:color="auto"/>
            <w:left w:val="none" w:sz="0" w:space="0" w:color="auto"/>
            <w:bottom w:val="none" w:sz="0" w:space="0" w:color="auto"/>
            <w:right w:val="none" w:sz="0" w:space="0" w:color="auto"/>
          </w:divBdr>
        </w:div>
      </w:divsChild>
    </w:div>
    <w:div w:id="4014763">
      <w:marLeft w:val="0"/>
      <w:marRight w:val="0"/>
      <w:marTop w:val="0"/>
      <w:marBottom w:val="0"/>
      <w:divBdr>
        <w:top w:val="none" w:sz="0" w:space="0" w:color="auto"/>
        <w:left w:val="none" w:sz="0" w:space="0" w:color="auto"/>
        <w:bottom w:val="none" w:sz="0" w:space="0" w:color="auto"/>
        <w:right w:val="none" w:sz="0" w:space="0" w:color="auto"/>
      </w:divBdr>
    </w:div>
    <w:div w:id="4014764">
      <w:marLeft w:val="0"/>
      <w:marRight w:val="0"/>
      <w:marTop w:val="0"/>
      <w:marBottom w:val="0"/>
      <w:divBdr>
        <w:top w:val="none" w:sz="0" w:space="0" w:color="auto"/>
        <w:left w:val="none" w:sz="0" w:space="0" w:color="auto"/>
        <w:bottom w:val="none" w:sz="0" w:space="0" w:color="auto"/>
        <w:right w:val="none" w:sz="0" w:space="0" w:color="auto"/>
      </w:divBdr>
      <w:divsChild>
        <w:div w:id="40147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5">
      <w:marLeft w:val="0"/>
      <w:marRight w:val="0"/>
      <w:marTop w:val="0"/>
      <w:marBottom w:val="0"/>
      <w:divBdr>
        <w:top w:val="none" w:sz="0" w:space="0" w:color="auto"/>
        <w:left w:val="none" w:sz="0" w:space="0" w:color="auto"/>
        <w:bottom w:val="none" w:sz="0" w:space="0" w:color="auto"/>
        <w:right w:val="none" w:sz="0" w:space="0" w:color="auto"/>
      </w:divBdr>
      <w:divsChild>
        <w:div w:id="40147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6">
      <w:marLeft w:val="0"/>
      <w:marRight w:val="0"/>
      <w:marTop w:val="0"/>
      <w:marBottom w:val="0"/>
      <w:divBdr>
        <w:top w:val="none" w:sz="0" w:space="0" w:color="auto"/>
        <w:left w:val="none" w:sz="0" w:space="0" w:color="auto"/>
        <w:bottom w:val="none" w:sz="0" w:space="0" w:color="auto"/>
        <w:right w:val="none" w:sz="0" w:space="0" w:color="auto"/>
      </w:divBdr>
      <w:divsChild>
        <w:div w:id="40147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7">
      <w:marLeft w:val="0"/>
      <w:marRight w:val="0"/>
      <w:marTop w:val="0"/>
      <w:marBottom w:val="0"/>
      <w:divBdr>
        <w:top w:val="none" w:sz="0" w:space="0" w:color="auto"/>
        <w:left w:val="none" w:sz="0" w:space="0" w:color="auto"/>
        <w:bottom w:val="none" w:sz="0" w:space="0" w:color="auto"/>
        <w:right w:val="none" w:sz="0" w:space="0" w:color="auto"/>
      </w:divBdr>
      <w:divsChild>
        <w:div w:id="40147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0">
      <w:marLeft w:val="0"/>
      <w:marRight w:val="0"/>
      <w:marTop w:val="0"/>
      <w:marBottom w:val="0"/>
      <w:divBdr>
        <w:top w:val="none" w:sz="0" w:space="0" w:color="auto"/>
        <w:left w:val="none" w:sz="0" w:space="0" w:color="auto"/>
        <w:bottom w:val="none" w:sz="0" w:space="0" w:color="auto"/>
        <w:right w:val="none" w:sz="0" w:space="0" w:color="auto"/>
      </w:divBdr>
      <w:divsChild>
        <w:div w:id="40147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3">
      <w:marLeft w:val="0"/>
      <w:marRight w:val="0"/>
      <w:marTop w:val="0"/>
      <w:marBottom w:val="0"/>
      <w:divBdr>
        <w:top w:val="none" w:sz="0" w:space="0" w:color="auto"/>
        <w:left w:val="none" w:sz="0" w:space="0" w:color="auto"/>
        <w:bottom w:val="none" w:sz="0" w:space="0" w:color="auto"/>
        <w:right w:val="none" w:sz="0" w:space="0" w:color="auto"/>
      </w:divBdr>
      <w:divsChild>
        <w:div w:id="40147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6">
      <w:marLeft w:val="0"/>
      <w:marRight w:val="0"/>
      <w:marTop w:val="0"/>
      <w:marBottom w:val="0"/>
      <w:divBdr>
        <w:top w:val="none" w:sz="0" w:space="0" w:color="auto"/>
        <w:left w:val="none" w:sz="0" w:space="0" w:color="auto"/>
        <w:bottom w:val="none" w:sz="0" w:space="0" w:color="auto"/>
        <w:right w:val="none" w:sz="0" w:space="0" w:color="auto"/>
      </w:divBdr>
    </w:div>
    <w:div w:id="4014777">
      <w:marLeft w:val="0"/>
      <w:marRight w:val="0"/>
      <w:marTop w:val="0"/>
      <w:marBottom w:val="0"/>
      <w:divBdr>
        <w:top w:val="none" w:sz="0" w:space="0" w:color="auto"/>
        <w:left w:val="none" w:sz="0" w:space="0" w:color="auto"/>
        <w:bottom w:val="none" w:sz="0" w:space="0" w:color="auto"/>
        <w:right w:val="none" w:sz="0" w:space="0" w:color="auto"/>
      </w:divBdr>
    </w:div>
    <w:div w:id="4014778">
      <w:marLeft w:val="0"/>
      <w:marRight w:val="0"/>
      <w:marTop w:val="0"/>
      <w:marBottom w:val="0"/>
      <w:divBdr>
        <w:top w:val="none" w:sz="0" w:space="0" w:color="auto"/>
        <w:left w:val="none" w:sz="0" w:space="0" w:color="auto"/>
        <w:bottom w:val="none" w:sz="0" w:space="0" w:color="auto"/>
        <w:right w:val="none" w:sz="0" w:space="0" w:color="auto"/>
      </w:divBdr>
    </w:div>
    <w:div w:id="4014789">
      <w:marLeft w:val="0"/>
      <w:marRight w:val="0"/>
      <w:marTop w:val="0"/>
      <w:marBottom w:val="0"/>
      <w:divBdr>
        <w:top w:val="none" w:sz="0" w:space="0" w:color="auto"/>
        <w:left w:val="none" w:sz="0" w:space="0" w:color="auto"/>
        <w:bottom w:val="none" w:sz="0" w:space="0" w:color="auto"/>
        <w:right w:val="none" w:sz="0" w:space="0" w:color="auto"/>
      </w:divBdr>
      <w:divsChild>
        <w:div w:id="4014791">
          <w:marLeft w:val="255"/>
          <w:marRight w:val="0"/>
          <w:marTop w:val="0"/>
          <w:marBottom w:val="0"/>
          <w:divBdr>
            <w:top w:val="none" w:sz="0" w:space="0" w:color="auto"/>
            <w:left w:val="none" w:sz="0" w:space="0" w:color="auto"/>
            <w:bottom w:val="none" w:sz="0" w:space="0" w:color="auto"/>
            <w:right w:val="none" w:sz="0" w:space="0" w:color="auto"/>
          </w:divBdr>
        </w:div>
        <w:div w:id="4014792">
          <w:marLeft w:val="255"/>
          <w:marRight w:val="0"/>
          <w:marTop w:val="0"/>
          <w:marBottom w:val="0"/>
          <w:divBdr>
            <w:top w:val="none" w:sz="0" w:space="0" w:color="auto"/>
            <w:left w:val="none" w:sz="0" w:space="0" w:color="auto"/>
            <w:bottom w:val="none" w:sz="0" w:space="0" w:color="auto"/>
            <w:right w:val="none" w:sz="0" w:space="0" w:color="auto"/>
          </w:divBdr>
        </w:div>
        <w:div w:id="4014799">
          <w:marLeft w:val="255"/>
          <w:marRight w:val="0"/>
          <w:marTop w:val="0"/>
          <w:marBottom w:val="0"/>
          <w:divBdr>
            <w:top w:val="none" w:sz="0" w:space="0" w:color="auto"/>
            <w:left w:val="none" w:sz="0" w:space="0" w:color="auto"/>
            <w:bottom w:val="none" w:sz="0" w:space="0" w:color="auto"/>
            <w:right w:val="none" w:sz="0" w:space="0" w:color="auto"/>
          </w:divBdr>
        </w:div>
      </w:divsChild>
    </w:div>
    <w:div w:id="4014790">
      <w:marLeft w:val="0"/>
      <w:marRight w:val="0"/>
      <w:marTop w:val="0"/>
      <w:marBottom w:val="0"/>
      <w:divBdr>
        <w:top w:val="none" w:sz="0" w:space="0" w:color="auto"/>
        <w:left w:val="none" w:sz="0" w:space="0" w:color="auto"/>
        <w:bottom w:val="none" w:sz="0" w:space="0" w:color="auto"/>
        <w:right w:val="none" w:sz="0" w:space="0" w:color="auto"/>
      </w:divBdr>
      <w:divsChild>
        <w:div w:id="4014761">
          <w:marLeft w:val="255"/>
          <w:marRight w:val="0"/>
          <w:marTop w:val="0"/>
          <w:marBottom w:val="0"/>
          <w:divBdr>
            <w:top w:val="none" w:sz="0" w:space="0" w:color="auto"/>
            <w:left w:val="none" w:sz="0" w:space="0" w:color="auto"/>
            <w:bottom w:val="none" w:sz="0" w:space="0" w:color="auto"/>
            <w:right w:val="none" w:sz="0" w:space="0" w:color="auto"/>
          </w:divBdr>
        </w:div>
        <w:div w:id="4014795">
          <w:marLeft w:val="255"/>
          <w:marRight w:val="0"/>
          <w:marTop w:val="0"/>
          <w:marBottom w:val="0"/>
          <w:divBdr>
            <w:top w:val="none" w:sz="0" w:space="0" w:color="auto"/>
            <w:left w:val="none" w:sz="0" w:space="0" w:color="auto"/>
            <w:bottom w:val="none" w:sz="0" w:space="0" w:color="auto"/>
            <w:right w:val="none" w:sz="0" w:space="0" w:color="auto"/>
          </w:divBdr>
        </w:div>
        <w:div w:id="4014797">
          <w:marLeft w:val="255"/>
          <w:marRight w:val="0"/>
          <w:marTop w:val="0"/>
          <w:marBottom w:val="0"/>
          <w:divBdr>
            <w:top w:val="none" w:sz="0" w:space="0" w:color="auto"/>
            <w:left w:val="none" w:sz="0" w:space="0" w:color="auto"/>
            <w:bottom w:val="none" w:sz="0" w:space="0" w:color="auto"/>
            <w:right w:val="none" w:sz="0" w:space="0" w:color="auto"/>
          </w:divBdr>
        </w:div>
      </w:divsChild>
    </w:div>
    <w:div w:id="4014794">
      <w:marLeft w:val="0"/>
      <w:marRight w:val="0"/>
      <w:marTop w:val="0"/>
      <w:marBottom w:val="0"/>
      <w:divBdr>
        <w:top w:val="none" w:sz="0" w:space="0" w:color="auto"/>
        <w:left w:val="none" w:sz="0" w:space="0" w:color="auto"/>
        <w:bottom w:val="none" w:sz="0" w:space="0" w:color="auto"/>
        <w:right w:val="none" w:sz="0" w:space="0" w:color="auto"/>
      </w:divBdr>
      <w:divsChild>
        <w:div w:id="4014793">
          <w:marLeft w:val="255"/>
          <w:marRight w:val="0"/>
          <w:marTop w:val="0"/>
          <w:marBottom w:val="0"/>
          <w:divBdr>
            <w:top w:val="none" w:sz="0" w:space="0" w:color="auto"/>
            <w:left w:val="none" w:sz="0" w:space="0" w:color="auto"/>
            <w:bottom w:val="none" w:sz="0" w:space="0" w:color="auto"/>
            <w:right w:val="none" w:sz="0" w:space="0" w:color="auto"/>
          </w:divBdr>
        </w:div>
      </w:divsChild>
    </w:div>
    <w:div w:id="4014796">
      <w:marLeft w:val="0"/>
      <w:marRight w:val="0"/>
      <w:marTop w:val="0"/>
      <w:marBottom w:val="0"/>
      <w:divBdr>
        <w:top w:val="none" w:sz="0" w:space="0" w:color="auto"/>
        <w:left w:val="none" w:sz="0" w:space="0" w:color="auto"/>
        <w:bottom w:val="none" w:sz="0" w:space="0" w:color="auto"/>
        <w:right w:val="none" w:sz="0" w:space="0" w:color="auto"/>
      </w:divBdr>
      <w:divsChild>
        <w:div w:id="4014760">
          <w:marLeft w:val="255"/>
          <w:marRight w:val="0"/>
          <w:marTop w:val="0"/>
          <w:marBottom w:val="0"/>
          <w:divBdr>
            <w:top w:val="none" w:sz="0" w:space="0" w:color="auto"/>
            <w:left w:val="none" w:sz="0" w:space="0" w:color="auto"/>
            <w:bottom w:val="none" w:sz="0" w:space="0" w:color="auto"/>
            <w:right w:val="none" w:sz="0" w:space="0" w:color="auto"/>
          </w:divBdr>
        </w:div>
        <w:div w:id="4014798">
          <w:marLeft w:val="255"/>
          <w:marRight w:val="0"/>
          <w:marTop w:val="0"/>
          <w:marBottom w:val="0"/>
          <w:divBdr>
            <w:top w:val="none" w:sz="0" w:space="0" w:color="auto"/>
            <w:left w:val="none" w:sz="0" w:space="0" w:color="auto"/>
            <w:bottom w:val="none" w:sz="0" w:space="0" w:color="auto"/>
            <w:right w:val="none" w:sz="0" w:space="0" w:color="auto"/>
          </w:divBdr>
        </w:div>
        <w:div w:id="4014800">
          <w:marLeft w:val="255"/>
          <w:marRight w:val="0"/>
          <w:marTop w:val="0"/>
          <w:marBottom w:val="0"/>
          <w:divBdr>
            <w:top w:val="none" w:sz="0" w:space="0" w:color="auto"/>
            <w:left w:val="none" w:sz="0" w:space="0" w:color="auto"/>
            <w:bottom w:val="none" w:sz="0" w:space="0" w:color="auto"/>
            <w:right w:val="none" w:sz="0" w:space="0" w:color="auto"/>
          </w:divBdr>
        </w:div>
      </w:divsChild>
    </w:div>
    <w:div w:id="13701661">
      <w:bodyDiv w:val="1"/>
      <w:marLeft w:val="0"/>
      <w:marRight w:val="0"/>
      <w:marTop w:val="0"/>
      <w:marBottom w:val="0"/>
      <w:divBdr>
        <w:top w:val="none" w:sz="0" w:space="0" w:color="auto"/>
        <w:left w:val="none" w:sz="0" w:space="0" w:color="auto"/>
        <w:bottom w:val="none" w:sz="0" w:space="0" w:color="auto"/>
        <w:right w:val="none" w:sz="0" w:space="0" w:color="auto"/>
      </w:divBdr>
      <w:divsChild>
        <w:div w:id="1398362328">
          <w:marLeft w:val="0"/>
          <w:marRight w:val="0"/>
          <w:marTop w:val="0"/>
          <w:marBottom w:val="0"/>
          <w:divBdr>
            <w:top w:val="none" w:sz="0" w:space="0" w:color="auto"/>
            <w:left w:val="none" w:sz="0" w:space="0" w:color="auto"/>
            <w:bottom w:val="none" w:sz="0" w:space="0" w:color="auto"/>
            <w:right w:val="none" w:sz="0" w:space="0" w:color="auto"/>
          </w:divBdr>
          <w:divsChild>
            <w:div w:id="428233550">
              <w:marLeft w:val="0"/>
              <w:marRight w:val="0"/>
              <w:marTop w:val="0"/>
              <w:marBottom w:val="0"/>
              <w:divBdr>
                <w:top w:val="none" w:sz="0" w:space="0" w:color="auto"/>
                <w:left w:val="none" w:sz="0" w:space="0" w:color="auto"/>
                <w:bottom w:val="none" w:sz="0" w:space="0" w:color="auto"/>
                <w:right w:val="none" w:sz="0" w:space="0" w:color="auto"/>
              </w:divBdr>
              <w:divsChild>
                <w:div w:id="462889253">
                  <w:marLeft w:val="0"/>
                  <w:marRight w:val="0"/>
                  <w:marTop w:val="120"/>
                  <w:marBottom w:val="0"/>
                  <w:divBdr>
                    <w:top w:val="none" w:sz="0" w:space="0" w:color="auto"/>
                    <w:left w:val="none" w:sz="0" w:space="0" w:color="auto"/>
                    <w:bottom w:val="none" w:sz="0" w:space="0" w:color="auto"/>
                    <w:right w:val="none" w:sz="0" w:space="0" w:color="auto"/>
                  </w:divBdr>
                </w:div>
                <w:div w:id="572397750">
                  <w:marLeft w:val="0"/>
                  <w:marRight w:val="0"/>
                  <w:marTop w:val="0"/>
                  <w:marBottom w:val="0"/>
                  <w:divBdr>
                    <w:top w:val="none" w:sz="0" w:space="0" w:color="auto"/>
                    <w:left w:val="none" w:sz="0" w:space="0" w:color="auto"/>
                    <w:bottom w:val="none" w:sz="0" w:space="0" w:color="auto"/>
                    <w:right w:val="none" w:sz="0" w:space="0" w:color="auto"/>
                  </w:divBdr>
                </w:div>
              </w:divsChild>
            </w:div>
            <w:div w:id="222260027">
              <w:marLeft w:val="0"/>
              <w:marRight w:val="0"/>
              <w:marTop w:val="0"/>
              <w:marBottom w:val="0"/>
              <w:divBdr>
                <w:top w:val="none" w:sz="0" w:space="0" w:color="auto"/>
                <w:left w:val="none" w:sz="0" w:space="0" w:color="auto"/>
                <w:bottom w:val="none" w:sz="0" w:space="0" w:color="auto"/>
                <w:right w:val="none" w:sz="0" w:space="0" w:color="auto"/>
              </w:divBdr>
              <w:divsChild>
                <w:div w:id="2010135877">
                  <w:marLeft w:val="0"/>
                  <w:marRight w:val="0"/>
                  <w:marTop w:val="120"/>
                  <w:marBottom w:val="0"/>
                  <w:divBdr>
                    <w:top w:val="none" w:sz="0" w:space="0" w:color="auto"/>
                    <w:left w:val="none" w:sz="0" w:space="0" w:color="auto"/>
                    <w:bottom w:val="none" w:sz="0" w:space="0" w:color="auto"/>
                    <w:right w:val="none" w:sz="0" w:space="0" w:color="auto"/>
                  </w:divBdr>
                </w:div>
                <w:div w:id="1469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2188">
      <w:bodyDiv w:val="1"/>
      <w:marLeft w:val="0"/>
      <w:marRight w:val="0"/>
      <w:marTop w:val="0"/>
      <w:marBottom w:val="0"/>
      <w:divBdr>
        <w:top w:val="none" w:sz="0" w:space="0" w:color="auto"/>
        <w:left w:val="none" w:sz="0" w:space="0" w:color="auto"/>
        <w:bottom w:val="none" w:sz="0" w:space="0" w:color="auto"/>
        <w:right w:val="none" w:sz="0" w:space="0" w:color="auto"/>
      </w:divBdr>
      <w:divsChild>
        <w:div w:id="484669161">
          <w:marLeft w:val="0"/>
          <w:marRight w:val="0"/>
          <w:marTop w:val="120"/>
          <w:marBottom w:val="0"/>
          <w:divBdr>
            <w:top w:val="none" w:sz="0" w:space="0" w:color="auto"/>
            <w:left w:val="none" w:sz="0" w:space="0" w:color="auto"/>
            <w:bottom w:val="none" w:sz="0" w:space="0" w:color="auto"/>
            <w:right w:val="none" w:sz="0" w:space="0" w:color="auto"/>
          </w:divBdr>
        </w:div>
        <w:div w:id="1877738646">
          <w:marLeft w:val="0"/>
          <w:marRight w:val="0"/>
          <w:marTop w:val="0"/>
          <w:marBottom w:val="0"/>
          <w:divBdr>
            <w:top w:val="none" w:sz="0" w:space="0" w:color="auto"/>
            <w:left w:val="none" w:sz="0" w:space="0" w:color="auto"/>
            <w:bottom w:val="none" w:sz="0" w:space="0" w:color="auto"/>
            <w:right w:val="none" w:sz="0" w:space="0" w:color="auto"/>
          </w:divBdr>
        </w:div>
      </w:divsChild>
    </w:div>
    <w:div w:id="346904946">
      <w:bodyDiv w:val="1"/>
      <w:marLeft w:val="0"/>
      <w:marRight w:val="0"/>
      <w:marTop w:val="0"/>
      <w:marBottom w:val="0"/>
      <w:divBdr>
        <w:top w:val="none" w:sz="0" w:space="0" w:color="auto"/>
        <w:left w:val="none" w:sz="0" w:space="0" w:color="auto"/>
        <w:bottom w:val="none" w:sz="0" w:space="0" w:color="auto"/>
        <w:right w:val="none" w:sz="0" w:space="0" w:color="auto"/>
      </w:divBdr>
      <w:divsChild>
        <w:div w:id="1562907721">
          <w:marLeft w:val="255"/>
          <w:marRight w:val="0"/>
          <w:marTop w:val="0"/>
          <w:marBottom w:val="0"/>
          <w:divBdr>
            <w:top w:val="none" w:sz="0" w:space="0" w:color="auto"/>
            <w:left w:val="none" w:sz="0" w:space="0" w:color="auto"/>
            <w:bottom w:val="none" w:sz="0" w:space="0" w:color="auto"/>
            <w:right w:val="none" w:sz="0" w:space="0" w:color="auto"/>
          </w:divBdr>
        </w:div>
        <w:div w:id="934943702">
          <w:marLeft w:val="255"/>
          <w:marRight w:val="0"/>
          <w:marTop w:val="0"/>
          <w:marBottom w:val="0"/>
          <w:divBdr>
            <w:top w:val="none" w:sz="0" w:space="0" w:color="auto"/>
            <w:left w:val="none" w:sz="0" w:space="0" w:color="auto"/>
            <w:bottom w:val="none" w:sz="0" w:space="0" w:color="auto"/>
            <w:right w:val="none" w:sz="0" w:space="0" w:color="auto"/>
          </w:divBdr>
        </w:div>
        <w:div w:id="1670786978">
          <w:marLeft w:val="255"/>
          <w:marRight w:val="0"/>
          <w:marTop w:val="0"/>
          <w:marBottom w:val="0"/>
          <w:divBdr>
            <w:top w:val="none" w:sz="0" w:space="0" w:color="auto"/>
            <w:left w:val="none" w:sz="0" w:space="0" w:color="auto"/>
            <w:bottom w:val="none" w:sz="0" w:space="0" w:color="auto"/>
            <w:right w:val="none" w:sz="0" w:space="0" w:color="auto"/>
          </w:divBdr>
        </w:div>
        <w:div w:id="1817800901">
          <w:marLeft w:val="255"/>
          <w:marRight w:val="0"/>
          <w:marTop w:val="0"/>
          <w:marBottom w:val="0"/>
          <w:divBdr>
            <w:top w:val="none" w:sz="0" w:space="0" w:color="auto"/>
            <w:left w:val="none" w:sz="0" w:space="0" w:color="auto"/>
            <w:bottom w:val="none" w:sz="0" w:space="0" w:color="auto"/>
            <w:right w:val="none" w:sz="0" w:space="0" w:color="auto"/>
          </w:divBdr>
        </w:div>
        <w:div w:id="1359433984">
          <w:marLeft w:val="255"/>
          <w:marRight w:val="0"/>
          <w:marTop w:val="0"/>
          <w:marBottom w:val="0"/>
          <w:divBdr>
            <w:top w:val="none" w:sz="0" w:space="0" w:color="auto"/>
            <w:left w:val="none" w:sz="0" w:space="0" w:color="auto"/>
            <w:bottom w:val="none" w:sz="0" w:space="0" w:color="auto"/>
            <w:right w:val="none" w:sz="0" w:space="0" w:color="auto"/>
          </w:divBdr>
        </w:div>
        <w:div w:id="2067491402">
          <w:marLeft w:val="255"/>
          <w:marRight w:val="0"/>
          <w:marTop w:val="0"/>
          <w:marBottom w:val="0"/>
          <w:divBdr>
            <w:top w:val="none" w:sz="0" w:space="0" w:color="auto"/>
            <w:left w:val="none" w:sz="0" w:space="0" w:color="auto"/>
            <w:bottom w:val="none" w:sz="0" w:space="0" w:color="auto"/>
            <w:right w:val="none" w:sz="0" w:space="0" w:color="auto"/>
          </w:divBdr>
        </w:div>
        <w:div w:id="986402960">
          <w:marLeft w:val="255"/>
          <w:marRight w:val="0"/>
          <w:marTop w:val="0"/>
          <w:marBottom w:val="0"/>
          <w:divBdr>
            <w:top w:val="none" w:sz="0" w:space="0" w:color="auto"/>
            <w:left w:val="none" w:sz="0" w:space="0" w:color="auto"/>
            <w:bottom w:val="none" w:sz="0" w:space="0" w:color="auto"/>
            <w:right w:val="none" w:sz="0" w:space="0" w:color="auto"/>
          </w:divBdr>
        </w:div>
        <w:div w:id="1066992964">
          <w:marLeft w:val="255"/>
          <w:marRight w:val="0"/>
          <w:marTop w:val="0"/>
          <w:marBottom w:val="0"/>
          <w:divBdr>
            <w:top w:val="none" w:sz="0" w:space="0" w:color="auto"/>
            <w:left w:val="none" w:sz="0" w:space="0" w:color="auto"/>
            <w:bottom w:val="none" w:sz="0" w:space="0" w:color="auto"/>
            <w:right w:val="none" w:sz="0" w:space="0" w:color="auto"/>
          </w:divBdr>
        </w:div>
        <w:div w:id="96220861">
          <w:marLeft w:val="255"/>
          <w:marRight w:val="0"/>
          <w:marTop w:val="0"/>
          <w:marBottom w:val="0"/>
          <w:divBdr>
            <w:top w:val="none" w:sz="0" w:space="0" w:color="auto"/>
            <w:left w:val="none" w:sz="0" w:space="0" w:color="auto"/>
            <w:bottom w:val="none" w:sz="0" w:space="0" w:color="auto"/>
            <w:right w:val="none" w:sz="0" w:space="0" w:color="auto"/>
          </w:divBdr>
        </w:div>
        <w:div w:id="58750999">
          <w:marLeft w:val="255"/>
          <w:marRight w:val="0"/>
          <w:marTop w:val="0"/>
          <w:marBottom w:val="0"/>
          <w:divBdr>
            <w:top w:val="none" w:sz="0" w:space="0" w:color="auto"/>
            <w:left w:val="none" w:sz="0" w:space="0" w:color="auto"/>
            <w:bottom w:val="none" w:sz="0" w:space="0" w:color="auto"/>
            <w:right w:val="none" w:sz="0" w:space="0" w:color="auto"/>
          </w:divBdr>
        </w:div>
        <w:div w:id="1011033504">
          <w:marLeft w:val="255"/>
          <w:marRight w:val="0"/>
          <w:marTop w:val="0"/>
          <w:marBottom w:val="0"/>
          <w:divBdr>
            <w:top w:val="none" w:sz="0" w:space="0" w:color="auto"/>
            <w:left w:val="none" w:sz="0" w:space="0" w:color="auto"/>
            <w:bottom w:val="none" w:sz="0" w:space="0" w:color="auto"/>
            <w:right w:val="none" w:sz="0" w:space="0" w:color="auto"/>
          </w:divBdr>
        </w:div>
        <w:div w:id="241644291">
          <w:marLeft w:val="255"/>
          <w:marRight w:val="0"/>
          <w:marTop w:val="0"/>
          <w:marBottom w:val="0"/>
          <w:divBdr>
            <w:top w:val="none" w:sz="0" w:space="0" w:color="auto"/>
            <w:left w:val="none" w:sz="0" w:space="0" w:color="auto"/>
            <w:bottom w:val="none" w:sz="0" w:space="0" w:color="auto"/>
            <w:right w:val="none" w:sz="0" w:space="0" w:color="auto"/>
          </w:divBdr>
        </w:div>
        <w:div w:id="166409933">
          <w:marLeft w:val="255"/>
          <w:marRight w:val="0"/>
          <w:marTop w:val="0"/>
          <w:marBottom w:val="0"/>
          <w:divBdr>
            <w:top w:val="none" w:sz="0" w:space="0" w:color="auto"/>
            <w:left w:val="none" w:sz="0" w:space="0" w:color="auto"/>
            <w:bottom w:val="none" w:sz="0" w:space="0" w:color="auto"/>
            <w:right w:val="none" w:sz="0" w:space="0" w:color="auto"/>
          </w:divBdr>
        </w:div>
        <w:div w:id="1654020683">
          <w:marLeft w:val="255"/>
          <w:marRight w:val="0"/>
          <w:marTop w:val="0"/>
          <w:marBottom w:val="0"/>
          <w:divBdr>
            <w:top w:val="none" w:sz="0" w:space="0" w:color="auto"/>
            <w:left w:val="none" w:sz="0" w:space="0" w:color="auto"/>
            <w:bottom w:val="none" w:sz="0" w:space="0" w:color="auto"/>
            <w:right w:val="none" w:sz="0" w:space="0" w:color="auto"/>
          </w:divBdr>
        </w:div>
      </w:divsChild>
    </w:div>
    <w:div w:id="761336942">
      <w:bodyDiv w:val="1"/>
      <w:marLeft w:val="0"/>
      <w:marRight w:val="0"/>
      <w:marTop w:val="0"/>
      <w:marBottom w:val="0"/>
      <w:divBdr>
        <w:top w:val="none" w:sz="0" w:space="0" w:color="auto"/>
        <w:left w:val="none" w:sz="0" w:space="0" w:color="auto"/>
        <w:bottom w:val="none" w:sz="0" w:space="0" w:color="auto"/>
        <w:right w:val="none" w:sz="0" w:space="0" w:color="auto"/>
      </w:divBdr>
      <w:divsChild>
        <w:div w:id="338585498">
          <w:marLeft w:val="255"/>
          <w:marRight w:val="0"/>
          <w:marTop w:val="0"/>
          <w:marBottom w:val="0"/>
          <w:divBdr>
            <w:top w:val="none" w:sz="0" w:space="0" w:color="auto"/>
            <w:left w:val="none" w:sz="0" w:space="0" w:color="auto"/>
            <w:bottom w:val="none" w:sz="0" w:space="0" w:color="auto"/>
            <w:right w:val="none" w:sz="0" w:space="0" w:color="auto"/>
          </w:divBdr>
        </w:div>
        <w:div w:id="599528235">
          <w:marLeft w:val="255"/>
          <w:marRight w:val="0"/>
          <w:marTop w:val="0"/>
          <w:marBottom w:val="0"/>
          <w:divBdr>
            <w:top w:val="none" w:sz="0" w:space="0" w:color="auto"/>
            <w:left w:val="none" w:sz="0" w:space="0" w:color="auto"/>
            <w:bottom w:val="none" w:sz="0" w:space="0" w:color="auto"/>
            <w:right w:val="none" w:sz="0" w:space="0" w:color="auto"/>
          </w:divBdr>
        </w:div>
        <w:div w:id="1470709964">
          <w:marLeft w:val="255"/>
          <w:marRight w:val="0"/>
          <w:marTop w:val="0"/>
          <w:marBottom w:val="0"/>
          <w:divBdr>
            <w:top w:val="none" w:sz="0" w:space="0" w:color="auto"/>
            <w:left w:val="none" w:sz="0" w:space="0" w:color="auto"/>
            <w:bottom w:val="none" w:sz="0" w:space="0" w:color="auto"/>
            <w:right w:val="none" w:sz="0" w:space="0" w:color="auto"/>
          </w:divBdr>
        </w:div>
        <w:div w:id="2143421004">
          <w:marLeft w:val="255"/>
          <w:marRight w:val="0"/>
          <w:marTop w:val="0"/>
          <w:marBottom w:val="0"/>
          <w:divBdr>
            <w:top w:val="none" w:sz="0" w:space="0" w:color="auto"/>
            <w:left w:val="none" w:sz="0" w:space="0" w:color="auto"/>
            <w:bottom w:val="none" w:sz="0" w:space="0" w:color="auto"/>
            <w:right w:val="none" w:sz="0" w:space="0" w:color="auto"/>
          </w:divBdr>
        </w:div>
        <w:div w:id="892690433">
          <w:marLeft w:val="255"/>
          <w:marRight w:val="0"/>
          <w:marTop w:val="0"/>
          <w:marBottom w:val="0"/>
          <w:divBdr>
            <w:top w:val="none" w:sz="0" w:space="0" w:color="auto"/>
            <w:left w:val="none" w:sz="0" w:space="0" w:color="auto"/>
            <w:bottom w:val="none" w:sz="0" w:space="0" w:color="auto"/>
            <w:right w:val="none" w:sz="0" w:space="0" w:color="auto"/>
          </w:divBdr>
        </w:div>
        <w:div w:id="593704790">
          <w:marLeft w:val="255"/>
          <w:marRight w:val="0"/>
          <w:marTop w:val="0"/>
          <w:marBottom w:val="0"/>
          <w:divBdr>
            <w:top w:val="none" w:sz="0" w:space="0" w:color="auto"/>
            <w:left w:val="none" w:sz="0" w:space="0" w:color="auto"/>
            <w:bottom w:val="none" w:sz="0" w:space="0" w:color="auto"/>
            <w:right w:val="none" w:sz="0" w:space="0" w:color="auto"/>
          </w:divBdr>
        </w:div>
        <w:div w:id="2144888799">
          <w:marLeft w:val="255"/>
          <w:marRight w:val="0"/>
          <w:marTop w:val="0"/>
          <w:marBottom w:val="0"/>
          <w:divBdr>
            <w:top w:val="none" w:sz="0" w:space="0" w:color="auto"/>
            <w:left w:val="none" w:sz="0" w:space="0" w:color="auto"/>
            <w:bottom w:val="none" w:sz="0" w:space="0" w:color="auto"/>
            <w:right w:val="none" w:sz="0" w:space="0" w:color="auto"/>
          </w:divBdr>
        </w:div>
        <w:div w:id="2124375759">
          <w:marLeft w:val="255"/>
          <w:marRight w:val="0"/>
          <w:marTop w:val="0"/>
          <w:marBottom w:val="0"/>
          <w:divBdr>
            <w:top w:val="none" w:sz="0" w:space="0" w:color="auto"/>
            <w:left w:val="none" w:sz="0" w:space="0" w:color="auto"/>
            <w:bottom w:val="none" w:sz="0" w:space="0" w:color="auto"/>
            <w:right w:val="none" w:sz="0" w:space="0" w:color="auto"/>
          </w:divBdr>
        </w:div>
        <w:div w:id="1215895205">
          <w:marLeft w:val="255"/>
          <w:marRight w:val="0"/>
          <w:marTop w:val="0"/>
          <w:marBottom w:val="0"/>
          <w:divBdr>
            <w:top w:val="none" w:sz="0" w:space="0" w:color="auto"/>
            <w:left w:val="none" w:sz="0" w:space="0" w:color="auto"/>
            <w:bottom w:val="none" w:sz="0" w:space="0" w:color="auto"/>
            <w:right w:val="none" w:sz="0" w:space="0" w:color="auto"/>
          </w:divBdr>
        </w:div>
        <w:div w:id="1246307211">
          <w:marLeft w:val="255"/>
          <w:marRight w:val="0"/>
          <w:marTop w:val="0"/>
          <w:marBottom w:val="0"/>
          <w:divBdr>
            <w:top w:val="none" w:sz="0" w:space="0" w:color="auto"/>
            <w:left w:val="none" w:sz="0" w:space="0" w:color="auto"/>
            <w:bottom w:val="none" w:sz="0" w:space="0" w:color="auto"/>
            <w:right w:val="none" w:sz="0" w:space="0" w:color="auto"/>
          </w:divBdr>
        </w:div>
      </w:divsChild>
    </w:div>
    <w:div w:id="949360395">
      <w:bodyDiv w:val="1"/>
      <w:marLeft w:val="0"/>
      <w:marRight w:val="0"/>
      <w:marTop w:val="0"/>
      <w:marBottom w:val="0"/>
      <w:divBdr>
        <w:top w:val="none" w:sz="0" w:space="0" w:color="auto"/>
        <w:left w:val="none" w:sz="0" w:space="0" w:color="auto"/>
        <w:bottom w:val="none" w:sz="0" w:space="0" w:color="auto"/>
        <w:right w:val="none" w:sz="0" w:space="0" w:color="auto"/>
      </w:divBdr>
      <w:divsChild>
        <w:div w:id="1814248797">
          <w:marLeft w:val="255"/>
          <w:marRight w:val="0"/>
          <w:marTop w:val="75"/>
          <w:marBottom w:val="0"/>
          <w:divBdr>
            <w:top w:val="none" w:sz="0" w:space="0" w:color="auto"/>
            <w:left w:val="none" w:sz="0" w:space="0" w:color="auto"/>
            <w:bottom w:val="none" w:sz="0" w:space="0" w:color="auto"/>
            <w:right w:val="none" w:sz="0" w:space="0" w:color="auto"/>
          </w:divBdr>
        </w:div>
        <w:div w:id="820461374">
          <w:marLeft w:val="255"/>
          <w:marRight w:val="0"/>
          <w:marTop w:val="75"/>
          <w:marBottom w:val="0"/>
          <w:divBdr>
            <w:top w:val="none" w:sz="0" w:space="0" w:color="auto"/>
            <w:left w:val="none" w:sz="0" w:space="0" w:color="auto"/>
            <w:bottom w:val="none" w:sz="0" w:space="0" w:color="auto"/>
            <w:right w:val="none" w:sz="0" w:space="0" w:color="auto"/>
          </w:divBdr>
        </w:div>
      </w:divsChild>
    </w:div>
    <w:div w:id="1109010361">
      <w:bodyDiv w:val="1"/>
      <w:marLeft w:val="0"/>
      <w:marRight w:val="0"/>
      <w:marTop w:val="0"/>
      <w:marBottom w:val="0"/>
      <w:divBdr>
        <w:top w:val="none" w:sz="0" w:space="0" w:color="auto"/>
        <w:left w:val="none" w:sz="0" w:space="0" w:color="auto"/>
        <w:bottom w:val="none" w:sz="0" w:space="0" w:color="auto"/>
        <w:right w:val="none" w:sz="0" w:space="0" w:color="auto"/>
      </w:divBdr>
      <w:divsChild>
        <w:div w:id="806556735">
          <w:marLeft w:val="255"/>
          <w:marRight w:val="0"/>
          <w:marTop w:val="0"/>
          <w:marBottom w:val="0"/>
          <w:divBdr>
            <w:top w:val="none" w:sz="0" w:space="0" w:color="auto"/>
            <w:left w:val="none" w:sz="0" w:space="0" w:color="auto"/>
            <w:bottom w:val="none" w:sz="0" w:space="0" w:color="auto"/>
            <w:right w:val="none" w:sz="0" w:space="0" w:color="auto"/>
          </w:divBdr>
        </w:div>
        <w:div w:id="1297641400">
          <w:marLeft w:val="255"/>
          <w:marRight w:val="0"/>
          <w:marTop w:val="0"/>
          <w:marBottom w:val="0"/>
          <w:divBdr>
            <w:top w:val="none" w:sz="0" w:space="0" w:color="auto"/>
            <w:left w:val="none" w:sz="0" w:space="0" w:color="auto"/>
            <w:bottom w:val="none" w:sz="0" w:space="0" w:color="auto"/>
            <w:right w:val="none" w:sz="0" w:space="0" w:color="auto"/>
          </w:divBdr>
          <w:divsChild>
            <w:div w:id="896013815">
              <w:marLeft w:val="255"/>
              <w:marRight w:val="0"/>
              <w:marTop w:val="75"/>
              <w:marBottom w:val="0"/>
              <w:divBdr>
                <w:top w:val="none" w:sz="0" w:space="0" w:color="auto"/>
                <w:left w:val="none" w:sz="0" w:space="0" w:color="auto"/>
                <w:bottom w:val="none" w:sz="0" w:space="0" w:color="auto"/>
                <w:right w:val="none" w:sz="0" w:space="0" w:color="auto"/>
              </w:divBdr>
              <w:divsChild>
                <w:div w:id="957418902">
                  <w:marLeft w:val="0"/>
                  <w:marRight w:val="225"/>
                  <w:marTop w:val="0"/>
                  <w:marBottom w:val="0"/>
                  <w:divBdr>
                    <w:top w:val="none" w:sz="0" w:space="0" w:color="auto"/>
                    <w:left w:val="none" w:sz="0" w:space="0" w:color="auto"/>
                    <w:bottom w:val="none" w:sz="0" w:space="0" w:color="auto"/>
                    <w:right w:val="none" w:sz="0" w:space="0" w:color="auto"/>
                  </w:divBdr>
                </w:div>
              </w:divsChild>
            </w:div>
            <w:div w:id="580529631">
              <w:marLeft w:val="255"/>
              <w:marRight w:val="0"/>
              <w:marTop w:val="75"/>
              <w:marBottom w:val="0"/>
              <w:divBdr>
                <w:top w:val="none" w:sz="0" w:space="0" w:color="auto"/>
                <w:left w:val="none" w:sz="0" w:space="0" w:color="auto"/>
                <w:bottom w:val="none" w:sz="0" w:space="0" w:color="auto"/>
                <w:right w:val="none" w:sz="0" w:space="0" w:color="auto"/>
              </w:divBdr>
              <w:divsChild>
                <w:div w:id="920143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78252055">
          <w:marLeft w:val="255"/>
          <w:marRight w:val="0"/>
          <w:marTop w:val="0"/>
          <w:marBottom w:val="0"/>
          <w:divBdr>
            <w:top w:val="none" w:sz="0" w:space="0" w:color="auto"/>
            <w:left w:val="none" w:sz="0" w:space="0" w:color="auto"/>
            <w:bottom w:val="none" w:sz="0" w:space="0" w:color="auto"/>
            <w:right w:val="none" w:sz="0" w:space="0" w:color="auto"/>
          </w:divBdr>
          <w:divsChild>
            <w:div w:id="1826818103">
              <w:marLeft w:val="255"/>
              <w:marRight w:val="0"/>
              <w:marTop w:val="75"/>
              <w:marBottom w:val="0"/>
              <w:divBdr>
                <w:top w:val="none" w:sz="0" w:space="0" w:color="auto"/>
                <w:left w:val="none" w:sz="0" w:space="0" w:color="auto"/>
                <w:bottom w:val="none" w:sz="0" w:space="0" w:color="auto"/>
                <w:right w:val="none" w:sz="0" w:space="0" w:color="auto"/>
              </w:divBdr>
              <w:divsChild>
                <w:div w:id="22444130">
                  <w:marLeft w:val="0"/>
                  <w:marRight w:val="225"/>
                  <w:marTop w:val="0"/>
                  <w:marBottom w:val="0"/>
                  <w:divBdr>
                    <w:top w:val="none" w:sz="0" w:space="0" w:color="auto"/>
                    <w:left w:val="none" w:sz="0" w:space="0" w:color="auto"/>
                    <w:bottom w:val="none" w:sz="0" w:space="0" w:color="auto"/>
                    <w:right w:val="none" w:sz="0" w:space="0" w:color="auto"/>
                  </w:divBdr>
                </w:div>
              </w:divsChild>
            </w:div>
            <w:div w:id="132603835">
              <w:marLeft w:val="255"/>
              <w:marRight w:val="0"/>
              <w:marTop w:val="75"/>
              <w:marBottom w:val="0"/>
              <w:divBdr>
                <w:top w:val="none" w:sz="0" w:space="0" w:color="auto"/>
                <w:left w:val="none" w:sz="0" w:space="0" w:color="auto"/>
                <w:bottom w:val="none" w:sz="0" w:space="0" w:color="auto"/>
                <w:right w:val="none" w:sz="0" w:space="0" w:color="auto"/>
              </w:divBdr>
              <w:divsChild>
                <w:div w:id="8749242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89765448">
          <w:marLeft w:val="255"/>
          <w:marRight w:val="0"/>
          <w:marTop w:val="0"/>
          <w:marBottom w:val="0"/>
          <w:divBdr>
            <w:top w:val="none" w:sz="0" w:space="0" w:color="auto"/>
            <w:left w:val="none" w:sz="0" w:space="0" w:color="auto"/>
            <w:bottom w:val="none" w:sz="0" w:space="0" w:color="auto"/>
            <w:right w:val="none" w:sz="0" w:space="0" w:color="auto"/>
          </w:divBdr>
          <w:divsChild>
            <w:div w:id="2066760077">
              <w:marLeft w:val="255"/>
              <w:marRight w:val="0"/>
              <w:marTop w:val="75"/>
              <w:marBottom w:val="0"/>
              <w:divBdr>
                <w:top w:val="none" w:sz="0" w:space="0" w:color="auto"/>
                <w:left w:val="none" w:sz="0" w:space="0" w:color="auto"/>
                <w:bottom w:val="none" w:sz="0" w:space="0" w:color="auto"/>
                <w:right w:val="none" w:sz="0" w:space="0" w:color="auto"/>
              </w:divBdr>
              <w:divsChild>
                <w:div w:id="939682313">
                  <w:marLeft w:val="0"/>
                  <w:marRight w:val="225"/>
                  <w:marTop w:val="0"/>
                  <w:marBottom w:val="0"/>
                  <w:divBdr>
                    <w:top w:val="none" w:sz="0" w:space="0" w:color="auto"/>
                    <w:left w:val="none" w:sz="0" w:space="0" w:color="auto"/>
                    <w:bottom w:val="none" w:sz="0" w:space="0" w:color="auto"/>
                    <w:right w:val="none" w:sz="0" w:space="0" w:color="auto"/>
                  </w:divBdr>
                </w:div>
              </w:divsChild>
            </w:div>
            <w:div w:id="1982688639">
              <w:marLeft w:val="255"/>
              <w:marRight w:val="0"/>
              <w:marTop w:val="75"/>
              <w:marBottom w:val="0"/>
              <w:divBdr>
                <w:top w:val="none" w:sz="0" w:space="0" w:color="auto"/>
                <w:left w:val="none" w:sz="0" w:space="0" w:color="auto"/>
                <w:bottom w:val="none" w:sz="0" w:space="0" w:color="auto"/>
                <w:right w:val="none" w:sz="0" w:space="0" w:color="auto"/>
              </w:divBdr>
              <w:divsChild>
                <w:div w:id="1333921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84768">
          <w:marLeft w:val="255"/>
          <w:marRight w:val="0"/>
          <w:marTop w:val="0"/>
          <w:marBottom w:val="0"/>
          <w:divBdr>
            <w:top w:val="none" w:sz="0" w:space="0" w:color="auto"/>
            <w:left w:val="none" w:sz="0" w:space="0" w:color="auto"/>
            <w:bottom w:val="none" w:sz="0" w:space="0" w:color="auto"/>
            <w:right w:val="none" w:sz="0" w:space="0" w:color="auto"/>
          </w:divBdr>
        </w:div>
        <w:div w:id="1134181478">
          <w:marLeft w:val="255"/>
          <w:marRight w:val="0"/>
          <w:marTop w:val="0"/>
          <w:marBottom w:val="0"/>
          <w:divBdr>
            <w:top w:val="none" w:sz="0" w:space="0" w:color="auto"/>
            <w:left w:val="none" w:sz="0" w:space="0" w:color="auto"/>
            <w:bottom w:val="none" w:sz="0" w:space="0" w:color="auto"/>
            <w:right w:val="none" w:sz="0" w:space="0" w:color="auto"/>
          </w:divBdr>
        </w:div>
      </w:divsChild>
    </w:div>
    <w:div w:id="1431851471">
      <w:bodyDiv w:val="1"/>
      <w:marLeft w:val="0"/>
      <w:marRight w:val="0"/>
      <w:marTop w:val="0"/>
      <w:marBottom w:val="0"/>
      <w:divBdr>
        <w:top w:val="none" w:sz="0" w:space="0" w:color="auto"/>
        <w:left w:val="none" w:sz="0" w:space="0" w:color="auto"/>
        <w:bottom w:val="none" w:sz="0" w:space="0" w:color="auto"/>
        <w:right w:val="none" w:sz="0" w:space="0" w:color="auto"/>
      </w:divBdr>
    </w:div>
    <w:div w:id="1947420281">
      <w:bodyDiv w:val="1"/>
      <w:marLeft w:val="0"/>
      <w:marRight w:val="0"/>
      <w:marTop w:val="0"/>
      <w:marBottom w:val="0"/>
      <w:divBdr>
        <w:top w:val="none" w:sz="0" w:space="0" w:color="auto"/>
        <w:left w:val="none" w:sz="0" w:space="0" w:color="auto"/>
        <w:bottom w:val="none" w:sz="0" w:space="0" w:color="auto"/>
        <w:right w:val="none" w:sz="0" w:space="0" w:color="auto"/>
      </w:divBdr>
      <w:divsChild>
        <w:div w:id="2022588705">
          <w:marLeft w:val="255"/>
          <w:marRight w:val="0"/>
          <w:marTop w:val="0"/>
          <w:marBottom w:val="0"/>
          <w:divBdr>
            <w:top w:val="none" w:sz="0" w:space="0" w:color="auto"/>
            <w:left w:val="none" w:sz="0" w:space="0" w:color="auto"/>
            <w:bottom w:val="none" w:sz="0" w:space="0" w:color="auto"/>
            <w:right w:val="none" w:sz="0" w:space="0" w:color="auto"/>
          </w:divBdr>
        </w:div>
        <w:div w:id="774205274">
          <w:marLeft w:val="255"/>
          <w:marRight w:val="0"/>
          <w:marTop w:val="0"/>
          <w:marBottom w:val="0"/>
          <w:divBdr>
            <w:top w:val="none" w:sz="0" w:space="0" w:color="auto"/>
            <w:left w:val="none" w:sz="0" w:space="0" w:color="auto"/>
            <w:bottom w:val="none" w:sz="0" w:space="0" w:color="auto"/>
            <w:right w:val="none" w:sz="0" w:space="0" w:color="auto"/>
          </w:divBdr>
        </w:div>
      </w:divsChild>
    </w:div>
    <w:div w:id="2005936935">
      <w:bodyDiv w:val="1"/>
      <w:marLeft w:val="0"/>
      <w:marRight w:val="0"/>
      <w:marTop w:val="0"/>
      <w:marBottom w:val="0"/>
      <w:divBdr>
        <w:top w:val="none" w:sz="0" w:space="0" w:color="auto"/>
        <w:left w:val="none" w:sz="0" w:space="0" w:color="auto"/>
        <w:bottom w:val="none" w:sz="0" w:space="0" w:color="auto"/>
        <w:right w:val="none" w:sz="0" w:space="0" w:color="auto"/>
      </w:divBdr>
      <w:divsChild>
        <w:div w:id="1698190809">
          <w:marLeft w:val="0"/>
          <w:marRight w:val="0"/>
          <w:marTop w:val="0"/>
          <w:marBottom w:val="0"/>
          <w:divBdr>
            <w:top w:val="none" w:sz="0" w:space="0" w:color="auto"/>
            <w:left w:val="none" w:sz="0" w:space="0" w:color="auto"/>
            <w:bottom w:val="none" w:sz="0" w:space="0" w:color="auto"/>
            <w:right w:val="none" w:sz="0" w:space="0" w:color="auto"/>
          </w:divBdr>
        </w:div>
      </w:divsChild>
    </w:div>
    <w:div w:id="2020421500">
      <w:bodyDiv w:val="1"/>
      <w:marLeft w:val="0"/>
      <w:marRight w:val="0"/>
      <w:marTop w:val="0"/>
      <w:marBottom w:val="0"/>
      <w:divBdr>
        <w:top w:val="none" w:sz="0" w:space="0" w:color="auto"/>
        <w:left w:val="none" w:sz="0" w:space="0" w:color="auto"/>
        <w:bottom w:val="none" w:sz="0" w:space="0" w:color="auto"/>
        <w:right w:val="none" w:sz="0" w:space="0" w:color="auto"/>
      </w:divBdr>
      <w:divsChild>
        <w:div w:id="1754622099">
          <w:marLeft w:val="255"/>
          <w:marRight w:val="0"/>
          <w:marTop w:val="0"/>
          <w:marBottom w:val="0"/>
          <w:divBdr>
            <w:top w:val="none" w:sz="0" w:space="0" w:color="auto"/>
            <w:left w:val="none" w:sz="0" w:space="0" w:color="auto"/>
            <w:bottom w:val="none" w:sz="0" w:space="0" w:color="auto"/>
            <w:right w:val="none" w:sz="0" w:space="0" w:color="auto"/>
          </w:divBdr>
        </w:div>
        <w:div w:id="191254323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ur-lex.europa.eu/legal-content/SK/TXT/?uri=CELEX%3A02013L0034-20211221&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2_TZ_2013_34"/>
    <f:field ref="objsubject" par="" edit="true" text=""/>
    <f:field ref="objcreatedby" par="" text="Matulová, Silvia, Ing."/>
    <f:field ref="objcreatedat" par="" text="13.5.2022 11:44:44"/>
    <f:field ref="objchangedby" par="" text="Administrator, System"/>
    <f:field ref="objmodifiedat" par="" text="13.5.2022 11:44: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1CF047-C505-4D58-9F3B-14C0B9EF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3989</Words>
  <Characters>22742</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Matulova Silvia</cp:lastModifiedBy>
  <cp:revision>2</cp:revision>
  <cp:lastPrinted>2022-07-27T12:38:00Z</cp:lastPrinted>
  <dcterms:created xsi:type="dcterms:W3CDTF">2022-08-18T13:36:00Z</dcterms:created>
  <dcterms:modified xsi:type="dcterms:W3CDTF">2022-08-18T13:36:00Z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style="width:100.0%;" width="100%"&gt;	&lt;tbody&gt;		&lt;tr&gt;			&lt;td colspan="5" style="width:100.0%;height:27px;"&gt;			&lt;ol&gt;				&lt;li&gt;&lt;strong&gt;Správa o účasti verejnosti na tvorbe právneho predpisu&lt;/strong&gt;&lt;/li</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2022</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MF/005491/2022-74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LP/2022/266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4 ods. 2  Zmluvy o fungovaní Európskej únie (Ú. v. EÚ C 202, 7.6.2016) v platnom znení.</vt:lpwstr>
  </property>
  <property fmtid="{D5CDD505-2E9C-101B-9397-08002B2CF9AE}" pid="47" name="FSC#SKEDITIONSLOVLEX@103.510:AttrStrListDocPropSekundarneLegPravoPO">
    <vt:lpwstr>• smernica Európskeho parlamentu a Rady (EÚ) 2021/2101 z 24. novembra 2021, ktorou sa mení smernica 2013/34/EÚ, pokiaľ ide o zverejňovanie informácií o dani z príjmov určitými podnikmi a pobočkami (Ú. v. EÚ L 429, 1.12.2021), gestor: zatiaľ nebol určený,_x000d_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- 306/1999, Banque internationale pour l'Afrique occidentale SA (BIAO) v. Finanzamt für Großunternehmen in Hamburg, [2003], Výrok rozhodnutia: 1. Otázky uvedené v druhej a tretej časti návrhu na začatie prejudiciálneh</vt:lpwstr>
  </property>
  <property fmtid="{D5CDD505-2E9C-101B-9397-08002B2CF9AE}" pid="52" name="FSC#SKEDITIONSLOVLEX@103.510:AttrStrListDocPropLehotaPrebratieSmernice">
    <vt:lpwstr>Lehota na prebratie smernice (EÚ) 2021/2101 bola určená do 22. júna 2023._x000d_
Lehota na prebratie smernice 2014/95/EÚ bola určená do 6. decembra 2016._x000d_
Lehota na prebratie smernice 2013/34/EÚ bola určená do 20. júla 2015._x000d_
Lehota na prebratie smernice 2004/2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EK ako aj  nebolo začaté konanie Súdneho dvora EÚ proti SR podľa čl. 258 až 260 Zmluvy o fungovaní Európskej únie.</vt:lpwstr>
  </property>
  <property fmtid="{D5CDD505-2E9C-101B-9397-08002B2CF9AE}" pid="55" name="FSC#SKEDITIONSLOVLEX@103.510:AttrStrListDocPropInfoUzPreberanePP">
    <vt:lpwstr>Smernica 2014/95/EÚ bola prebratá do:_x000d_
- zákona č. 431/2002 Z. z. o účtovníctve v znení neskorších predpisov, _x000d_
- zákona č. 530/2003 Z. z. o obchodnom registri a o zmene a doplnení niektorých zákonov v znení neskorších predpisov,_x000d_
- zákona č. 513/1991 Zb.</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13. 4. 2022</vt:lpwstr>
  </property>
  <property fmtid="{D5CDD505-2E9C-101B-9397-08002B2CF9AE}" pid="59" name="FSC#SKEDITIONSLOVLEX@103.510:AttrDateDocPropUkonceniePKK">
    <vt:lpwstr>26. 4. 2022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&lt;p&gt;Identifikované vplyvy v&amp;nbsp;rámci ich analýz indikujú negatívny vplyv návrhu zákona na rozpočet a&amp;nbsp;negatívny a&amp;nbsp;pozitívny vplyv na podnikateľské prostredie. Návrh zákona bude mať negatívny vplyv na podnikateľské prostredie v&amp;nbsp;dôsledku vzni</vt:lpwstr>
  </property>
  <property fmtid="{D5CDD505-2E9C-101B-9397-08002B2CF9AE}" pid="66" name="FSC#SKEDITIONSLOVLEX@103.510:AttrStrListDocPropAltRiesenia">
    <vt:lpwstr>V prípade nulového variantu by Slovenská republika nesplnila povinnosť transpozície smernice EÚ, ktorá musí byť transponovaná do 22. júna 2023.</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40px; text-align: justify;"&gt;Návrh zákona, ktorým sa mení a dopĺňa zákon č. 431/2002 Z. z. o&amp;nbsp;účtovníctve v&amp;nbsp;znení neskorších predpisov a&amp;nbsp;ktorým sa menia a&amp;nbsp;dopĺňajú niektoré zákony, sa predkladá na základe Plánu leg</vt:lpwstr>
  </property>
  <property fmtid="{D5CDD505-2E9C-101B-9397-08002B2CF9AE}" pid="150" name="FSC#SKEDITIONSLOVLEX@103.510:vytvorenedna">
    <vt:lpwstr>13. 5. 2022</vt:lpwstr>
  </property>
  <property fmtid="{D5CDD505-2E9C-101B-9397-08002B2CF9AE}" pid="151" name="FSC#COOSYSTEM@1.1:Container">
    <vt:lpwstr>COO.2145.1000.3.4954117</vt:lpwstr>
  </property>
  <property fmtid="{D5CDD505-2E9C-101B-9397-08002B2CF9AE}" pid="152" name="FSC#FSCFOLIO@1.1001:docpropproject">
    <vt:lpwstr/>
  </property>
</Properties>
</file>