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10"/>
        <w:gridCol w:w="6074"/>
        <w:gridCol w:w="540"/>
        <w:gridCol w:w="899"/>
        <w:gridCol w:w="851"/>
        <w:gridCol w:w="4961"/>
        <w:gridCol w:w="709"/>
        <w:gridCol w:w="962"/>
      </w:tblGrid>
      <w:tr w:rsidR="00016ED1" w:rsidRPr="00084958">
        <w:trPr>
          <w:jc w:val="center"/>
        </w:trPr>
        <w:tc>
          <w:tcPr>
            <w:tcW w:w="1570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6ED1" w:rsidRPr="00084958" w:rsidRDefault="00016ED1" w:rsidP="00D979E2">
            <w:pPr>
              <w:pStyle w:val="Nadpis1"/>
              <w:tabs>
                <w:tab w:val="center" w:pos="8037"/>
              </w:tabs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TABUĽKA  ZHODY</w:t>
            </w:r>
          </w:p>
          <w:p w:rsidR="00016ED1" w:rsidRPr="00084958" w:rsidRDefault="00E75C0D" w:rsidP="00E75C0D">
            <w:pPr>
              <w:pStyle w:val="Zkladntext2"/>
              <w:tabs>
                <w:tab w:val="left" w:pos="0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FF"/>
                <w:sz w:val="22"/>
                <w:szCs w:val="22"/>
              </w:rPr>
            </w:pPr>
            <w:r w:rsidRPr="00084958">
              <w:rPr>
                <w:rFonts w:ascii="Arial Narrow" w:hAnsi="Arial Narrow"/>
                <w:b/>
                <w:bCs/>
                <w:sz w:val="22"/>
                <w:szCs w:val="22"/>
              </w:rPr>
              <w:t>návrhu právneho predpisu</w:t>
            </w:r>
            <w:r w:rsidR="00016ED1" w:rsidRPr="0008495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084958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="00AC4660" w:rsidRPr="00084958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  <w:r w:rsidR="00016ED1" w:rsidRPr="00084958">
              <w:rPr>
                <w:rFonts w:ascii="Arial Narrow" w:hAnsi="Arial Narrow"/>
                <w:b/>
                <w:bCs/>
                <w:sz w:val="22"/>
                <w:szCs w:val="22"/>
              </w:rPr>
              <w:t>právom</w:t>
            </w:r>
            <w:r w:rsidR="00AC4660" w:rsidRPr="0008495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016ED1" w:rsidRPr="00084958">
              <w:rPr>
                <w:rFonts w:ascii="Arial Narrow" w:hAnsi="Arial Narrow"/>
                <w:b/>
                <w:bCs/>
                <w:sz w:val="22"/>
                <w:szCs w:val="22"/>
              </w:rPr>
              <w:t>Európskej únie</w:t>
            </w:r>
          </w:p>
        </w:tc>
      </w:tr>
      <w:tr w:rsidR="00016ED1" w:rsidRPr="00084958" w:rsidTr="001B1983">
        <w:trPr>
          <w:trHeight w:val="1296"/>
          <w:jc w:val="center"/>
        </w:trPr>
        <w:tc>
          <w:tcPr>
            <w:tcW w:w="73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5C0D" w:rsidRPr="00084958" w:rsidRDefault="00016ED1" w:rsidP="009D41CC">
            <w:pPr>
              <w:pStyle w:val="Nzov"/>
              <w:spacing w:after="6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Smernica</w:t>
            </w:r>
            <w:r w:rsidR="00DC3DB3">
              <w:rPr>
                <w:rFonts w:ascii="Arial Narrow" w:hAnsi="Arial Narrow"/>
                <w:sz w:val="22"/>
                <w:szCs w:val="22"/>
              </w:rPr>
              <w:t xml:space="preserve"> EÚ</w:t>
            </w:r>
          </w:p>
          <w:p w:rsidR="00016ED1" w:rsidRDefault="00E75C0D" w:rsidP="001B1983">
            <w:pPr>
              <w:pStyle w:val="Nzov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SMERNICA </w:t>
            </w:r>
            <w:r w:rsidR="00016ED1" w:rsidRPr="00084958">
              <w:rPr>
                <w:rFonts w:ascii="Arial Narrow" w:hAnsi="Arial Narrow"/>
                <w:sz w:val="22"/>
                <w:szCs w:val="22"/>
              </w:rPr>
              <w:t xml:space="preserve"> E</w:t>
            </w:r>
            <w:r w:rsidRPr="00084958">
              <w:rPr>
                <w:rFonts w:ascii="Arial Narrow" w:hAnsi="Arial Narrow"/>
                <w:sz w:val="22"/>
                <w:szCs w:val="22"/>
              </w:rPr>
              <w:t>URÓPSKEHO PARLAMENTU A RADY</w:t>
            </w:r>
            <w:r w:rsidR="00016ED1" w:rsidRPr="00084958">
              <w:rPr>
                <w:rFonts w:ascii="Arial Narrow" w:hAnsi="Arial Narrow"/>
                <w:sz w:val="22"/>
                <w:szCs w:val="22"/>
              </w:rPr>
              <w:t xml:space="preserve"> 2004/25/ES z 21. apríla 2004 o ponukách na prevzatie</w:t>
            </w:r>
            <w:r w:rsidRPr="00084958">
              <w:rPr>
                <w:rFonts w:ascii="Arial Narrow" w:hAnsi="Arial Narrow"/>
                <w:sz w:val="22"/>
                <w:szCs w:val="22"/>
              </w:rPr>
              <w:t xml:space="preserve"> (Ú. v. ES L 142, 30.</w:t>
            </w:r>
            <w:r w:rsidR="00566AFE">
              <w:rPr>
                <w:rFonts w:ascii="Arial Narrow" w:hAnsi="Arial Narrow"/>
                <w:sz w:val="22"/>
                <w:szCs w:val="22"/>
              </w:rPr>
              <w:t>0</w:t>
            </w:r>
            <w:r w:rsidRPr="00084958">
              <w:rPr>
                <w:rFonts w:ascii="Arial Narrow" w:hAnsi="Arial Narrow"/>
                <w:sz w:val="22"/>
                <w:szCs w:val="22"/>
              </w:rPr>
              <w:t>4.2004</w:t>
            </w:r>
            <w:r w:rsidR="00187C5D" w:rsidRPr="00084958">
              <w:rPr>
                <w:rFonts w:ascii="Arial Narrow" w:hAnsi="Arial Narrow"/>
                <w:sz w:val="22"/>
                <w:szCs w:val="22"/>
              </w:rPr>
              <w:t xml:space="preserve">; </w:t>
            </w:r>
            <w:r w:rsidR="00187C5D" w:rsidRPr="0008495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Mimoriadne</w:t>
            </w:r>
            <w:r w:rsidR="00187C5D" w:rsidRPr="00084958">
              <w:rPr>
                <w:rFonts w:ascii="Arial Narrow" w:hAnsi="Arial Narrow"/>
                <w:color w:val="000000"/>
                <w:spacing w:val="12"/>
                <w:sz w:val="22"/>
                <w:szCs w:val="22"/>
                <w:lang w:eastAsia="sk-SK"/>
              </w:rPr>
              <w:t xml:space="preserve"> </w:t>
            </w:r>
            <w:r w:rsidR="00187C5D" w:rsidRPr="0008495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vydanie</w:t>
            </w:r>
            <w:r w:rsidR="00187C5D" w:rsidRPr="00084958">
              <w:rPr>
                <w:rFonts w:ascii="Arial Narrow" w:hAnsi="Arial Narrow"/>
                <w:color w:val="000000"/>
                <w:spacing w:val="12"/>
                <w:sz w:val="22"/>
                <w:szCs w:val="22"/>
                <w:lang w:eastAsia="sk-SK"/>
              </w:rPr>
              <w:t xml:space="preserve"> </w:t>
            </w:r>
            <w:r w:rsidR="00187C5D" w:rsidRPr="0008495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Ú.</w:t>
            </w:r>
            <w:r w:rsidR="00187C5D" w:rsidRPr="00084958">
              <w:rPr>
                <w:rFonts w:ascii="Arial Narrow" w:hAnsi="Arial Narrow"/>
                <w:color w:val="000000"/>
                <w:spacing w:val="12"/>
                <w:sz w:val="22"/>
                <w:szCs w:val="22"/>
                <w:lang w:eastAsia="sk-SK"/>
              </w:rPr>
              <w:t xml:space="preserve"> </w:t>
            </w:r>
            <w:r w:rsidR="00187C5D" w:rsidRPr="0008495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v.</w:t>
            </w:r>
            <w:r w:rsidR="00187C5D" w:rsidRPr="00084958">
              <w:rPr>
                <w:rFonts w:ascii="Arial Narrow" w:hAnsi="Arial Narrow"/>
                <w:color w:val="000000"/>
                <w:spacing w:val="12"/>
                <w:sz w:val="22"/>
                <w:szCs w:val="22"/>
                <w:lang w:eastAsia="sk-SK"/>
              </w:rPr>
              <w:t xml:space="preserve"> </w:t>
            </w:r>
            <w:r w:rsidR="00187C5D" w:rsidRPr="0008495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EÚ</w:t>
            </w:r>
            <w:r w:rsidR="00187C5D" w:rsidRPr="00084958">
              <w:rPr>
                <w:rFonts w:ascii="Arial Narrow" w:hAnsi="Arial Narrow"/>
                <w:color w:val="000000"/>
                <w:spacing w:val="12"/>
                <w:sz w:val="22"/>
                <w:szCs w:val="22"/>
                <w:lang w:eastAsia="sk-SK"/>
              </w:rPr>
              <w:t xml:space="preserve"> </w:t>
            </w:r>
            <w:r w:rsidR="00187C5D" w:rsidRPr="0008495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kap.</w:t>
            </w:r>
            <w:r w:rsidR="00187C5D" w:rsidRPr="00084958">
              <w:rPr>
                <w:rFonts w:ascii="Arial Narrow" w:hAnsi="Arial Narrow"/>
                <w:color w:val="000000"/>
                <w:spacing w:val="12"/>
                <w:sz w:val="22"/>
                <w:szCs w:val="22"/>
                <w:lang w:eastAsia="sk-SK"/>
              </w:rPr>
              <w:t xml:space="preserve"> </w:t>
            </w:r>
            <w:r w:rsidR="00187C5D" w:rsidRPr="0008495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17/zv.</w:t>
            </w:r>
            <w:r w:rsidR="00187C5D" w:rsidRPr="00084958">
              <w:rPr>
                <w:rFonts w:ascii="Arial Narrow" w:hAnsi="Arial Narrow"/>
                <w:color w:val="000000"/>
                <w:spacing w:val="12"/>
                <w:sz w:val="22"/>
                <w:szCs w:val="22"/>
                <w:lang w:eastAsia="sk-SK"/>
              </w:rPr>
              <w:t xml:space="preserve"> </w:t>
            </w:r>
            <w:r w:rsidR="00187C5D" w:rsidRPr="0008495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</w:t>
            </w:r>
            <w:r w:rsidRPr="00084958">
              <w:rPr>
                <w:rFonts w:ascii="Arial Narrow" w:hAnsi="Arial Narrow"/>
                <w:sz w:val="22"/>
                <w:szCs w:val="22"/>
              </w:rPr>
              <w:t>)</w:t>
            </w:r>
            <w:r w:rsidR="00D97B45">
              <w:rPr>
                <w:rFonts w:ascii="Arial Narrow" w:hAnsi="Arial Narrow"/>
                <w:sz w:val="22"/>
                <w:szCs w:val="22"/>
              </w:rPr>
              <w:t xml:space="preserve"> v platnom znení</w:t>
            </w:r>
          </w:p>
          <w:p w:rsidR="00D97B45" w:rsidRPr="00084958" w:rsidRDefault="00D97B45" w:rsidP="00D97B45">
            <w:pPr>
              <w:pStyle w:val="Nzov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16ED1" w:rsidRPr="00084958" w:rsidRDefault="00E75C0D" w:rsidP="0076534F">
            <w:pPr>
              <w:pStyle w:val="Nadpis4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P</w:t>
            </w:r>
            <w:r w:rsidR="00016ED1" w:rsidRPr="00084958">
              <w:rPr>
                <w:rFonts w:ascii="Arial Narrow" w:hAnsi="Arial Narrow"/>
                <w:sz w:val="22"/>
                <w:szCs w:val="22"/>
              </w:rPr>
              <w:t>rávne predpisy Slovenskej republiky</w:t>
            </w:r>
          </w:p>
          <w:p w:rsidR="00E75C0D" w:rsidRPr="00084958" w:rsidRDefault="00E75C0D" w:rsidP="00E75C0D">
            <w:pPr>
              <w:pStyle w:val="Zkladntext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84958">
              <w:rPr>
                <w:rFonts w:ascii="Arial Narrow" w:hAnsi="Arial Narrow"/>
                <w:b/>
                <w:sz w:val="22"/>
                <w:szCs w:val="22"/>
              </w:rPr>
              <w:t xml:space="preserve">Návrh zákona, ktorým sa mení a dopĺňa zákon č. 431/2002 Z. z. o účtovníctve v znení neskorších predpisov </w:t>
            </w:r>
            <w:r w:rsidR="0009308C" w:rsidRPr="00084958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="005E0F2C"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="0009308C" w:rsidRPr="00084958">
              <w:rPr>
                <w:rFonts w:ascii="Arial Narrow" w:hAnsi="Arial Narrow"/>
                <w:b/>
                <w:sz w:val="22"/>
                <w:szCs w:val="22"/>
              </w:rPr>
              <w:t> ktorým sa men</w:t>
            </w:r>
            <w:r w:rsidR="005E0F2C">
              <w:rPr>
                <w:rFonts w:ascii="Arial Narrow" w:hAnsi="Arial Narrow"/>
                <w:b/>
                <w:sz w:val="22"/>
                <w:szCs w:val="22"/>
              </w:rPr>
              <w:t>í</w:t>
            </w:r>
            <w:r w:rsidR="0009308C" w:rsidRPr="00084958">
              <w:rPr>
                <w:rFonts w:ascii="Arial Narrow" w:hAnsi="Arial Narrow"/>
                <w:b/>
                <w:sz w:val="22"/>
                <w:szCs w:val="22"/>
              </w:rPr>
              <w:t xml:space="preserve"> a dopĺňa  zákon</w:t>
            </w:r>
            <w:r w:rsidR="005E0F2C">
              <w:rPr>
                <w:rFonts w:ascii="Arial Narrow" w:hAnsi="Arial Narrow"/>
                <w:b/>
                <w:sz w:val="22"/>
                <w:szCs w:val="22"/>
              </w:rPr>
              <w:t xml:space="preserve"> č. 513/1991 Zb. Obchodný zákonník v znení neskorších predpisov</w:t>
            </w:r>
            <w:r w:rsidR="0009308C" w:rsidRPr="0008495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84958">
              <w:rPr>
                <w:rFonts w:ascii="Arial Narrow" w:hAnsi="Arial Narrow"/>
                <w:b/>
                <w:sz w:val="22"/>
                <w:szCs w:val="22"/>
              </w:rPr>
              <w:t>(ďalej „návrh“)</w:t>
            </w:r>
          </w:p>
          <w:p w:rsidR="00016ED1" w:rsidRPr="00084958" w:rsidRDefault="00E75C0D" w:rsidP="001B1983">
            <w:pPr>
              <w:pStyle w:val="Zkladntext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Zákon č. 431/2002 Z. z. o účtovníctve v znení neskorších predpisov (ďalej „431/2002“)</w:t>
            </w:r>
          </w:p>
        </w:tc>
      </w:tr>
      <w:tr w:rsidR="00E75C0D" w:rsidRPr="00084958" w:rsidTr="00E75C0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5C0D" w:rsidRPr="00084958" w:rsidRDefault="00E75C0D" w:rsidP="00D979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0D" w:rsidRPr="00084958" w:rsidRDefault="00E75C0D" w:rsidP="00D979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5C0D" w:rsidRPr="00084958" w:rsidRDefault="00E75C0D" w:rsidP="00D979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0D" w:rsidRPr="00084958" w:rsidRDefault="00E75C0D" w:rsidP="00D979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0D" w:rsidRPr="00084958" w:rsidRDefault="00E75C0D" w:rsidP="00D979E2">
            <w:pPr>
              <w:pStyle w:val="Zkladntext2"/>
              <w:spacing w:after="0"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0D" w:rsidRPr="00084958" w:rsidRDefault="00E75C0D" w:rsidP="00D979E2">
            <w:pPr>
              <w:pStyle w:val="Zkladntext2"/>
              <w:spacing w:after="0"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0D" w:rsidRPr="00084958" w:rsidRDefault="00E75C0D" w:rsidP="00D979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5C0D" w:rsidRPr="00084958" w:rsidRDefault="00E75C0D" w:rsidP="00D979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E75C0D" w:rsidRPr="00084958" w:rsidTr="00E75C0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5C0D" w:rsidRPr="00084958" w:rsidRDefault="00E75C0D" w:rsidP="00D979E2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Článok</w:t>
            </w:r>
          </w:p>
          <w:p w:rsidR="00E75C0D" w:rsidRPr="00084958" w:rsidRDefault="00E75C0D" w:rsidP="00D979E2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(Č, O,</w:t>
            </w:r>
          </w:p>
          <w:p w:rsidR="00E75C0D" w:rsidRPr="00084958" w:rsidRDefault="00E75C0D" w:rsidP="00D979E2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V, P)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0D" w:rsidRPr="00084958" w:rsidRDefault="00E75C0D" w:rsidP="00D979E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Text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5C0D" w:rsidRPr="00084958" w:rsidRDefault="00E75C0D" w:rsidP="00D979E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Spôsob </w:t>
            </w:r>
            <w:proofErr w:type="spellStart"/>
            <w:r w:rsidRPr="00084958">
              <w:rPr>
                <w:rFonts w:ascii="Arial Narrow" w:hAnsi="Arial Narrow"/>
                <w:sz w:val="22"/>
                <w:szCs w:val="22"/>
              </w:rPr>
              <w:t>transp</w:t>
            </w:r>
            <w:proofErr w:type="spellEnd"/>
            <w:r w:rsidRPr="00084958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E75C0D" w:rsidRPr="00084958" w:rsidRDefault="00E75C0D" w:rsidP="00D979E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(N, O, D, </w:t>
            </w:r>
            <w:proofErr w:type="spellStart"/>
            <w:r w:rsidRPr="00084958">
              <w:rPr>
                <w:rFonts w:ascii="Arial Narrow" w:hAnsi="Arial Narrow"/>
                <w:sz w:val="22"/>
                <w:szCs w:val="22"/>
              </w:rPr>
              <w:t>n.a</w:t>
            </w:r>
            <w:proofErr w:type="spellEnd"/>
            <w:r w:rsidRPr="00084958">
              <w:rPr>
                <w:rFonts w:ascii="Arial Narrow" w:hAnsi="Arial Narrow"/>
                <w:sz w:val="22"/>
                <w:szCs w:val="22"/>
              </w:rPr>
              <w:t>.)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0D" w:rsidRPr="00084958" w:rsidRDefault="00E75C0D" w:rsidP="00D979E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Číslo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0D" w:rsidRPr="00084958" w:rsidRDefault="00E75C0D" w:rsidP="00D979E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Článok (Č, §, O, V, P)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0D" w:rsidRPr="00084958" w:rsidRDefault="00E75C0D" w:rsidP="00D979E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0D" w:rsidRPr="00084958" w:rsidRDefault="00E75C0D" w:rsidP="00D979E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Zhoda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5C0D" w:rsidRPr="00084958" w:rsidRDefault="00E75C0D" w:rsidP="00D979E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Poznámky</w:t>
            </w:r>
          </w:p>
        </w:tc>
      </w:tr>
      <w:tr w:rsidR="000F3AF6" w:rsidRPr="00084958" w:rsidTr="001F7D51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F3AF6" w:rsidRPr="00084958" w:rsidRDefault="000F3AF6" w:rsidP="00D979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Č:10</w:t>
            </w:r>
          </w:p>
          <w:p w:rsidR="000F3AF6" w:rsidRPr="00084958" w:rsidRDefault="000F3AF6" w:rsidP="00D979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O:1</w:t>
            </w:r>
          </w:p>
          <w:p w:rsidR="000F3AF6" w:rsidRPr="00084958" w:rsidRDefault="000F3AF6" w:rsidP="00D979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F6" w:rsidRPr="00084958" w:rsidRDefault="000F3AF6" w:rsidP="00E75C0D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495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Informácie o spoločnostiach v zmysle článku 1 ods. 1 </w:t>
            </w:r>
          </w:p>
          <w:p w:rsidR="000F3AF6" w:rsidRPr="00084958" w:rsidRDefault="000F3AF6" w:rsidP="00D979E2">
            <w:pPr>
              <w:pStyle w:val="Zkladntext"/>
              <w:ind w:left="308" w:hanging="180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1. Členské štáty zabezpečia, aby spoločnosti podľa článku 1 ods. 1 zverejňovali podrobné informácie o: </w:t>
            </w:r>
          </w:p>
          <w:p w:rsidR="000F3AF6" w:rsidRPr="00084958" w:rsidRDefault="000F3AF6" w:rsidP="00E7197D">
            <w:pPr>
              <w:pStyle w:val="Zkladntext"/>
              <w:ind w:left="128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 a) štruktúre ich imania, vrátane cenných papierov, ktoré neboli prijaté na obchodovanie na regulovanom trhu v členskom štáte, ak je to vhodné, s uvedením rôznych tried akcií a práv a povinností </w:t>
            </w:r>
            <w:r w:rsidR="00084958" w:rsidRPr="00084958">
              <w:rPr>
                <w:rFonts w:ascii="Arial Narrow" w:hAnsi="Arial Narrow"/>
                <w:sz w:val="22"/>
                <w:szCs w:val="22"/>
              </w:rPr>
              <w:t>s</w:t>
            </w:r>
            <w:r w:rsidRPr="00084958">
              <w:rPr>
                <w:rFonts w:ascii="Arial Narrow" w:hAnsi="Arial Narrow"/>
                <w:sz w:val="22"/>
                <w:szCs w:val="22"/>
              </w:rPr>
              <w:t>pojených s každou triedou akcií a percentuálny podiel na celkovom základnom imaní, ktoré predstavuje;</w:t>
            </w:r>
          </w:p>
          <w:p w:rsidR="000F3AF6" w:rsidRPr="00084958" w:rsidRDefault="000F3AF6" w:rsidP="005036B2">
            <w:pPr>
              <w:pStyle w:val="Zkladntext"/>
              <w:ind w:left="308" w:hanging="1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3AF6" w:rsidRPr="00084958" w:rsidRDefault="000F3AF6" w:rsidP="00D979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6" w:rsidRPr="00084958" w:rsidRDefault="000F3AF6" w:rsidP="00D979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431/2002</w:t>
            </w:r>
          </w:p>
          <w:p w:rsidR="000F3AF6" w:rsidRPr="00084958" w:rsidRDefault="000F3AF6" w:rsidP="00934F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a </w:t>
            </w:r>
          </w:p>
          <w:p w:rsidR="000F3AF6" w:rsidRPr="00084958" w:rsidRDefault="000F3AF6" w:rsidP="00934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84958">
              <w:rPr>
                <w:rFonts w:ascii="Arial Narrow" w:hAnsi="Arial Narrow"/>
                <w:b/>
                <w:sz w:val="22"/>
                <w:szCs w:val="22"/>
              </w:rPr>
              <w:t xml:space="preserve">návrh </w:t>
            </w:r>
          </w:p>
          <w:p w:rsidR="000F3AF6" w:rsidRPr="00084958" w:rsidRDefault="000F3AF6" w:rsidP="00934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84958">
              <w:rPr>
                <w:rFonts w:ascii="Arial Narrow" w:hAnsi="Arial Narrow"/>
                <w:b/>
                <w:sz w:val="22"/>
                <w:szCs w:val="22"/>
              </w:rPr>
              <w:t>čl.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F6" w:rsidRPr="00084958" w:rsidRDefault="000F3AF6" w:rsidP="00E7197D">
            <w:pPr>
              <w:pStyle w:val="Normlny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84958">
              <w:rPr>
                <w:rFonts w:ascii="Arial Narrow" w:hAnsi="Arial Narrow"/>
                <w:b/>
                <w:sz w:val="22"/>
                <w:szCs w:val="22"/>
              </w:rPr>
              <w:t xml:space="preserve">§ 20 </w:t>
            </w:r>
          </w:p>
          <w:p w:rsidR="000F3AF6" w:rsidRPr="00084958" w:rsidRDefault="000F3AF6" w:rsidP="00E7197D">
            <w:pPr>
              <w:pStyle w:val="Normlny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84958">
              <w:rPr>
                <w:rFonts w:ascii="Arial Narrow" w:hAnsi="Arial Narrow"/>
                <w:b/>
                <w:sz w:val="22"/>
                <w:szCs w:val="22"/>
              </w:rPr>
              <w:t>O:</w:t>
            </w:r>
            <w:r w:rsidR="000559C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84958">
              <w:rPr>
                <w:rFonts w:ascii="Arial Narrow" w:hAnsi="Arial Narrow"/>
                <w:b/>
                <w:sz w:val="22"/>
                <w:szCs w:val="22"/>
              </w:rPr>
              <w:t xml:space="preserve">7 </w:t>
            </w:r>
          </w:p>
          <w:p w:rsidR="000F3AF6" w:rsidRPr="00084958" w:rsidRDefault="000F3AF6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b/>
                <w:sz w:val="22"/>
                <w:szCs w:val="22"/>
              </w:rPr>
              <w:t>P: a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F6" w:rsidRPr="00084958" w:rsidRDefault="000F3AF6" w:rsidP="0018285C">
            <w:pPr>
              <w:spacing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84958">
              <w:rPr>
                <w:rFonts w:ascii="Arial Narrow" w:hAnsi="Arial Narrow"/>
                <w:b/>
                <w:sz w:val="22"/>
                <w:szCs w:val="22"/>
              </w:rPr>
              <w:t>Ak účtovná jednotka emitovala cenné papiere, a aspoň niektoré z nich sú prijaté na obchodovanie na regulovanom trhu členského štátu a týka sa ich ponuka na prevzatie, je povinná vo výročnej správe  uviesť aj údaje o</w:t>
            </w:r>
          </w:p>
          <w:p w:rsidR="000F3AF6" w:rsidRPr="00084958" w:rsidRDefault="000F3AF6" w:rsidP="004D0107">
            <w:pPr>
              <w:spacing w:after="120"/>
              <w:ind w:left="180" w:hanging="18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a) štruktúre základného imania vrátane údajov o cenných papieroch, ktoré</w:t>
            </w:r>
            <w:r w:rsidRPr="00084958">
              <w:rPr>
                <w:rFonts w:ascii="Arial Narrow" w:hAnsi="Arial Narrow"/>
                <w:b/>
                <w:sz w:val="22"/>
                <w:szCs w:val="22"/>
              </w:rPr>
              <w:t xml:space="preserve"> nie sú</w:t>
            </w:r>
            <w:r w:rsidRPr="00084958">
              <w:rPr>
                <w:rFonts w:ascii="Arial Narrow" w:hAnsi="Arial Narrow"/>
                <w:sz w:val="22"/>
                <w:szCs w:val="22"/>
              </w:rPr>
              <w:t xml:space="preserve"> prijaté na obchodovanie na regulovanom trhu v žiadnom členskom štáte s uvedením druhov akcií, opisu práv a povinností s nimi spojených pre každý druh akcií a ich percentuálny podiel na celkovom základnom imaní,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F6" w:rsidRPr="00084958" w:rsidRDefault="000F3AF6" w:rsidP="00D979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3AF6" w:rsidRPr="00084958" w:rsidRDefault="000F3AF6" w:rsidP="00D979E2">
            <w:pPr>
              <w:pStyle w:val="Nadpis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0F3AF6" w:rsidRPr="00084958" w:rsidTr="001F7D51">
        <w:trPr>
          <w:jc w:val="center"/>
        </w:trPr>
        <w:tc>
          <w:tcPr>
            <w:tcW w:w="7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3AF6" w:rsidRPr="00084958" w:rsidRDefault="000F3AF6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F6" w:rsidRPr="00084958" w:rsidRDefault="000F3AF6" w:rsidP="00DC614C">
            <w:pPr>
              <w:pStyle w:val="Zkladntext"/>
              <w:numPr>
                <w:ilvl w:val="1"/>
                <w:numId w:val="1"/>
              </w:numPr>
              <w:tabs>
                <w:tab w:val="clear" w:pos="1440"/>
                <w:tab w:val="num" w:pos="383"/>
              </w:tabs>
              <w:autoSpaceDE/>
              <w:autoSpaceDN/>
              <w:spacing w:after="0"/>
              <w:ind w:left="99" w:firstLin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akýchkoľvek obmedzeniach prevodu cenných papierov, napr. obmedzenia držby cenných papierov alebo potreba získať súhlas spoločnosti alebo iných majiteľov cenných papierov; tým nie je dotknutý článok 46 smernice 2001/34/ES;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3AF6" w:rsidRPr="00084958" w:rsidRDefault="000F3AF6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6" w:rsidRPr="00084958" w:rsidRDefault="000F3AF6" w:rsidP="00E719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431/2002</w:t>
            </w:r>
          </w:p>
          <w:p w:rsidR="000F3AF6" w:rsidRPr="00084958" w:rsidRDefault="000F3AF6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F6" w:rsidRPr="00084958" w:rsidRDefault="000F3AF6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§ 20 </w:t>
            </w:r>
          </w:p>
          <w:p w:rsidR="000F3AF6" w:rsidRPr="00084958" w:rsidRDefault="000F3AF6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O:7 </w:t>
            </w:r>
          </w:p>
          <w:p w:rsidR="000F3AF6" w:rsidRPr="00084958" w:rsidRDefault="000F3AF6" w:rsidP="001B1B9D">
            <w:pPr>
              <w:pStyle w:val="Zkladntext3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P: 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F6" w:rsidRPr="00084958" w:rsidRDefault="000F3AF6" w:rsidP="005036B2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b) obmedzeniach prevoditeľnosti cenných papierov,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F6" w:rsidRPr="00084958" w:rsidRDefault="000F3AF6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3AF6" w:rsidRPr="00084958" w:rsidRDefault="000F3AF6" w:rsidP="00494CA8">
            <w:pPr>
              <w:pStyle w:val="Nadpis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DC614C" w:rsidRPr="00084958" w:rsidTr="00E956BD">
        <w:trPr>
          <w:trHeight w:val="97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4404F4">
            <w:pPr>
              <w:pStyle w:val="Zkladntext"/>
              <w:numPr>
                <w:ilvl w:val="1"/>
                <w:numId w:val="1"/>
              </w:numPr>
              <w:tabs>
                <w:tab w:val="clear" w:pos="1440"/>
              </w:tabs>
              <w:autoSpaceDE/>
              <w:autoSpaceDN/>
              <w:spacing w:after="0"/>
              <w:ind w:left="308" w:hanging="18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významné priame alebo nepriame účasti na základnom imaní (vrátane nepriamej účasti na základnom imaní prostredníctvom pyramídových štruktúr a vzájomnej účasti) v zmysle článku 85 smernice 2001/34/ES;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E719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431/2002</w:t>
            </w:r>
          </w:p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§ 20 </w:t>
            </w:r>
          </w:p>
          <w:p w:rsidR="00DC614C" w:rsidRPr="00084958" w:rsidRDefault="00DC614C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O:7 </w:t>
            </w:r>
          </w:p>
          <w:p w:rsidR="00DC614C" w:rsidRPr="00084958" w:rsidRDefault="00DC614C" w:rsidP="00E7197D">
            <w:pPr>
              <w:pStyle w:val="Zkladntext3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P: 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5036B2">
            <w:pPr>
              <w:spacing w:after="120"/>
              <w:ind w:left="180" w:hanging="18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c) kvalifikovanej účasti na základnom imaní, podľa osobitného predpisu</w:t>
            </w:r>
            <w:r w:rsidR="00BE104F">
              <w:rPr>
                <w:rFonts w:ascii="Arial Narrow" w:hAnsi="Arial Narrow"/>
                <w:sz w:val="22"/>
                <w:szCs w:val="22"/>
              </w:rPr>
              <w:t>,</w:t>
            </w:r>
            <w:r w:rsidR="00BE104F" w:rsidRPr="00BE104F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BE104F">
              <w:rPr>
                <w:rFonts w:ascii="Arial Narrow" w:hAnsi="Arial Narrow"/>
                <w:sz w:val="22"/>
                <w:szCs w:val="22"/>
                <w:vertAlign w:val="superscript"/>
              </w:rPr>
              <w:t>8aa</w:t>
            </w:r>
            <w:r w:rsidRPr="00084958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DC614C" w:rsidRPr="00084958" w:rsidRDefault="00DC614C" w:rsidP="005036B2">
            <w:pPr>
              <w:spacing w:after="120"/>
              <w:ind w:left="180" w:hanging="18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28aa) § 8 písm. f ) zákona č. 566/2001 Z. 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1B1B9D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494CA8">
            <w:pPr>
              <w:pStyle w:val="Nadpis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DC614C" w:rsidRPr="00084958" w:rsidTr="006059C1">
        <w:trPr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5036B2">
            <w:pPr>
              <w:pStyle w:val="Zkladntext"/>
              <w:numPr>
                <w:ilvl w:val="1"/>
                <w:numId w:val="1"/>
              </w:numPr>
              <w:tabs>
                <w:tab w:val="clear" w:pos="1440"/>
              </w:tabs>
              <w:autoSpaceDE/>
              <w:autoSpaceDN/>
              <w:spacing w:after="0"/>
              <w:ind w:left="308" w:hanging="18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majiteľoch akýchkoľvek cenných papierov s osobitnými právami kontroly a opis týchto práv;</w:t>
            </w:r>
          </w:p>
          <w:p w:rsidR="00DC614C" w:rsidRPr="00084958" w:rsidRDefault="00DC614C" w:rsidP="005036B2">
            <w:pPr>
              <w:pStyle w:val="Zkladntext"/>
              <w:autoSpaceDE/>
              <w:autoSpaceDN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E719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431/2002</w:t>
            </w:r>
          </w:p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§ 20 </w:t>
            </w:r>
          </w:p>
          <w:p w:rsidR="00DC614C" w:rsidRPr="00084958" w:rsidRDefault="00DC614C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O:7 </w:t>
            </w:r>
          </w:p>
          <w:p w:rsidR="00DC614C" w:rsidRPr="00084958" w:rsidRDefault="00DC614C" w:rsidP="00E7197D">
            <w:pPr>
              <w:pStyle w:val="Zkladntext3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P: 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BE104F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d) majiteľoch cenných papierov s osobitnými právami kontroly s uvedením opisu týchto práv,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1B1B9D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494CA8">
            <w:pPr>
              <w:pStyle w:val="Nadpis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DC614C" w:rsidRPr="00084958" w:rsidTr="006059C1">
        <w:trPr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4404F4">
            <w:pPr>
              <w:pStyle w:val="Zkladntext"/>
              <w:autoSpaceDE/>
              <w:autoSpaceDN/>
              <w:spacing w:after="0"/>
              <w:ind w:firstLine="10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e) systéme kontroly akéhokoľvek systému zamestnaneckých akcií, ak kontrolné práva nie sú uplatňované priamo zamestnancami;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641D6C" w:rsidP="004935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n.a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52347E">
            <w:pPr>
              <w:pStyle w:val="Zkladntext3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387D12">
            <w:pPr>
              <w:spacing w:after="120"/>
              <w:ind w:left="180" w:hanging="18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641D6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n.a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494CA8">
            <w:pPr>
              <w:pStyle w:val="Nadpis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DC614C" w:rsidRPr="00084958" w:rsidTr="006059C1">
        <w:trPr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387D12">
            <w:pPr>
              <w:pStyle w:val="Zkladntext"/>
              <w:autoSpaceDE/>
              <w:autoSpaceDN/>
              <w:spacing w:after="0"/>
              <w:ind w:left="12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f) akýchkoľvek obmedzeniach hlasovacích práv, napr. obmedzenia hlasovacích práv majiteľov určitého percenta alebo počtu hlasovacích práv, lehoty na uplatňovanie hlasovacích práv alebo systémy, ktorými sú za spolupráce spoločnosti finančné práva spojené s cennými papiermi oddelené od držby cenných papierov;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E719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431/2002</w:t>
            </w:r>
          </w:p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§ 20 </w:t>
            </w:r>
          </w:p>
          <w:p w:rsidR="00DC614C" w:rsidRPr="00084958" w:rsidRDefault="00DC614C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O:7 </w:t>
            </w:r>
          </w:p>
          <w:p w:rsidR="00DC614C" w:rsidRPr="00084958" w:rsidRDefault="00DC614C" w:rsidP="00992ABB">
            <w:pPr>
              <w:pStyle w:val="Zkladntext3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P: 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387D12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e) obmedzeniach hlasovacích práv,</w:t>
            </w:r>
          </w:p>
          <w:p w:rsidR="00DC614C" w:rsidRPr="00084958" w:rsidRDefault="00DC614C" w:rsidP="00387D12">
            <w:pPr>
              <w:spacing w:after="120"/>
              <w:ind w:left="180" w:hanging="18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1B1B9D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494CA8">
            <w:pPr>
              <w:pStyle w:val="Nadpis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DC614C" w:rsidRPr="00084958" w:rsidTr="006059C1">
        <w:trPr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B47E70">
            <w:pPr>
              <w:pStyle w:val="Zkladntext"/>
              <w:autoSpaceDE/>
              <w:autoSpaceDN/>
              <w:spacing w:after="0"/>
              <w:ind w:left="12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g) akýchkoľvek dohodách medzi majiteľmi cenných papierov, ktoré sú známe spoločnosti a ktoré môžu viesť k obmedzeniam prevodu cenných papierov a/alebo hlasovacích práv v zmysle smernice 2001/34/ES;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E719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431/2002</w:t>
            </w:r>
          </w:p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§ 20 </w:t>
            </w:r>
          </w:p>
          <w:p w:rsidR="00DC614C" w:rsidRPr="00084958" w:rsidRDefault="00DC614C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O:7 </w:t>
            </w:r>
          </w:p>
          <w:p w:rsidR="00DC614C" w:rsidRPr="00084958" w:rsidRDefault="00DC614C" w:rsidP="00992ABB">
            <w:pPr>
              <w:pStyle w:val="Zkladntext3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P: 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BE104F">
            <w:pPr>
              <w:spacing w:after="120"/>
              <w:ind w:left="180" w:hanging="18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f) dohodách medzi majiteľmi cenných papierov, ktoré sú jej známe a ktoré môžu viesť k obmedzeniam prevoditeľnosti cenných papierov a obmedzeniam hlasovacích práv,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1B1B9D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E75C0D">
            <w:pPr>
              <w:pStyle w:val="Nadpis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DC614C" w:rsidRPr="00084958" w:rsidTr="006059C1">
        <w:trPr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B47E70">
            <w:pPr>
              <w:pStyle w:val="Zkladntext"/>
              <w:autoSpaceDE/>
              <w:autoSpaceDN/>
              <w:spacing w:after="0"/>
              <w:ind w:left="12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h) predpisoch upravujúcich vymenovanie a výmenu členov správneho alebo riadiaceho orgánu a zmenu a doplnenie stanov spoločnosti;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E719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431/2002</w:t>
            </w:r>
          </w:p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§ 20 </w:t>
            </w:r>
          </w:p>
          <w:p w:rsidR="00DC614C" w:rsidRPr="00084958" w:rsidRDefault="00DC614C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O:7 </w:t>
            </w:r>
          </w:p>
          <w:p w:rsidR="00DC614C" w:rsidRPr="00084958" w:rsidRDefault="00DC614C" w:rsidP="00992ABB">
            <w:pPr>
              <w:pStyle w:val="Zkladntext3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P: 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387D12">
            <w:pPr>
              <w:spacing w:after="120"/>
              <w:ind w:left="360"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g) pravidlách upravujúcich vymenovanie a odvolanie členov jej štatutárneho orgánu a zmenu stanov,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1B1B9D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494CA8">
            <w:pPr>
              <w:pStyle w:val="Nadpis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DC614C" w:rsidRPr="00084958" w:rsidTr="006059C1">
        <w:trPr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B47E70">
            <w:pPr>
              <w:pStyle w:val="Zkladntext"/>
              <w:autoSpaceDE/>
              <w:autoSpaceDN/>
              <w:spacing w:after="0"/>
              <w:ind w:left="12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i) právomociach členov správneho alebo riadiaceho orgánu a najmä právomoci emitovať alebo späť nakupovať akcie;</w:t>
            </w:r>
          </w:p>
          <w:p w:rsidR="00DC614C" w:rsidRPr="00084958" w:rsidRDefault="00DC614C" w:rsidP="00387D12">
            <w:pPr>
              <w:pStyle w:val="Zkladntext"/>
              <w:autoSpaceDE/>
              <w:autoSpaceDN/>
              <w:spacing w:after="0"/>
              <w:ind w:left="128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E719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431/2002</w:t>
            </w:r>
          </w:p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§ 20 </w:t>
            </w:r>
          </w:p>
          <w:p w:rsidR="00DC614C" w:rsidRPr="00084958" w:rsidRDefault="00DC614C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O:7 </w:t>
            </w:r>
          </w:p>
          <w:p w:rsidR="00DC614C" w:rsidRPr="00084958" w:rsidRDefault="00DC614C" w:rsidP="00992ABB">
            <w:pPr>
              <w:pStyle w:val="Zkladntext3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P: 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387D12">
            <w:pPr>
              <w:spacing w:after="120"/>
              <w:ind w:left="180" w:hanging="18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h) právomociach jej štatutárneho orgánu, najmä ich právomoci rozhodnúť o vydaní akcií alebo spätnom odkúpení akcií,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1B1B9D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494CA8">
            <w:pPr>
              <w:pStyle w:val="Nadpis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DC614C" w:rsidRPr="00084958" w:rsidTr="001C5E01">
        <w:trPr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B47E70">
            <w:pPr>
              <w:pStyle w:val="Zkladntext"/>
              <w:autoSpaceDE/>
              <w:autoSpaceDN/>
              <w:spacing w:after="0"/>
              <w:ind w:left="12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j) všetkých významných dohodách, ktorých je spoločnosť stranou a ktoré nadobúdajú účinnosť, menia sa alebo ktorých platnosť skončí na základe zmeny kontroly spoločnosti v dôsledku ponuky prevzatia a ich účinkoch s výnimkou prípadu, keď by ich zverejnenie vážne poškodilo spoločnosť; táto výnimka sa neuplatňuje, ak je spoločnosť osobitne povinná zverejniť takéto informácie na základe iných právnych požiadaviek;</w:t>
            </w:r>
          </w:p>
          <w:p w:rsidR="00DC614C" w:rsidRPr="00084958" w:rsidRDefault="00DC614C" w:rsidP="00387D12">
            <w:pPr>
              <w:pStyle w:val="Zkladntext"/>
              <w:autoSpaceDE/>
              <w:autoSpaceDN/>
              <w:spacing w:after="0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E719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431/2002</w:t>
            </w:r>
          </w:p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§ 20 </w:t>
            </w:r>
          </w:p>
          <w:p w:rsidR="00DC614C" w:rsidRPr="00084958" w:rsidRDefault="00DC614C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O:7 </w:t>
            </w:r>
          </w:p>
          <w:p w:rsidR="00DC614C" w:rsidRPr="00084958" w:rsidRDefault="00DC614C" w:rsidP="00992ABB">
            <w:pPr>
              <w:pStyle w:val="Zkladntext3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P: 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BE104F">
            <w:pPr>
              <w:spacing w:after="120"/>
              <w:ind w:left="180" w:hanging="18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i) všetkých významných dohodách, ktorých je zmluvnou stranou a ktoré nadobúdajú účinnosť, menia sa alebo ktorých platnosť sa skončí v dôsledku zmeny jej kontrolných pomerov, ku ktorej došlo v súvislosti s ponukou na prevzatie a</w:t>
            </w:r>
            <w:r w:rsidR="00BE104F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84958">
              <w:rPr>
                <w:rFonts w:ascii="Arial Narrow" w:hAnsi="Arial Narrow"/>
                <w:sz w:val="22"/>
                <w:szCs w:val="22"/>
              </w:rPr>
              <w:t xml:space="preserve">o </w:t>
            </w:r>
            <w:r w:rsidR="00BE104F">
              <w:rPr>
                <w:rFonts w:ascii="Arial Narrow" w:hAnsi="Arial Narrow"/>
                <w:sz w:val="22"/>
                <w:szCs w:val="22"/>
              </w:rPr>
              <w:t>jej</w:t>
            </w:r>
            <w:r w:rsidRPr="00084958">
              <w:rPr>
                <w:rFonts w:ascii="Arial Narrow" w:hAnsi="Arial Narrow"/>
                <w:sz w:val="22"/>
                <w:szCs w:val="22"/>
              </w:rPr>
              <w:t xml:space="preserve"> účinkoch s výnimkou prípadu, ak by ju ich zverejnenie vážne poškodilo; táto výnimka sa neuplatní, ak je povinná zverejniť tieto údaje v rámci plnenia povinností ustanovených osobitnými predpismi,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0F3AF6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494CA8">
            <w:pPr>
              <w:pStyle w:val="Nadpis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DC614C" w:rsidRPr="00084958" w:rsidTr="001C5E01">
        <w:trPr>
          <w:jc w:val="center"/>
        </w:trPr>
        <w:tc>
          <w:tcPr>
            <w:tcW w:w="7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DC614C">
            <w:pPr>
              <w:pStyle w:val="Zkladntext"/>
              <w:autoSpaceDE/>
              <w:autoSpaceDN/>
              <w:spacing w:after="0"/>
              <w:ind w:left="9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k) všetkých dohodách medzi spoločnosťou a členmi jej správneho alebo riadiaceho orgánu alebo zamestnancami ustanovujúcich náhradu, ak podajú výpoveď alebo sú nadbytoční bez závažného dôvodu alebo ak sa ich zamestnanie končí v dôsledku prijatia cenovej ponuky.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E719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431/2002</w:t>
            </w:r>
          </w:p>
          <w:p w:rsidR="00DC614C" w:rsidRPr="00084958" w:rsidRDefault="00DC614C" w:rsidP="00992A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§ 20 </w:t>
            </w:r>
          </w:p>
          <w:p w:rsidR="00DC614C" w:rsidRPr="00084958" w:rsidRDefault="00DC614C" w:rsidP="00E7197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O:7 </w:t>
            </w:r>
          </w:p>
          <w:p w:rsidR="00DC614C" w:rsidRPr="00084958" w:rsidRDefault="00DC614C" w:rsidP="00992ABB">
            <w:pPr>
              <w:pStyle w:val="Zkladntext3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P: 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DC614C" w:rsidP="00BE104F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j) všetkých dohodách uzatvorených medzi ňou a členmi jej orgánov alebo zamestnancami, na ktorých</w:t>
            </w:r>
            <w:r w:rsidR="00BE104F">
              <w:rPr>
                <w:rFonts w:ascii="Arial Narrow" w:hAnsi="Arial Narrow"/>
                <w:sz w:val="22"/>
                <w:szCs w:val="22"/>
              </w:rPr>
              <w:t xml:space="preserve"> základe</w:t>
            </w:r>
            <w:r w:rsidRPr="00084958">
              <w:rPr>
                <w:rFonts w:ascii="Arial Narrow" w:hAnsi="Arial Narrow"/>
                <w:sz w:val="22"/>
                <w:szCs w:val="22"/>
              </w:rPr>
              <w:t xml:space="preserve"> sa im má poskytnúť náhrada, ak sa ich funkcia alebo pracovný pomer skončí vzdaním sa funkcie, výpoveďou zo strany zamestnanca, ich odvolaním, výpoveďou zo strany zamestnávateľa bez</w:t>
            </w:r>
            <w:r w:rsidR="00BE104F">
              <w:rPr>
                <w:rFonts w:ascii="Arial Narrow" w:hAnsi="Arial Narrow"/>
                <w:sz w:val="22"/>
                <w:szCs w:val="22"/>
              </w:rPr>
              <w:t xml:space="preserve"> uvedenia</w:t>
            </w:r>
            <w:r w:rsidRPr="00084958">
              <w:rPr>
                <w:rFonts w:ascii="Arial Narrow" w:hAnsi="Arial Narrow"/>
                <w:sz w:val="22"/>
                <w:szCs w:val="22"/>
              </w:rPr>
              <w:t xml:space="preserve">  dôvodu alebo sa ich funkcia </w:t>
            </w:r>
            <w:r w:rsidRPr="00084958">
              <w:rPr>
                <w:rFonts w:ascii="Arial Narrow" w:hAnsi="Arial Narrow"/>
                <w:sz w:val="22"/>
                <w:szCs w:val="22"/>
              </w:rPr>
              <w:lastRenderedPageBreak/>
              <w:t>alebo</w:t>
            </w:r>
            <w:r w:rsidR="00BE10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84958">
              <w:rPr>
                <w:rFonts w:ascii="Arial Narrow" w:hAnsi="Arial Narrow"/>
                <w:sz w:val="22"/>
                <w:szCs w:val="22"/>
              </w:rPr>
              <w:t>pracovný pomer skončí v dôsledku ponuky na prevzatie.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4C" w:rsidRPr="00084958" w:rsidRDefault="000F3AF6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lastRenderedPageBreak/>
              <w:t>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14C" w:rsidRPr="00084958" w:rsidRDefault="00DC614C" w:rsidP="00494CA8">
            <w:pPr>
              <w:pStyle w:val="Nadpis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E75C0D" w:rsidRPr="00084958" w:rsidTr="00E75C0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5C0D" w:rsidRPr="00084958" w:rsidRDefault="00E75C0D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Č:10</w:t>
            </w:r>
          </w:p>
          <w:p w:rsidR="00E75C0D" w:rsidRPr="00084958" w:rsidRDefault="00E75C0D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O:3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0D" w:rsidRPr="00084958" w:rsidRDefault="00E75C0D" w:rsidP="00992ABB">
            <w:pPr>
              <w:pStyle w:val="Zkladntext"/>
              <w:autoSpaceDE/>
              <w:autoSpaceDN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Členské štáty v prípade spoločností, ktorých cenné papiere boli prijaté na obchodovanie v členskom štáte, zabezpečia, aby správny alebo riadiaci orgán predkladala vysvetľujúcu správu na výročnom valnom zhromaždení k záležitostiam uvedeným v odseku 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5C0D" w:rsidRPr="00084958" w:rsidRDefault="008C2723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97D" w:rsidRPr="00084958" w:rsidRDefault="00E7197D" w:rsidP="00494C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84958">
              <w:rPr>
                <w:rFonts w:ascii="Arial Narrow" w:hAnsi="Arial Narrow"/>
                <w:b/>
                <w:sz w:val="22"/>
                <w:szCs w:val="22"/>
              </w:rPr>
              <w:t xml:space="preserve">návrh </w:t>
            </w:r>
          </w:p>
          <w:p w:rsidR="00E75C0D" w:rsidRPr="00084958" w:rsidRDefault="00E7197D" w:rsidP="00494C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84958">
              <w:rPr>
                <w:rFonts w:ascii="Arial Narrow" w:hAnsi="Arial Narrow"/>
                <w:b/>
                <w:sz w:val="22"/>
                <w:szCs w:val="22"/>
              </w:rPr>
              <w:t>čl.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D" w:rsidRPr="00084958" w:rsidRDefault="00E75C0D" w:rsidP="00882390">
            <w:pPr>
              <w:pStyle w:val="Zkladntext3"/>
              <w:spacing w:after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84958">
              <w:rPr>
                <w:rFonts w:ascii="Arial Narrow" w:hAnsi="Arial Narrow"/>
                <w:b/>
                <w:sz w:val="22"/>
                <w:szCs w:val="22"/>
              </w:rPr>
              <w:t>§ 20</w:t>
            </w:r>
          </w:p>
          <w:p w:rsidR="00E75C0D" w:rsidRPr="00084958" w:rsidRDefault="00E7197D" w:rsidP="00882390">
            <w:pPr>
              <w:pStyle w:val="Zkladntext3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b/>
                <w:sz w:val="22"/>
                <w:szCs w:val="22"/>
              </w:rPr>
              <w:t>O:</w:t>
            </w:r>
            <w:r w:rsidR="00E75C0D" w:rsidRPr="00084958">
              <w:rPr>
                <w:rFonts w:ascii="Arial Narrow" w:hAnsi="Arial Narrow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0D" w:rsidRPr="00084958" w:rsidRDefault="00E75C0D" w:rsidP="001576E9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b/>
                <w:sz w:val="22"/>
                <w:szCs w:val="22"/>
              </w:rPr>
              <w:t xml:space="preserve">Členovia predstavenstva účtovnej jednotky, ktorá emitovala cenné papiere a tie </w:t>
            </w:r>
            <w:r w:rsidR="00E7197D" w:rsidRPr="00084958">
              <w:rPr>
                <w:rFonts w:ascii="Arial Narrow" w:hAnsi="Arial Narrow"/>
                <w:b/>
                <w:sz w:val="22"/>
                <w:szCs w:val="22"/>
              </w:rPr>
              <w:t>sú</w:t>
            </w:r>
            <w:r w:rsidRPr="00084958">
              <w:rPr>
                <w:rFonts w:ascii="Arial Narrow" w:hAnsi="Arial Narrow"/>
                <w:b/>
                <w:sz w:val="22"/>
                <w:szCs w:val="22"/>
              </w:rPr>
              <w:t xml:space="preserve"> prijaté na obchodovanie na regulovanom trhu</w:t>
            </w:r>
            <w:r w:rsidR="00E7197D" w:rsidRPr="00084958">
              <w:rPr>
                <w:rFonts w:ascii="Arial Narrow" w:hAnsi="Arial Narrow"/>
                <w:b/>
                <w:sz w:val="22"/>
                <w:szCs w:val="22"/>
              </w:rPr>
              <w:t xml:space="preserve"> členského štátu</w:t>
            </w:r>
            <w:r w:rsidRPr="00084958">
              <w:rPr>
                <w:rFonts w:ascii="Arial Narrow" w:hAnsi="Arial Narrow"/>
                <w:b/>
                <w:sz w:val="22"/>
                <w:szCs w:val="22"/>
              </w:rPr>
              <w:t>, predložia valnému zhromaždeniu vysvetľujúcu správu k</w:t>
            </w:r>
            <w:r w:rsidR="00C36656">
              <w:rPr>
                <w:rFonts w:ascii="Arial Narrow" w:hAnsi="Arial Narrow"/>
                <w:b/>
                <w:sz w:val="22"/>
                <w:szCs w:val="22"/>
              </w:rPr>
              <w:t> obsahovým náležitostiam</w:t>
            </w:r>
            <w:r w:rsidRPr="00084958">
              <w:rPr>
                <w:rFonts w:ascii="Arial Narrow" w:hAnsi="Arial Narrow"/>
                <w:b/>
                <w:sz w:val="22"/>
                <w:szCs w:val="22"/>
              </w:rPr>
              <w:t xml:space="preserve">  výročnej správy podľa odsek</w:t>
            </w:r>
            <w:r w:rsidR="00E7197D" w:rsidRPr="00084958">
              <w:rPr>
                <w:rFonts w:ascii="Arial Narrow" w:hAnsi="Arial Narrow"/>
                <w:b/>
                <w:sz w:val="22"/>
                <w:szCs w:val="22"/>
              </w:rPr>
              <w:t>u</w:t>
            </w:r>
            <w:r w:rsidRPr="00084958">
              <w:rPr>
                <w:rFonts w:ascii="Arial Narrow" w:hAnsi="Arial Narrow"/>
                <w:b/>
                <w:sz w:val="22"/>
                <w:szCs w:val="22"/>
              </w:rPr>
              <w:t xml:space="preserve"> 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0D" w:rsidRPr="00084958" w:rsidRDefault="000F3AF6" w:rsidP="00494C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5C0D" w:rsidRPr="00084958" w:rsidRDefault="00E75C0D" w:rsidP="00494CA8">
            <w:pPr>
              <w:pStyle w:val="Nadpis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</w:tbl>
    <w:p w:rsidR="00E75C0D" w:rsidRPr="00084958" w:rsidRDefault="00E75C0D" w:rsidP="00E75C0D">
      <w:pPr>
        <w:autoSpaceDE/>
        <w:autoSpaceDN/>
        <w:rPr>
          <w:rFonts w:ascii="Arial Narrow" w:hAnsi="Arial Narrow"/>
          <w:sz w:val="22"/>
          <w:szCs w:val="22"/>
        </w:rPr>
      </w:pPr>
      <w:r w:rsidRPr="00084958">
        <w:rPr>
          <w:rFonts w:ascii="Arial Narrow" w:hAnsi="Arial Narrow"/>
          <w:sz w:val="22"/>
          <w:szCs w:val="22"/>
        </w:rPr>
        <w:t>LEGENDA:</w:t>
      </w:r>
    </w:p>
    <w:tbl>
      <w:tblPr>
        <w:tblW w:w="15730" w:type="dxa"/>
        <w:tblInd w:w="-8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1960"/>
        <w:gridCol w:w="7580"/>
      </w:tblGrid>
      <w:tr w:rsidR="00E75C0D" w:rsidRPr="00D74E1A" w:rsidTr="00E75C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75C0D" w:rsidRPr="00084958" w:rsidRDefault="00E75C0D" w:rsidP="00212C90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084958">
              <w:rPr>
                <w:rFonts w:ascii="Arial Narrow" w:hAnsi="Arial Narrow"/>
                <w:sz w:val="22"/>
                <w:szCs w:val="22"/>
                <w:lang w:eastAsia="sk-SK"/>
              </w:rPr>
              <w:t>V stĺpci (1):</w:t>
            </w:r>
          </w:p>
          <w:p w:rsidR="00E75C0D" w:rsidRPr="00084958" w:rsidRDefault="00E75C0D" w:rsidP="00212C90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Č – článok</w:t>
            </w:r>
          </w:p>
          <w:p w:rsidR="00E75C0D" w:rsidRPr="00084958" w:rsidRDefault="00E75C0D" w:rsidP="00212C90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O – odsek</w:t>
            </w:r>
          </w:p>
          <w:p w:rsidR="00E75C0D" w:rsidRPr="00084958" w:rsidRDefault="00E75C0D" w:rsidP="00212C90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V – veta</w:t>
            </w:r>
          </w:p>
          <w:p w:rsidR="00E75C0D" w:rsidRPr="00084958" w:rsidRDefault="00E75C0D" w:rsidP="00212C90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P – číslo (písmeno)</w:t>
            </w:r>
          </w:p>
          <w:p w:rsidR="00E75C0D" w:rsidRPr="00084958" w:rsidRDefault="00E75C0D" w:rsidP="00212C90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75C0D" w:rsidRPr="00084958" w:rsidRDefault="00E75C0D" w:rsidP="00212C90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084958">
              <w:rPr>
                <w:rFonts w:ascii="Arial Narrow" w:hAnsi="Arial Narrow"/>
                <w:sz w:val="22"/>
                <w:szCs w:val="22"/>
                <w:lang w:eastAsia="sk-SK"/>
              </w:rPr>
              <w:t>V stĺpci (3):</w:t>
            </w:r>
          </w:p>
          <w:p w:rsidR="00E75C0D" w:rsidRPr="00084958" w:rsidRDefault="00E75C0D" w:rsidP="00212C90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N – bežná transpozícia</w:t>
            </w:r>
          </w:p>
          <w:p w:rsidR="00E75C0D" w:rsidRPr="00084958" w:rsidRDefault="00E75C0D" w:rsidP="00212C90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O – transpozícia s možnosťou voľby</w:t>
            </w:r>
          </w:p>
          <w:p w:rsidR="00E75C0D" w:rsidRPr="00084958" w:rsidRDefault="00E75C0D" w:rsidP="00212C90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D – transpozícia podľa úvahy (dobrovoľná)</w:t>
            </w:r>
          </w:p>
          <w:p w:rsidR="00E75C0D" w:rsidRPr="00084958" w:rsidRDefault="00E75C0D" w:rsidP="00212C90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84958">
              <w:rPr>
                <w:rFonts w:ascii="Arial Narrow" w:hAnsi="Arial Narrow"/>
                <w:sz w:val="22"/>
                <w:szCs w:val="22"/>
              </w:rPr>
              <w:t>n.a</w:t>
            </w:r>
            <w:proofErr w:type="spellEnd"/>
            <w:r w:rsidRPr="00084958">
              <w:rPr>
                <w:rFonts w:ascii="Arial Narrow" w:hAnsi="Arial Narrow"/>
                <w:sz w:val="22"/>
                <w:szCs w:val="22"/>
              </w:rPr>
              <w:t>. – transpozícia sa neuskutočňuje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E75C0D" w:rsidRPr="00084958" w:rsidRDefault="00E75C0D" w:rsidP="00212C90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084958">
              <w:rPr>
                <w:rFonts w:ascii="Arial Narrow" w:hAnsi="Arial Narrow"/>
                <w:sz w:val="22"/>
                <w:szCs w:val="22"/>
                <w:lang w:eastAsia="sk-SK"/>
              </w:rPr>
              <w:t>V stĺpci (5):</w:t>
            </w:r>
          </w:p>
          <w:p w:rsidR="00E75C0D" w:rsidRPr="00084958" w:rsidRDefault="00E75C0D" w:rsidP="00212C90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Č – článok</w:t>
            </w:r>
          </w:p>
          <w:p w:rsidR="00E75C0D" w:rsidRPr="00084958" w:rsidRDefault="00E75C0D" w:rsidP="00212C90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§ – paragraf</w:t>
            </w:r>
          </w:p>
          <w:p w:rsidR="00E75C0D" w:rsidRPr="00084958" w:rsidRDefault="00E75C0D" w:rsidP="00212C90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O – odsek</w:t>
            </w:r>
          </w:p>
          <w:p w:rsidR="00E75C0D" w:rsidRPr="00084958" w:rsidRDefault="00E75C0D" w:rsidP="00212C90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V – veta</w:t>
            </w:r>
          </w:p>
          <w:p w:rsidR="00E75C0D" w:rsidRPr="00084958" w:rsidRDefault="00E75C0D" w:rsidP="00212C90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P – písmeno (číslo)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E75C0D" w:rsidRPr="00084958" w:rsidRDefault="00E75C0D" w:rsidP="00212C90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084958">
              <w:rPr>
                <w:rFonts w:ascii="Arial Narrow" w:hAnsi="Arial Narrow"/>
                <w:sz w:val="22"/>
                <w:szCs w:val="22"/>
                <w:lang w:eastAsia="sk-SK"/>
              </w:rPr>
              <w:t>V stĺpci (7):</w:t>
            </w:r>
          </w:p>
          <w:p w:rsidR="00E75C0D" w:rsidRPr="00084958" w:rsidRDefault="00E75C0D" w:rsidP="00212C90">
            <w:pPr>
              <w:autoSpaceDE/>
              <w:autoSpaceDN/>
              <w:ind w:left="290" w:hanging="290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E75C0D" w:rsidRPr="00084958" w:rsidRDefault="00E75C0D" w:rsidP="00212C90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>Č – čiastočná zhoda (ak minimálne jedna z podmienok úplnej zhody nie je splnená)</w:t>
            </w:r>
          </w:p>
          <w:p w:rsidR="000E3BEF" w:rsidRPr="00084958" w:rsidRDefault="00E75C0D" w:rsidP="000E3BEF">
            <w:pPr>
              <w:pStyle w:val="Zarkazkladnhotextu2"/>
              <w:spacing w:after="0" w:line="240" w:lineRule="auto"/>
              <w:ind w:left="363" w:hanging="363"/>
              <w:rPr>
                <w:rFonts w:ascii="Arial Narrow" w:hAnsi="Arial Narrow"/>
                <w:sz w:val="22"/>
                <w:szCs w:val="22"/>
              </w:rPr>
            </w:pPr>
            <w:r w:rsidRPr="00084958">
              <w:rPr>
                <w:rFonts w:ascii="Arial Narrow" w:hAnsi="Arial Narrow"/>
                <w:sz w:val="22"/>
                <w:szCs w:val="22"/>
              </w:rPr>
              <w:t xml:space="preserve">Ž – žiadna zhoda (ak nebola dosiahnutá ani úplná ani </w:t>
            </w:r>
            <w:proofErr w:type="spellStart"/>
            <w:r w:rsidRPr="00084958">
              <w:rPr>
                <w:rFonts w:ascii="Arial Narrow" w:hAnsi="Arial Narrow"/>
                <w:sz w:val="22"/>
                <w:szCs w:val="22"/>
              </w:rPr>
              <w:t>čiast</w:t>
            </w:r>
            <w:proofErr w:type="spellEnd"/>
            <w:r w:rsidRPr="00084958">
              <w:rPr>
                <w:rFonts w:ascii="Arial Narrow" w:hAnsi="Arial Narrow"/>
                <w:sz w:val="22"/>
                <w:szCs w:val="22"/>
              </w:rPr>
              <w:t>. zhoda alebo k prebratiu dôjde v budúcnosti)</w:t>
            </w:r>
          </w:p>
          <w:p w:rsidR="00E75C0D" w:rsidRPr="00D74E1A" w:rsidRDefault="00E75C0D" w:rsidP="000E3BEF">
            <w:pPr>
              <w:pStyle w:val="Zarkazkladnhotextu2"/>
              <w:spacing w:after="0" w:line="240" w:lineRule="auto"/>
              <w:ind w:left="363" w:hanging="363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84958">
              <w:rPr>
                <w:rFonts w:ascii="Arial Narrow" w:hAnsi="Arial Narrow"/>
                <w:sz w:val="22"/>
                <w:szCs w:val="22"/>
              </w:rPr>
              <w:t>n.a</w:t>
            </w:r>
            <w:proofErr w:type="spellEnd"/>
            <w:r w:rsidRPr="00084958">
              <w:rPr>
                <w:rFonts w:ascii="Arial Narrow" w:hAnsi="Arial Narrow"/>
                <w:sz w:val="22"/>
                <w:szCs w:val="22"/>
              </w:rPr>
              <w:t>. – neaplikovateľnosť (ak sa ustanovenie smernice netýka SR alebo nie je potrebné ho prebrať)</w:t>
            </w:r>
          </w:p>
        </w:tc>
      </w:tr>
    </w:tbl>
    <w:p w:rsidR="00C65049" w:rsidRPr="00E75C0D" w:rsidRDefault="00C65049" w:rsidP="00E75C0D">
      <w:pPr>
        <w:rPr>
          <w:rFonts w:ascii="Arial Narrow" w:hAnsi="Arial Narrow"/>
          <w:sz w:val="22"/>
          <w:szCs w:val="22"/>
        </w:rPr>
      </w:pPr>
    </w:p>
    <w:sectPr w:rsidR="00C65049" w:rsidRPr="00E75C0D" w:rsidSect="00016ED1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987" w:rsidRDefault="00DE5987">
      <w:r>
        <w:separator/>
      </w:r>
    </w:p>
  </w:endnote>
  <w:endnote w:type="continuationSeparator" w:id="0">
    <w:p w:rsidR="00DE5987" w:rsidRDefault="00DE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9C5" w:rsidRDefault="000559C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D41CC">
      <w:rPr>
        <w:noProof/>
      </w:rPr>
      <w:t>3</w:t>
    </w:r>
    <w:r>
      <w:fldChar w:fldCharType="end"/>
    </w:r>
  </w:p>
  <w:p w:rsidR="000559C5" w:rsidRDefault="000559C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987" w:rsidRDefault="00DE5987">
      <w:r>
        <w:separator/>
      </w:r>
    </w:p>
  </w:footnote>
  <w:footnote w:type="continuationSeparator" w:id="0">
    <w:p w:rsidR="00DE5987" w:rsidRDefault="00DE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11554"/>
    <w:multiLevelType w:val="multilevel"/>
    <w:tmpl w:val="F1B8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D20D1A"/>
    <w:multiLevelType w:val="hybridMultilevel"/>
    <w:tmpl w:val="DD161650"/>
    <w:lvl w:ilvl="0" w:tplc="422033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A269AB"/>
    <w:multiLevelType w:val="multilevel"/>
    <w:tmpl w:val="33A2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33"/>
    <w:rsid w:val="00006E66"/>
    <w:rsid w:val="000150DC"/>
    <w:rsid w:val="00016ED1"/>
    <w:rsid w:val="000225DB"/>
    <w:rsid w:val="000559C5"/>
    <w:rsid w:val="000750EA"/>
    <w:rsid w:val="0008106D"/>
    <w:rsid w:val="00084958"/>
    <w:rsid w:val="0009308C"/>
    <w:rsid w:val="000963E9"/>
    <w:rsid w:val="000B633C"/>
    <w:rsid w:val="000C3B60"/>
    <w:rsid w:val="000E3BEF"/>
    <w:rsid w:val="000F3AF6"/>
    <w:rsid w:val="001002ED"/>
    <w:rsid w:val="001113E4"/>
    <w:rsid w:val="001576E9"/>
    <w:rsid w:val="0018285C"/>
    <w:rsid w:val="00187C5D"/>
    <w:rsid w:val="001B1983"/>
    <w:rsid w:val="001B1B9D"/>
    <w:rsid w:val="001C5E01"/>
    <w:rsid w:val="001F7D51"/>
    <w:rsid w:val="00200CE9"/>
    <w:rsid w:val="00212C90"/>
    <w:rsid w:val="002624D1"/>
    <w:rsid w:val="002D7A8D"/>
    <w:rsid w:val="0034701B"/>
    <w:rsid w:val="00387D12"/>
    <w:rsid w:val="003A6633"/>
    <w:rsid w:val="003D0E63"/>
    <w:rsid w:val="003D7DDB"/>
    <w:rsid w:val="004257A0"/>
    <w:rsid w:val="00430B16"/>
    <w:rsid w:val="00434101"/>
    <w:rsid w:val="004404F4"/>
    <w:rsid w:val="00441C3F"/>
    <w:rsid w:val="00451102"/>
    <w:rsid w:val="004935A6"/>
    <w:rsid w:val="00494CA8"/>
    <w:rsid w:val="004C5ECB"/>
    <w:rsid w:val="004D0107"/>
    <w:rsid w:val="004F710C"/>
    <w:rsid w:val="005036B2"/>
    <w:rsid w:val="0052347E"/>
    <w:rsid w:val="00566AFE"/>
    <w:rsid w:val="005834E9"/>
    <w:rsid w:val="005E0F2C"/>
    <w:rsid w:val="005E2881"/>
    <w:rsid w:val="006059C1"/>
    <w:rsid w:val="0061534E"/>
    <w:rsid w:val="00641D6C"/>
    <w:rsid w:val="00653445"/>
    <w:rsid w:val="00696421"/>
    <w:rsid w:val="0076534F"/>
    <w:rsid w:val="007A2391"/>
    <w:rsid w:val="007A6FDA"/>
    <w:rsid w:val="007B7B00"/>
    <w:rsid w:val="007E053F"/>
    <w:rsid w:val="00800DDE"/>
    <w:rsid w:val="00802416"/>
    <w:rsid w:val="008618E2"/>
    <w:rsid w:val="0086438A"/>
    <w:rsid w:val="00882390"/>
    <w:rsid w:val="008906E1"/>
    <w:rsid w:val="008C2723"/>
    <w:rsid w:val="008D0398"/>
    <w:rsid w:val="008D5D8E"/>
    <w:rsid w:val="00902178"/>
    <w:rsid w:val="0092353D"/>
    <w:rsid w:val="00934FEF"/>
    <w:rsid w:val="00941D0C"/>
    <w:rsid w:val="00992ABB"/>
    <w:rsid w:val="009A1423"/>
    <w:rsid w:val="009D41CC"/>
    <w:rsid w:val="00A223C1"/>
    <w:rsid w:val="00A6241E"/>
    <w:rsid w:val="00AC4660"/>
    <w:rsid w:val="00B010FC"/>
    <w:rsid w:val="00B07426"/>
    <w:rsid w:val="00B47E70"/>
    <w:rsid w:val="00B53449"/>
    <w:rsid w:val="00B86146"/>
    <w:rsid w:val="00BC7C44"/>
    <w:rsid w:val="00BE104F"/>
    <w:rsid w:val="00C202A8"/>
    <w:rsid w:val="00C36656"/>
    <w:rsid w:val="00C37BDC"/>
    <w:rsid w:val="00C65049"/>
    <w:rsid w:val="00C772EE"/>
    <w:rsid w:val="00C83215"/>
    <w:rsid w:val="00D74E1A"/>
    <w:rsid w:val="00D979E2"/>
    <w:rsid w:val="00D97B45"/>
    <w:rsid w:val="00DB2C8A"/>
    <w:rsid w:val="00DC0D70"/>
    <w:rsid w:val="00DC3DB3"/>
    <w:rsid w:val="00DC4CBE"/>
    <w:rsid w:val="00DC614C"/>
    <w:rsid w:val="00DE5987"/>
    <w:rsid w:val="00DF23B4"/>
    <w:rsid w:val="00DF6916"/>
    <w:rsid w:val="00DF70C5"/>
    <w:rsid w:val="00E7197D"/>
    <w:rsid w:val="00E75C0D"/>
    <w:rsid w:val="00E851B4"/>
    <w:rsid w:val="00E956BD"/>
    <w:rsid w:val="00EB07CF"/>
    <w:rsid w:val="00EC708D"/>
    <w:rsid w:val="00ED0106"/>
    <w:rsid w:val="00EF3D8A"/>
    <w:rsid w:val="00F23C3B"/>
    <w:rsid w:val="00F371F9"/>
    <w:rsid w:val="00F434FB"/>
    <w:rsid w:val="00F7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99332C-FA8E-4D54-89D7-30CB77E3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6ED1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16ED1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016ED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customStyle="1" w:styleId="Normlny0">
    <w:name w:val="_Normálny"/>
    <w:basedOn w:val="Normlny"/>
    <w:uiPriority w:val="99"/>
    <w:rsid w:val="00016ED1"/>
    <w:rPr>
      <w:sz w:val="20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rsid w:val="00016E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</w:rPr>
  </w:style>
  <w:style w:type="paragraph" w:styleId="Zkladntext3">
    <w:name w:val="Body Text 3"/>
    <w:basedOn w:val="Normlny"/>
    <w:link w:val="Zkladntext3Char"/>
    <w:uiPriority w:val="99"/>
    <w:rsid w:val="00016ED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</w:rPr>
  </w:style>
  <w:style w:type="paragraph" w:styleId="Zkladntext2">
    <w:name w:val="Body Text 2"/>
    <w:basedOn w:val="Normlny"/>
    <w:link w:val="Zkladntext2Char"/>
    <w:uiPriority w:val="99"/>
    <w:rsid w:val="00016ED1"/>
    <w:pPr>
      <w:spacing w:after="120"/>
      <w:ind w:left="283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16ED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character" w:styleId="Odkaznapoznmkupodiarou">
    <w:name w:val="footnote reference"/>
    <w:basedOn w:val="Predvolenpsmoodseku"/>
    <w:uiPriority w:val="99"/>
    <w:semiHidden/>
    <w:rsid w:val="00016ED1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99"/>
    <w:qFormat/>
    <w:rsid w:val="00016ED1"/>
    <w:pPr>
      <w:autoSpaceDE/>
      <w:autoSpaceDN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libri Light" w:hAnsi="Calibri Light" w:cs="Times New Roman"/>
      <w:b/>
      <w:kern w:val="28"/>
      <w:sz w:val="32"/>
    </w:rPr>
  </w:style>
  <w:style w:type="paragraph" w:customStyle="1" w:styleId="tl11ptTuniernaPodaokrajaVavo019cmRiadkova">
    <w:name w:val="Štýl 11 pt Tučné Čierna Podľa okraja Vľavo:  019 cm Riadkova..."/>
    <w:next w:val="Normlny"/>
    <w:uiPriority w:val="99"/>
    <w:rsid w:val="007B7B00"/>
    <w:pPr>
      <w:spacing w:line="360" w:lineRule="auto"/>
      <w:jc w:val="both"/>
    </w:pPr>
    <w:rPr>
      <w:color w:val="000000"/>
      <w:sz w:val="24"/>
      <w:szCs w:val="24"/>
      <w:lang w:eastAsia="cs-CZ"/>
    </w:rPr>
  </w:style>
  <w:style w:type="paragraph" w:customStyle="1" w:styleId="Zkladntext0">
    <w:name w:val="Základní text"/>
    <w:aliases w:val="Základný text Char Char"/>
    <w:uiPriority w:val="99"/>
    <w:rsid w:val="00E75C0D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75C0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E75C0D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C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B2C8A"/>
    <w:rPr>
      <w:rFonts w:ascii="Segoe UI" w:hAnsi="Segoe UI" w:cs="Times New Roman"/>
      <w:sz w:val="18"/>
    </w:rPr>
  </w:style>
  <w:style w:type="paragraph" w:styleId="Hlavika">
    <w:name w:val="header"/>
    <w:basedOn w:val="Normlny"/>
    <w:link w:val="HlavikaChar"/>
    <w:uiPriority w:val="99"/>
    <w:unhideWhenUsed/>
    <w:rsid w:val="000559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559C5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0559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559C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9_1_TZ_2004_25"/>
    <f:field ref="objsubject" par="" edit="true" text=""/>
    <f:field ref="objcreatedby" par="" text="Matulová, Silvia, Ing."/>
    <f:field ref="objcreatedat" par="" text="13.5.2022 11:44:15"/>
    <f:field ref="objchangedby" par="" text="Administrator, System"/>
    <f:field ref="objmodifiedat" par="" text="13.5.2022 11:44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6AD2C94-B998-4815-A8EF-07F078E1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MFSR</Company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Matulova Silvia</dc:creator>
  <cp:keywords/>
  <dc:description/>
  <cp:lastModifiedBy>Matulova Silvia</cp:lastModifiedBy>
  <cp:revision>4</cp:revision>
  <cp:lastPrinted>2022-04-07T12:12:00Z</cp:lastPrinted>
  <dcterms:created xsi:type="dcterms:W3CDTF">2022-08-18T13:35:00Z</dcterms:created>
  <dcterms:modified xsi:type="dcterms:W3CDTF">2022-08-24T12:31:00Z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border="0" cellpadding="0" cellspacing="0" style="width:100.0%;" width="100%"&gt;	&lt;tbody&gt;		&lt;tr&gt;			&lt;td colspan="5" style="width:100.0%;height:27px;"&gt;			&lt;ol&gt;				&lt;li&gt;&lt;strong&gt;Správa o účasti verejnosti na tvorbe právneho predpisu&lt;/strong&gt;&lt;/li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Účtovníctvo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Silvia Matulová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431/2002 Z. z. o účtovníctve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2022</vt:lpwstr>
  </property>
  <property fmtid="{D5CDD505-2E9C-101B-9397-08002B2CF9AE}" pid="23" name="FSC#SKEDITIONSLOVLEX@103.510:plnynazovpredpis">
    <vt:lpwstr> Zákon, ktorým sa mení a dopĺňa zákon č. 431/2002 Z. z. o účtovníctve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MF/005491/2022-74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LP/2022/266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• čl. 4 ods. 2  Zmluvy o fungovaní Európskej únie (Ú. v. EÚ C 202, 7.6.2016) v platnom znení.</vt:lpwstr>
  </property>
  <property fmtid="{D5CDD505-2E9C-101B-9397-08002B2CF9AE}" pid="47" name="FSC#SKEDITIONSLOVLEX@103.510:AttrStrListDocPropSekundarneLegPravoPO">
    <vt:lpwstr>• smernica Európskeho parlamentu a Rady (EÚ) 2021/2101 z 24. novembra 2021, ktorou sa mení smernica 2013/34/EÚ, pokiaľ ide o zverejňovanie informácií o dani z príjmov určitými podnikmi a pobočkami (Ú. v. EÚ L 429, 1.12.2021), gestor: zatiaľ nebol určený,_x000d_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• rozhodnutie Súdneho dvora vo veci C - 306/1999, Banque internationale pour l'Afrique occidentale SA (BIAO) v. Finanzamt für Großunternehmen in Hamburg, [2003], Výrok rozhodnutia: 1. Otázky uvedené v druhej a tretej časti návrhu na začatie prejudiciálneh</vt:lpwstr>
  </property>
  <property fmtid="{D5CDD505-2E9C-101B-9397-08002B2CF9AE}" pid="52" name="FSC#SKEDITIONSLOVLEX@103.510:AttrStrListDocPropLehotaPrebratieSmernice">
    <vt:lpwstr>Lehota na prebratie smernice (EÚ) 2021/2101 bola určená do 22. júna 2023._x000d_
Lehota na prebratie smernice 2014/95/EÚ bola určená do 6. decembra 2016._x000d_
Lehota na prebratie smernice 2013/34/EÚ bola určená do 20. júla 2015._x000d_
Lehota na prebratie smernice 2004/2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EK ako aj  nebolo začaté konanie Súdneho dvora EÚ proti SR podľa čl. 258 až 260 Zmluvy o fungovaní Európskej únie.</vt:lpwstr>
  </property>
  <property fmtid="{D5CDD505-2E9C-101B-9397-08002B2CF9AE}" pid="55" name="FSC#SKEDITIONSLOVLEX@103.510:AttrStrListDocPropInfoUzPreberanePP">
    <vt:lpwstr>Smernica 2014/95/EÚ bola prebratá do:_x000d_
- zákona č. 431/2002 Z. z. o účtovníctve v znení neskorších predpisov, _x000d_
- zákona č. 530/2003 Z. z. o obchodnom registri a o zmene a doplnení niektorých zákonov v znení neskorších predpisov,_x000d_
- zákona č. 513/1991 Zb.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13. 4. 2022</vt:lpwstr>
  </property>
  <property fmtid="{D5CDD505-2E9C-101B-9397-08002B2CF9AE}" pid="59" name="FSC#SKEDITIONSLOVLEX@103.510:AttrDateDocPropUkonceniePKK">
    <vt:lpwstr>26. 4. 2022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&lt;p&gt;Identifikované vplyvy v&amp;nbsp;rámci ich analýz indikujú negatívny vplyv návrhu zákona na rozpočet a&amp;nbsp;negatívny a&amp;nbsp;pozitívny vplyv na podnikateľské prostredie. Návrh zákona bude mať negatívny vplyv na podnikateľské prostredie v&amp;nbsp;dôsledku vzni</vt:lpwstr>
  </property>
  <property fmtid="{D5CDD505-2E9C-101B-9397-08002B2CF9AE}" pid="66" name="FSC#SKEDITIONSLOVLEX@103.510:AttrStrListDocPropAltRiesenia">
    <vt:lpwstr>V prípade nulového variantu by Slovenská republika nesplnila povinnosť transpozície smernice EÚ, ktorá musí byť transponovaná do 22. júna 2023.</vt:lpwstr>
  </property>
  <property fmtid="{D5CDD505-2E9C-101B-9397-08002B2CF9AE}" pid="67" name="FSC#SKEDITIONSLOVLEX@103.510:AttrStrListDocPropStanoviskoGest">
    <vt:lpwstr>Nesúhlasné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40px; text-align: justify;"&gt;Návrh zákona, ktorým sa mení a dopĺňa zákon č. 431/2002 Z. z. o&amp;nbsp;účtovníctve v&amp;nbsp;znení neskorších predpisov a&amp;nbsp;ktorým sa menia a&amp;nbsp;dopĺňajú niektoré zákony, sa predkladá na základe Plánu leg</vt:lpwstr>
  </property>
  <property fmtid="{D5CDD505-2E9C-101B-9397-08002B2CF9AE}" pid="150" name="FSC#SKEDITIONSLOVLEX@103.510:vytvorenedna">
    <vt:lpwstr>13. 5. 2022</vt:lpwstr>
  </property>
  <property fmtid="{D5CDD505-2E9C-101B-9397-08002B2CF9AE}" pid="151" name="FSC#COOSYSTEM@1.1:Container">
    <vt:lpwstr>COO.2145.1000.3.4954116</vt:lpwstr>
  </property>
  <property fmtid="{D5CDD505-2E9C-101B-9397-08002B2CF9AE}" pid="152" name="FSC#FSCFOLIO@1.1001:docpropproject">
    <vt:lpwstr/>
  </property>
</Properties>
</file>