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0961D6" w14:textId="77777777" w:rsidR="00861281" w:rsidRPr="00861281" w:rsidRDefault="00861281" w:rsidP="00861281">
      <w:pPr>
        <w:spacing w:after="120"/>
        <w:jc w:val="center"/>
        <w:rPr>
          <w:b/>
          <w:lang w:eastAsia="en-US"/>
        </w:rPr>
      </w:pPr>
      <w:r w:rsidRPr="00861281">
        <w:rPr>
          <w:b/>
          <w:lang w:eastAsia="en-US"/>
        </w:rPr>
        <w:t>Dôvodová správa</w:t>
      </w:r>
    </w:p>
    <w:p w14:paraId="0AFB292F" w14:textId="77777777" w:rsidR="00861281" w:rsidRPr="00861281" w:rsidRDefault="00861281" w:rsidP="00861281">
      <w:pPr>
        <w:spacing w:after="120"/>
        <w:jc w:val="both"/>
        <w:rPr>
          <w:b/>
          <w:color w:val="000000"/>
          <w:lang w:eastAsia="en-US"/>
        </w:rPr>
      </w:pPr>
      <w:r w:rsidRPr="00861281">
        <w:rPr>
          <w:b/>
          <w:color w:val="000000"/>
          <w:lang w:eastAsia="en-US"/>
        </w:rPr>
        <w:t>A. Všeobecná časť</w:t>
      </w:r>
    </w:p>
    <w:p w14:paraId="6067ACC4" w14:textId="77777777" w:rsidR="00861281" w:rsidRPr="00861281" w:rsidRDefault="00861281" w:rsidP="00861281">
      <w:pPr>
        <w:ind w:firstLine="709"/>
        <w:jc w:val="both"/>
        <w:rPr>
          <w:color w:val="000000"/>
          <w:lang w:eastAsia="en-US"/>
        </w:rPr>
      </w:pPr>
      <w:r w:rsidRPr="00861281">
        <w:rPr>
          <w:color w:val="000000"/>
          <w:lang w:eastAsia="en-US"/>
        </w:rPr>
        <w:t xml:space="preserve">Návrh zákona, ktorým sa mení a dopĺňa zákon č. 431/2002 Z. z. o účtovníctve v znení neskorších predpisov a ktorým sa mení  a dopĺňa zákon č. 513/1991 Zb. Obchodný zákonník v znení neskorších predpisov, sa predkladá na základe Plánu legislatívnych úloh vlády Slovenskej republiky na rok 2022. </w:t>
      </w:r>
    </w:p>
    <w:p w14:paraId="045BB9FE" w14:textId="77777777" w:rsidR="00861281" w:rsidRPr="00861281" w:rsidRDefault="00861281" w:rsidP="00861281">
      <w:pPr>
        <w:ind w:firstLine="709"/>
        <w:jc w:val="both"/>
        <w:rPr>
          <w:color w:val="000000"/>
          <w:lang w:eastAsia="en-US"/>
        </w:rPr>
      </w:pPr>
    </w:p>
    <w:p w14:paraId="4DFAF022" w14:textId="3E4616F5" w:rsidR="00861281" w:rsidRPr="00861281" w:rsidRDefault="00861281" w:rsidP="00861281">
      <w:pPr>
        <w:ind w:firstLine="709"/>
        <w:jc w:val="both"/>
        <w:rPr>
          <w:color w:val="000000"/>
          <w:lang w:eastAsia="en-US"/>
        </w:rPr>
      </w:pPr>
      <w:r w:rsidRPr="00861281">
        <w:rPr>
          <w:bCs/>
          <w:lang w:eastAsia="en-US"/>
        </w:rPr>
        <w:t>V súlade so smernicou Európskeho parlamentu a Rady (EÚ) 2021/2101 z 24. novembra 2021</w:t>
      </w:r>
      <w:r w:rsidRPr="00861281">
        <w:rPr>
          <w:color w:val="000000"/>
          <w:lang w:eastAsia="en-US"/>
        </w:rPr>
        <w:t xml:space="preserve">, ktorou sa mení smernica 2013/34/EÚ, pokiaľ ide o zverejňovanie informácií o dani </w:t>
      </w:r>
      <w:r w:rsidR="007421E6">
        <w:rPr>
          <w:color w:val="000000"/>
          <w:lang w:eastAsia="en-US"/>
        </w:rPr>
        <w:br/>
      </w:r>
      <w:r w:rsidRPr="00861281">
        <w:rPr>
          <w:color w:val="000000"/>
          <w:lang w:eastAsia="en-US"/>
        </w:rPr>
        <w:t xml:space="preserve">z príjmov určitými podnikmi a pobočkami </w:t>
      </w:r>
      <w:r w:rsidRPr="00861281">
        <w:rPr>
          <w:lang w:eastAsia="en-US"/>
        </w:rPr>
        <w:t>(Ú. v. EÚ L 429, 1.12.2021)</w:t>
      </w:r>
      <w:r w:rsidRPr="00861281">
        <w:rPr>
          <w:color w:val="000000"/>
          <w:lang w:eastAsia="en-US"/>
        </w:rPr>
        <w:t xml:space="preserve"> (tzv. </w:t>
      </w:r>
      <w:proofErr w:type="spellStart"/>
      <w:r w:rsidRPr="00861281">
        <w:rPr>
          <w:color w:val="000000"/>
          <w:lang w:eastAsia="en-US"/>
        </w:rPr>
        <w:t>public</w:t>
      </w:r>
      <w:proofErr w:type="spellEnd"/>
      <w:r w:rsidRPr="00861281">
        <w:rPr>
          <w:color w:val="000000"/>
          <w:lang w:eastAsia="en-US"/>
        </w:rPr>
        <w:t xml:space="preserve"> </w:t>
      </w:r>
      <w:r w:rsidR="007421E6">
        <w:rPr>
          <w:color w:val="000000"/>
          <w:lang w:eastAsia="en-US"/>
        </w:rPr>
        <w:br/>
      </w:r>
      <w:r w:rsidRPr="00861281">
        <w:rPr>
          <w:color w:val="000000"/>
          <w:lang w:eastAsia="en-US"/>
        </w:rPr>
        <w:t xml:space="preserve">country-by-country </w:t>
      </w:r>
      <w:proofErr w:type="spellStart"/>
      <w:r w:rsidRPr="00861281">
        <w:rPr>
          <w:color w:val="000000"/>
          <w:lang w:eastAsia="en-US"/>
        </w:rPr>
        <w:t>reporting</w:t>
      </w:r>
      <w:proofErr w:type="spellEnd"/>
      <w:r w:rsidRPr="00861281">
        <w:rPr>
          <w:color w:val="000000"/>
          <w:lang w:eastAsia="en-US"/>
        </w:rPr>
        <w:t xml:space="preserve">) je cieľom návrhu zákona zvýšiť transparentnosť a podporiť spoločenskú zodpovednosť nadnárodných spoločností, ktoré prekročili určitú veľkosť, a to transpozíciou spoločných pravidiel pre zverejňovanie informácií o dani z príjmov. </w:t>
      </w:r>
    </w:p>
    <w:p w14:paraId="2EDB1E4C" w14:textId="77777777" w:rsidR="00861281" w:rsidRPr="00861281" w:rsidRDefault="00861281" w:rsidP="00861281">
      <w:pPr>
        <w:ind w:firstLine="709"/>
        <w:jc w:val="both"/>
        <w:rPr>
          <w:lang w:eastAsia="en-US"/>
        </w:rPr>
      </w:pPr>
    </w:p>
    <w:p w14:paraId="27260A33" w14:textId="657A8A1A" w:rsidR="00861281" w:rsidRPr="00861281" w:rsidRDefault="00861281" w:rsidP="00861281">
      <w:pPr>
        <w:ind w:firstLine="709"/>
        <w:jc w:val="both"/>
        <w:rPr>
          <w:lang w:eastAsia="en-US"/>
        </w:rPr>
      </w:pPr>
      <w:r w:rsidRPr="00861281">
        <w:rPr>
          <w:lang w:eastAsia="en-US"/>
        </w:rPr>
        <w:t xml:space="preserve">Väčšia transparentnosť pri zverejňovaní má prispieť k lepšej verejnej kontrole nad činnosťami nadnárodných spoločností. </w:t>
      </w:r>
      <w:r w:rsidRPr="00861281">
        <w:rPr>
          <w:color w:val="000000"/>
          <w:lang w:eastAsia="en-US"/>
        </w:rPr>
        <w:t xml:space="preserve">Návrhom zákona sa ustanoví pre konečné materské účtovné jednotky a samostatné účtovné jednotky s cezhraničným aspektom, ktoré prekročia určitú veľkosť, povinnosť vyhotoviť správu s informáciami o dani z príjmov a uložiť ju do registra účtovných závierok a zbierky listín obchodného registra. Návrhom zákona sa tiež ustanovia podmienky, ktorých splnením vznikne veľkým dcérskym účtovným jednotkám a vybraným  účtovným jednotkám, ktoré sú organizačnými zložkami podnikov zahraničných právnických osôb so sídlom mimo územia členských štátov, povinnosť uložiť do registra účtovných závierok a do zbierky listín obchodného registra správu s informáciami o dani </w:t>
      </w:r>
      <w:r w:rsidR="007421E6">
        <w:rPr>
          <w:color w:val="000000"/>
          <w:lang w:eastAsia="en-US"/>
        </w:rPr>
        <w:br/>
      </w:r>
      <w:r w:rsidRPr="00861281">
        <w:rPr>
          <w:color w:val="000000"/>
          <w:lang w:eastAsia="en-US"/>
        </w:rPr>
        <w:t>z príjmov týkajúcu sa ich zahraničného konečného materského subjektu alebo zahraničného samostatného subjektu.</w:t>
      </w:r>
      <w:r w:rsidRPr="00861281">
        <w:rPr>
          <w:lang w:eastAsia="en-US"/>
        </w:rPr>
        <w:t xml:space="preserve"> V súvislosti s ukladaním správy s informáciami o dani z príjmov </w:t>
      </w:r>
      <w:r w:rsidR="007421E6">
        <w:rPr>
          <w:lang w:eastAsia="en-US"/>
        </w:rPr>
        <w:br/>
      </w:r>
      <w:r w:rsidRPr="00861281">
        <w:rPr>
          <w:lang w:eastAsia="en-US"/>
        </w:rPr>
        <w:t>do zbierky listín obchodného registra sa navrhuje využiť už zavedený prístup „jedenkrát a dosť“ pre ukladanie účtovných závierok, v nadväznosti na ktorý sa povinnosť uložiť  správu s informáciami o dani z príjmov do zbierky listín obchodného registra bude považovať za splnenú  jej uložením v registri účtovných závierok. S cieľom zníženia administratívnej záťaže je navrhovaná dobrovoľná transpozícia čl. 48d ods. 3 cit. smernice, ktorý umožňuje členským štátom za stanovených podmienok poskytnúť dotknutým účtovným jednotkám oslobodenie od povinnosti zverejnenia správy s informáciami o dani z príjmov na ich webom sídle.</w:t>
      </w:r>
    </w:p>
    <w:p w14:paraId="79621007" w14:textId="77777777" w:rsidR="00861281" w:rsidRPr="00861281" w:rsidRDefault="00861281" w:rsidP="00861281">
      <w:pPr>
        <w:ind w:firstLine="709"/>
        <w:jc w:val="both"/>
        <w:rPr>
          <w:lang w:eastAsia="en-US"/>
        </w:rPr>
      </w:pPr>
    </w:p>
    <w:p w14:paraId="420DE403" w14:textId="77777777" w:rsidR="00861281" w:rsidRPr="00861281" w:rsidRDefault="00861281" w:rsidP="00861281">
      <w:pPr>
        <w:ind w:firstLine="709"/>
        <w:jc w:val="both"/>
        <w:rPr>
          <w:lang w:eastAsia="en-US"/>
        </w:rPr>
      </w:pPr>
      <w:r w:rsidRPr="00861281">
        <w:rPr>
          <w:lang w:eastAsia="en-US"/>
        </w:rPr>
        <w:t xml:space="preserve">Okrem výšky zaplatených daní má v súlade so smernicou (EÚ) 2021/2101 správa s informáciami o dani z príjmov obsahovať aj ďalšie informácie, ktoré majú napomôcť zvýšiť povedomie verejnosti v tejto oblasti. </w:t>
      </w:r>
      <w:r w:rsidRPr="00861281">
        <w:rPr>
          <w:color w:val="000000"/>
          <w:lang w:eastAsia="en-US"/>
        </w:rPr>
        <w:t>Navrhuje sa, aby o</w:t>
      </w:r>
      <w:r w:rsidRPr="00861281">
        <w:rPr>
          <w:lang w:eastAsia="en-US"/>
        </w:rPr>
        <w:t>bsah správy s informáciami o dani z príjmov vrátane požiadaviek na jej elektronický formát bol ustanovený opatrením, k vydaniu ktorého sa splnomocňuje Ministerstvo financií Slovenskej republiky. V súlade s cit. smernicou sa navrhuje, aby sa správy s informáciami o dani z príjmov prvýkrát ukladali  za účtovné obdobie začínajúce 22. júna 2024.</w:t>
      </w:r>
    </w:p>
    <w:p w14:paraId="29F13084" w14:textId="77777777" w:rsidR="00861281" w:rsidRPr="00861281" w:rsidRDefault="00861281" w:rsidP="00861281">
      <w:pPr>
        <w:ind w:firstLine="709"/>
        <w:jc w:val="both"/>
        <w:rPr>
          <w:color w:val="000000"/>
          <w:lang w:eastAsia="en-US"/>
        </w:rPr>
      </w:pPr>
    </w:p>
    <w:p w14:paraId="24DF013C" w14:textId="77777777" w:rsidR="00861281" w:rsidRPr="00861281" w:rsidRDefault="00861281" w:rsidP="00861281">
      <w:pPr>
        <w:ind w:firstLine="709"/>
        <w:jc w:val="both"/>
        <w:rPr>
          <w:color w:val="000000"/>
          <w:lang w:eastAsia="en-US"/>
        </w:rPr>
      </w:pPr>
      <w:r w:rsidRPr="00861281">
        <w:rPr>
          <w:color w:val="000000"/>
          <w:lang w:eastAsia="en-US"/>
        </w:rPr>
        <w:t xml:space="preserve">V nadväznosti na požiadavky aplikačnej praxe sa návrhom zákona predlžuje lehota na  zostavenie súhrnnej účtovnej závierky Ministerstvom financií SR na deväť mesiacov. Z dôvodu potreby vyššej kvality dát a  </w:t>
      </w:r>
      <w:r w:rsidRPr="00861281">
        <w:t>lepšej ochrany majetku štátu, obce a vyššieho územného celku</w:t>
      </w:r>
      <w:r w:rsidRPr="00861281">
        <w:rPr>
          <w:color w:val="000000"/>
          <w:lang w:eastAsia="en-US"/>
        </w:rPr>
        <w:t xml:space="preserve"> sa upravuje periodicita  inventarizácie pri hmotnom majetku okrem zásob a peňažných prostriedkov pre vybrané subjekty verejnej správy. Zároveň sa návrhom zákona precizujú aj ustanovenia týkajúce sa vzniku povinnosti uvádzať vo výročnej správe nefinančné informácie a informácie súvisiace s ponukou na prevzatie, ktoré majú za cieľ znížiť administratívnu záťaž dotknutých účtovných jednotiek. </w:t>
      </w:r>
    </w:p>
    <w:p w14:paraId="1A3F2700" w14:textId="77777777" w:rsidR="00861281" w:rsidRPr="00861281" w:rsidRDefault="00861281" w:rsidP="00861281">
      <w:pPr>
        <w:ind w:firstLine="709"/>
        <w:jc w:val="both"/>
      </w:pPr>
      <w:r w:rsidRPr="00861281">
        <w:lastRenderedPageBreak/>
        <w:t xml:space="preserve">Návrh zákona má negatívny vplyv na rozpočet verejnej správy, negatívny a pozitívny vplyv na podnikateľské prostredie a pozitívny vplyv na informatizáciu spoločnosti. Návrh zákona nemá sociálne vplyvy ani vplyv na služby verejnej správy pre občana, životné prostredie, manželstvo, rodičovstvo a rodinu. </w:t>
      </w:r>
    </w:p>
    <w:p w14:paraId="03C7FA6E" w14:textId="77777777" w:rsidR="00861281" w:rsidRPr="00861281" w:rsidRDefault="00861281" w:rsidP="00861281">
      <w:pPr>
        <w:ind w:firstLine="709"/>
        <w:jc w:val="both"/>
      </w:pPr>
    </w:p>
    <w:p w14:paraId="29DEEFC1" w14:textId="77777777" w:rsidR="00861281" w:rsidRPr="00861281" w:rsidRDefault="00861281" w:rsidP="00861281">
      <w:pPr>
        <w:spacing w:after="120"/>
        <w:ind w:firstLine="709"/>
        <w:jc w:val="both"/>
      </w:pPr>
      <w:r w:rsidRPr="00861281">
        <w:t>Predkladaný návrh zákona je v súlade s Ústavou Slovenskej republiky, ústavnými zákonmi a inými právnymi predpismi, s nálezmi Ústavného súdu Slovenskej republiky, medzinárodnými zmluvami a dokumentmi, ktorými je Slovenská republika viazaná, ako aj v súlade s právom Európskej únie.</w:t>
      </w:r>
    </w:p>
    <w:p w14:paraId="152AB1A2" w14:textId="77777777" w:rsidR="00861281" w:rsidRDefault="00861281" w:rsidP="00672237">
      <w:pPr>
        <w:jc w:val="center"/>
        <w:rPr>
          <w:b/>
          <w:sz w:val="28"/>
          <w:szCs w:val="28"/>
        </w:rPr>
      </w:pPr>
    </w:p>
    <w:p w14:paraId="21ED5F3B" w14:textId="77777777" w:rsidR="00861281" w:rsidRDefault="00861281" w:rsidP="00672237">
      <w:pPr>
        <w:jc w:val="center"/>
        <w:rPr>
          <w:b/>
          <w:sz w:val="28"/>
          <w:szCs w:val="28"/>
        </w:rPr>
      </w:pPr>
    </w:p>
    <w:p w14:paraId="2A6B29EF" w14:textId="77777777" w:rsidR="00861281" w:rsidRDefault="00861281" w:rsidP="00672237">
      <w:pPr>
        <w:jc w:val="center"/>
        <w:rPr>
          <w:b/>
          <w:sz w:val="28"/>
          <w:szCs w:val="28"/>
        </w:rPr>
      </w:pPr>
    </w:p>
    <w:p w14:paraId="6C3484F2" w14:textId="77777777" w:rsidR="00861281" w:rsidRDefault="00861281" w:rsidP="00672237">
      <w:pPr>
        <w:jc w:val="center"/>
        <w:rPr>
          <w:b/>
          <w:sz w:val="28"/>
          <w:szCs w:val="28"/>
        </w:rPr>
      </w:pPr>
    </w:p>
    <w:p w14:paraId="35DD30ED" w14:textId="77777777" w:rsidR="00861281" w:rsidRDefault="00861281" w:rsidP="00672237">
      <w:pPr>
        <w:jc w:val="center"/>
        <w:rPr>
          <w:b/>
          <w:sz w:val="28"/>
          <w:szCs w:val="28"/>
        </w:rPr>
      </w:pPr>
    </w:p>
    <w:p w14:paraId="01AAB511" w14:textId="77777777" w:rsidR="00861281" w:rsidRDefault="00861281" w:rsidP="00672237">
      <w:pPr>
        <w:jc w:val="center"/>
        <w:rPr>
          <w:b/>
          <w:sz w:val="28"/>
          <w:szCs w:val="28"/>
        </w:rPr>
      </w:pPr>
    </w:p>
    <w:p w14:paraId="0CF0ECCD" w14:textId="77777777" w:rsidR="00861281" w:rsidRDefault="00861281" w:rsidP="00672237">
      <w:pPr>
        <w:jc w:val="center"/>
        <w:rPr>
          <w:b/>
          <w:sz w:val="28"/>
          <w:szCs w:val="28"/>
        </w:rPr>
      </w:pPr>
    </w:p>
    <w:p w14:paraId="11B91A9E" w14:textId="77777777" w:rsidR="00861281" w:rsidRDefault="00861281" w:rsidP="00672237">
      <w:pPr>
        <w:jc w:val="center"/>
        <w:rPr>
          <w:b/>
          <w:sz w:val="28"/>
          <w:szCs w:val="28"/>
        </w:rPr>
      </w:pPr>
    </w:p>
    <w:p w14:paraId="053ED4F7" w14:textId="77777777" w:rsidR="00861281" w:rsidRDefault="00861281" w:rsidP="00672237">
      <w:pPr>
        <w:jc w:val="center"/>
        <w:rPr>
          <w:b/>
          <w:sz w:val="28"/>
          <w:szCs w:val="28"/>
        </w:rPr>
      </w:pPr>
    </w:p>
    <w:p w14:paraId="567CCD73" w14:textId="77777777" w:rsidR="00861281" w:rsidRDefault="00861281" w:rsidP="00672237">
      <w:pPr>
        <w:jc w:val="center"/>
        <w:rPr>
          <w:b/>
          <w:sz w:val="28"/>
          <w:szCs w:val="28"/>
        </w:rPr>
      </w:pPr>
    </w:p>
    <w:p w14:paraId="0CE2A270" w14:textId="77777777" w:rsidR="00861281" w:rsidRDefault="00861281" w:rsidP="00672237">
      <w:pPr>
        <w:jc w:val="center"/>
        <w:rPr>
          <w:b/>
          <w:sz w:val="28"/>
          <w:szCs w:val="28"/>
        </w:rPr>
      </w:pPr>
    </w:p>
    <w:p w14:paraId="6D7E62D3" w14:textId="77777777" w:rsidR="00861281" w:rsidRDefault="00861281" w:rsidP="00672237">
      <w:pPr>
        <w:jc w:val="center"/>
        <w:rPr>
          <w:b/>
          <w:sz w:val="28"/>
          <w:szCs w:val="28"/>
        </w:rPr>
      </w:pPr>
    </w:p>
    <w:p w14:paraId="24A22513" w14:textId="77777777" w:rsidR="00861281" w:rsidRDefault="00861281" w:rsidP="00672237">
      <w:pPr>
        <w:jc w:val="center"/>
        <w:rPr>
          <w:b/>
          <w:sz w:val="28"/>
          <w:szCs w:val="28"/>
        </w:rPr>
      </w:pPr>
    </w:p>
    <w:p w14:paraId="7B751D72" w14:textId="77777777" w:rsidR="00861281" w:rsidRDefault="00861281" w:rsidP="00672237">
      <w:pPr>
        <w:jc w:val="center"/>
        <w:rPr>
          <w:b/>
          <w:sz w:val="28"/>
          <w:szCs w:val="28"/>
        </w:rPr>
      </w:pPr>
    </w:p>
    <w:p w14:paraId="56F78C8F" w14:textId="77777777" w:rsidR="00861281" w:rsidRDefault="00861281" w:rsidP="00672237">
      <w:pPr>
        <w:jc w:val="center"/>
        <w:rPr>
          <w:b/>
          <w:sz w:val="28"/>
          <w:szCs w:val="28"/>
        </w:rPr>
      </w:pPr>
    </w:p>
    <w:p w14:paraId="71D82463" w14:textId="77777777" w:rsidR="00861281" w:rsidRDefault="00861281" w:rsidP="00672237">
      <w:pPr>
        <w:jc w:val="center"/>
        <w:rPr>
          <w:b/>
          <w:sz w:val="28"/>
          <w:szCs w:val="28"/>
        </w:rPr>
      </w:pPr>
    </w:p>
    <w:p w14:paraId="0BF8CD06" w14:textId="77777777" w:rsidR="00861281" w:rsidRDefault="00861281" w:rsidP="00672237">
      <w:pPr>
        <w:jc w:val="center"/>
        <w:rPr>
          <w:b/>
          <w:sz w:val="28"/>
          <w:szCs w:val="28"/>
        </w:rPr>
      </w:pPr>
    </w:p>
    <w:p w14:paraId="62DE17C0" w14:textId="77777777" w:rsidR="00861281" w:rsidRDefault="00861281" w:rsidP="00672237">
      <w:pPr>
        <w:jc w:val="center"/>
        <w:rPr>
          <w:b/>
          <w:sz w:val="28"/>
          <w:szCs w:val="28"/>
        </w:rPr>
      </w:pPr>
    </w:p>
    <w:p w14:paraId="7D41FFE8" w14:textId="77777777" w:rsidR="00861281" w:rsidRDefault="00861281" w:rsidP="00672237">
      <w:pPr>
        <w:jc w:val="center"/>
        <w:rPr>
          <w:b/>
          <w:sz w:val="28"/>
          <w:szCs w:val="28"/>
        </w:rPr>
      </w:pPr>
    </w:p>
    <w:p w14:paraId="68035B58" w14:textId="77777777" w:rsidR="00861281" w:rsidRDefault="00861281" w:rsidP="00672237">
      <w:pPr>
        <w:jc w:val="center"/>
        <w:rPr>
          <w:b/>
          <w:sz w:val="28"/>
          <w:szCs w:val="28"/>
        </w:rPr>
      </w:pPr>
    </w:p>
    <w:p w14:paraId="63D426BE" w14:textId="77777777" w:rsidR="00861281" w:rsidRDefault="00861281" w:rsidP="00672237">
      <w:pPr>
        <w:jc w:val="center"/>
        <w:rPr>
          <w:b/>
          <w:sz w:val="28"/>
          <w:szCs w:val="28"/>
        </w:rPr>
      </w:pPr>
    </w:p>
    <w:p w14:paraId="5CDF36D1" w14:textId="77777777" w:rsidR="00861281" w:rsidRDefault="00861281" w:rsidP="00672237">
      <w:pPr>
        <w:jc w:val="center"/>
        <w:rPr>
          <w:b/>
          <w:sz w:val="28"/>
          <w:szCs w:val="28"/>
        </w:rPr>
      </w:pPr>
    </w:p>
    <w:p w14:paraId="7A46CA10" w14:textId="77777777" w:rsidR="00861281" w:rsidRDefault="00861281" w:rsidP="00672237">
      <w:pPr>
        <w:jc w:val="center"/>
        <w:rPr>
          <w:b/>
          <w:sz w:val="28"/>
          <w:szCs w:val="28"/>
        </w:rPr>
      </w:pPr>
    </w:p>
    <w:p w14:paraId="08C2B55D" w14:textId="77777777" w:rsidR="00861281" w:rsidRDefault="00861281" w:rsidP="00672237">
      <w:pPr>
        <w:jc w:val="center"/>
        <w:rPr>
          <w:b/>
          <w:sz w:val="28"/>
          <w:szCs w:val="28"/>
        </w:rPr>
      </w:pPr>
    </w:p>
    <w:p w14:paraId="30B4537A" w14:textId="77777777" w:rsidR="00861281" w:rsidRDefault="00861281" w:rsidP="00672237">
      <w:pPr>
        <w:jc w:val="center"/>
        <w:rPr>
          <w:b/>
          <w:sz w:val="28"/>
          <w:szCs w:val="28"/>
        </w:rPr>
      </w:pPr>
    </w:p>
    <w:p w14:paraId="10F34CFC" w14:textId="77777777" w:rsidR="00861281" w:rsidRDefault="00861281" w:rsidP="00672237">
      <w:pPr>
        <w:jc w:val="center"/>
        <w:rPr>
          <w:b/>
          <w:sz w:val="28"/>
          <w:szCs w:val="28"/>
        </w:rPr>
      </w:pPr>
    </w:p>
    <w:p w14:paraId="60DD14F8" w14:textId="77777777" w:rsidR="00861281" w:rsidRDefault="00861281" w:rsidP="00672237">
      <w:pPr>
        <w:jc w:val="center"/>
        <w:rPr>
          <w:b/>
          <w:sz w:val="28"/>
          <w:szCs w:val="28"/>
        </w:rPr>
      </w:pPr>
    </w:p>
    <w:p w14:paraId="1C7A5B7E" w14:textId="77777777" w:rsidR="00861281" w:rsidRDefault="00861281" w:rsidP="00672237">
      <w:pPr>
        <w:jc w:val="center"/>
        <w:rPr>
          <w:b/>
          <w:sz w:val="28"/>
          <w:szCs w:val="28"/>
        </w:rPr>
      </w:pPr>
    </w:p>
    <w:p w14:paraId="1D14ABBF" w14:textId="77777777" w:rsidR="00861281" w:rsidRDefault="00861281" w:rsidP="00672237">
      <w:pPr>
        <w:jc w:val="center"/>
        <w:rPr>
          <w:b/>
          <w:sz w:val="28"/>
          <w:szCs w:val="28"/>
        </w:rPr>
      </w:pPr>
    </w:p>
    <w:p w14:paraId="3D0D6FFD" w14:textId="77777777" w:rsidR="00861281" w:rsidRDefault="00861281" w:rsidP="00672237">
      <w:pPr>
        <w:jc w:val="center"/>
        <w:rPr>
          <w:b/>
          <w:sz w:val="28"/>
          <w:szCs w:val="28"/>
        </w:rPr>
      </w:pPr>
    </w:p>
    <w:p w14:paraId="478E2031" w14:textId="77777777" w:rsidR="00861281" w:rsidRDefault="00861281" w:rsidP="00672237">
      <w:pPr>
        <w:jc w:val="center"/>
        <w:rPr>
          <w:b/>
          <w:sz w:val="28"/>
          <w:szCs w:val="28"/>
        </w:rPr>
      </w:pPr>
    </w:p>
    <w:p w14:paraId="3275C521" w14:textId="77777777" w:rsidR="00861281" w:rsidRDefault="00861281" w:rsidP="00672237">
      <w:pPr>
        <w:jc w:val="center"/>
        <w:rPr>
          <w:b/>
          <w:sz w:val="28"/>
          <w:szCs w:val="28"/>
        </w:rPr>
      </w:pPr>
    </w:p>
    <w:p w14:paraId="6B1847D8" w14:textId="77777777" w:rsidR="00861281" w:rsidRDefault="00861281" w:rsidP="00672237">
      <w:pPr>
        <w:jc w:val="center"/>
        <w:rPr>
          <w:b/>
          <w:sz w:val="28"/>
          <w:szCs w:val="28"/>
        </w:rPr>
      </w:pPr>
    </w:p>
    <w:p w14:paraId="1D8926E7" w14:textId="77777777" w:rsidR="00861281" w:rsidRDefault="00861281" w:rsidP="00672237">
      <w:pPr>
        <w:jc w:val="center"/>
        <w:rPr>
          <w:b/>
          <w:sz w:val="28"/>
          <w:szCs w:val="28"/>
        </w:rPr>
      </w:pPr>
    </w:p>
    <w:p w14:paraId="31A62218" w14:textId="77777777" w:rsidR="00861281" w:rsidRDefault="00861281" w:rsidP="00672237">
      <w:pPr>
        <w:jc w:val="center"/>
        <w:rPr>
          <w:b/>
          <w:sz w:val="28"/>
          <w:szCs w:val="28"/>
        </w:rPr>
      </w:pPr>
    </w:p>
    <w:p w14:paraId="53CB3AB4" w14:textId="77777777" w:rsidR="00672237" w:rsidRPr="002F749C" w:rsidRDefault="00672237" w:rsidP="00672237">
      <w:pPr>
        <w:jc w:val="center"/>
        <w:rPr>
          <w:b/>
          <w:sz w:val="28"/>
          <w:szCs w:val="28"/>
        </w:rPr>
      </w:pPr>
      <w:r w:rsidRPr="002F749C">
        <w:rPr>
          <w:b/>
          <w:sz w:val="28"/>
          <w:szCs w:val="28"/>
        </w:rPr>
        <w:lastRenderedPageBreak/>
        <w:t>Doložka vybraných vplyvov</w:t>
      </w:r>
    </w:p>
    <w:p w14:paraId="3697ED8C" w14:textId="77777777" w:rsidR="00672237" w:rsidRPr="00376FCA" w:rsidRDefault="00672237" w:rsidP="00672237">
      <w:pPr>
        <w:spacing w:after="200" w:line="276" w:lineRule="auto"/>
        <w:ind w:left="426"/>
        <w:contextualSpacing/>
        <w:rPr>
          <w:rFonts w:eastAsia="Calibri"/>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538"/>
        <w:gridCol w:w="1133"/>
        <w:gridCol w:w="284"/>
        <w:gridCol w:w="263"/>
        <w:gridCol w:w="1297"/>
      </w:tblGrid>
      <w:tr w:rsidR="00672237" w:rsidRPr="00391793" w14:paraId="55E10110" w14:textId="77777777" w:rsidTr="00861281">
        <w:tc>
          <w:tcPr>
            <w:tcW w:w="9180" w:type="dxa"/>
            <w:gridSpan w:val="10"/>
            <w:tcBorders>
              <w:bottom w:val="single" w:sz="4" w:space="0" w:color="FFFFFF"/>
            </w:tcBorders>
            <w:shd w:val="clear" w:color="auto" w:fill="E2E2E2"/>
          </w:tcPr>
          <w:p w14:paraId="7D80EBBF" w14:textId="77777777" w:rsidR="00672237" w:rsidRPr="00376FCA" w:rsidRDefault="00672237" w:rsidP="00672237">
            <w:pPr>
              <w:numPr>
                <w:ilvl w:val="0"/>
                <w:numId w:val="1"/>
              </w:numPr>
              <w:ind w:left="426"/>
              <w:contextualSpacing/>
              <w:rPr>
                <w:rFonts w:eastAsia="Calibri"/>
                <w:b/>
              </w:rPr>
            </w:pPr>
            <w:r w:rsidRPr="00376FCA">
              <w:rPr>
                <w:rFonts w:eastAsia="Calibri"/>
                <w:b/>
              </w:rPr>
              <w:t>Základné údaje</w:t>
            </w:r>
          </w:p>
        </w:tc>
      </w:tr>
      <w:tr w:rsidR="00672237" w:rsidRPr="00391793" w14:paraId="7C2E92D2" w14:textId="77777777" w:rsidTr="00861281">
        <w:tc>
          <w:tcPr>
            <w:tcW w:w="9180" w:type="dxa"/>
            <w:gridSpan w:val="10"/>
            <w:tcBorders>
              <w:bottom w:val="single" w:sz="4" w:space="0" w:color="FFFFFF"/>
            </w:tcBorders>
            <w:shd w:val="clear" w:color="auto" w:fill="E2E2E2"/>
          </w:tcPr>
          <w:p w14:paraId="33F29443" w14:textId="77777777" w:rsidR="00672237" w:rsidRPr="00376FCA" w:rsidRDefault="00672237" w:rsidP="00861281">
            <w:pPr>
              <w:spacing w:after="200" w:line="276" w:lineRule="auto"/>
              <w:ind w:left="142"/>
              <w:contextualSpacing/>
              <w:rPr>
                <w:rFonts w:eastAsia="Calibri"/>
                <w:b/>
              </w:rPr>
            </w:pPr>
            <w:r w:rsidRPr="00376FCA">
              <w:rPr>
                <w:rFonts w:eastAsia="Calibri"/>
                <w:b/>
              </w:rPr>
              <w:t>Názov materiálu</w:t>
            </w:r>
          </w:p>
        </w:tc>
      </w:tr>
      <w:tr w:rsidR="00672237" w:rsidRPr="00391793" w14:paraId="50720A95" w14:textId="77777777" w:rsidTr="00861281">
        <w:tc>
          <w:tcPr>
            <w:tcW w:w="9180" w:type="dxa"/>
            <w:gridSpan w:val="10"/>
            <w:tcBorders>
              <w:top w:val="single" w:sz="4" w:space="0" w:color="FFFFFF"/>
              <w:bottom w:val="single" w:sz="4" w:space="0" w:color="auto"/>
            </w:tcBorders>
          </w:tcPr>
          <w:p w14:paraId="648EAC3A" w14:textId="60051E4E" w:rsidR="00672237" w:rsidRPr="00376FCA" w:rsidRDefault="00672237" w:rsidP="004905FD">
            <w:pPr>
              <w:jc w:val="both"/>
            </w:pPr>
            <w:r>
              <w:t>Návrh</w:t>
            </w:r>
            <w:r w:rsidRPr="00376FCA">
              <w:t xml:space="preserve"> </w:t>
            </w:r>
            <w:r>
              <w:t>z</w:t>
            </w:r>
            <w:r w:rsidRPr="00FA0B6B">
              <w:t>ákon</w:t>
            </w:r>
            <w:r>
              <w:t>a</w:t>
            </w:r>
            <w:r w:rsidR="00F11D2A">
              <w:t>, ktorým sa mení a dopĺňa zákon č. 431/2002 Z. z. o</w:t>
            </w:r>
            <w:r w:rsidR="00CF75FA">
              <w:t> </w:t>
            </w:r>
            <w:r w:rsidR="00F11D2A">
              <w:t>účtovníctve</w:t>
            </w:r>
            <w:r w:rsidR="00CF75FA">
              <w:t xml:space="preserve"> v znení neskorších predpisov</w:t>
            </w:r>
            <w:r w:rsidR="00F11D2A">
              <w:t xml:space="preserve"> </w:t>
            </w:r>
            <w:r w:rsidR="00DC1174">
              <w:t>a</w:t>
            </w:r>
            <w:r w:rsidR="004905FD" w:rsidRPr="00AC7319">
              <w:t xml:space="preserve"> ktorým sa mení a dopĺňa zákon č. 513/1991 Zb. Obchodný zákonník v znení neskorších predpisov</w:t>
            </w:r>
          </w:p>
        </w:tc>
      </w:tr>
      <w:tr w:rsidR="00672237" w:rsidRPr="00391793" w14:paraId="7EC74374" w14:textId="77777777" w:rsidTr="00861281">
        <w:tc>
          <w:tcPr>
            <w:tcW w:w="9180" w:type="dxa"/>
            <w:gridSpan w:val="10"/>
            <w:tcBorders>
              <w:top w:val="single" w:sz="4" w:space="0" w:color="auto"/>
              <w:left w:val="single" w:sz="4" w:space="0" w:color="auto"/>
              <w:bottom w:val="single" w:sz="4" w:space="0" w:color="FFFFFF"/>
            </w:tcBorders>
            <w:shd w:val="clear" w:color="auto" w:fill="E2E2E2"/>
          </w:tcPr>
          <w:p w14:paraId="420CC3FB" w14:textId="77777777" w:rsidR="00672237" w:rsidRPr="00376FCA" w:rsidRDefault="00672237" w:rsidP="00861281">
            <w:pPr>
              <w:spacing w:after="200" w:line="276" w:lineRule="auto"/>
              <w:ind w:left="142"/>
              <w:contextualSpacing/>
              <w:rPr>
                <w:rFonts w:eastAsia="Calibri"/>
                <w:b/>
              </w:rPr>
            </w:pPr>
            <w:r w:rsidRPr="00376FCA">
              <w:rPr>
                <w:rFonts w:eastAsia="Calibri"/>
                <w:b/>
              </w:rPr>
              <w:t>Predkladateľ (a spolupredkladateľ)</w:t>
            </w:r>
          </w:p>
        </w:tc>
      </w:tr>
      <w:tr w:rsidR="00672237" w:rsidRPr="00391793" w14:paraId="4AF324FF" w14:textId="77777777" w:rsidTr="00861281">
        <w:tc>
          <w:tcPr>
            <w:tcW w:w="9180" w:type="dxa"/>
            <w:gridSpan w:val="10"/>
            <w:tcBorders>
              <w:top w:val="single" w:sz="4" w:space="0" w:color="FFFFFF"/>
              <w:left w:val="single" w:sz="4" w:space="0" w:color="auto"/>
              <w:bottom w:val="single" w:sz="4" w:space="0" w:color="auto"/>
            </w:tcBorders>
            <w:shd w:val="clear" w:color="auto" w:fill="FFFFFF"/>
          </w:tcPr>
          <w:p w14:paraId="1C9CEB14" w14:textId="7785CFE4" w:rsidR="00672237" w:rsidRPr="00391793" w:rsidRDefault="00672237" w:rsidP="004905FD">
            <w:r w:rsidRPr="00376FCA">
              <w:t xml:space="preserve">Ministerstvo </w:t>
            </w:r>
            <w:r w:rsidR="001B1571">
              <w:t>financií</w:t>
            </w:r>
            <w:r w:rsidR="004905FD">
              <w:t xml:space="preserve"> Slovenskej republiky</w:t>
            </w:r>
            <w:r w:rsidRPr="00391793">
              <w:t xml:space="preserve"> </w:t>
            </w:r>
          </w:p>
        </w:tc>
      </w:tr>
      <w:tr w:rsidR="00672237" w:rsidRPr="00391793" w14:paraId="2B273264" w14:textId="77777777" w:rsidTr="00861281">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14:paraId="6CDF3675" w14:textId="77777777" w:rsidR="00672237" w:rsidRPr="00376FCA" w:rsidRDefault="00672237" w:rsidP="00861281">
            <w:pPr>
              <w:spacing w:after="200" w:line="276" w:lineRule="auto"/>
              <w:ind w:left="142"/>
              <w:contextualSpacing/>
              <w:rPr>
                <w:rFonts w:eastAsia="Calibri"/>
                <w:b/>
              </w:rPr>
            </w:pPr>
            <w:r w:rsidRPr="00376FCA">
              <w:rPr>
                <w:rFonts w:eastAsia="Calibri"/>
                <w:b/>
              </w:rPr>
              <w:t>Charakter predkladaného materiálu</w:t>
            </w:r>
          </w:p>
        </w:tc>
        <w:sdt>
          <w:sdt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4A390EF4" w14:textId="4D3E6BAB" w:rsidR="00672237" w:rsidRPr="00376FCA" w:rsidRDefault="00672237" w:rsidP="00861281">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cPr>
          <w:p w14:paraId="09FF8893" w14:textId="77777777" w:rsidR="00672237" w:rsidRPr="00376FCA" w:rsidRDefault="00672237" w:rsidP="00861281">
            <w:r w:rsidRPr="00376FCA">
              <w:t>Materiál nelegislatívnej povahy</w:t>
            </w:r>
          </w:p>
        </w:tc>
      </w:tr>
      <w:tr w:rsidR="00672237" w:rsidRPr="00391793" w14:paraId="5AFE74C5" w14:textId="77777777" w:rsidTr="00861281">
        <w:tc>
          <w:tcPr>
            <w:tcW w:w="4212" w:type="dxa"/>
            <w:gridSpan w:val="2"/>
            <w:vMerge/>
            <w:tcBorders>
              <w:top w:val="nil"/>
              <w:left w:val="single" w:sz="4" w:space="0" w:color="auto"/>
              <w:bottom w:val="single" w:sz="4" w:space="0" w:color="FFFFFF"/>
            </w:tcBorders>
            <w:shd w:val="clear" w:color="auto" w:fill="E2E2E2"/>
          </w:tcPr>
          <w:p w14:paraId="19C4E8A4" w14:textId="77777777" w:rsidR="00672237" w:rsidRPr="00376FCA" w:rsidRDefault="00672237" w:rsidP="00861281"/>
        </w:tc>
        <w:sdt>
          <w:sdt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321DABE7" w14:textId="61A6D5C9" w:rsidR="00672237" w:rsidRPr="00376FCA" w:rsidRDefault="00672237" w:rsidP="00861281">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cPr>
          <w:p w14:paraId="37588BF8" w14:textId="77777777" w:rsidR="00672237" w:rsidRPr="00376FCA" w:rsidRDefault="00672237" w:rsidP="00861281">
            <w:pPr>
              <w:ind w:left="175" w:hanging="175"/>
            </w:pPr>
            <w:r w:rsidRPr="00376FCA">
              <w:t>Materiál legislatívnej povahy</w:t>
            </w:r>
          </w:p>
        </w:tc>
      </w:tr>
      <w:tr w:rsidR="00672237" w:rsidRPr="00391793" w14:paraId="296C5C15" w14:textId="77777777" w:rsidTr="00861281">
        <w:tc>
          <w:tcPr>
            <w:tcW w:w="4212" w:type="dxa"/>
            <w:gridSpan w:val="2"/>
            <w:vMerge/>
            <w:tcBorders>
              <w:top w:val="nil"/>
              <w:left w:val="single" w:sz="4" w:space="0" w:color="auto"/>
              <w:bottom w:val="single" w:sz="4" w:space="0" w:color="auto"/>
            </w:tcBorders>
            <w:shd w:val="clear" w:color="auto" w:fill="E2E2E2"/>
          </w:tcPr>
          <w:p w14:paraId="6ED294F0" w14:textId="77777777" w:rsidR="00672237" w:rsidRPr="00376FCA" w:rsidRDefault="00672237" w:rsidP="00861281"/>
        </w:tc>
        <w:sdt>
          <w:sdt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14:paraId="1FA8A031" w14:textId="204EF883" w:rsidR="00672237" w:rsidRPr="00376FCA" w:rsidRDefault="00672237" w:rsidP="00861281">
                <w:pPr>
                  <w:jc w:val="center"/>
                </w:pPr>
                <w:r>
                  <w:rPr>
                    <w:rFonts w:ascii="MS Gothic" w:eastAsia="MS Gothic" w:hAnsi="MS Gothic" w:hint="eastAsia"/>
                  </w:rPr>
                  <w:t>☒</w:t>
                </w:r>
              </w:p>
            </w:tc>
          </w:sdtContent>
        </w:sdt>
        <w:tc>
          <w:tcPr>
            <w:tcW w:w="4263" w:type="dxa"/>
            <w:gridSpan w:val="6"/>
            <w:tcBorders>
              <w:top w:val="single" w:sz="4" w:space="0" w:color="auto"/>
              <w:left w:val="nil"/>
              <w:bottom w:val="single" w:sz="4" w:space="0" w:color="auto"/>
            </w:tcBorders>
            <w:shd w:val="clear" w:color="auto" w:fill="FFFFFF"/>
          </w:tcPr>
          <w:p w14:paraId="23164BF3" w14:textId="77777777" w:rsidR="00672237" w:rsidRPr="00376FCA" w:rsidRDefault="00672237" w:rsidP="00861281">
            <w:r w:rsidRPr="00376FCA">
              <w:t>Transpozícia práva EÚ</w:t>
            </w:r>
          </w:p>
        </w:tc>
      </w:tr>
      <w:tr w:rsidR="00672237" w:rsidRPr="00391793" w14:paraId="2CB20F50" w14:textId="77777777" w:rsidTr="00861281">
        <w:tc>
          <w:tcPr>
            <w:tcW w:w="9180" w:type="dxa"/>
            <w:gridSpan w:val="10"/>
            <w:tcBorders>
              <w:top w:val="single" w:sz="4" w:space="0" w:color="auto"/>
              <w:left w:val="single" w:sz="4" w:space="0" w:color="auto"/>
              <w:bottom w:val="single" w:sz="4" w:space="0" w:color="FFFFFF"/>
            </w:tcBorders>
            <w:shd w:val="clear" w:color="auto" w:fill="FFFFFF"/>
          </w:tcPr>
          <w:p w14:paraId="740E0BFF" w14:textId="34759FD6" w:rsidR="004905FD" w:rsidRPr="004905FD" w:rsidRDefault="004905FD" w:rsidP="004905FD">
            <w:pPr>
              <w:numPr>
                <w:ilvl w:val="0"/>
                <w:numId w:val="5"/>
              </w:numPr>
              <w:pBdr>
                <w:top w:val="nil"/>
                <w:left w:val="nil"/>
                <w:bottom w:val="nil"/>
                <w:right w:val="nil"/>
                <w:between w:val="nil"/>
              </w:pBdr>
              <w:jc w:val="both"/>
              <w:rPr>
                <w:color w:val="000000"/>
              </w:rPr>
            </w:pPr>
            <w:r w:rsidRPr="004905FD">
              <w:rPr>
                <w:color w:val="000000"/>
              </w:rPr>
              <w:t>Smernica Európskeho parlamentu a Rady (EÚ) 2021/2101</w:t>
            </w:r>
            <w:r w:rsidR="006C1AC8">
              <w:rPr>
                <w:color w:val="000000"/>
              </w:rPr>
              <w:t xml:space="preserve"> z 24. novembra 2021</w:t>
            </w:r>
            <w:r w:rsidRPr="004905FD">
              <w:rPr>
                <w:color w:val="000000"/>
              </w:rPr>
              <w:t>, ktorou sa mení smernica 2013/34/EÚ, pokiaľ ide o zverejňovanie informácií o dani z príjmov určitými podnikmi a pobočkami (Ú. v. ES L 429, 1.12.2021).</w:t>
            </w:r>
          </w:p>
          <w:p w14:paraId="59FF2818" w14:textId="02F8CC4A" w:rsidR="00672237" w:rsidRPr="002F749C" w:rsidRDefault="004905FD" w:rsidP="004905FD">
            <w:pPr>
              <w:numPr>
                <w:ilvl w:val="0"/>
                <w:numId w:val="5"/>
              </w:numPr>
              <w:pBdr>
                <w:top w:val="nil"/>
                <w:left w:val="nil"/>
                <w:bottom w:val="nil"/>
                <w:right w:val="nil"/>
                <w:between w:val="nil"/>
              </w:pBdr>
              <w:jc w:val="both"/>
              <w:rPr>
                <w:color w:val="000000"/>
              </w:rPr>
            </w:pPr>
            <w:r w:rsidRPr="004905FD">
              <w:rPr>
                <w:color w:val="000000"/>
              </w:rPr>
              <w:t>Smernica Európskeho parlamentu a Rady 2014/95/EÚ z 22. októbra 2014, ktorou sa mení smernica 2013/34/EÚ, pokiaľ ide o zverejňovanie nefinančných informácií a informácií týkajúcich sa rozmanitosti niektorými veľkými podnikmi a skupinami (Ú. v. ES L 330, 15.11.2014) v platnom znení.</w:t>
            </w:r>
          </w:p>
        </w:tc>
      </w:tr>
      <w:tr w:rsidR="00672237" w:rsidRPr="00391793" w14:paraId="0AD6A090" w14:textId="77777777" w:rsidTr="004905FD">
        <w:tc>
          <w:tcPr>
            <w:tcW w:w="5665" w:type="dxa"/>
            <w:gridSpan w:val="5"/>
            <w:tcBorders>
              <w:top w:val="single" w:sz="4" w:space="0" w:color="000000"/>
              <w:left w:val="single" w:sz="4" w:space="0" w:color="auto"/>
              <w:bottom w:val="single" w:sz="4" w:space="0" w:color="FFFFFF"/>
              <w:right w:val="single" w:sz="4" w:space="0" w:color="auto"/>
            </w:tcBorders>
            <w:shd w:val="clear" w:color="auto" w:fill="E2E2E2"/>
          </w:tcPr>
          <w:p w14:paraId="46024DCC" w14:textId="77777777" w:rsidR="00672237" w:rsidRPr="00376FCA" w:rsidRDefault="00672237" w:rsidP="00861281">
            <w:pPr>
              <w:spacing w:after="200" w:line="276" w:lineRule="auto"/>
              <w:ind w:left="142"/>
              <w:contextualSpacing/>
              <w:rPr>
                <w:rFonts w:eastAsia="Calibri"/>
                <w:b/>
              </w:rPr>
            </w:pPr>
            <w:r w:rsidRPr="00376FCA">
              <w:rPr>
                <w:rFonts w:eastAsia="Calibri"/>
                <w:b/>
              </w:rPr>
              <w:t>Termín začiatku a ukončenia PPK</w:t>
            </w:r>
          </w:p>
        </w:tc>
        <w:tc>
          <w:tcPr>
            <w:tcW w:w="3515" w:type="dxa"/>
            <w:gridSpan w:val="5"/>
            <w:tcBorders>
              <w:top w:val="single" w:sz="4" w:space="0" w:color="000000"/>
              <w:left w:val="single" w:sz="4" w:space="0" w:color="auto"/>
              <w:bottom w:val="single" w:sz="4" w:space="0" w:color="auto"/>
              <w:right w:val="single" w:sz="4" w:space="0" w:color="auto"/>
            </w:tcBorders>
          </w:tcPr>
          <w:p w14:paraId="616F6DDD" w14:textId="7FD91D6A" w:rsidR="00672237" w:rsidRPr="00F11D2A" w:rsidRDefault="004905FD" w:rsidP="00861281">
            <w:pPr>
              <w:rPr>
                <w:highlight w:val="yellow"/>
              </w:rPr>
            </w:pPr>
            <w:r w:rsidRPr="007863C6">
              <w:rPr>
                <w:rFonts w:ascii="Times" w:hAnsi="Times" w:cs="Times"/>
              </w:rPr>
              <w:t>Začiatok:    13.4.2022</w:t>
            </w:r>
            <w:r w:rsidRPr="007863C6">
              <w:rPr>
                <w:rFonts w:ascii="Times" w:hAnsi="Times" w:cs="Times"/>
              </w:rPr>
              <w:br/>
              <w:t>Ukončenie: 26.4.2022</w:t>
            </w:r>
          </w:p>
        </w:tc>
      </w:tr>
      <w:tr w:rsidR="00672237" w:rsidRPr="00391793" w14:paraId="72879AFE" w14:textId="77777777" w:rsidTr="004905FD">
        <w:tc>
          <w:tcPr>
            <w:tcW w:w="5665" w:type="dxa"/>
            <w:gridSpan w:val="5"/>
            <w:tcBorders>
              <w:top w:val="single" w:sz="4" w:space="0" w:color="auto"/>
              <w:left w:val="single" w:sz="4" w:space="0" w:color="auto"/>
              <w:bottom w:val="single" w:sz="4" w:space="0" w:color="FFFFFF"/>
              <w:right w:val="single" w:sz="4" w:space="0" w:color="auto"/>
            </w:tcBorders>
            <w:shd w:val="clear" w:color="auto" w:fill="E2E2E2"/>
          </w:tcPr>
          <w:p w14:paraId="66DA6FA7" w14:textId="77777777" w:rsidR="00672237" w:rsidRPr="00376FCA" w:rsidRDefault="00672237" w:rsidP="00861281">
            <w:pPr>
              <w:spacing w:after="200" w:line="276" w:lineRule="auto"/>
              <w:ind w:left="142"/>
              <w:contextualSpacing/>
              <w:rPr>
                <w:rFonts w:eastAsia="Calibri"/>
                <w:b/>
              </w:rPr>
            </w:pPr>
            <w:r w:rsidRPr="00376FCA">
              <w:rPr>
                <w:rFonts w:eastAsia="Calibri"/>
                <w:b/>
              </w:rPr>
              <w:t>Predpokladaný termín predloženia na pripomienkové konanie</w:t>
            </w:r>
          </w:p>
        </w:tc>
        <w:tc>
          <w:tcPr>
            <w:tcW w:w="3515" w:type="dxa"/>
            <w:gridSpan w:val="5"/>
            <w:tcBorders>
              <w:top w:val="single" w:sz="4" w:space="0" w:color="auto"/>
              <w:left w:val="single" w:sz="4" w:space="0" w:color="auto"/>
              <w:bottom w:val="single" w:sz="4" w:space="0" w:color="auto"/>
              <w:right w:val="single" w:sz="4" w:space="0" w:color="auto"/>
            </w:tcBorders>
          </w:tcPr>
          <w:p w14:paraId="64FA5479" w14:textId="35EE4001" w:rsidR="00672237" w:rsidRPr="00376FCA" w:rsidRDefault="00F11D2A" w:rsidP="00861281">
            <w:r>
              <w:t>máj</w:t>
            </w:r>
            <w:r w:rsidR="00672237" w:rsidRPr="00376FCA">
              <w:t xml:space="preserve"> 202</w:t>
            </w:r>
            <w:r w:rsidR="00672237">
              <w:t>2</w:t>
            </w:r>
          </w:p>
        </w:tc>
      </w:tr>
      <w:tr w:rsidR="00672237" w:rsidRPr="00391793" w14:paraId="0106B410" w14:textId="77777777" w:rsidTr="004905FD">
        <w:trPr>
          <w:trHeight w:val="320"/>
        </w:trPr>
        <w:tc>
          <w:tcPr>
            <w:tcW w:w="5665" w:type="dxa"/>
            <w:gridSpan w:val="5"/>
            <w:tcBorders>
              <w:top w:val="single" w:sz="4" w:space="0" w:color="auto"/>
              <w:left w:val="single" w:sz="4" w:space="0" w:color="auto"/>
              <w:bottom w:val="single" w:sz="4" w:space="0" w:color="FFFFFF"/>
              <w:right w:val="single" w:sz="4" w:space="0" w:color="auto"/>
            </w:tcBorders>
            <w:shd w:val="clear" w:color="auto" w:fill="E2E2E2"/>
          </w:tcPr>
          <w:p w14:paraId="5751F7D6" w14:textId="77777777" w:rsidR="00672237" w:rsidRPr="00376FCA" w:rsidRDefault="00672237" w:rsidP="00861281">
            <w:pPr>
              <w:spacing w:line="276" w:lineRule="auto"/>
              <w:ind w:left="142"/>
              <w:contextualSpacing/>
              <w:rPr>
                <w:rFonts w:eastAsia="Calibri"/>
                <w:b/>
              </w:rPr>
            </w:pPr>
            <w:r w:rsidRPr="00376FCA">
              <w:rPr>
                <w:rFonts w:eastAsia="Calibri"/>
                <w:b/>
              </w:rPr>
              <w:t xml:space="preserve">Predpokladaný termín začiatku a ukončenia ZP** </w:t>
            </w:r>
          </w:p>
        </w:tc>
        <w:tc>
          <w:tcPr>
            <w:tcW w:w="3515" w:type="dxa"/>
            <w:gridSpan w:val="5"/>
            <w:tcBorders>
              <w:top w:val="single" w:sz="4" w:space="0" w:color="auto"/>
              <w:left w:val="single" w:sz="4" w:space="0" w:color="auto"/>
              <w:bottom w:val="single" w:sz="4" w:space="0" w:color="auto"/>
              <w:right w:val="single" w:sz="4" w:space="0" w:color="auto"/>
            </w:tcBorders>
          </w:tcPr>
          <w:p w14:paraId="7E9DA66E" w14:textId="045F0E4E" w:rsidR="00672237" w:rsidRPr="00376FCA" w:rsidRDefault="00672237" w:rsidP="00861281"/>
        </w:tc>
      </w:tr>
      <w:tr w:rsidR="00672237" w:rsidRPr="00391793" w14:paraId="74ED9E24" w14:textId="77777777" w:rsidTr="004905FD">
        <w:tc>
          <w:tcPr>
            <w:tcW w:w="5665" w:type="dxa"/>
            <w:gridSpan w:val="5"/>
            <w:tcBorders>
              <w:top w:val="single" w:sz="4" w:space="0" w:color="auto"/>
              <w:left w:val="single" w:sz="4" w:space="0" w:color="auto"/>
              <w:bottom w:val="single" w:sz="4" w:space="0" w:color="FFFFFF"/>
              <w:right w:val="single" w:sz="4" w:space="0" w:color="auto"/>
            </w:tcBorders>
            <w:shd w:val="clear" w:color="auto" w:fill="E2E2E2"/>
          </w:tcPr>
          <w:p w14:paraId="79368514" w14:textId="77777777" w:rsidR="00672237" w:rsidRPr="00376FCA" w:rsidRDefault="00672237" w:rsidP="00861281">
            <w:pPr>
              <w:spacing w:after="200" w:line="276" w:lineRule="auto"/>
              <w:ind w:left="142"/>
              <w:contextualSpacing/>
              <w:jc w:val="both"/>
              <w:rPr>
                <w:rFonts w:eastAsia="Calibri"/>
                <w:b/>
              </w:rPr>
            </w:pPr>
            <w:r w:rsidRPr="00376FCA">
              <w:rPr>
                <w:rFonts w:eastAsia="Calibri"/>
                <w:b/>
              </w:rPr>
              <w:t>Predpokladaný termín predloženia na rokovanie vlády SR*</w:t>
            </w:r>
          </w:p>
        </w:tc>
        <w:tc>
          <w:tcPr>
            <w:tcW w:w="3515" w:type="dxa"/>
            <w:gridSpan w:val="5"/>
            <w:tcBorders>
              <w:top w:val="single" w:sz="4" w:space="0" w:color="auto"/>
              <w:left w:val="single" w:sz="4" w:space="0" w:color="auto"/>
              <w:bottom w:val="single" w:sz="4" w:space="0" w:color="auto"/>
              <w:right w:val="single" w:sz="4" w:space="0" w:color="auto"/>
            </w:tcBorders>
          </w:tcPr>
          <w:p w14:paraId="3B9C441B" w14:textId="185B5F2D" w:rsidR="00672237" w:rsidRPr="00376FCA" w:rsidRDefault="00672237" w:rsidP="00861281"/>
        </w:tc>
      </w:tr>
      <w:tr w:rsidR="00672237" w:rsidRPr="00391793" w14:paraId="482C8FCD" w14:textId="77777777" w:rsidTr="00861281">
        <w:tc>
          <w:tcPr>
            <w:tcW w:w="9180" w:type="dxa"/>
            <w:gridSpan w:val="10"/>
            <w:tcBorders>
              <w:top w:val="single" w:sz="4" w:space="0" w:color="auto"/>
              <w:left w:val="nil"/>
              <w:bottom w:val="single" w:sz="4" w:space="0" w:color="auto"/>
              <w:right w:val="nil"/>
            </w:tcBorders>
            <w:shd w:val="clear" w:color="auto" w:fill="FFFFFF"/>
          </w:tcPr>
          <w:p w14:paraId="5AD8BF37" w14:textId="77777777" w:rsidR="00672237" w:rsidRPr="00376FCA" w:rsidRDefault="00672237" w:rsidP="00861281"/>
        </w:tc>
      </w:tr>
      <w:tr w:rsidR="00672237" w:rsidRPr="00391793" w14:paraId="311FD725" w14:textId="77777777" w:rsidTr="00861281">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709577BF" w14:textId="77777777" w:rsidR="00672237" w:rsidRPr="00376FCA" w:rsidRDefault="00672237" w:rsidP="00672237">
            <w:pPr>
              <w:numPr>
                <w:ilvl w:val="0"/>
                <w:numId w:val="1"/>
              </w:numPr>
              <w:ind w:left="426"/>
              <w:contextualSpacing/>
              <w:rPr>
                <w:rFonts w:eastAsia="Calibri"/>
                <w:b/>
              </w:rPr>
            </w:pPr>
            <w:r w:rsidRPr="00376FCA">
              <w:rPr>
                <w:rFonts w:eastAsia="Calibri"/>
                <w:b/>
              </w:rPr>
              <w:t>Definovanie problému</w:t>
            </w:r>
          </w:p>
        </w:tc>
      </w:tr>
      <w:tr w:rsidR="00672237" w:rsidRPr="00391793" w14:paraId="250E2235" w14:textId="77777777" w:rsidTr="00861281">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14:paraId="253D8156" w14:textId="5F8C9155" w:rsidR="00672237" w:rsidRPr="00376FCA" w:rsidRDefault="00672237" w:rsidP="002F749C">
            <w:pPr>
              <w:spacing w:after="120"/>
              <w:jc w:val="both"/>
              <w:rPr>
                <w:i/>
              </w:rPr>
            </w:pPr>
            <w:r w:rsidRPr="00376FCA">
              <w:rPr>
                <w:i/>
              </w:rPr>
              <w:t>Uveďte základné problémy, ktoré sú dôvodom vypracovania predkladaného</w:t>
            </w:r>
            <w:r>
              <w:rPr>
                <w:i/>
              </w:rPr>
              <w:t xml:space="preserve"> </w:t>
            </w:r>
            <w:r w:rsidRPr="00376FCA">
              <w:rPr>
                <w:i/>
              </w:rPr>
              <w:t>materiálu (dôvody majú presne poukázať na problém, ktorý existuje a je nutné ho predloženým materiálom riešiť).</w:t>
            </w:r>
          </w:p>
          <w:p w14:paraId="2179CC66" w14:textId="29C96733" w:rsidR="004905FD" w:rsidRPr="001D7A26" w:rsidRDefault="004905FD" w:rsidP="004905FD">
            <w:pPr>
              <w:jc w:val="both"/>
            </w:pPr>
            <w:r w:rsidRPr="001D7A26">
              <w:t>Pripravovaný právny predpis je transpozíciou smernice Európskeho parlamentu a Rady (EÚ) 2021/2101</w:t>
            </w:r>
            <w:r w:rsidR="006C1AC8">
              <w:t xml:space="preserve"> z 24. novembra 2021</w:t>
            </w:r>
            <w:r w:rsidRPr="001D7A26">
              <w:t>, ktorou sa mení smernica 2013/34/EÚ, pokiaľ ide</w:t>
            </w:r>
            <w:r w:rsidR="006C1AC8">
              <w:br/>
            </w:r>
            <w:r w:rsidRPr="001D7A26">
              <w:t xml:space="preserve">o zverejňovanie informácií o dani z príjmov určitými podnikmi a pobočkami (Ú. v. EÚ L 429, 1.12.2021) (tzv. </w:t>
            </w:r>
            <w:proofErr w:type="spellStart"/>
            <w:r w:rsidRPr="001D7A26">
              <w:t>public</w:t>
            </w:r>
            <w:proofErr w:type="spellEnd"/>
            <w:r w:rsidRPr="001D7A26">
              <w:t xml:space="preserve"> country-by-country </w:t>
            </w:r>
            <w:proofErr w:type="spellStart"/>
            <w:r w:rsidRPr="001D7A26">
              <w:t>reporting</w:t>
            </w:r>
            <w:proofErr w:type="spellEnd"/>
            <w:r w:rsidRPr="001D7A26">
              <w:t>). Cieľom pripravovaného návrhu zákona je zvýšiť transparentnosť a podporiť spoločenskú zodpovednosť nadnárodných spoločností prostredníctvom verejnej kontroly, ktorá spočíva v zverejnení určitých informácií týkajúcich sa dane z príjmov v členení podľa jednotlivých štátov. Predmetným návrhom dôjde aj k úprave niektorých ustanovení zákona č. 431/2002 Z. z. na základe jednoznačného spresnenia transpozície ustanovení smernice 2014/95/EÚ v platnom znení a poznatkov z aplikačnej praxe.</w:t>
            </w:r>
          </w:p>
          <w:p w14:paraId="4397791D" w14:textId="03B4A4CD" w:rsidR="00DC1174" w:rsidRPr="00376FCA" w:rsidRDefault="004905FD" w:rsidP="004905FD">
            <w:pPr>
              <w:jc w:val="both"/>
            </w:pPr>
            <w:r w:rsidRPr="001D7A26">
              <w:t xml:space="preserve"> </w:t>
            </w:r>
            <w:r w:rsidRPr="001D7A26">
              <w:br/>
              <w:t xml:space="preserve">Zároveň sa na základe odporúčaní aplikačnej praxe a výsledkov auditu konsolidovanej účtovnej závierky ústrednej správy navrhuje s cieľom lepšie ochrániť majetok štátu a územnej samosprávy, zvýšenie periodicity inventarizácie vybraného hmotného majetku v účtovných jednotkách verejnej správy - štátne rozpočtové organizácie a príspevkové organizácie, obce, </w:t>
            </w:r>
            <w:r w:rsidRPr="001D7A26">
              <w:lastRenderedPageBreak/>
              <w:t>vyššie územné celky, štátne fondy, rozpočtové organizácie a príspevkové organizácie v zriaďovateľskej pôsobnosti obcí a vyšších územných celkov.</w:t>
            </w:r>
          </w:p>
        </w:tc>
      </w:tr>
      <w:tr w:rsidR="00672237" w:rsidRPr="00391793" w14:paraId="68A8CCCA" w14:textId="77777777" w:rsidTr="00861281">
        <w:tc>
          <w:tcPr>
            <w:tcW w:w="9180" w:type="dxa"/>
            <w:gridSpan w:val="10"/>
            <w:tcBorders>
              <w:top w:val="single" w:sz="4" w:space="0" w:color="auto"/>
              <w:left w:val="single" w:sz="4" w:space="0" w:color="auto"/>
              <w:bottom w:val="nil"/>
              <w:right w:val="single" w:sz="4" w:space="0" w:color="auto"/>
            </w:tcBorders>
            <w:shd w:val="clear" w:color="auto" w:fill="E2E2E2"/>
          </w:tcPr>
          <w:p w14:paraId="2A430879" w14:textId="77777777" w:rsidR="00672237" w:rsidRPr="00376FCA" w:rsidRDefault="00672237" w:rsidP="00672237">
            <w:pPr>
              <w:numPr>
                <w:ilvl w:val="0"/>
                <w:numId w:val="1"/>
              </w:numPr>
              <w:ind w:left="426"/>
              <w:contextualSpacing/>
              <w:rPr>
                <w:rFonts w:eastAsia="Calibri"/>
                <w:b/>
              </w:rPr>
            </w:pPr>
            <w:r w:rsidRPr="00376FCA">
              <w:rPr>
                <w:rFonts w:eastAsia="Calibri"/>
                <w:b/>
              </w:rPr>
              <w:lastRenderedPageBreak/>
              <w:t>Ciele a výsledný stav</w:t>
            </w:r>
          </w:p>
        </w:tc>
      </w:tr>
      <w:tr w:rsidR="00672237" w:rsidRPr="00391793" w14:paraId="03FC61C0" w14:textId="77777777" w:rsidTr="00861281">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cPr>
          <w:p w14:paraId="6560079C" w14:textId="3FB336E8" w:rsidR="00672237" w:rsidRPr="002F749C" w:rsidRDefault="00672237" w:rsidP="002F749C">
            <w:pPr>
              <w:spacing w:after="120"/>
              <w:rPr>
                <w:i/>
              </w:rPr>
            </w:pPr>
            <w:r w:rsidRPr="00376FCA">
              <w:rPr>
                <w:i/>
              </w:rPr>
              <w:t xml:space="preserve">Uveďte hlavné ciele predkladaného materiálu (aký výsledný stav má byť prijatím materiálu dosiahnutý, pričom dosiahnutý stav musí byť odlišný od stavu popísaného v bode 2. Definovanie problému). </w:t>
            </w:r>
          </w:p>
          <w:p w14:paraId="30456690" w14:textId="77777777" w:rsidR="004905FD" w:rsidRPr="001D7A26" w:rsidRDefault="004905FD" w:rsidP="004905FD">
            <w:pPr>
              <w:jc w:val="both"/>
            </w:pPr>
            <w:r w:rsidRPr="001D7A26">
              <w:t xml:space="preserve">Cieľom návrhu zákona je transponovať smernicu Európskeho parlamentu a Rady (EÚ) 2021/2101, ktorou sa mení smernica 2013/34/EÚ, pokiaľ ide o zverejňovanie informácií o dani z príjmov určitými podnikmi a pobočkami (Ú. v. EÚ L 429, 1.12.2021)  (tzv. </w:t>
            </w:r>
            <w:proofErr w:type="spellStart"/>
            <w:r w:rsidRPr="001D7A26">
              <w:t>public</w:t>
            </w:r>
            <w:proofErr w:type="spellEnd"/>
            <w:r w:rsidRPr="001D7A26">
              <w:t xml:space="preserve"> country-by-country </w:t>
            </w:r>
            <w:proofErr w:type="spellStart"/>
            <w:r w:rsidRPr="001D7A26">
              <w:t>reporting</w:t>
            </w:r>
            <w:proofErr w:type="spellEnd"/>
            <w:r w:rsidRPr="001D7A26">
              <w:t>). Cieľom predkladaného návrhu zákona je zvýšiť transparentnosť a podporiť spoločenskú zodpovednosť nadnárodných spoločností prostredníctvom verejnej kontroly, ktorá spočíva v zverejnení určitých informácií týkajúcich sa dane z príjmov v členení podľa jednotlivých štátov. V súlade s cit. smernicou návrh zákona zavedie pre vybrané účtovné jednotky s cezhraničným aspektom, ktoré prekročia určitú veľkosť, povinnosť vyhotoviť správu s informáciami o dani z príjmov a uložiť ju do registra účtovných závierok. Obsahom uvedenej správy majú byť napr. informácie o zaplatenej dani z príjmov, suma výnosov vrátane výnosov dosiahnutých z transakcií so spriaznenými stranami, počet zamestnancov, pričom informácie sa budú uvádzať v tabuľke, ktorej vzor ustanoví vykonávacie nariadenie Komisie (EÚ). Predmetným návrhom dôjde aj k úprave niektorých ustanovení zákona č. 431/2002 Z. z. na základe poznatkov z aplikačnej praxe.</w:t>
            </w:r>
          </w:p>
          <w:p w14:paraId="11765736" w14:textId="717C6898" w:rsidR="00672237" w:rsidRPr="00376FCA" w:rsidRDefault="004905FD" w:rsidP="004905FD">
            <w:pPr>
              <w:spacing w:after="120"/>
              <w:jc w:val="both"/>
            </w:pPr>
            <w:r w:rsidRPr="001D7A26">
              <w:br/>
              <w:t>Návrh zákona má cieľ lepšie ochrániť majetok štátu a územnej samosprávy a zároveň aj zvýšiť kvalitu dát v účtovných závierkach účtovných jednotiek tým, že navrhuje zvýšenie periodicity vykonávania inventarizácie určitého hmotného majetku v účtovných jednotkách verejnej správy - štátne rozpočtové organizácie a príspevkové organizácie, obce, vyššie územné celky, štátne fondy, rozpočtové organizácie a príspevkové organizácie v zriaďovateľskej pôsobnosti obcí a vyšších územných celkov.</w:t>
            </w:r>
            <w:r w:rsidRPr="007863C6">
              <w:rPr>
                <w:rFonts w:ascii="Times" w:hAnsi="Times" w:cs="Times"/>
              </w:rPr>
              <w:t xml:space="preserve"> </w:t>
            </w:r>
            <w:r w:rsidR="00672237" w:rsidRPr="00A636B0">
              <w:t xml:space="preserve"> </w:t>
            </w:r>
          </w:p>
        </w:tc>
      </w:tr>
      <w:tr w:rsidR="00672237" w:rsidRPr="00391793" w14:paraId="7654700E" w14:textId="77777777" w:rsidTr="00861281">
        <w:tc>
          <w:tcPr>
            <w:tcW w:w="9180" w:type="dxa"/>
            <w:gridSpan w:val="10"/>
            <w:tcBorders>
              <w:top w:val="single" w:sz="4" w:space="0" w:color="auto"/>
              <w:left w:val="single" w:sz="4" w:space="0" w:color="auto"/>
              <w:bottom w:val="nil"/>
              <w:right w:val="single" w:sz="4" w:space="0" w:color="auto"/>
            </w:tcBorders>
            <w:shd w:val="clear" w:color="auto" w:fill="E2E2E2"/>
          </w:tcPr>
          <w:p w14:paraId="043EBFE5" w14:textId="77777777" w:rsidR="00672237" w:rsidRPr="00376FCA" w:rsidRDefault="00672237" w:rsidP="00672237">
            <w:pPr>
              <w:numPr>
                <w:ilvl w:val="0"/>
                <w:numId w:val="1"/>
              </w:numPr>
              <w:ind w:left="426"/>
              <w:contextualSpacing/>
              <w:rPr>
                <w:rFonts w:eastAsia="Calibri"/>
                <w:b/>
              </w:rPr>
            </w:pPr>
            <w:r w:rsidRPr="00376FCA">
              <w:rPr>
                <w:rFonts w:eastAsia="Calibri"/>
                <w:b/>
              </w:rPr>
              <w:t>Dotknuté subjekty</w:t>
            </w:r>
          </w:p>
        </w:tc>
      </w:tr>
      <w:tr w:rsidR="00672237" w:rsidRPr="00391793" w14:paraId="7A37280E" w14:textId="77777777" w:rsidTr="00861281">
        <w:tc>
          <w:tcPr>
            <w:tcW w:w="9180" w:type="dxa"/>
            <w:gridSpan w:val="10"/>
            <w:tcBorders>
              <w:top w:val="nil"/>
              <w:left w:val="single" w:sz="4" w:space="0" w:color="auto"/>
              <w:bottom w:val="single" w:sz="4" w:space="0" w:color="auto"/>
              <w:right w:val="single" w:sz="4" w:space="0" w:color="auto"/>
            </w:tcBorders>
            <w:shd w:val="clear" w:color="auto" w:fill="FFFFFF"/>
          </w:tcPr>
          <w:p w14:paraId="7D068509" w14:textId="33F33562" w:rsidR="00672237" w:rsidRDefault="00672237" w:rsidP="002F749C">
            <w:pPr>
              <w:spacing w:after="120"/>
              <w:rPr>
                <w:i/>
              </w:rPr>
            </w:pPr>
            <w:r w:rsidRPr="00376FCA">
              <w:rPr>
                <w:i/>
              </w:rPr>
              <w:t xml:space="preserve">Uveďte subjekty, ktorých sa zmeny predkladaného materiálu dotknú priamo aj nepriamo: </w:t>
            </w:r>
          </w:p>
          <w:p w14:paraId="5553A2BB" w14:textId="77777777" w:rsidR="004905FD" w:rsidRPr="001D7A26" w:rsidRDefault="004905FD" w:rsidP="004905FD">
            <w:pPr>
              <w:jc w:val="both"/>
            </w:pPr>
            <w:r w:rsidRPr="001D7A26">
              <w:t xml:space="preserve">Účtovné jednotky, ktoré v dvoch po sebe nasledujúcich účtovných obdobiach za každé z nich dosiahli čistý obrat viac ako 750 mil. eur a účtovné jednotky, ktoré zostavujú konsolidovanú účtovnú závierku najväčšej skupiny podnikov, ktoré v dvoch po sebe nasledujúcich účtovných obdobiach za každé z nich dosiahli konsolidované výnosy viac ako 750 mil. eur, ak majú stále miesto podnikania alebo trvalú podnikateľskú činnosť na území viacerých členských štátoch alebo viac ako jednu daňovú jurisdikciu. Tiež veľké dcérske účtovné jednotky, ktoré spĺňajú aspoň 2 kritériá (majetok viac ako 4 mil. €, obrat vyšší ako 8 mil.€ a 50 zamestnancov za 2 po sebe idúce účtovné obdobia), ktorých zahraničný konečný materský subjekt má sídlo mimo územia členských štátov a jeho konsolidované výnosy presiahli 750 mil. € v každom z 2 bezprostredne po sebe idúcich účtovných obdobiach a veľké organizačné zložky podniku zahraničnej právnickej osoby so sídlom mimo územia členských štátov, ktorej výnosy resp. konsolidované výnosy prekročili v každom z dvoch bezprostredne po sebe nasledujúcich účtovných obdobiach sumu 750 mil. €, ak sa na </w:t>
            </w:r>
            <w:proofErr w:type="spellStart"/>
            <w:r w:rsidRPr="001D7A26">
              <w:t>ne</w:t>
            </w:r>
            <w:proofErr w:type="spellEnd"/>
            <w:r w:rsidRPr="001D7A26">
              <w:t xml:space="preserve"> nevzťahuje oslobodenie z povinnosti uložiť správu s informáciami o dani z príjmov.</w:t>
            </w:r>
          </w:p>
          <w:p w14:paraId="46BDCB90" w14:textId="0496C71D" w:rsidR="00130C9B" w:rsidRPr="00376FCA" w:rsidRDefault="004905FD" w:rsidP="004905FD">
            <w:pPr>
              <w:jc w:val="both"/>
            </w:pPr>
            <w:r w:rsidRPr="001D7A26">
              <w:br/>
              <w:t>Zvýšenie periodicity vykonávania inventarizácie určitého hmotného majetku sa dotkne účtovných jednotiek verejnej správy, ktorými sú štátne rozpočtové organizácie a príspevkové organizácie, obce, vyššie územné celky, štátne fondy, rozpočtové organizácie a príspevkové organizácie v zriaďovateľskej pôsobnosti obcí a vyšších územných celkov</w:t>
            </w:r>
            <w:r w:rsidRPr="007863C6">
              <w:rPr>
                <w:rFonts w:ascii="Times" w:hAnsi="Times" w:cs="Times"/>
              </w:rPr>
              <w:t>.</w:t>
            </w:r>
          </w:p>
        </w:tc>
      </w:tr>
      <w:tr w:rsidR="00672237" w:rsidRPr="00391793" w14:paraId="2FE1AB15" w14:textId="77777777" w:rsidTr="00861281">
        <w:tc>
          <w:tcPr>
            <w:tcW w:w="9180" w:type="dxa"/>
            <w:gridSpan w:val="10"/>
            <w:tcBorders>
              <w:top w:val="single" w:sz="4" w:space="0" w:color="auto"/>
              <w:left w:val="single" w:sz="4" w:space="0" w:color="auto"/>
              <w:bottom w:val="nil"/>
              <w:right w:val="single" w:sz="4" w:space="0" w:color="auto"/>
            </w:tcBorders>
            <w:shd w:val="clear" w:color="auto" w:fill="E2E2E2"/>
          </w:tcPr>
          <w:p w14:paraId="31088BA3" w14:textId="77777777" w:rsidR="00672237" w:rsidRPr="00376FCA" w:rsidRDefault="00672237" w:rsidP="00672237">
            <w:pPr>
              <w:numPr>
                <w:ilvl w:val="0"/>
                <w:numId w:val="1"/>
              </w:numPr>
              <w:ind w:left="426"/>
              <w:contextualSpacing/>
              <w:rPr>
                <w:rFonts w:eastAsia="Calibri"/>
                <w:b/>
              </w:rPr>
            </w:pPr>
            <w:r w:rsidRPr="00376FCA">
              <w:rPr>
                <w:rFonts w:eastAsia="Calibri"/>
                <w:b/>
              </w:rPr>
              <w:lastRenderedPageBreak/>
              <w:t>Alternatívne riešenia</w:t>
            </w:r>
          </w:p>
        </w:tc>
      </w:tr>
      <w:tr w:rsidR="00672237" w:rsidRPr="00391793" w14:paraId="5AF328F4" w14:textId="77777777" w:rsidTr="00861281">
        <w:trPr>
          <w:trHeight w:val="1524"/>
        </w:trPr>
        <w:tc>
          <w:tcPr>
            <w:tcW w:w="9180" w:type="dxa"/>
            <w:gridSpan w:val="10"/>
            <w:tcBorders>
              <w:top w:val="nil"/>
              <w:left w:val="single" w:sz="4" w:space="0" w:color="auto"/>
              <w:bottom w:val="single" w:sz="4" w:space="0" w:color="auto"/>
              <w:right w:val="single" w:sz="4" w:space="0" w:color="auto"/>
            </w:tcBorders>
            <w:shd w:val="clear" w:color="auto" w:fill="FFFFFF"/>
          </w:tcPr>
          <w:p w14:paraId="14BE7B3B" w14:textId="0FD0EDFD" w:rsidR="00672237" w:rsidRDefault="00672237" w:rsidP="002F749C">
            <w:pPr>
              <w:spacing w:after="120"/>
              <w:jc w:val="both"/>
              <w:rPr>
                <w:i/>
              </w:rPr>
            </w:pPr>
            <w:r w:rsidRPr="00376FCA">
              <w:rPr>
                <w:i/>
              </w:rPr>
              <w:t>Aké alternatívne riešenia vedúce k stanovenému cieľu boli identifikované a posudzované pre riešenie definovaného problému?</w:t>
            </w:r>
          </w:p>
          <w:p w14:paraId="1CC53EEB" w14:textId="39C3F035" w:rsidR="00672237" w:rsidRPr="00376FCA" w:rsidRDefault="00672237" w:rsidP="002F749C">
            <w:pPr>
              <w:spacing w:after="120"/>
              <w:jc w:val="both"/>
              <w:rPr>
                <w:i/>
              </w:rPr>
            </w:pPr>
            <w:r w:rsidRPr="00376FCA">
              <w:rPr>
                <w:i/>
              </w:rPr>
              <w:t>Nulový variant - uveďte dôsledky, ku ktorým by došlo v prípade nevykonania úprav</w:t>
            </w:r>
            <w:r w:rsidR="002F749C">
              <w:rPr>
                <w:i/>
              </w:rPr>
              <w:t xml:space="preserve">                                    </w:t>
            </w:r>
            <w:r w:rsidRPr="00376FCA">
              <w:rPr>
                <w:i/>
              </w:rPr>
              <w:t xml:space="preserve"> v predkladanom materiáli a alternatívne riešenia/spôsoby dosiahnutia cieľov uvedených v bode 3.</w:t>
            </w:r>
          </w:p>
          <w:p w14:paraId="1467534B" w14:textId="4BB66307" w:rsidR="00672237" w:rsidRPr="00376FCA" w:rsidRDefault="004905FD" w:rsidP="00D43128">
            <w:pPr>
              <w:jc w:val="both"/>
            </w:pPr>
            <w:r w:rsidRPr="001D7A26">
              <w:t>V prípade nulového variantu by Slovenská republika nesplnila povinnosť transpozície smernice (EÚ) 2021/2101, ktorá musí byť transponovaná do 22. júna 2023.</w:t>
            </w:r>
          </w:p>
        </w:tc>
      </w:tr>
      <w:tr w:rsidR="00672237" w:rsidRPr="00391793" w14:paraId="1A7FE4FC" w14:textId="77777777" w:rsidTr="00861281">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3D770822" w14:textId="77777777" w:rsidR="00672237" w:rsidRPr="00376FCA" w:rsidRDefault="00672237" w:rsidP="00672237">
            <w:pPr>
              <w:numPr>
                <w:ilvl w:val="0"/>
                <w:numId w:val="6"/>
              </w:numPr>
              <w:contextualSpacing/>
              <w:rPr>
                <w:rFonts w:eastAsia="Calibri"/>
                <w:b/>
              </w:rPr>
            </w:pPr>
            <w:r w:rsidRPr="00376FCA">
              <w:rPr>
                <w:rFonts w:eastAsia="Calibri"/>
                <w:b/>
              </w:rPr>
              <w:t>Vykonávacie predpisy</w:t>
            </w:r>
          </w:p>
        </w:tc>
      </w:tr>
      <w:tr w:rsidR="00672237" w:rsidRPr="00391793" w14:paraId="64984CD6" w14:textId="77777777" w:rsidTr="00861281">
        <w:tc>
          <w:tcPr>
            <w:tcW w:w="6203" w:type="dxa"/>
            <w:gridSpan w:val="6"/>
            <w:tcBorders>
              <w:top w:val="single" w:sz="4" w:space="0" w:color="FFFFFF"/>
              <w:left w:val="single" w:sz="4" w:space="0" w:color="auto"/>
              <w:bottom w:val="nil"/>
              <w:right w:val="nil"/>
            </w:tcBorders>
            <w:shd w:val="clear" w:color="auto" w:fill="FFFFFF"/>
          </w:tcPr>
          <w:p w14:paraId="378048DA" w14:textId="77777777" w:rsidR="00672237" w:rsidRPr="00376FCA" w:rsidRDefault="00672237" w:rsidP="00861281">
            <w:pPr>
              <w:rPr>
                <w:i/>
              </w:rPr>
            </w:pPr>
            <w:r w:rsidRPr="00376FCA">
              <w:rPr>
                <w:i/>
              </w:rPr>
              <w:t>Predpokladá sa prijatie/zmena vykonávacích predpisov?</w:t>
            </w:r>
          </w:p>
        </w:tc>
        <w:tc>
          <w:tcPr>
            <w:tcW w:w="1417" w:type="dxa"/>
            <w:gridSpan w:val="2"/>
            <w:tcBorders>
              <w:top w:val="single" w:sz="4" w:space="0" w:color="FFFFFF"/>
              <w:left w:val="nil"/>
              <w:bottom w:val="nil"/>
              <w:right w:val="nil"/>
            </w:tcBorders>
            <w:shd w:val="clear" w:color="auto" w:fill="FFFFFF"/>
          </w:tcPr>
          <w:p w14:paraId="4F779A9A" w14:textId="7D60D963" w:rsidR="00672237" w:rsidRPr="00376FCA" w:rsidRDefault="003A73D9" w:rsidP="00861281">
            <w:pPr>
              <w:jc w:val="center"/>
              <w:rPr>
                <w:b/>
              </w:rPr>
            </w:pPr>
            <w:sdt>
              <w:sdtPr>
                <w:rPr>
                  <w:b/>
                </w:rPr>
                <w:id w:val="1929613764"/>
                <w14:checkbox>
                  <w14:checked w14:val="1"/>
                  <w14:checkedState w14:val="2612" w14:font="MS Gothic"/>
                  <w14:uncheckedState w14:val="2610" w14:font="MS Gothic"/>
                </w14:checkbox>
              </w:sdtPr>
              <w:sdtEndPr/>
              <w:sdtContent>
                <w:r w:rsidR="00C71909">
                  <w:rPr>
                    <w:rFonts w:ascii="MS Gothic" w:eastAsia="MS Gothic" w:hAnsi="MS Gothic" w:hint="eastAsia"/>
                    <w:b/>
                  </w:rPr>
                  <w:t>☒</w:t>
                </w:r>
              </w:sdtContent>
            </w:sdt>
            <w:r w:rsidR="00672237" w:rsidRPr="00376FCA">
              <w:rPr>
                <w:b/>
              </w:rPr>
              <w:t xml:space="preserve">  Áno</w:t>
            </w:r>
          </w:p>
        </w:tc>
        <w:tc>
          <w:tcPr>
            <w:tcW w:w="1560" w:type="dxa"/>
            <w:gridSpan w:val="2"/>
            <w:tcBorders>
              <w:top w:val="single" w:sz="4" w:space="0" w:color="FFFFFF"/>
              <w:left w:val="nil"/>
              <w:bottom w:val="nil"/>
              <w:right w:val="single" w:sz="4" w:space="0" w:color="auto"/>
            </w:tcBorders>
            <w:shd w:val="clear" w:color="auto" w:fill="FFFFFF"/>
          </w:tcPr>
          <w:p w14:paraId="3A72E3C2" w14:textId="6B11665F" w:rsidR="00672237" w:rsidRPr="00376FCA" w:rsidRDefault="003A73D9" w:rsidP="00861281">
            <w:pPr>
              <w:jc w:val="center"/>
              <w:rPr>
                <w:b/>
              </w:rPr>
            </w:pPr>
            <w:sdt>
              <w:sdtPr>
                <w:rPr>
                  <w:b/>
                </w:rPr>
                <w:id w:val="-1594626508"/>
                <w14:checkbox>
                  <w14:checked w14:val="0"/>
                  <w14:checkedState w14:val="2612" w14:font="MS Gothic"/>
                  <w14:uncheckedState w14:val="2610" w14:font="MS Gothic"/>
                </w14:checkbox>
              </w:sdtPr>
              <w:sdtEndPr/>
              <w:sdtContent>
                <w:r w:rsidR="00C71909">
                  <w:rPr>
                    <w:rFonts w:ascii="MS Gothic" w:eastAsia="MS Gothic" w:hAnsi="MS Gothic" w:hint="eastAsia"/>
                    <w:b/>
                  </w:rPr>
                  <w:t>☐</w:t>
                </w:r>
              </w:sdtContent>
            </w:sdt>
            <w:r w:rsidR="00672237" w:rsidRPr="00376FCA">
              <w:rPr>
                <w:b/>
              </w:rPr>
              <w:t xml:space="preserve">  Nie</w:t>
            </w:r>
          </w:p>
        </w:tc>
      </w:tr>
      <w:tr w:rsidR="00672237" w:rsidRPr="00391793" w14:paraId="76D69820" w14:textId="77777777" w:rsidTr="00861281">
        <w:tc>
          <w:tcPr>
            <w:tcW w:w="9180" w:type="dxa"/>
            <w:gridSpan w:val="10"/>
            <w:tcBorders>
              <w:top w:val="nil"/>
              <w:left w:val="single" w:sz="4" w:space="0" w:color="auto"/>
              <w:bottom w:val="single" w:sz="4" w:space="0" w:color="auto"/>
              <w:right w:val="single" w:sz="4" w:space="0" w:color="auto"/>
            </w:tcBorders>
            <w:shd w:val="clear" w:color="auto" w:fill="FFFFFF"/>
          </w:tcPr>
          <w:p w14:paraId="46B83D46" w14:textId="4BC3614D" w:rsidR="00672237" w:rsidRPr="00894836" w:rsidRDefault="00672237" w:rsidP="00861281">
            <w:pPr>
              <w:rPr>
                <w:i/>
              </w:rPr>
            </w:pPr>
            <w:r w:rsidRPr="00894836">
              <w:rPr>
                <w:i/>
              </w:rPr>
              <w:t>Ak áno, uveďte ktoré oblasti budú nimi upravené, resp. ktorých vykonávacích predpisov sa zmena dotkne:</w:t>
            </w:r>
          </w:p>
          <w:p w14:paraId="03340DF0" w14:textId="77777777" w:rsidR="004905FD" w:rsidRDefault="004905FD" w:rsidP="00073217">
            <w:pPr>
              <w:jc w:val="both"/>
            </w:pPr>
          </w:p>
          <w:p w14:paraId="2513775B" w14:textId="1BA417D7" w:rsidR="00672237" w:rsidRPr="00E158E9" w:rsidRDefault="004905FD" w:rsidP="00073217">
            <w:pPr>
              <w:jc w:val="both"/>
              <w:rPr>
                <w:highlight w:val="yellow"/>
              </w:rPr>
            </w:pPr>
            <w:r w:rsidRPr="001D7A26">
              <w:t>Opatrenie Ministerstva financií Slovenskej republiky, v ktorom sa bližšie upraví obsah správy s informáciami o dani z príjmov a spoločný vzor a elektronický formát tejto správy v nadväznosti na vykonávací akt Komisie, ktorý má byť prijatý koncom roka 2022, najneskôr v roku 2023. Obsah správy s informáciami o dani z príjmov budú tvoriť informácie podľa čl. 48c smernice (EÚ) 2021/2101 ako napr. počet zamestnancov, suma výnosov vrátane sumy výnosov z transakcií so spriaznenými stranami, suma zisku alebo straty pred zdanením, suma vzniknutej dane z príjmov, suma dane z príjmov zaplatenej na hotovostnom základe a suma akumulovaných ziskov na konci príslušného účtovného obdobia.</w:t>
            </w:r>
          </w:p>
        </w:tc>
      </w:tr>
      <w:tr w:rsidR="00672237" w:rsidRPr="00391793" w14:paraId="382A5CF8" w14:textId="77777777" w:rsidTr="00861281">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2196FB10" w14:textId="77777777" w:rsidR="00672237" w:rsidRPr="00376FCA" w:rsidRDefault="00672237" w:rsidP="00672237">
            <w:pPr>
              <w:numPr>
                <w:ilvl w:val="0"/>
                <w:numId w:val="6"/>
              </w:numPr>
              <w:ind w:left="426"/>
              <w:contextualSpacing/>
              <w:rPr>
                <w:rFonts w:eastAsia="Calibri"/>
                <w:b/>
              </w:rPr>
            </w:pPr>
            <w:r w:rsidRPr="00376FCA">
              <w:rPr>
                <w:rFonts w:eastAsia="Calibri"/>
                <w:b/>
              </w:rPr>
              <w:t xml:space="preserve">Transpozícia práva EÚ </w:t>
            </w:r>
          </w:p>
        </w:tc>
      </w:tr>
      <w:tr w:rsidR="00672237" w:rsidRPr="00391793" w14:paraId="6D9D6040" w14:textId="77777777" w:rsidTr="00861281">
        <w:trPr>
          <w:trHeight w:val="157"/>
        </w:trPr>
        <w:tc>
          <w:tcPr>
            <w:tcW w:w="9180" w:type="dxa"/>
            <w:gridSpan w:val="10"/>
            <w:tcBorders>
              <w:top w:val="nil"/>
              <w:left w:val="single" w:sz="4" w:space="0" w:color="000000"/>
              <w:bottom w:val="nil"/>
              <w:right w:val="single" w:sz="4" w:space="0" w:color="auto"/>
            </w:tcBorders>
            <w:shd w:val="clear" w:color="auto" w:fill="FFFFFF"/>
          </w:tcPr>
          <w:p w14:paraId="4C3D6CDC" w14:textId="4BBC9830" w:rsidR="00672237" w:rsidRDefault="00672237" w:rsidP="00861281">
            <w:pPr>
              <w:jc w:val="both"/>
              <w:rPr>
                <w:i/>
              </w:rPr>
            </w:pPr>
            <w:r w:rsidRPr="00376FCA">
              <w:rPr>
                <w:i/>
              </w:rPr>
              <w:t xml:space="preserve">Uveďte, v ktorých konkrétnych ustanoveniach (paragrafy, články, body, atď.) ide národná právna úprava nad rámec minimálnych </w:t>
            </w:r>
            <w:r w:rsidRPr="00734006">
              <w:rPr>
                <w:i/>
              </w:rPr>
              <w:t xml:space="preserve">požiadaviek EÚ (tzv. </w:t>
            </w:r>
            <w:proofErr w:type="spellStart"/>
            <w:r w:rsidRPr="00734006">
              <w:rPr>
                <w:i/>
              </w:rPr>
              <w:t>goldplating</w:t>
            </w:r>
            <w:proofErr w:type="spellEnd"/>
            <w:r w:rsidRPr="00734006">
              <w:rPr>
                <w:i/>
              </w:rPr>
              <w:t>) spolu</w:t>
            </w:r>
            <w:r w:rsidR="002F749C">
              <w:rPr>
                <w:i/>
              </w:rPr>
              <w:t xml:space="preserve">                                                   </w:t>
            </w:r>
            <w:r w:rsidRPr="00734006">
              <w:rPr>
                <w:i/>
              </w:rPr>
              <w:t xml:space="preserve"> s odôvodnením opodstatnenosti presahu.</w:t>
            </w:r>
          </w:p>
          <w:p w14:paraId="6284295F" w14:textId="77777777" w:rsidR="004905FD" w:rsidRDefault="004905FD" w:rsidP="00556D63">
            <w:pPr>
              <w:jc w:val="both"/>
            </w:pPr>
          </w:p>
          <w:p w14:paraId="3B81621A" w14:textId="1C15EAD1" w:rsidR="00672237" w:rsidRPr="004905FD" w:rsidRDefault="004905FD" w:rsidP="00556D63">
            <w:pPr>
              <w:jc w:val="both"/>
              <w:rPr>
                <w:iCs/>
              </w:rPr>
            </w:pPr>
            <w:r w:rsidRPr="004905FD">
              <w:t xml:space="preserve">V návrhu zákona nie sú zapracované úpravy zákona o účtovníctve, ktoré by predstavovali </w:t>
            </w:r>
            <w:proofErr w:type="spellStart"/>
            <w:r w:rsidRPr="004905FD">
              <w:t>goldplating</w:t>
            </w:r>
            <w:proofErr w:type="spellEnd"/>
            <w:r w:rsidRPr="004905FD">
              <w:t xml:space="preserve">. </w:t>
            </w:r>
          </w:p>
        </w:tc>
      </w:tr>
      <w:tr w:rsidR="00672237" w:rsidRPr="00391793" w14:paraId="2B560419" w14:textId="77777777" w:rsidTr="00861281">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cPr>
          <w:p w14:paraId="49826B2A" w14:textId="77777777" w:rsidR="00672237" w:rsidRPr="00376FCA" w:rsidRDefault="00672237" w:rsidP="00861281"/>
        </w:tc>
      </w:tr>
      <w:tr w:rsidR="00672237" w:rsidRPr="00391793" w14:paraId="690B3980" w14:textId="77777777" w:rsidTr="00861281">
        <w:tc>
          <w:tcPr>
            <w:tcW w:w="9180" w:type="dxa"/>
            <w:gridSpan w:val="10"/>
            <w:tcBorders>
              <w:top w:val="single" w:sz="4" w:space="0" w:color="auto"/>
              <w:left w:val="single" w:sz="4" w:space="0" w:color="auto"/>
              <w:bottom w:val="single" w:sz="4" w:space="0" w:color="FFFFFF"/>
              <w:right w:val="single" w:sz="4" w:space="0" w:color="auto"/>
            </w:tcBorders>
            <w:shd w:val="clear" w:color="auto" w:fill="E2E2E2"/>
          </w:tcPr>
          <w:p w14:paraId="1DE804C2" w14:textId="77777777" w:rsidR="00672237" w:rsidRPr="00376FCA" w:rsidRDefault="00672237" w:rsidP="00672237">
            <w:pPr>
              <w:numPr>
                <w:ilvl w:val="0"/>
                <w:numId w:val="6"/>
              </w:numPr>
              <w:ind w:left="426"/>
              <w:contextualSpacing/>
              <w:rPr>
                <w:rFonts w:eastAsia="Calibri"/>
                <w:b/>
              </w:rPr>
            </w:pPr>
            <w:r w:rsidRPr="00376FCA">
              <w:rPr>
                <w:rFonts w:eastAsia="Calibri"/>
                <w:b/>
              </w:rPr>
              <w:t>Preskúmanie účelnosti</w:t>
            </w:r>
          </w:p>
        </w:tc>
      </w:tr>
      <w:tr w:rsidR="00672237" w:rsidRPr="00391793" w14:paraId="3995C05A" w14:textId="77777777" w:rsidTr="00861281">
        <w:tc>
          <w:tcPr>
            <w:tcW w:w="9180" w:type="dxa"/>
            <w:gridSpan w:val="10"/>
            <w:tcBorders>
              <w:top w:val="single" w:sz="4" w:space="0" w:color="FFFFFF"/>
              <w:left w:val="single" w:sz="4" w:space="0" w:color="auto"/>
              <w:bottom w:val="single" w:sz="4" w:space="0" w:color="auto"/>
              <w:right w:val="single" w:sz="4" w:space="0" w:color="auto"/>
            </w:tcBorders>
            <w:shd w:val="clear" w:color="auto" w:fill="FFFFFF"/>
          </w:tcPr>
          <w:p w14:paraId="6EA9D816" w14:textId="77777777" w:rsidR="00672237" w:rsidRPr="00376FCA" w:rsidRDefault="00672237" w:rsidP="00861281">
            <w:pPr>
              <w:rPr>
                <w:i/>
              </w:rPr>
            </w:pPr>
            <w:r w:rsidRPr="00376FCA">
              <w:rPr>
                <w:i/>
              </w:rPr>
              <w:t>Uveďte termín, kedy by malo dôjsť k preskúmaniu účinnosti a účelnosti predkladaného materiálu.</w:t>
            </w:r>
          </w:p>
          <w:p w14:paraId="48FE1C39" w14:textId="222E7D79" w:rsidR="00672237" w:rsidRDefault="00672237" w:rsidP="002F749C">
            <w:pPr>
              <w:spacing w:after="120"/>
              <w:rPr>
                <w:i/>
              </w:rPr>
            </w:pPr>
            <w:r w:rsidRPr="00376FCA">
              <w:rPr>
                <w:i/>
              </w:rPr>
              <w:t>Uveďte kritériá, na základe ktorých bude preskúmanie vykonané.</w:t>
            </w:r>
          </w:p>
          <w:p w14:paraId="6F08A458" w14:textId="461BD39D" w:rsidR="00672237" w:rsidRPr="00376FCA" w:rsidRDefault="004905FD" w:rsidP="002F749C">
            <w:pPr>
              <w:jc w:val="both"/>
            </w:pPr>
            <w:r w:rsidRPr="001D7A26">
              <w:t>Do 22. júna 2027 Komisia predloží správu o dodržiavaní a o vplyve povinností podávať správy stanovených v článkoch 48a až 48f podľa smernice (EÚ) 2021/2101, a so zreteľom na situáciu na úrovni OECD, potrebu zabezpečiť dostatočnú úroveň transparentnosti a potrebu zachovať a zabezpečiť konkurenčné prostredie pre podniky a súkromné investície, preskúma a posúdi najmä, či by bolo vhodné rozšíriť povinnosť podávať správy s informáciami o dani z príjmov stanovenú v článku 48b na veľké podniky v zmysle vymedzenia v článku 3 ods. 4 a na veľké skupiny v zmysle vymedzenia v článku 3 ods. 7, ako aj rozšíriť obsah správy s informáciami o dani z príjmov uvedenú v článku 48c o ďalšie položky.</w:t>
            </w:r>
          </w:p>
        </w:tc>
      </w:tr>
      <w:tr w:rsidR="00672237" w:rsidRPr="00391793" w14:paraId="7090A8AA" w14:textId="77777777" w:rsidTr="00861281">
        <w:tc>
          <w:tcPr>
            <w:tcW w:w="9180" w:type="dxa"/>
            <w:gridSpan w:val="10"/>
            <w:tcBorders>
              <w:top w:val="nil"/>
              <w:left w:val="nil"/>
              <w:bottom w:val="single" w:sz="4" w:space="0" w:color="auto"/>
              <w:right w:val="nil"/>
            </w:tcBorders>
            <w:shd w:val="clear" w:color="auto" w:fill="FFFFFF"/>
          </w:tcPr>
          <w:p w14:paraId="0F6C761F" w14:textId="52267AE2" w:rsidR="00672237" w:rsidRPr="002F749C" w:rsidRDefault="00672237" w:rsidP="002F749C">
            <w:pPr>
              <w:rPr>
                <w:sz w:val="20"/>
                <w:szCs w:val="20"/>
              </w:rPr>
            </w:pPr>
            <w:r w:rsidRPr="002F749C">
              <w:rPr>
                <w:sz w:val="20"/>
                <w:szCs w:val="20"/>
              </w:rPr>
              <w:t xml:space="preserve">* vyplniť iba v prípade, ak materiál nie je zahrnutý do Plánu práce vlády Slovenskej republiky alebo Plánu legislatívnych úloh vlády Slovenskej republiky. </w:t>
            </w:r>
          </w:p>
          <w:p w14:paraId="13BF8C8F" w14:textId="77777777" w:rsidR="00672237" w:rsidRDefault="00672237" w:rsidP="002F749C">
            <w:pPr>
              <w:spacing w:after="120"/>
              <w:rPr>
                <w:sz w:val="20"/>
                <w:szCs w:val="20"/>
              </w:rPr>
            </w:pPr>
            <w:r w:rsidRPr="002F749C">
              <w:rPr>
                <w:sz w:val="20"/>
                <w:szCs w:val="20"/>
              </w:rPr>
              <w:t>** vyplniť iba v prípade, ak sa záverečné posúdenie vybraných vplyvov uskutočnilo v zmysle bodu 9.1. jednotnej metodiky.</w:t>
            </w:r>
          </w:p>
          <w:p w14:paraId="36800897" w14:textId="77777777" w:rsidR="004905FD" w:rsidRDefault="004905FD" w:rsidP="002F749C">
            <w:pPr>
              <w:spacing w:after="120"/>
              <w:rPr>
                <w:sz w:val="20"/>
                <w:szCs w:val="20"/>
              </w:rPr>
            </w:pPr>
          </w:p>
          <w:p w14:paraId="68D65CFF" w14:textId="77777777" w:rsidR="004905FD" w:rsidRDefault="004905FD" w:rsidP="002F749C">
            <w:pPr>
              <w:spacing w:after="120"/>
              <w:rPr>
                <w:sz w:val="20"/>
                <w:szCs w:val="20"/>
              </w:rPr>
            </w:pPr>
          </w:p>
          <w:p w14:paraId="3E9B8D83" w14:textId="4E4542F4" w:rsidR="004905FD" w:rsidRPr="002F749C" w:rsidRDefault="004905FD" w:rsidP="002F749C">
            <w:pPr>
              <w:spacing w:after="120"/>
              <w:rPr>
                <w:sz w:val="20"/>
                <w:szCs w:val="20"/>
              </w:rPr>
            </w:pPr>
          </w:p>
        </w:tc>
      </w:tr>
      <w:tr w:rsidR="00672237" w:rsidRPr="00391793" w14:paraId="2F8A7C7C" w14:textId="77777777" w:rsidTr="00861281">
        <w:trPr>
          <w:trHeight w:val="283"/>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vAlign w:val="center"/>
          </w:tcPr>
          <w:p w14:paraId="78A365EF" w14:textId="77777777" w:rsidR="00672237" w:rsidRPr="00376FCA" w:rsidRDefault="00672237" w:rsidP="00672237">
            <w:pPr>
              <w:numPr>
                <w:ilvl w:val="0"/>
                <w:numId w:val="6"/>
              </w:numPr>
              <w:ind w:left="426"/>
              <w:contextualSpacing/>
              <w:rPr>
                <w:rFonts w:eastAsia="Calibri"/>
                <w:b/>
              </w:rPr>
            </w:pPr>
            <w:r w:rsidRPr="00376FCA">
              <w:rPr>
                <w:rFonts w:eastAsia="Calibri"/>
                <w:b/>
              </w:rPr>
              <w:lastRenderedPageBreak/>
              <w:t>Vybrané vplyvy  materiálu</w:t>
            </w:r>
          </w:p>
        </w:tc>
      </w:tr>
      <w:tr w:rsidR="00672237" w:rsidRPr="00391793" w14:paraId="0619531F" w14:textId="77777777" w:rsidTr="00861281">
        <w:tc>
          <w:tcPr>
            <w:tcW w:w="3812" w:type="dxa"/>
            <w:tcBorders>
              <w:top w:val="single" w:sz="4" w:space="0" w:color="auto"/>
              <w:left w:val="single" w:sz="4" w:space="0" w:color="auto"/>
              <w:bottom w:val="nil"/>
              <w:right w:val="single" w:sz="4" w:space="0" w:color="auto"/>
            </w:tcBorders>
            <w:shd w:val="clear" w:color="auto" w:fill="E2E2E2"/>
          </w:tcPr>
          <w:p w14:paraId="6ED661DB" w14:textId="77777777" w:rsidR="00672237" w:rsidRPr="00376FCA" w:rsidRDefault="00672237" w:rsidP="00861281">
            <w:pPr>
              <w:rPr>
                <w:b/>
              </w:rPr>
            </w:pPr>
            <w:r w:rsidRPr="00376FCA">
              <w:rPr>
                <w:b/>
              </w:rPr>
              <w:t>Vplyvy na rozpočet verejnej správy</w:t>
            </w:r>
          </w:p>
        </w:tc>
        <w:sdt>
          <w:sdtPr>
            <w:rPr>
              <w:b/>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14:paraId="31751355" w14:textId="27EA627C" w:rsidR="00672237" w:rsidRPr="00376FCA" w:rsidRDefault="00672237" w:rsidP="00861281">
                <w:pPr>
                  <w:jc w:val="center"/>
                  <w:rPr>
                    <w:b/>
                  </w:rPr>
                </w:pPr>
                <w:r w:rsidRPr="00376FCA">
                  <w:rPr>
                    <w:rFonts w:ascii="Segoe UI Symbol" w:eastAsia="MS Gothic" w:hAnsi="Segoe UI Symbol" w:cs="Segoe UI Symbol"/>
                    <w:b/>
                  </w:rPr>
                  <w:t>☐</w:t>
                </w:r>
              </w:p>
            </w:tc>
          </w:sdtContent>
        </w:sdt>
        <w:tc>
          <w:tcPr>
            <w:tcW w:w="1312" w:type="dxa"/>
            <w:gridSpan w:val="2"/>
            <w:tcBorders>
              <w:top w:val="single" w:sz="4" w:space="0" w:color="auto"/>
              <w:left w:val="nil"/>
              <w:bottom w:val="dotted" w:sz="4" w:space="0" w:color="auto"/>
              <w:right w:val="nil"/>
            </w:tcBorders>
          </w:tcPr>
          <w:p w14:paraId="7373789F" w14:textId="77777777" w:rsidR="00672237" w:rsidRPr="00376FCA" w:rsidRDefault="00672237" w:rsidP="00861281">
            <w:pPr>
              <w:rPr>
                <w:b/>
              </w:rPr>
            </w:pPr>
            <w:r w:rsidRPr="00376FCA">
              <w:rPr>
                <w:b/>
              </w:rPr>
              <w:t>Pozitívne</w:t>
            </w:r>
          </w:p>
        </w:tc>
        <w:sdt>
          <w:sdtPr>
            <w:rPr>
              <w:b/>
            </w:rPr>
            <w:id w:val="-1481296198"/>
            <w14:checkbox>
              <w14:checked w14:val="0"/>
              <w14:checkedState w14:val="2612" w14:font="MS Gothic"/>
              <w14:uncheckedState w14:val="2610" w14:font="MS Gothic"/>
            </w14:checkbox>
          </w:sdtPr>
          <w:sdtEndPr/>
          <w:sdtContent>
            <w:tc>
              <w:tcPr>
                <w:tcW w:w="538" w:type="dxa"/>
                <w:tcBorders>
                  <w:top w:val="single" w:sz="4" w:space="0" w:color="auto"/>
                  <w:left w:val="nil"/>
                  <w:bottom w:val="dotted" w:sz="4" w:space="0" w:color="auto"/>
                  <w:right w:val="nil"/>
                </w:tcBorders>
              </w:tcPr>
              <w:p w14:paraId="2FE75650" w14:textId="41BCF656" w:rsidR="00672237" w:rsidRPr="00376FCA" w:rsidRDefault="00242E37" w:rsidP="00861281">
                <w:pPr>
                  <w:jc w:val="center"/>
                  <w:rPr>
                    <w:b/>
                  </w:rPr>
                </w:pPr>
                <w:r>
                  <w:rPr>
                    <w:rFonts w:ascii="MS Gothic" w:eastAsia="MS Gothic" w:hAnsi="MS Gothic" w:hint="eastAsia"/>
                    <w:b/>
                  </w:rPr>
                  <w:t>☐</w:t>
                </w:r>
              </w:p>
            </w:tc>
          </w:sdtContent>
        </w:sdt>
        <w:tc>
          <w:tcPr>
            <w:tcW w:w="1133" w:type="dxa"/>
            <w:tcBorders>
              <w:top w:val="single" w:sz="4" w:space="0" w:color="auto"/>
              <w:left w:val="nil"/>
              <w:bottom w:val="dotted" w:sz="4" w:space="0" w:color="auto"/>
              <w:right w:val="nil"/>
            </w:tcBorders>
          </w:tcPr>
          <w:p w14:paraId="58E6F9ED" w14:textId="77777777" w:rsidR="00672237" w:rsidRPr="00376FCA" w:rsidRDefault="00672237" w:rsidP="00861281">
            <w:pPr>
              <w:rPr>
                <w:b/>
              </w:rPr>
            </w:pPr>
            <w:r w:rsidRPr="00376FCA">
              <w:rPr>
                <w:b/>
              </w:rPr>
              <w:t>Žiadne</w:t>
            </w:r>
          </w:p>
        </w:tc>
        <w:sdt>
          <w:sdtPr>
            <w:rPr>
              <w:b/>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14:paraId="300EE226" w14:textId="7D700602" w:rsidR="00672237" w:rsidRPr="00376FCA" w:rsidRDefault="00242E37" w:rsidP="00861281">
                <w:pPr>
                  <w:ind w:left="-107" w:right="-108"/>
                  <w:jc w:val="center"/>
                  <w:rPr>
                    <w:b/>
                  </w:rPr>
                </w:pPr>
                <w:r>
                  <w:rPr>
                    <w:rFonts w:ascii="MS Gothic" w:eastAsia="MS Gothic" w:hAnsi="MS Gothic" w:cs="Segoe UI Symbol" w:hint="eastAsia"/>
                    <w:b/>
                  </w:rPr>
                  <w:t>☒</w:t>
                </w:r>
              </w:p>
            </w:tc>
          </w:sdtContent>
        </w:sdt>
        <w:tc>
          <w:tcPr>
            <w:tcW w:w="1297" w:type="dxa"/>
            <w:tcBorders>
              <w:top w:val="single" w:sz="4" w:space="0" w:color="auto"/>
              <w:left w:val="nil"/>
              <w:bottom w:val="dotted" w:sz="4" w:space="0" w:color="auto"/>
              <w:right w:val="single" w:sz="4" w:space="0" w:color="auto"/>
            </w:tcBorders>
          </w:tcPr>
          <w:p w14:paraId="4606989B" w14:textId="77777777" w:rsidR="00672237" w:rsidRPr="00376FCA" w:rsidRDefault="00672237" w:rsidP="00861281">
            <w:pPr>
              <w:ind w:left="34"/>
              <w:rPr>
                <w:b/>
              </w:rPr>
            </w:pPr>
            <w:r w:rsidRPr="00376FCA">
              <w:rPr>
                <w:b/>
              </w:rPr>
              <w:t>Negatívne</w:t>
            </w:r>
          </w:p>
        </w:tc>
      </w:tr>
      <w:tr w:rsidR="00672237" w:rsidRPr="00391793" w14:paraId="41FDF10E" w14:textId="77777777" w:rsidTr="00861281">
        <w:tc>
          <w:tcPr>
            <w:tcW w:w="3812" w:type="dxa"/>
            <w:tcBorders>
              <w:top w:val="nil"/>
              <w:left w:val="single" w:sz="4" w:space="0" w:color="auto"/>
              <w:bottom w:val="single" w:sz="4" w:space="0" w:color="000000"/>
              <w:right w:val="single" w:sz="4" w:space="0" w:color="auto"/>
            </w:tcBorders>
            <w:shd w:val="clear" w:color="auto" w:fill="E2E2E2"/>
          </w:tcPr>
          <w:p w14:paraId="76348B32" w14:textId="2DE936DB" w:rsidR="00672237" w:rsidRPr="00376FCA" w:rsidRDefault="00672237" w:rsidP="00861281">
            <w:r w:rsidRPr="00376FCA">
              <w:t>z toho rozpočt</w:t>
            </w:r>
            <w:r w:rsidR="002F749C">
              <w:t xml:space="preserve">ovo zabezpečené vplyvy, </w:t>
            </w:r>
            <w:r w:rsidRPr="00376FCA">
              <w:t>v prípade identifikovaného negatívneho  vplyvu</w:t>
            </w:r>
          </w:p>
        </w:tc>
        <w:sdt>
          <w:sdtPr>
            <w:id w:val="-1143340457"/>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58CD011D" w14:textId="3E7D2E28" w:rsidR="00672237" w:rsidRPr="00376FCA" w:rsidRDefault="0005512E" w:rsidP="00861281">
                <w:pPr>
                  <w:jc w:val="center"/>
                </w:pPr>
                <w:r>
                  <w:rPr>
                    <w:rFonts w:ascii="MS Gothic" w:eastAsia="MS Gothic" w:hAnsi="MS Gothic" w:hint="eastAsia"/>
                  </w:rPr>
                  <w:t>☒</w:t>
                </w:r>
              </w:p>
            </w:tc>
          </w:sdtContent>
        </w:sdt>
        <w:tc>
          <w:tcPr>
            <w:tcW w:w="1312" w:type="dxa"/>
            <w:gridSpan w:val="2"/>
            <w:tcBorders>
              <w:top w:val="dotted" w:sz="4" w:space="0" w:color="auto"/>
              <w:left w:val="nil"/>
              <w:bottom w:val="single" w:sz="4" w:space="0" w:color="auto"/>
              <w:right w:val="nil"/>
            </w:tcBorders>
            <w:vAlign w:val="center"/>
          </w:tcPr>
          <w:p w14:paraId="4BB08A6E" w14:textId="77777777" w:rsidR="00672237" w:rsidRPr="00376FCA" w:rsidRDefault="00672237" w:rsidP="00861281">
            <w:r w:rsidRPr="00F54052">
              <w:t>Áno</w:t>
            </w:r>
          </w:p>
        </w:tc>
        <w:sdt>
          <w:sdtPr>
            <w:id w:val="405798427"/>
            <w14:checkbox>
              <w14:checked w14:val="0"/>
              <w14:checkedState w14:val="2612" w14:font="MS Gothic"/>
              <w14:uncheckedState w14:val="2610" w14:font="MS Gothic"/>
            </w14:checkbox>
          </w:sdtPr>
          <w:sdtEndPr/>
          <w:sdtContent>
            <w:tc>
              <w:tcPr>
                <w:tcW w:w="538" w:type="dxa"/>
                <w:tcBorders>
                  <w:top w:val="dotted" w:sz="4" w:space="0" w:color="auto"/>
                  <w:left w:val="nil"/>
                  <w:bottom w:val="single" w:sz="4" w:space="0" w:color="auto"/>
                  <w:right w:val="nil"/>
                </w:tcBorders>
                <w:vAlign w:val="center"/>
              </w:tcPr>
              <w:p w14:paraId="4EBB7015" w14:textId="0B4B184A" w:rsidR="00672237" w:rsidRPr="00376FCA" w:rsidRDefault="0005512E" w:rsidP="00861281">
                <w:pPr>
                  <w:jc w:val="center"/>
                </w:pPr>
                <w:r>
                  <w:rPr>
                    <w:rFonts w:ascii="MS Gothic" w:eastAsia="MS Gothic" w:hAnsi="MS Gothic" w:hint="eastAsia"/>
                  </w:rPr>
                  <w:t>☐</w:t>
                </w:r>
              </w:p>
            </w:tc>
          </w:sdtContent>
        </w:sdt>
        <w:tc>
          <w:tcPr>
            <w:tcW w:w="1133" w:type="dxa"/>
            <w:tcBorders>
              <w:top w:val="dotted" w:sz="4" w:space="0" w:color="auto"/>
              <w:left w:val="nil"/>
              <w:bottom w:val="single" w:sz="4" w:space="0" w:color="auto"/>
              <w:right w:val="nil"/>
            </w:tcBorders>
            <w:vAlign w:val="center"/>
          </w:tcPr>
          <w:p w14:paraId="07C7B278" w14:textId="77777777" w:rsidR="00672237" w:rsidRPr="00376FCA" w:rsidRDefault="00672237" w:rsidP="00861281">
            <w:r w:rsidRPr="006E2698">
              <w:t>Nie</w:t>
            </w:r>
          </w:p>
        </w:tc>
        <w:sdt>
          <w:sdt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13165B18" w14:textId="29F1500F" w:rsidR="00672237" w:rsidRPr="00376FCA" w:rsidRDefault="006E2698" w:rsidP="00861281">
                <w:pPr>
                  <w:ind w:left="-107" w:right="-108"/>
                  <w:jc w:val="center"/>
                </w:pPr>
                <w:r>
                  <w:rPr>
                    <w:rFonts w:ascii="MS Gothic" w:eastAsia="MS Gothic" w:hAnsi="MS Gothic" w:hint="eastAsia"/>
                  </w:rPr>
                  <w:t>☐</w:t>
                </w:r>
              </w:p>
            </w:tc>
          </w:sdtContent>
        </w:sdt>
        <w:tc>
          <w:tcPr>
            <w:tcW w:w="1297" w:type="dxa"/>
            <w:tcBorders>
              <w:top w:val="dotted" w:sz="4" w:space="0" w:color="auto"/>
              <w:left w:val="nil"/>
              <w:bottom w:val="single" w:sz="4" w:space="0" w:color="auto"/>
              <w:right w:val="single" w:sz="4" w:space="0" w:color="auto"/>
            </w:tcBorders>
            <w:vAlign w:val="center"/>
          </w:tcPr>
          <w:p w14:paraId="5BB175B8" w14:textId="77777777" w:rsidR="00672237" w:rsidRPr="00376FCA" w:rsidRDefault="00672237" w:rsidP="00861281">
            <w:pPr>
              <w:ind w:left="34"/>
            </w:pPr>
            <w:r w:rsidRPr="00376FCA">
              <w:t>Čiastočne</w:t>
            </w:r>
          </w:p>
        </w:tc>
      </w:tr>
      <w:tr w:rsidR="00672237" w:rsidRPr="00391793" w14:paraId="4A744C63" w14:textId="77777777" w:rsidTr="00861281">
        <w:tc>
          <w:tcPr>
            <w:tcW w:w="3812" w:type="dxa"/>
            <w:tcBorders>
              <w:top w:val="single" w:sz="4" w:space="0" w:color="000000"/>
              <w:left w:val="single" w:sz="4" w:space="0" w:color="auto"/>
              <w:bottom w:val="nil"/>
              <w:right w:val="single" w:sz="4" w:space="0" w:color="auto"/>
            </w:tcBorders>
            <w:shd w:val="clear" w:color="auto" w:fill="E2E2E2"/>
          </w:tcPr>
          <w:p w14:paraId="46157E6D" w14:textId="77777777" w:rsidR="00672237" w:rsidRPr="00376FCA" w:rsidRDefault="00672237" w:rsidP="00861281">
            <w:pPr>
              <w:rPr>
                <w:b/>
              </w:rPr>
            </w:pPr>
            <w:r w:rsidRPr="00376FCA">
              <w:rPr>
                <w:b/>
              </w:rPr>
              <w:t>Vplyvy na podnikateľské prostredie</w:t>
            </w:r>
          </w:p>
        </w:tc>
        <w:sdt>
          <w:sdtPr>
            <w:rPr>
              <w:b/>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14:paraId="419FFB5B" w14:textId="28DE54D1" w:rsidR="00672237" w:rsidRPr="00376FCA" w:rsidRDefault="00896E32" w:rsidP="00861281">
                <w:pPr>
                  <w:jc w:val="center"/>
                  <w:rPr>
                    <w:b/>
                  </w:rPr>
                </w:pPr>
                <w:r>
                  <w:rPr>
                    <w:rFonts w:ascii="MS Gothic" w:eastAsia="MS Gothic" w:hAnsi="MS Gothic" w:hint="eastAsia"/>
                    <w:b/>
                  </w:rPr>
                  <w:t>☒</w:t>
                </w:r>
              </w:p>
            </w:tc>
          </w:sdtContent>
        </w:sdt>
        <w:tc>
          <w:tcPr>
            <w:tcW w:w="1312" w:type="dxa"/>
            <w:gridSpan w:val="2"/>
            <w:tcBorders>
              <w:top w:val="single" w:sz="4" w:space="0" w:color="auto"/>
              <w:left w:val="nil"/>
              <w:bottom w:val="dotted" w:sz="4" w:space="0" w:color="auto"/>
              <w:right w:val="nil"/>
            </w:tcBorders>
            <w:vAlign w:val="center"/>
          </w:tcPr>
          <w:p w14:paraId="317AB125" w14:textId="77777777" w:rsidR="00672237" w:rsidRPr="00376FCA" w:rsidRDefault="00672237" w:rsidP="00861281">
            <w:pPr>
              <w:ind w:right="-108"/>
              <w:rPr>
                <w:b/>
              </w:rPr>
            </w:pPr>
            <w:r w:rsidRPr="00602529">
              <w:rPr>
                <w:b/>
              </w:rPr>
              <w:t>Pozitívne</w:t>
            </w:r>
          </w:p>
        </w:tc>
        <w:sdt>
          <w:sdtPr>
            <w:rPr>
              <w:b/>
            </w:rPr>
            <w:id w:val="2038465019"/>
            <w14:checkbox>
              <w14:checked w14:val="0"/>
              <w14:checkedState w14:val="2612" w14:font="MS Gothic"/>
              <w14:uncheckedState w14:val="2610" w14:font="MS Gothic"/>
            </w14:checkbox>
          </w:sdtPr>
          <w:sdtEndPr/>
          <w:sdtContent>
            <w:tc>
              <w:tcPr>
                <w:tcW w:w="538" w:type="dxa"/>
                <w:tcBorders>
                  <w:top w:val="single" w:sz="4" w:space="0" w:color="auto"/>
                  <w:left w:val="nil"/>
                  <w:bottom w:val="dotted" w:sz="4" w:space="0" w:color="auto"/>
                  <w:right w:val="nil"/>
                </w:tcBorders>
                <w:vAlign w:val="center"/>
              </w:tcPr>
              <w:p w14:paraId="4AEA9F2C" w14:textId="03CEF1EE" w:rsidR="00672237" w:rsidRPr="00376FCA" w:rsidRDefault="00672237" w:rsidP="00861281">
                <w:pPr>
                  <w:jc w:val="center"/>
                  <w:rPr>
                    <w:b/>
                  </w:rPr>
                </w:pPr>
                <w:r>
                  <w:rPr>
                    <w:rFonts w:ascii="MS Gothic" w:eastAsia="MS Gothic" w:hAnsi="MS Gothic" w:hint="eastAsia"/>
                    <w:b/>
                  </w:rPr>
                  <w:t>☐</w:t>
                </w:r>
              </w:p>
            </w:tc>
          </w:sdtContent>
        </w:sdt>
        <w:tc>
          <w:tcPr>
            <w:tcW w:w="1133" w:type="dxa"/>
            <w:tcBorders>
              <w:top w:val="single" w:sz="4" w:space="0" w:color="auto"/>
              <w:left w:val="nil"/>
              <w:bottom w:val="dotted" w:sz="4" w:space="0" w:color="auto"/>
              <w:right w:val="nil"/>
            </w:tcBorders>
            <w:vAlign w:val="center"/>
          </w:tcPr>
          <w:p w14:paraId="25E946CF" w14:textId="77777777" w:rsidR="00672237" w:rsidRPr="00376FCA" w:rsidRDefault="00672237" w:rsidP="00861281">
            <w:pPr>
              <w:rPr>
                <w:b/>
              </w:rPr>
            </w:pPr>
            <w:r w:rsidRPr="00376FCA">
              <w:rPr>
                <w:b/>
              </w:rPr>
              <w:t>Žiadne</w:t>
            </w:r>
          </w:p>
        </w:tc>
        <w:sdt>
          <w:sdtPr>
            <w:rPr>
              <w:b/>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14:paraId="014E354A" w14:textId="5AA06343" w:rsidR="00672237" w:rsidRPr="00376FCA" w:rsidRDefault="00672237" w:rsidP="00861281">
                <w:pPr>
                  <w:jc w:val="center"/>
                  <w:rPr>
                    <w:b/>
                  </w:rPr>
                </w:pPr>
                <w:r>
                  <w:rPr>
                    <w:rFonts w:ascii="MS Gothic" w:eastAsia="MS Gothic" w:hAnsi="MS Gothic" w:hint="eastAsia"/>
                    <w:b/>
                  </w:rPr>
                  <w:t>☒</w:t>
                </w:r>
              </w:p>
            </w:tc>
          </w:sdtContent>
        </w:sdt>
        <w:tc>
          <w:tcPr>
            <w:tcW w:w="1297" w:type="dxa"/>
            <w:tcBorders>
              <w:top w:val="single" w:sz="4" w:space="0" w:color="auto"/>
              <w:left w:val="nil"/>
              <w:bottom w:val="dotted" w:sz="4" w:space="0" w:color="auto"/>
              <w:right w:val="single" w:sz="4" w:space="0" w:color="auto"/>
            </w:tcBorders>
            <w:vAlign w:val="center"/>
          </w:tcPr>
          <w:p w14:paraId="305F134D" w14:textId="77777777" w:rsidR="00672237" w:rsidRPr="00376FCA" w:rsidRDefault="00672237" w:rsidP="00861281">
            <w:pPr>
              <w:ind w:left="54"/>
              <w:rPr>
                <w:b/>
              </w:rPr>
            </w:pPr>
            <w:r w:rsidRPr="00376FCA">
              <w:rPr>
                <w:b/>
              </w:rPr>
              <w:t>Negatívne</w:t>
            </w:r>
          </w:p>
        </w:tc>
      </w:tr>
      <w:tr w:rsidR="00672237" w:rsidRPr="00391793" w14:paraId="2DD212DB" w14:textId="77777777" w:rsidTr="00861281">
        <w:tc>
          <w:tcPr>
            <w:tcW w:w="3812" w:type="dxa"/>
            <w:tcBorders>
              <w:top w:val="nil"/>
              <w:left w:val="single" w:sz="4" w:space="0" w:color="000000"/>
              <w:bottom w:val="nil"/>
              <w:right w:val="single" w:sz="4" w:space="0" w:color="000000"/>
            </w:tcBorders>
            <w:shd w:val="clear" w:color="auto" w:fill="E2E2E2"/>
          </w:tcPr>
          <w:p w14:paraId="6AA34805" w14:textId="77777777" w:rsidR="00672237" w:rsidRPr="00376FCA" w:rsidRDefault="00672237" w:rsidP="00861281">
            <w:r w:rsidRPr="00376FCA">
              <w:t xml:space="preserve">    z toho vplyvy na MSP</w:t>
            </w:r>
          </w:p>
          <w:p w14:paraId="150EC614" w14:textId="77777777" w:rsidR="00672237" w:rsidRPr="00376FCA" w:rsidRDefault="00672237" w:rsidP="00861281"/>
        </w:tc>
        <w:sdt>
          <w:sdt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14:paraId="72D1B412" w14:textId="39340C92" w:rsidR="00672237" w:rsidRPr="00376FCA" w:rsidRDefault="00E13EE0" w:rsidP="00861281">
                <w:pPr>
                  <w:jc w:val="center"/>
                </w:pPr>
                <w:r>
                  <w:rPr>
                    <w:rFonts w:ascii="MS Gothic" w:eastAsia="MS Gothic" w:hAnsi="MS Gothic" w:hint="eastAsia"/>
                  </w:rPr>
                  <w:t>☐</w:t>
                </w:r>
              </w:p>
            </w:tc>
          </w:sdtContent>
        </w:sdt>
        <w:tc>
          <w:tcPr>
            <w:tcW w:w="1312" w:type="dxa"/>
            <w:gridSpan w:val="2"/>
            <w:tcBorders>
              <w:top w:val="dotted" w:sz="4" w:space="0" w:color="auto"/>
              <w:left w:val="nil"/>
              <w:bottom w:val="dotted" w:sz="4" w:space="0" w:color="auto"/>
              <w:right w:val="nil"/>
            </w:tcBorders>
            <w:vAlign w:val="center"/>
          </w:tcPr>
          <w:p w14:paraId="71F60954" w14:textId="77777777" w:rsidR="00672237" w:rsidRPr="00376FCA" w:rsidRDefault="00672237" w:rsidP="00861281">
            <w:pPr>
              <w:ind w:right="-108"/>
            </w:pPr>
            <w:r w:rsidRPr="00376FCA">
              <w:t>Pozitívne</w:t>
            </w:r>
          </w:p>
        </w:tc>
        <w:sdt>
          <w:sdtPr>
            <w:id w:val="994611021"/>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vAlign w:val="center"/>
              </w:tcPr>
              <w:p w14:paraId="06D0BFD9" w14:textId="7192DE77" w:rsidR="00672237" w:rsidRPr="00376FCA" w:rsidRDefault="006E2698" w:rsidP="00861281">
                <w:pPr>
                  <w:jc w:val="center"/>
                </w:pPr>
                <w:r>
                  <w:rPr>
                    <w:rFonts w:ascii="MS Gothic" w:eastAsia="MS Gothic" w:hAnsi="MS Gothic" w:hint="eastAsia"/>
                  </w:rPr>
                  <w:t>☒</w:t>
                </w:r>
              </w:p>
            </w:tc>
          </w:sdtContent>
        </w:sdt>
        <w:tc>
          <w:tcPr>
            <w:tcW w:w="1133" w:type="dxa"/>
            <w:tcBorders>
              <w:top w:val="dotted" w:sz="4" w:space="0" w:color="auto"/>
              <w:left w:val="nil"/>
              <w:bottom w:val="dotted" w:sz="4" w:space="0" w:color="auto"/>
              <w:right w:val="nil"/>
            </w:tcBorders>
            <w:vAlign w:val="center"/>
          </w:tcPr>
          <w:p w14:paraId="115CA3B4" w14:textId="77777777" w:rsidR="00672237" w:rsidRPr="00376FCA" w:rsidRDefault="00672237" w:rsidP="00861281">
            <w:r w:rsidRPr="006E2698">
              <w:t>Žiadne</w:t>
            </w:r>
          </w:p>
        </w:tc>
        <w:sdt>
          <w:sdt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14:paraId="2A00E8E3" w14:textId="666FA672" w:rsidR="00672237" w:rsidRPr="00376FCA" w:rsidRDefault="00E13EE0" w:rsidP="00861281">
                <w:pPr>
                  <w:jc w:val="center"/>
                </w:pPr>
                <w:r>
                  <w:rPr>
                    <w:rFonts w:ascii="MS Gothic" w:eastAsia="MS Gothic" w:hAnsi="MS Gothic" w:hint="eastAsia"/>
                  </w:rPr>
                  <w:t>☐</w:t>
                </w:r>
              </w:p>
            </w:tc>
          </w:sdtContent>
        </w:sdt>
        <w:tc>
          <w:tcPr>
            <w:tcW w:w="1297" w:type="dxa"/>
            <w:tcBorders>
              <w:top w:val="dotted" w:sz="4" w:space="0" w:color="auto"/>
              <w:left w:val="nil"/>
              <w:bottom w:val="dotted" w:sz="4" w:space="0" w:color="auto"/>
              <w:right w:val="single" w:sz="4" w:space="0" w:color="auto"/>
            </w:tcBorders>
            <w:vAlign w:val="center"/>
          </w:tcPr>
          <w:p w14:paraId="7FF324A7" w14:textId="77777777" w:rsidR="00672237" w:rsidRPr="00376FCA" w:rsidRDefault="00672237" w:rsidP="00861281">
            <w:pPr>
              <w:ind w:left="54"/>
            </w:pPr>
            <w:r w:rsidRPr="00376FCA">
              <w:t>Negatívne</w:t>
            </w:r>
          </w:p>
        </w:tc>
      </w:tr>
      <w:tr w:rsidR="00672237" w:rsidRPr="00391793" w14:paraId="40163535" w14:textId="77777777" w:rsidTr="004905FD">
        <w:tc>
          <w:tcPr>
            <w:tcW w:w="3812" w:type="dxa"/>
            <w:tcBorders>
              <w:top w:val="nil"/>
              <w:left w:val="single" w:sz="4" w:space="0" w:color="auto"/>
              <w:bottom w:val="single" w:sz="4" w:space="0" w:color="auto"/>
              <w:right w:val="single" w:sz="4" w:space="0" w:color="auto"/>
            </w:tcBorders>
            <w:shd w:val="clear" w:color="auto" w:fill="E2E2E2"/>
          </w:tcPr>
          <w:p w14:paraId="6F2A1C85" w14:textId="1214292D" w:rsidR="00672237" w:rsidRPr="00376FCA" w:rsidRDefault="00672237" w:rsidP="00861281">
            <w:r w:rsidRPr="00376FCA">
              <w:t xml:space="preserve"> Mechanizmus znižovania byrokracie    </w:t>
            </w:r>
          </w:p>
          <w:p w14:paraId="3D9506AA" w14:textId="1360F251" w:rsidR="00672237" w:rsidRPr="00376FCA" w:rsidRDefault="00E7453A" w:rsidP="00861281">
            <w:pPr>
              <w:rPr>
                <w:b/>
              </w:rPr>
            </w:pPr>
            <w:r>
              <w:t xml:space="preserve"> </w:t>
            </w:r>
            <w:r w:rsidR="00672237" w:rsidRPr="00376FCA">
              <w:t>a nákladov sa uplatňuje:</w:t>
            </w:r>
          </w:p>
        </w:tc>
        <w:sdt>
          <w:sdtPr>
            <w:rPr>
              <w:b/>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14:paraId="192D746A" w14:textId="163625EA" w:rsidR="00672237" w:rsidRPr="00376FCA" w:rsidRDefault="006E2698" w:rsidP="00861281">
                <w:pPr>
                  <w:jc w:val="center"/>
                  <w:rPr>
                    <w:b/>
                  </w:rPr>
                </w:pPr>
                <w:r>
                  <w:rPr>
                    <w:rFonts w:ascii="MS Gothic" w:eastAsia="MS Gothic" w:hAnsi="MS Gothic" w:hint="eastAsia"/>
                    <w:b/>
                  </w:rPr>
                  <w:t>☐</w:t>
                </w:r>
              </w:p>
            </w:tc>
          </w:sdtContent>
        </w:sdt>
        <w:tc>
          <w:tcPr>
            <w:tcW w:w="1312" w:type="dxa"/>
            <w:gridSpan w:val="2"/>
            <w:tcBorders>
              <w:top w:val="dotted" w:sz="4" w:space="0" w:color="auto"/>
              <w:left w:val="nil"/>
              <w:bottom w:val="single" w:sz="4" w:space="0" w:color="auto"/>
              <w:right w:val="nil"/>
            </w:tcBorders>
            <w:vAlign w:val="center"/>
          </w:tcPr>
          <w:p w14:paraId="7FD7B303" w14:textId="77777777" w:rsidR="00672237" w:rsidRPr="00376FCA" w:rsidRDefault="00672237" w:rsidP="00861281">
            <w:pPr>
              <w:ind w:right="-108"/>
              <w:rPr>
                <w:b/>
              </w:rPr>
            </w:pPr>
            <w:r w:rsidRPr="00376FCA">
              <w:t>Áno</w:t>
            </w:r>
          </w:p>
        </w:tc>
        <w:tc>
          <w:tcPr>
            <w:tcW w:w="538" w:type="dxa"/>
            <w:tcBorders>
              <w:top w:val="dotted" w:sz="4" w:space="0" w:color="auto"/>
              <w:left w:val="nil"/>
              <w:bottom w:val="single" w:sz="4" w:space="0" w:color="auto"/>
              <w:right w:val="nil"/>
            </w:tcBorders>
            <w:vAlign w:val="center"/>
          </w:tcPr>
          <w:p w14:paraId="10FB7640" w14:textId="77777777" w:rsidR="00672237" w:rsidRPr="00376FCA" w:rsidRDefault="00672237" w:rsidP="00861281">
            <w:pPr>
              <w:jc w:val="center"/>
              <w:rPr>
                <w:b/>
              </w:rPr>
            </w:pPr>
          </w:p>
        </w:tc>
        <w:tc>
          <w:tcPr>
            <w:tcW w:w="1133" w:type="dxa"/>
            <w:tcBorders>
              <w:top w:val="dotted" w:sz="4" w:space="0" w:color="auto"/>
              <w:left w:val="nil"/>
              <w:bottom w:val="single" w:sz="4" w:space="0" w:color="auto"/>
              <w:right w:val="nil"/>
            </w:tcBorders>
            <w:vAlign w:val="center"/>
          </w:tcPr>
          <w:p w14:paraId="19F427FB" w14:textId="77777777" w:rsidR="00672237" w:rsidRPr="00376FCA" w:rsidRDefault="00672237" w:rsidP="00861281">
            <w:pPr>
              <w:jc w:val="center"/>
              <w:rPr>
                <w:b/>
              </w:rPr>
            </w:pPr>
          </w:p>
        </w:tc>
        <w:sdt>
          <w:sdtPr>
            <w:rPr>
              <w:b/>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14:paraId="46AE7A89" w14:textId="1DD7BFE1" w:rsidR="00672237" w:rsidRPr="00376FCA" w:rsidRDefault="006E2698" w:rsidP="00861281">
                <w:pPr>
                  <w:jc w:val="center"/>
                  <w:rPr>
                    <w:b/>
                  </w:rPr>
                </w:pPr>
                <w:r>
                  <w:rPr>
                    <w:rFonts w:ascii="MS Gothic" w:eastAsia="MS Gothic" w:hAnsi="MS Gothic" w:hint="eastAsia"/>
                    <w:b/>
                  </w:rPr>
                  <w:t>☒</w:t>
                </w:r>
              </w:p>
            </w:tc>
          </w:sdtContent>
        </w:sdt>
        <w:tc>
          <w:tcPr>
            <w:tcW w:w="1297" w:type="dxa"/>
            <w:tcBorders>
              <w:top w:val="dotted" w:sz="4" w:space="0" w:color="auto"/>
              <w:left w:val="nil"/>
              <w:bottom w:val="single" w:sz="4" w:space="0" w:color="auto"/>
              <w:right w:val="single" w:sz="4" w:space="0" w:color="auto"/>
            </w:tcBorders>
            <w:vAlign w:val="center"/>
          </w:tcPr>
          <w:p w14:paraId="2E9FB602" w14:textId="77777777" w:rsidR="00672237" w:rsidRPr="00376FCA" w:rsidRDefault="00672237" w:rsidP="00861281">
            <w:pPr>
              <w:ind w:left="54"/>
              <w:rPr>
                <w:b/>
              </w:rPr>
            </w:pPr>
            <w:r w:rsidRPr="00376FCA">
              <w:t>Nie</w:t>
            </w:r>
          </w:p>
        </w:tc>
      </w:tr>
      <w:tr w:rsidR="00672237" w:rsidRPr="00391793" w14:paraId="68EB370F" w14:textId="77777777" w:rsidTr="00861281">
        <w:tc>
          <w:tcPr>
            <w:tcW w:w="3812" w:type="dxa"/>
            <w:tcBorders>
              <w:top w:val="single" w:sz="4" w:space="0" w:color="000000"/>
              <w:left w:val="single" w:sz="4" w:space="0" w:color="auto"/>
              <w:bottom w:val="single" w:sz="4" w:space="0" w:color="auto"/>
              <w:right w:val="single" w:sz="4" w:space="0" w:color="auto"/>
            </w:tcBorders>
            <w:shd w:val="clear" w:color="auto" w:fill="E2E2E2"/>
          </w:tcPr>
          <w:p w14:paraId="2F03FADC" w14:textId="77777777" w:rsidR="00672237" w:rsidRPr="00376FCA" w:rsidRDefault="00672237" w:rsidP="00861281">
            <w:pPr>
              <w:rPr>
                <w:b/>
              </w:rPr>
            </w:pPr>
            <w:r w:rsidRPr="00376FCA">
              <w:rPr>
                <w:b/>
              </w:rPr>
              <w:t>Sociálne vplyvy</w:t>
            </w:r>
          </w:p>
        </w:tc>
        <w:sdt>
          <w:sdtPr>
            <w:rPr>
              <w:b/>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6BBA423" w14:textId="20144555" w:rsidR="00672237" w:rsidRPr="00376FCA" w:rsidRDefault="00E13EE0" w:rsidP="00861281">
                <w:pPr>
                  <w:jc w:val="center"/>
                  <w:rPr>
                    <w:b/>
                  </w:rPr>
                </w:pPr>
                <w:r>
                  <w:rPr>
                    <w:rFonts w:ascii="MS Gothic" w:eastAsia="MS Gothic" w:hAnsi="MS Gothic" w:hint="eastAsia"/>
                    <w:b/>
                  </w:rPr>
                  <w:t>☐</w:t>
                </w:r>
              </w:p>
            </w:tc>
          </w:sdtContent>
        </w:sdt>
        <w:tc>
          <w:tcPr>
            <w:tcW w:w="1312" w:type="dxa"/>
            <w:gridSpan w:val="2"/>
            <w:tcBorders>
              <w:top w:val="single" w:sz="4" w:space="0" w:color="auto"/>
              <w:left w:val="nil"/>
              <w:bottom w:val="single" w:sz="4" w:space="0" w:color="auto"/>
              <w:right w:val="nil"/>
            </w:tcBorders>
          </w:tcPr>
          <w:p w14:paraId="2794A0DE" w14:textId="77777777" w:rsidR="00672237" w:rsidRPr="00376FCA" w:rsidRDefault="00672237" w:rsidP="00861281">
            <w:pPr>
              <w:ind w:right="-108"/>
              <w:rPr>
                <w:b/>
              </w:rPr>
            </w:pPr>
            <w:r w:rsidRPr="00376FCA">
              <w:rPr>
                <w:b/>
              </w:rPr>
              <w:t>Pozitívne</w:t>
            </w:r>
          </w:p>
        </w:tc>
        <w:sdt>
          <w:sdtPr>
            <w:rPr>
              <w:b/>
            </w:rPr>
            <w:id w:val="-1872293991"/>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tcPr>
              <w:p w14:paraId="0BEC2970" w14:textId="25A31934" w:rsidR="00672237" w:rsidRPr="00376FCA" w:rsidRDefault="006E2698" w:rsidP="00861281">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14:paraId="7DFE576B" w14:textId="77777777" w:rsidR="00672237" w:rsidRPr="00376FCA" w:rsidRDefault="00672237" w:rsidP="00861281">
            <w:pPr>
              <w:rPr>
                <w:b/>
              </w:rPr>
            </w:pPr>
            <w:r w:rsidRPr="00376FCA">
              <w:rPr>
                <w:b/>
              </w:rPr>
              <w:t>Žiadne</w:t>
            </w:r>
          </w:p>
        </w:tc>
        <w:sdt>
          <w:sdtPr>
            <w:rPr>
              <w:b/>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216CAABF" w14:textId="57F8DF8E" w:rsidR="00672237" w:rsidRPr="00376FCA" w:rsidRDefault="00672237" w:rsidP="00861281">
                <w:pPr>
                  <w:jc w:val="center"/>
                  <w:rPr>
                    <w:b/>
                  </w:rPr>
                </w:pPr>
                <w:r w:rsidRPr="00376FCA">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60DF1310" w14:textId="77777777" w:rsidR="00672237" w:rsidRPr="00376FCA" w:rsidRDefault="00672237" w:rsidP="00861281">
            <w:pPr>
              <w:ind w:left="54"/>
              <w:rPr>
                <w:b/>
              </w:rPr>
            </w:pPr>
            <w:r w:rsidRPr="00376FCA">
              <w:rPr>
                <w:b/>
              </w:rPr>
              <w:t>Negatívne</w:t>
            </w:r>
          </w:p>
        </w:tc>
      </w:tr>
      <w:tr w:rsidR="00672237" w:rsidRPr="00391793" w14:paraId="53129140" w14:textId="77777777" w:rsidTr="00861281">
        <w:tc>
          <w:tcPr>
            <w:tcW w:w="3812" w:type="dxa"/>
            <w:tcBorders>
              <w:top w:val="single" w:sz="4" w:space="0" w:color="auto"/>
              <w:left w:val="single" w:sz="4" w:space="0" w:color="auto"/>
              <w:bottom w:val="single" w:sz="4" w:space="0" w:color="auto"/>
              <w:right w:val="single" w:sz="4" w:space="0" w:color="auto"/>
            </w:tcBorders>
            <w:shd w:val="clear" w:color="auto" w:fill="E2E2E2"/>
          </w:tcPr>
          <w:p w14:paraId="22AC2A05" w14:textId="77777777" w:rsidR="00672237" w:rsidRPr="00376FCA" w:rsidRDefault="00672237" w:rsidP="00861281">
            <w:pPr>
              <w:rPr>
                <w:b/>
              </w:rPr>
            </w:pPr>
            <w:r w:rsidRPr="00376FCA">
              <w:rPr>
                <w:b/>
              </w:rPr>
              <w:t>Vplyvy na životné prostredie</w:t>
            </w:r>
          </w:p>
        </w:tc>
        <w:sdt>
          <w:sdtPr>
            <w:rPr>
              <w:b/>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41D4C70D" w14:textId="7DC41375" w:rsidR="00672237" w:rsidRPr="00376FCA" w:rsidRDefault="00672237" w:rsidP="00861281">
                <w:pPr>
                  <w:jc w:val="center"/>
                  <w:rPr>
                    <w:b/>
                  </w:rPr>
                </w:pPr>
                <w:r w:rsidRPr="00376FCA">
                  <w:rPr>
                    <w:rFonts w:ascii="Segoe UI Symbol" w:eastAsia="MS Gothic" w:hAnsi="Segoe UI Symbol" w:cs="Segoe UI Symbol"/>
                    <w:b/>
                  </w:rPr>
                  <w:t>☐</w:t>
                </w:r>
              </w:p>
            </w:tc>
          </w:sdtContent>
        </w:sdt>
        <w:tc>
          <w:tcPr>
            <w:tcW w:w="1312" w:type="dxa"/>
            <w:gridSpan w:val="2"/>
            <w:tcBorders>
              <w:top w:val="single" w:sz="4" w:space="0" w:color="auto"/>
              <w:left w:val="nil"/>
              <w:bottom w:val="single" w:sz="4" w:space="0" w:color="auto"/>
              <w:right w:val="nil"/>
            </w:tcBorders>
          </w:tcPr>
          <w:p w14:paraId="1AE51145" w14:textId="77777777" w:rsidR="00672237" w:rsidRPr="00376FCA" w:rsidRDefault="00672237" w:rsidP="00861281">
            <w:pPr>
              <w:ind w:right="-108"/>
              <w:rPr>
                <w:b/>
              </w:rPr>
            </w:pPr>
            <w:r w:rsidRPr="00376FCA">
              <w:rPr>
                <w:b/>
              </w:rPr>
              <w:t>Pozitívne</w:t>
            </w:r>
          </w:p>
        </w:tc>
        <w:sdt>
          <w:sdtPr>
            <w:rPr>
              <w:b/>
            </w:rPr>
            <w:id w:val="-2060162118"/>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tcPr>
              <w:p w14:paraId="60D44BD9" w14:textId="1E8A14E8" w:rsidR="00672237" w:rsidRPr="00376FCA" w:rsidRDefault="00672237" w:rsidP="00861281">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14:paraId="4B6E9E1F" w14:textId="77777777" w:rsidR="00672237" w:rsidRPr="00376FCA" w:rsidRDefault="00672237" w:rsidP="00861281">
            <w:pPr>
              <w:rPr>
                <w:b/>
              </w:rPr>
            </w:pPr>
            <w:r w:rsidRPr="006E2698">
              <w:rPr>
                <w:b/>
              </w:rPr>
              <w:t>Žiadne</w:t>
            </w:r>
          </w:p>
        </w:tc>
        <w:sdt>
          <w:sdtPr>
            <w:rPr>
              <w:b/>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6DB4E061" w14:textId="795451F2" w:rsidR="00672237" w:rsidRPr="00376FCA" w:rsidRDefault="00672237" w:rsidP="00861281">
                <w:pPr>
                  <w:jc w:val="center"/>
                  <w:rPr>
                    <w:b/>
                  </w:rPr>
                </w:pPr>
                <w:r w:rsidRPr="00376FCA">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4F10D044" w14:textId="77777777" w:rsidR="00672237" w:rsidRPr="00376FCA" w:rsidRDefault="00672237" w:rsidP="00861281">
            <w:pPr>
              <w:ind w:left="54"/>
              <w:rPr>
                <w:b/>
              </w:rPr>
            </w:pPr>
            <w:r w:rsidRPr="00376FCA">
              <w:rPr>
                <w:b/>
              </w:rPr>
              <w:t>Negatívne</w:t>
            </w:r>
          </w:p>
        </w:tc>
      </w:tr>
      <w:tr w:rsidR="00672237" w:rsidRPr="00391793" w14:paraId="2176EEEA" w14:textId="77777777" w:rsidTr="00861281">
        <w:tc>
          <w:tcPr>
            <w:tcW w:w="3812" w:type="dxa"/>
            <w:tcBorders>
              <w:top w:val="single" w:sz="4" w:space="0" w:color="auto"/>
              <w:left w:val="single" w:sz="4" w:space="0" w:color="auto"/>
              <w:bottom w:val="single" w:sz="4" w:space="0" w:color="auto"/>
              <w:right w:val="single" w:sz="4" w:space="0" w:color="auto"/>
            </w:tcBorders>
            <w:shd w:val="clear" w:color="auto" w:fill="E2E2E2"/>
          </w:tcPr>
          <w:p w14:paraId="0A5B2835" w14:textId="77777777" w:rsidR="00672237" w:rsidRPr="00376FCA" w:rsidRDefault="00672237" w:rsidP="00861281">
            <w:pPr>
              <w:rPr>
                <w:b/>
              </w:rPr>
            </w:pPr>
            <w:r w:rsidRPr="00376FCA">
              <w:rPr>
                <w:b/>
              </w:rPr>
              <w:t>Vplyvy na informatizáciu spoločnosti</w:t>
            </w:r>
          </w:p>
        </w:tc>
        <w:sdt>
          <w:sdtPr>
            <w:rPr>
              <w:b/>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14:paraId="66223891" w14:textId="06913A41" w:rsidR="00672237" w:rsidRPr="00376FCA" w:rsidRDefault="00F02043" w:rsidP="00861281">
                <w:pPr>
                  <w:jc w:val="center"/>
                  <w:rPr>
                    <w:b/>
                  </w:rPr>
                </w:pPr>
                <w:r>
                  <w:rPr>
                    <w:rFonts w:ascii="MS Gothic" w:eastAsia="MS Gothic" w:hAnsi="MS Gothic" w:hint="eastAsia"/>
                    <w:b/>
                  </w:rPr>
                  <w:t>☒</w:t>
                </w:r>
              </w:p>
            </w:tc>
          </w:sdtContent>
        </w:sdt>
        <w:tc>
          <w:tcPr>
            <w:tcW w:w="1312" w:type="dxa"/>
            <w:gridSpan w:val="2"/>
            <w:tcBorders>
              <w:top w:val="single" w:sz="4" w:space="0" w:color="auto"/>
              <w:left w:val="nil"/>
              <w:bottom w:val="single" w:sz="4" w:space="0" w:color="auto"/>
              <w:right w:val="nil"/>
            </w:tcBorders>
          </w:tcPr>
          <w:p w14:paraId="49E0FF2C" w14:textId="77777777" w:rsidR="00672237" w:rsidRPr="00376FCA" w:rsidRDefault="00672237" w:rsidP="00861281">
            <w:pPr>
              <w:ind w:right="-108"/>
              <w:rPr>
                <w:b/>
              </w:rPr>
            </w:pPr>
            <w:r w:rsidRPr="00376FCA">
              <w:rPr>
                <w:b/>
              </w:rPr>
              <w:t>Pozitívne</w:t>
            </w:r>
          </w:p>
        </w:tc>
        <w:sdt>
          <w:sdtPr>
            <w:rPr>
              <w:b/>
            </w:rPr>
            <w:id w:val="169603435"/>
            <w14:checkbox>
              <w14:checked w14:val="0"/>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tcPr>
              <w:p w14:paraId="57AA156C" w14:textId="6A51F7FE" w:rsidR="00672237" w:rsidRPr="00376FCA" w:rsidRDefault="00F02043" w:rsidP="00861281">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tcPr>
          <w:p w14:paraId="3304B34A" w14:textId="77777777" w:rsidR="00672237" w:rsidRPr="00376FCA" w:rsidRDefault="00672237" w:rsidP="00861281">
            <w:pPr>
              <w:rPr>
                <w:b/>
              </w:rPr>
            </w:pPr>
            <w:r w:rsidRPr="006E2698">
              <w:rPr>
                <w:b/>
              </w:rPr>
              <w:t>Žiadne</w:t>
            </w:r>
          </w:p>
        </w:tc>
        <w:sdt>
          <w:sdtPr>
            <w:rPr>
              <w:b/>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14:paraId="565EFCAB" w14:textId="2006824A" w:rsidR="00672237" w:rsidRPr="00376FCA" w:rsidRDefault="00672237" w:rsidP="00861281">
                <w:pPr>
                  <w:jc w:val="center"/>
                  <w:rPr>
                    <w:b/>
                  </w:rPr>
                </w:pPr>
                <w:r w:rsidRPr="00376FCA">
                  <w:rPr>
                    <w:rFonts w:ascii="Segoe UI Symbol" w:eastAsia="MS Gothic" w:hAnsi="Segoe UI Symbol" w:cs="Segoe UI Symbol"/>
                    <w:b/>
                  </w:rPr>
                  <w:t>☐</w:t>
                </w:r>
              </w:p>
            </w:tc>
          </w:sdtContent>
        </w:sdt>
        <w:tc>
          <w:tcPr>
            <w:tcW w:w="1297" w:type="dxa"/>
            <w:tcBorders>
              <w:top w:val="single" w:sz="4" w:space="0" w:color="auto"/>
              <w:left w:val="nil"/>
              <w:bottom w:val="single" w:sz="4" w:space="0" w:color="auto"/>
              <w:right w:val="single" w:sz="4" w:space="0" w:color="auto"/>
            </w:tcBorders>
          </w:tcPr>
          <w:p w14:paraId="150FFD59" w14:textId="77777777" w:rsidR="00672237" w:rsidRPr="00376FCA" w:rsidRDefault="00672237" w:rsidP="00861281">
            <w:pPr>
              <w:ind w:left="54"/>
              <w:rPr>
                <w:b/>
              </w:rPr>
            </w:pPr>
            <w:r w:rsidRPr="00376FCA">
              <w:rPr>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312"/>
        <w:gridCol w:w="538"/>
        <w:gridCol w:w="1133"/>
        <w:gridCol w:w="547"/>
        <w:gridCol w:w="1297"/>
      </w:tblGrid>
      <w:tr w:rsidR="00672237" w:rsidRPr="00391793" w14:paraId="5ED0731F" w14:textId="77777777" w:rsidTr="004905FD">
        <w:tc>
          <w:tcPr>
            <w:tcW w:w="3812" w:type="dxa"/>
            <w:tcBorders>
              <w:top w:val="single" w:sz="4" w:space="0" w:color="auto"/>
              <w:left w:val="single" w:sz="4" w:space="0" w:color="auto"/>
              <w:bottom w:val="nil"/>
              <w:right w:val="single" w:sz="4" w:space="0" w:color="auto"/>
            </w:tcBorders>
            <w:shd w:val="clear" w:color="auto" w:fill="E2E2E2"/>
          </w:tcPr>
          <w:p w14:paraId="6AB84798" w14:textId="77777777" w:rsidR="00672237" w:rsidRPr="00376FCA" w:rsidRDefault="00672237" w:rsidP="00861281">
            <w:pPr>
              <w:rPr>
                <w:b/>
              </w:rPr>
            </w:pPr>
            <w:r w:rsidRPr="00376FCA">
              <w:rPr>
                <w:rFonts w:eastAsia="Calibri"/>
                <w:b/>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14:paraId="3A9F8216" w14:textId="77777777" w:rsidR="00672237" w:rsidRPr="00376FCA" w:rsidRDefault="00672237" w:rsidP="00861281">
            <w:pPr>
              <w:jc w:val="center"/>
              <w:rPr>
                <w:rFonts w:eastAsia="MS Mincho"/>
                <w:b/>
              </w:rPr>
            </w:pPr>
          </w:p>
        </w:tc>
        <w:tc>
          <w:tcPr>
            <w:tcW w:w="1312" w:type="dxa"/>
            <w:tcBorders>
              <w:top w:val="single" w:sz="4" w:space="0" w:color="auto"/>
              <w:left w:val="nil"/>
              <w:bottom w:val="nil"/>
              <w:right w:val="nil"/>
            </w:tcBorders>
            <w:shd w:val="clear" w:color="auto" w:fill="auto"/>
          </w:tcPr>
          <w:p w14:paraId="144E671A" w14:textId="77777777" w:rsidR="00672237" w:rsidRPr="00376FCA" w:rsidRDefault="00672237" w:rsidP="00861281">
            <w:pPr>
              <w:ind w:right="-108"/>
              <w:rPr>
                <w:b/>
              </w:rPr>
            </w:pPr>
          </w:p>
        </w:tc>
        <w:tc>
          <w:tcPr>
            <w:tcW w:w="538" w:type="dxa"/>
            <w:tcBorders>
              <w:top w:val="single" w:sz="4" w:space="0" w:color="auto"/>
              <w:left w:val="nil"/>
              <w:bottom w:val="nil"/>
              <w:right w:val="nil"/>
            </w:tcBorders>
            <w:shd w:val="clear" w:color="auto" w:fill="auto"/>
          </w:tcPr>
          <w:p w14:paraId="1ED61382" w14:textId="77777777" w:rsidR="00672237" w:rsidRPr="00376FCA" w:rsidRDefault="00672237" w:rsidP="00861281">
            <w:pPr>
              <w:jc w:val="center"/>
              <w:rPr>
                <w:rFonts w:eastAsia="MS Mincho"/>
                <w:b/>
              </w:rPr>
            </w:pPr>
          </w:p>
        </w:tc>
        <w:tc>
          <w:tcPr>
            <w:tcW w:w="1133" w:type="dxa"/>
            <w:tcBorders>
              <w:top w:val="single" w:sz="4" w:space="0" w:color="auto"/>
              <w:left w:val="nil"/>
              <w:bottom w:val="nil"/>
              <w:right w:val="nil"/>
            </w:tcBorders>
            <w:shd w:val="clear" w:color="auto" w:fill="auto"/>
          </w:tcPr>
          <w:p w14:paraId="15B72B82" w14:textId="77777777" w:rsidR="00672237" w:rsidRPr="00376FCA" w:rsidRDefault="00672237" w:rsidP="00861281">
            <w:pPr>
              <w:rPr>
                <w:b/>
              </w:rPr>
            </w:pPr>
          </w:p>
        </w:tc>
        <w:tc>
          <w:tcPr>
            <w:tcW w:w="547" w:type="dxa"/>
            <w:tcBorders>
              <w:top w:val="single" w:sz="4" w:space="0" w:color="auto"/>
              <w:left w:val="nil"/>
              <w:bottom w:val="nil"/>
              <w:right w:val="nil"/>
            </w:tcBorders>
            <w:shd w:val="clear" w:color="auto" w:fill="auto"/>
          </w:tcPr>
          <w:p w14:paraId="2F0CE66E" w14:textId="77777777" w:rsidR="00672237" w:rsidRPr="00376FCA" w:rsidRDefault="00672237" w:rsidP="00861281">
            <w:pPr>
              <w:jc w:val="center"/>
              <w:rPr>
                <w:rFonts w:eastAsia="MS Mincho"/>
                <w:b/>
              </w:rPr>
            </w:pPr>
          </w:p>
        </w:tc>
        <w:tc>
          <w:tcPr>
            <w:tcW w:w="1297" w:type="dxa"/>
            <w:tcBorders>
              <w:top w:val="single" w:sz="4" w:space="0" w:color="auto"/>
              <w:left w:val="nil"/>
              <w:bottom w:val="nil"/>
              <w:right w:val="single" w:sz="4" w:space="0" w:color="auto"/>
            </w:tcBorders>
            <w:shd w:val="clear" w:color="auto" w:fill="auto"/>
          </w:tcPr>
          <w:p w14:paraId="1CF0D963" w14:textId="77777777" w:rsidR="00672237" w:rsidRPr="00376FCA" w:rsidRDefault="00672237" w:rsidP="00861281">
            <w:pPr>
              <w:ind w:left="54"/>
              <w:rPr>
                <w:b/>
              </w:rPr>
            </w:pPr>
          </w:p>
        </w:tc>
      </w:tr>
      <w:tr w:rsidR="00672237" w:rsidRPr="00391793" w14:paraId="6F9C8498" w14:textId="77777777" w:rsidTr="004905FD">
        <w:tc>
          <w:tcPr>
            <w:tcW w:w="3812" w:type="dxa"/>
            <w:tcBorders>
              <w:top w:val="nil"/>
              <w:left w:val="single" w:sz="4" w:space="0" w:color="auto"/>
              <w:bottom w:val="nil"/>
              <w:right w:val="single" w:sz="4" w:space="0" w:color="auto"/>
            </w:tcBorders>
            <w:shd w:val="clear" w:color="auto" w:fill="E2E2E2"/>
          </w:tcPr>
          <w:p w14:paraId="7DDD4306" w14:textId="77777777" w:rsidR="00672237" w:rsidRPr="00376FCA" w:rsidRDefault="00672237" w:rsidP="00861281">
            <w:pPr>
              <w:ind w:left="196" w:hanging="196"/>
              <w:rPr>
                <w:rFonts w:eastAsia="Calibri"/>
                <w:b/>
              </w:rPr>
            </w:pPr>
            <w:r w:rsidRPr="00376FCA">
              <w:rPr>
                <w:rFonts w:eastAsia="Calibri"/>
                <w:b/>
              </w:rPr>
              <w:t xml:space="preserve">    vplyvy služieb verejnej správy na občana</w:t>
            </w:r>
          </w:p>
        </w:tc>
        <w:sdt>
          <w:sdtPr>
            <w:rPr>
              <w:b/>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14:paraId="2C614A6C" w14:textId="4E15817A" w:rsidR="00672237" w:rsidRPr="00376FCA" w:rsidRDefault="00672237" w:rsidP="00861281">
                <w:pPr>
                  <w:jc w:val="center"/>
                  <w:rPr>
                    <w:b/>
                  </w:rPr>
                </w:pPr>
                <w:r w:rsidRPr="00376FCA">
                  <w:rPr>
                    <w:rFonts w:ascii="Segoe UI Symbol" w:eastAsia="MS Gothic" w:hAnsi="Segoe UI Symbol" w:cs="Segoe UI Symbol"/>
                    <w:b/>
                  </w:rPr>
                  <w:t>☐</w:t>
                </w:r>
              </w:p>
            </w:tc>
          </w:sdtContent>
        </w:sdt>
        <w:tc>
          <w:tcPr>
            <w:tcW w:w="1312" w:type="dxa"/>
            <w:tcBorders>
              <w:top w:val="nil"/>
              <w:left w:val="nil"/>
              <w:bottom w:val="dotted" w:sz="4" w:space="0" w:color="auto"/>
              <w:right w:val="nil"/>
            </w:tcBorders>
            <w:shd w:val="clear" w:color="auto" w:fill="auto"/>
          </w:tcPr>
          <w:p w14:paraId="2B70D3D9" w14:textId="77777777" w:rsidR="00672237" w:rsidRPr="00376FCA" w:rsidRDefault="00672237" w:rsidP="00861281">
            <w:pPr>
              <w:ind w:right="-108"/>
              <w:rPr>
                <w:b/>
              </w:rPr>
            </w:pPr>
            <w:r w:rsidRPr="00376FCA">
              <w:rPr>
                <w:b/>
              </w:rPr>
              <w:t>Pozitívne</w:t>
            </w:r>
          </w:p>
        </w:tc>
        <w:sdt>
          <w:sdtPr>
            <w:rPr>
              <w:b/>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14:paraId="227BF1AB" w14:textId="1BECA4A9" w:rsidR="00672237" w:rsidRPr="00376FCA" w:rsidRDefault="00672237" w:rsidP="00861281">
                <w:pPr>
                  <w:jc w:val="center"/>
                  <w:rPr>
                    <w:b/>
                  </w:rPr>
                </w:pPr>
                <w:r>
                  <w:rPr>
                    <w:rFonts w:ascii="MS Gothic" w:eastAsia="MS Gothic" w:hAnsi="MS Gothic" w:hint="eastAsia"/>
                    <w:b/>
                  </w:rPr>
                  <w:t>☒</w:t>
                </w:r>
              </w:p>
            </w:tc>
          </w:sdtContent>
        </w:sdt>
        <w:tc>
          <w:tcPr>
            <w:tcW w:w="1133" w:type="dxa"/>
            <w:tcBorders>
              <w:top w:val="nil"/>
              <w:left w:val="nil"/>
              <w:bottom w:val="dotted" w:sz="4" w:space="0" w:color="auto"/>
              <w:right w:val="nil"/>
            </w:tcBorders>
            <w:shd w:val="clear" w:color="auto" w:fill="auto"/>
          </w:tcPr>
          <w:p w14:paraId="07F2EBB1" w14:textId="77777777" w:rsidR="00672237" w:rsidRPr="00376FCA" w:rsidRDefault="00672237" w:rsidP="00861281">
            <w:pPr>
              <w:rPr>
                <w:b/>
              </w:rPr>
            </w:pPr>
            <w:r w:rsidRPr="00376FCA">
              <w:rPr>
                <w:b/>
              </w:rPr>
              <w:t>Žiadne</w:t>
            </w:r>
          </w:p>
        </w:tc>
        <w:sdt>
          <w:sdtPr>
            <w:rPr>
              <w:b/>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14:paraId="0D488C1E" w14:textId="582C2418" w:rsidR="00672237" w:rsidRPr="00376FCA" w:rsidRDefault="00672237" w:rsidP="00861281">
                <w:pPr>
                  <w:jc w:val="center"/>
                  <w:rPr>
                    <w:b/>
                  </w:rPr>
                </w:pPr>
                <w:r w:rsidRPr="00376FCA">
                  <w:rPr>
                    <w:rFonts w:ascii="Segoe UI Symbol" w:eastAsia="MS Gothic" w:hAnsi="Segoe UI Symbol" w:cs="Segoe UI Symbol"/>
                    <w:b/>
                  </w:rPr>
                  <w:t>☐</w:t>
                </w:r>
              </w:p>
            </w:tc>
          </w:sdtContent>
        </w:sdt>
        <w:tc>
          <w:tcPr>
            <w:tcW w:w="1297" w:type="dxa"/>
            <w:tcBorders>
              <w:top w:val="nil"/>
              <w:left w:val="nil"/>
              <w:bottom w:val="dotted" w:sz="4" w:space="0" w:color="auto"/>
              <w:right w:val="single" w:sz="4" w:space="0" w:color="auto"/>
            </w:tcBorders>
            <w:shd w:val="clear" w:color="auto" w:fill="auto"/>
          </w:tcPr>
          <w:p w14:paraId="333411D2" w14:textId="77777777" w:rsidR="00672237" w:rsidRPr="00376FCA" w:rsidRDefault="00672237" w:rsidP="00861281">
            <w:pPr>
              <w:ind w:left="54"/>
              <w:rPr>
                <w:b/>
              </w:rPr>
            </w:pPr>
            <w:r w:rsidRPr="00376FCA">
              <w:rPr>
                <w:b/>
              </w:rPr>
              <w:t>Negatívne</w:t>
            </w:r>
          </w:p>
        </w:tc>
      </w:tr>
      <w:tr w:rsidR="00672237" w:rsidRPr="00391793" w14:paraId="57078650" w14:textId="77777777" w:rsidTr="004905FD">
        <w:tc>
          <w:tcPr>
            <w:tcW w:w="3812" w:type="dxa"/>
            <w:tcBorders>
              <w:top w:val="nil"/>
              <w:left w:val="single" w:sz="4" w:space="0" w:color="auto"/>
              <w:bottom w:val="nil"/>
              <w:right w:val="single" w:sz="4" w:space="0" w:color="auto"/>
            </w:tcBorders>
            <w:shd w:val="clear" w:color="auto" w:fill="E2E2E2"/>
          </w:tcPr>
          <w:p w14:paraId="6297BD38" w14:textId="77777777" w:rsidR="00672237" w:rsidRPr="00376FCA" w:rsidRDefault="00672237" w:rsidP="00861281">
            <w:pPr>
              <w:ind w:left="168" w:hanging="168"/>
              <w:rPr>
                <w:rFonts w:eastAsia="Calibri"/>
                <w:b/>
              </w:rPr>
            </w:pPr>
            <w:r w:rsidRPr="00376FCA">
              <w:rPr>
                <w:rFonts w:eastAsia="Calibri"/>
                <w:b/>
              </w:rPr>
              <w:t xml:space="preserve">    vplyvy na procesy služieb vo verejnej správe</w:t>
            </w:r>
          </w:p>
        </w:tc>
        <w:sdt>
          <w:sdtPr>
            <w:rPr>
              <w:b/>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14:paraId="7242ECE0" w14:textId="5DF078DA" w:rsidR="00672237" w:rsidRPr="00376FCA" w:rsidRDefault="00672237" w:rsidP="00861281">
                <w:pPr>
                  <w:jc w:val="center"/>
                  <w:rPr>
                    <w:b/>
                  </w:rPr>
                </w:pPr>
                <w:r w:rsidRPr="00376FCA">
                  <w:rPr>
                    <w:rFonts w:ascii="Segoe UI Symbol" w:eastAsia="MS Gothic" w:hAnsi="Segoe UI Symbol" w:cs="Segoe UI Symbol"/>
                    <w:b/>
                  </w:rPr>
                  <w:t>☐</w:t>
                </w:r>
              </w:p>
            </w:tc>
          </w:sdtContent>
        </w:sdt>
        <w:tc>
          <w:tcPr>
            <w:tcW w:w="1312" w:type="dxa"/>
            <w:tcBorders>
              <w:top w:val="dotted" w:sz="4" w:space="0" w:color="auto"/>
              <w:left w:val="nil"/>
              <w:bottom w:val="dotted" w:sz="4" w:space="0" w:color="auto"/>
              <w:right w:val="nil"/>
            </w:tcBorders>
            <w:shd w:val="clear" w:color="auto" w:fill="auto"/>
            <w:vAlign w:val="center"/>
          </w:tcPr>
          <w:p w14:paraId="0C863DEC" w14:textId="77777777" w:rsidR="00672237" w:rsidRPr="00376FCA" w:rsidRDefault="00672237" w:rsidP="00861281">
            <w:pPr>
              <w:ind w:right="-108"/>
              <w:rPr>
                <w:b/>
              </w:rPr>
            </w:pPr>
            <w:r w:rsidRPr="00376FCA">
              <w:rPr>
                <w:b/>
              </w:rPr>
              <w:t>Pozitívne</w:t>
            </w:r>
          </w:p>
        </w:tc>
        <w:sdt>
          <w:sdtPr>
            <w:rPr>
              <w:b/>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14:paraId="1502339F" w14:textId="7D9F3471" w:rsidR="00672237" w:rsidRPr="00376FCA" w:rsidRDefault="00672237" w:rsidP="00861281">
                <w:pPr>
                  <w:jc w:val="center"/>
                  <w:rPr>
                    <w:b/>
                  </w:rPr>
                </w:pPr>
                <w:r>
                  <w:rPr>
                    <w:rFonts w:ascii="MS Gothic" w:eastAsia="MS Gothic" w:hAnsi="MS Gothic" w:hint="eastAsia"/>
                    <w:b/>
                  </w:rPr>
                  <w:t>☒</w:t>
                </w:r>
              </w:p>
            </w:tc>
          </w:sdtContent>
        </w:sdt>
        <w:tc>
          <w:tcPr>
            <w:tcW w:w="1133" w:type="dxa"/>
            <w:tcBorders>
              <w:top w:val="dotted" w:sz="4" w:space="0" w:color="auto"/>
              <w:left w:val="nil"/>
              <w:bottom w:val="dotted" w:sz="4" w:space="0" w:color="auto"/>
              <w:right w:val="nil"/>
            </w:tcBorders>
            <w:shd w:val="clear" w:color="auto" w:fill="auto"/>
            <w:vAlign w:val="center"/>
          </w:tcPr>
          <w:p w14:paraId="108306AC" w14:textId="77777777" w:rsidR="00672237" w:rsidRPr="00376FCA" w:rsidRDefault="00672237" w:rsidP="00861281">
            <w:pPr>
              <w:rPr>
                <w:b/>
              </w:rPr>
            </w:pPr>
            <w:r w:rsidRPr="00376FCA">
              <w:rPr>
                <w:b/>
              </w:rPr>
              <w:t>Žiadne</w:t>
            </w:r>
          </w:p>
        </w:tc>
        <w:sdt>
          <w:sdtPr>
            <w:rPr>
              <w:b/>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14:paraId="0DA3B8E6" w14:textId="4735D9E4" w:rsidR="00672237" w:rsidRPr="00376FCA" w:rsidRDefault="00672237" w:rsidP="00861281">
                <w:pPr>
                  <w:jc w:val="center"/>
                  <w:rPr>
                    <w:b/>
                  </w:rPr>
                </w:pPr>
                <w:r w:rsidRPr="00376FCA">
                  <w:rPr>
                    <w:rFonts w:ascii="Segoe UI Symbol" w:eastAsia="MS Gothic" w:hAnsi="Segoe UI Symbol" w:cs="Segoe UI Symbol"/>
                    <w:b/>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14:paraId="5CF8FCCF" w14:textId="77777777" w:rsidR="00672237" w:rsidRPr="00376FCA" w:rsidRDefault="00672237" w:rsidP="00861281">
            <w:pPr>
              <w:ind w:left="54"/>
              <w:rPr>
                <w:b/>
              </w:rPr>
            </w:pPr>
            <w:r w:rsidRPr="00376FCA">
              <w:rPr>
                <w:b/>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72237" w:rsidRPr="00391793" w14:paraId="592317E7" w14:textId="77777777" w:rsidTr="00861281">
        <w:tc>
          <w:tcPr>
            <w:tcW w:w="3812" w:type="dxa"/>
            <w:tcBorders>
              <w:top w:val="single" w:sz="4" w:space="0" w:color="000000"/>
              <w:left w:val="single" w:sz="4" w:space="0" w:color="auto"/>
              <w:bottom w:val="single" w:sz="4" w:space="0" w:color="auto"/>
              <w:right w:val="single" w:sz="4" w:space="0" w:color="auto"/>
            </w:tcBorders>
            <w:shd w:val="clear" w:color="auto" w:fill="E2E2E2"/>
          </w:tcPr>
          <w:p w14:paraId="56B8813B" w14:textId="77777777" w:rsidR="00672237" w:rsidRPr="00376FCA" w:rsidRDefault="00672237" w:rsidP="00861281">
            <w:pPr>
              <w:rPr>
                <w:b/>
              </w:rPr>
            </w:pPr>
            <w:r w:rsidRPr="00376FCA">
              <w:rPr>
                <w:b/>
              </w:rPr>
              <w:t>Vplyvy na manželstvo, rodičovstvo a rodinu</w:t>
            </w:r>
          </w:p>
        </w:tc>
        <w:sdt>
          <w:sdtPr>
            <w:rPr>
              <w:b/>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14:paraId="7F4289EC" w14:textId="05202E60" w:rsidR="00672237" w:rsidRPr="00376FCA" w:rsidRDefault="00672237" w:rsidP="00861281">
                <w:pPr>
                  <w:jc w:val="center"/>
                  <w:rPr>
                    <w:b/>
                  </w:rPr>
                </w:pPr>
                <w:r w:rsidRPr="00376FCA">
                  <w:rPr>
                    <w:rFonts w:ascii="Segoe UI Symbol" w:eastAsia="MS Gothic" w:hAnsi="Segoe UI Symbol" w:cs="Segoe UI Symbol"/>
                    <w:b/>
                  </w:rPr>
                  <w:t>☐</w:t>
                </w:r>
              </w:p>
            </w:tc>
          </w:sdtContent>
        </w:sdt>
        <w:tc>
          <w:tcPr>
            <w:tcW w:w="1312" w:type="dxa"/>
            <w:tcBorders>
              <w:top w:val="single" w:sz="4" w:space="0" w:color="auto"/>
              <w:left w:val="nil"/>
              <w:bottom w:val="single" w:sz="4" w:space="0" w:color="auto"/>
              <w:right w:val="nil"/>
            </w:tcBorders>
            <w:vAlign w:val="center"/>
          </w:tcPr>
          <w:p w14:paraId="36B22C9A" w14:textId="77777777" w:rsidR="00672237" w:rsidRPr="00376FCA" w:rsidRDefault="00672237" w:rsidP="00861281">
            <w:pPr>
              <w:ind w:right="-108"/>
              <w:rPr>
                <w:b/>
              </w:rPr>
            </w:pPr>
            <w:r w:rsidRPr="00376FCA">
              <w:rPr>
                <w:b/>
              </w:rPr>
              <w:t>Pozitívne</w:t>
            </w:r>
          </w:p>
        </w:tc>
        <w:sdt>
          <w:sdtPr>
            <w:rPr>
              <w:b/>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14:paraId="6C65F22D" w14:textId="163A0966" w:rsidR="00672237" w:rsidRPr="00376FCA" w:rsidRDefault="00672237" w:rsidP="00861281">
                <w:pPr>
                  <w:jc w:val="center"/>
                  <w:rPr>
                    <w:b/>
                  </w:rPr>
                </w:pPr>
                <w:r>
                  <w:rPr>
                    <w:rFonts w:ascii="MS Gothic" w:eastAsia="MS Gothic" w:hAnsi="MS Gothic" w:hint="eastAsia"/>
                    <w:b/>
                  </w:rPr>
                  <w:t>☒</w:t>
                </w:r>
              </w:p>
            </w:tc>
          </w:sdtContent>
        </w:sdt>
        <w:tc>
          <w:tcPr>
            <w:tcW w:w="1133" w:type="dxa"/>
            <w:tcBorders>
              <w:top w:val="single" w:sz="4" w:space="0" w:color="auto"/>
              <w:left w:val="nil"/>
              <w:bottom w:val="single" w:sz="4" w:space="0" w:color="auto"/>
              <w:right w:val="nil"/>
            </w:tcBorders>
            <w:vAlign w:val="center"/>
          </w:tcPr>
          <w:p w14:paraId="1E088736" w14:textId="77777777" w:rsidR="00672237" w:rsidRPr="00376FCA" w:rsidRDefault="00672237" w:rsidP="00861281">
            <w:pPr>
              <w:rPr>
                <w:b/>
              </w:rPr>
            </w:pPr>
            <w:r w:rsidRPr="00376FCA">
              <w:rPr>
                <w:b/>
              </w:rPr>
              <w:t>Žiadne</w:t>
            </w:r>
          </w:p>
        </w:tc>
        <w:sdt>
          <w:sdtPr>
            <w:rPr>
              <w:b/>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14:paraId="4837D498" w14:textId="37C870A4" w:rsidR="00672237" w:rsidRPr="00376FCA" w:rsidRDefault="00672237" w:rsidP="00861281">
                <w:pPr>
                  <w:jc w:val="center"/>
                  <w:rPr>
                    <w:b/>
                  </w:rPr>
                </w:pPr>
                <w:r>
                  <w:rPr>
                    <w:rFonts w:ascii="MS Gothic" w:eastAsia="MS Gothic" w:hAnsi="MS Gothic" w:hint="eastAsia"/>
                    <w:b/>
                  </w:rPr>
                  <w:t>☐</w:t>
                </w:r>
              </w:p>
            </w:tc>
          </w:sdtContent>
        </w:sdt>
        <w:tc>
          <w:tcPr>
            <w:tcW w:w="1297" w:type="dxa"/>
            <w:tcBorders>
              <w:top w:val="single" w:sz="4" w:space="0" w:color="auto"/>
              <w:left w:val="nil"/>
              <w:bottom w:val="single" w:sz="4" w:space="0" w:color="auto"/>
              <w:right w:val="single" w:sz="4" w:space="0" w:color="auto"/>
            </w:tcBorders>
            <w:vAlign w:val="center"/>
          </w:tcPr>
          <w:p w14:paraId="20E3AAFB" w14:textId="77777777" w:rsidR="00672237" w:rsidRPr="00376FCA" w:rsidRDefault="00672237" w:rsidP="00861281">
            <w:pPr>
              <w:ind w:left="54"/>
              <w:rPr>
                <w:b/>
              </w:rPr>
            </w:pPr>
            <w:r w:rsidRPr="00376FCA">
              <w:rPr>
                <w:b/>
              </w:rPr>
              <w:t>Negatívne</w:t>
            </w:r>
          </w:p>
        </w:tc>
      </w:tr>
    </w:tbl>
    <w:p w14:paraId="3258E604" w14:textId="77777777" w:rsidR="00672237" w:rsidRPr="00376FCA" w:rsidRDefault="00672237" w:rsidP="00672237">
      <w:pPr>
        <w:ind w:right="141"/>
        <w:rPr>
          <w:b/>
        </w:rPr>
      </w:pPr>
    </w:p>
    <w:tbl>
      <w:tblPr>
        <w:tblStyle w:val="Mriekatabuky1"/>
        <w:tblpPr w:leftFromText="141" w:rightFromText="141" w:vertAnchor="text" w:tblpY="1"/>
        <w:tblOverlap w:val="never"/>
        <w:tblW w:w="9176" w:type="dxa"/>
        <w:tblLayout w:type="fixed"/>
        <w:tblLook w:val="04A0" w:firstRow="1" w:lastRow="0" w:firstColumn="1" w:lastColumn="0" w:noHBand="0" w:noVBand="1"/>
      </w:tblPr>
      <w:tblGrid>
        <w:gridCol w:w="9176"/>
      </w:tblGrid>
      <w:tr w:rsidR="00672237" w:rsidRPr="00391793" w14:paraId="2E998F19" w14:textId="77777777" w:rsidTr="00861281">
        <w:tc>
          <w:tcPr>
            <w:tcW w:w="9176" w:type="dxa"/>
            <w:tcBorders>
              <w:top w:val="single" w:sz="4" w:space="0" w:color="auto"/>
              <w:left w:val="single" w:sz="4" w:space="0" w:color="auto"/>
              <w:bottom w:val="nil"/>
              <w:right w:val="single" w:sz="4" w:space="0" w:color="auto"/>
            </w:tcBorders>
            <w:shd w:val="clear" w:color="auto" w:fill="E2E2E2"/>
          </w:tcPr>
          <w:p w14:paraId="177CECEA" w14:textId="77777777" w:rsidR="00672237" w:rsidRPr="00376FCA" w:rsidRDefault="00672237" w:rsidP="00672237">
            <w:pPr>
              <w:numPr>
                <w:ilvl w:val="0"/>
                <w:numId w:val="6"/>
              </w:numPr>
              <w:ind w:left="426"/>
              <w:contextualSpacing/>
              <w:rPr>
                <w:rFonts w:eastAsia="Calibri"/>
                <w:b/>
              </w:rPr>
            </w:pPr>
            <w:r w:rsidRPr="00376FCA">
              <w:rPr>
                <w:rFonts w:eastAsia="Calibri"/>
                <w:b/>
              </w:rPr>
              <w:t>Poznámky</w:t>
            </w:r>
          </w:p>
        </w:tc>
      </w:tr>
      <w:tr w:rsidR="00672237" w:rsidRPr="00391793" w14:paraId="44B965CB" w14:textId="77777777" w:rsidTr="00861281">
        <w:trPr>
          <w:trHeight w:val="713"/>
        </w:trPr>
        <w:tc>
          <w:tcPr>
            <w:tcW w:w="9176" w:type="dxa"/>
            <w:tcBorders>
              <w:top w:val="nil"/>
              <w:left w:val="single" w:sz="4" w:space="0" w:color="auto"/>
              <w:bottom w:val="single" w:sz="4" w:space="0" w:color="FFFFFF"/>
              <w:right w:val="single" w:sz="4" w:space="0" w:color="auto"/>
            </w:tcBorders>
            <w:shd w:val="clear" w:color="auto" w:fill="auto"/>
          </w:tcPr>
          <w:p w14:paraId="54136D80" w14:textId="77777777" w:rsidR="00672237" w:rsidRPr="00376FCA" w:rsidRDefault="00672237" w:rsidP="00861281">
            <w:pPr>
              <w:jc w:val="both"/>
              <w:rPr>
                <w:i/>
              </w:rPr>
            </w:pPr>
            <w:r w:rsidRPr="00376FCA">
              <w:rPr>
                <w:i/>
              </w:rPr>
              <w:t>V prípade potreby uveďte doplňujúce informácie k identifikovaným vplyvom a ich analýzam. Informácie v tejto časti slúžia na zhrnutie vplyvov a nie ako náhrada za vypracovanie príslušných analýz vybraných vplyvov.</w:t>
            </w:r>
          </w:p>
          <w:p w14:paraId="2CCCD010" w14:textId="77777777" w:rsidR="004905FD" w:rsidRPr="001D7A26" w:rsidRDefault="004905FD" w:rsidP="004905FD">
            <w:pPr>
              <w:pStyle w:val="Normlnywebov"/>
              <w:jc w:val="both"/>
            </w:pPr>
            <w:r w:rsidRPr="001D7A26">
              <w:t>Identifikované vplyvy v rámci ich analýz indikujú negatívny vplyv návrhu zákona na rozpočet a negatívny a pozitívny vplyv na podnikateľské prostredie. Návrh zákona bude mať negatívny vplyv na podnikateľské prostredie v dôsledku vzniku povinnosti vyhotoviť správu s informáciami o dani z príjmov pre tie účtovné jednotky s cezhraničným aspektom, ktorých čistý obrat presahuje sumu 750 mil. € a účtovné jednotky, ktoré zostavujú konsolidovanú účtovnú závierku najväčšej skupiny účtovných jednotiek a ich  konsolidované výnosy prekročili sumu 750 mil. € v každom z dvoch bezprostredne po sebe nasledujúcich účtovných obdobiach.  Negatívny a pozitívny vplyv na podnikateľské prostredie súvisí so zavedením povinnosti uvádzania informácií v správe audítora a následného príjmu audítora/audítorskej spoločnosti vyplývajúceho z plnenia tejto povinnosti.</w:t>
            </w:r>
          </w:p>
          <w:p w14:paraId="59EBC38A" w14:textId="22D80C1A" w:rsidR="0043189D" w:rsidRPr="000F4BBB" w:rsidRDefault="004905FD" w:rsidP="004905FD">
            <w:pPr>
              <w:jc w:val="both"/>
            </w:pPr>
            <w:r w:rsidRPr="001D7A26">
              <w:t>Finančné prostriedky potrebné na úpravu informačných systémov na rozpočtový rok 2024 budú zabezpečené v rámci prípravy rozpočtu kapitoly MF SR na roky 2023 – 2025.  Vzhľadom na to, že samotný výkaz bude prijatý predpokladáme koncom roka 2022, najneskôr v roku 2023 prostredníctvom  vykonávacieho aktu, v súčasnosti nie je možné presne vyčísliť finančné vplyvy na zabezpečenie splnenia tejto povinnosti v informačných systémoch verejnej správy.  Preto v analýze na rozpočet uvádzame odhadovanú výšku predpokladaných nákladov, ktorú budeme v prípade potreby aktualizovať na základe nových skutočností pri vykonávacom predpise</w:t>
            </w:r>
            <w:r>
              <w:t>.</w:t>
            </w:r>
          </w:p>
        </w:tc>
      </w:tr>
      <w:tr w:rsidR="00672237" w:rsidRPr="00391793" w14:paraId="15BF0FBA" w14:textId="77777777" w:rsidTr="00861281">
        <w:tc>
          <w:tcPr>
            <w:tcW w:w="9176" w:type="dxa"/>
            <w:tcBorders>
              <w:top w:val="single" w:sz="4" w:space="0" w:color="auto"/>
              <w:left w:val="single" w:sz="4" w:space="0" w:color="auto"/>
              <w:bottom w:val="single" w:sz="4" w:space="0" w:color="FFFFFF"/>
              <w:right w:val="single" w:sz="4" w:space="0" w:color="auto"/>
            </w:tcBorders>
            <w:shd w:val="clear" w:color="auto" w:fill="E2E2E2"/>
          </w:tcPr>
          <w:p w14:paraId="1782F35E" w14:textId="77777777" w:rsidR="00672237" w:rsidRPr="00376FCA" w:rsidRDefault="00672237" w:rsidP="00672237">
            <w:pPr>
              <w:numPr>
                <w:ilvl w:val="0"/>
                <w:numId w:val="6"/>
              </w:numPr>
              <w:ind w:left="426"/>
              <w:contextualSpacing/>
              <w:rPr>
                <w:rFonts w:eastAsia="Calibri"/>
                <w:b/>
              </w:rPr>
            </w:pPr>
            <w:r w:rsidRPr="00376FCA">
              <w:rPr>
                <w:rFonts w:eastAsia="Calibri"/>
                <w:b/>
              </w:rPr>
              <w:lastRenderedPageBreak/>
              <w:t>Kontakt na spracovateľa</w:t>
            </w:r>
          </w:p>
        </w:tc>
      </w:tr>
      <w:tr w:rsidR="00672237" w:rsidRPr="00391793" w14:paraId="54807379" w14:textId="77777777" w:rsidTr="00861281">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431C3CF" w14:textId="50F96100" w:rsidR="00672237" w:rsidRPr="007F1D3D" w:rsidRDefault="00672237" w:rsidP="00861281">
            <w:pPr>
              <w:rPr>
                <w:i/>
              </w:rPr>
            </w:pPr>
            <w:r w:rsidRPr="00376FCA">
              <w:rPr>
                <w:i/>
              </w:rPr>
              <w:t>Uveďte údaje na kontaktnú osobu, ktorú je možné kontaktovať v súvislosti s posúdením vybraných vplyvov.</w:t>
            </w:r>
          </w:p>
          <w:p w14:paraId="1431CC4C" w14:textId="25B546EC" w:rsidR="00672237" w:rsidRDefault="00E13EE0" w:rsidP="00861281">
            <w:r>
              <w:t xml:space="preserve">Ing. Ingrid </w:t>
            </w:r>
            <w:proofErr w:type="spellStart"/>
            <w:r>
              <w:t>Šalkovičová</w:t>
            </w:r>
            <w:proofErr w:type="spellEnd"/>
            <w:r w:rsidR="00672237" w:rsidRPr="00376FCA">
              <w:t xml:space="preserve"> (</w:t>
            </w:r>
            <w:hyperlink r:id="rId9" w:history="1">
              <w:r w:rsidRPr="00C84A52">
                <w:rPr>
                  <w:rStyle w:val="Hypertextovprepojenie"/>
                  <w:rFonts w:eastAsiaTheme="majorEastAsia"/>
                </w:rPr>
                <w:t>ingrid.salkovicova@mfsr.sk</w:t>
              </w:r>
            </w:hyperlink>
            <w:r w:rsidR="00672237" w:rsidRPr="00376FCA">
              <w:t>)</w:t>
            </w:r>
            <w:r w:rsidR="00672237">
              <w:t xml:space="preserve">, </w:t>
            </w:r>
          </w:p>
          <w:p w14:paraId="0401CF75" w14:textId="00C5EE19" w:rsidR="00672237" w:rsidRPr="00376FCA" w:rsidRDefault="00E13EE0" w:rsidP="004905FD">
            <w:r>
              <w:t>Odbor pre legislatívu a metodiku účtovníctva, MF SR</w:t>
            </w:r>
          </w:p>
        </w:tc>
      </w:tr>
      <w:tr w:rsidR="00672237" w:rsidRPr="00391793" w14:paraId="0D60D064" w14:textId="77777777" w:rsidTr="00861281">
        <w:tc>
          <w:tcPr>
            <w:tcW w:w="9176" w:type="dxa"/>
            <w:tcBorders>
              <w:top w:val="single" w:sz="4" w:space="0" w:color="auto"/>
              <w:left w:val="single" w:sz="4" w:space="0" w:color="auto"/>
              <w:bottom w:val="single" w:sz="4" w:space="0" w:color="FFFFFF"/>
              <w:right w:val="single" w:sz="4" w:space="0" w:color="auto"/>
            </w:tcBorders>
            <w:shd w:val="clear" w:color="auto" w:fill="E2E2E2"/>
          </w:tcPr>
          <w:p w14:paraId="5EDADD18" w14:textId="77777777" w:rsidR="00672237" w:rsidRPr="00376FCA" w:rsidRDefault="00672237" w:rsidP="00672237">
            <w:pPr>
              <w:numPr>
                <w:ilvl w:val="0"/>
                <w:numId w:val="6"/>
              </w:numPr>
              <w:ind w:left="426"/>
              <w:contextualSpacing/>
              <w:rPr>
                <w:rFonts w:eastAsia="Calibri"/>
                <w:b/>
              </w:rPr>
            </w:pPr>
            <w:r w:rsidRPr="00376FCA">
              <w:rPr>
                <w:rFonts w:eastAsia="Calibri"/>
                <w:b/>
              </w:rPr>
              <w:t>Zdroje</w:t>
            </w:r>
          </w:p>
        </w:tc>
      </w:tr>
      <w:tr w:rsidR="00672237" w:rsidRPr="00391793" w14:paraId="70B9ED27" w14:textId="77777777" w:rsidTr="00861281">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56274AAB" w14:textId="77777777" w:rsidR="00672237" w:rsidRPr="00376FCA" w:rsidRDefault="00672237" w:rsidP="00861281">
            <w:pPr>
              <w:jc w:val="both"/>
              <w:rPr>
                <w:i/>
              </w:rPr>
            </w:pPr>
            <w:r w:rsidRPr="00376FCA">
              <w:rPr>
                <w:i/>
              </w:rPr>
              <w:t>Uveďte zdroje (štatistiky, prieskumy, spoluprácu s odborníkmi a iné), z ktorých ste pri príprave materiálu a vypracovávaní doložky, analýz vplyvov vychádzali. V prípade nedostupnosti potrebných dát pre spracovanie relevantných analýz vybraných vplyvov, uveďte danú skutočnosť.</w:t>
            </w:r>
            <w:r w:rsidRPr="00391793">
              <w:rPr>
                <w:rFonts w:eastAsia="Calibri"/>
              </w:rPr>
              <w:t xml:space="preserve"> </w:t>
            </w:r>
          </w:p>
          <w:p w14:paraId="7E4679C1" w14:textId="1735C06F" w:rsidR="00672237" w:rsidRPr="00376FCA" w:rsidRDefault="004905FD" w:rsidP="00A26F38">
            <w:pPr>
              <w:pStyle w:val="Odsekzoznamu"/>
              <w:ind w:left="0"/>
              <w:jc w:val="both"/>
            </w:pPr>
            <w:r w:rsidRPr="001D7A26">
              <w:t>Pri vypracovaní doložky vplyvov a príslušných analýz vplyvov na podnikateľské prostredie sa vychádzalo z dostupných informácií zverejnených v registri účtovných závierok. Následne sa vyčís</w:t>
            </w:r>
            <w:r w:rsidR="00A26F38">
              <w:t>ľ</w:t>
            </w:r>
            <w:r w:rsidRPr="001D7A26">
              <w:t>ovali vplyvy za použitia kalkulačky nákladov regulácie</w:t>
            </w:r>
            <w:r>
              <w:t>.</w:t>
            </w:r>
          </w:p>
        </w:tc>
      </w:tr>
      <w:tr w:rsidR="00672237" w:rsidRPr="00391793" w14:paraId="3AFBB3FB" w14:textId="77777777" w:rsidTr="00861281">
        <w:tc>
          <w:tcPr>
            <w:tcW w:w="9176" w:type="dxa"/>
            <w:tcBorders>
              <w:top w:val="single" w:sz="4" w:space="0" w:color="auto"/>
              <w:left w:val="single" w:sz="4" w:space="0" w:color="auto"/>
              <w:bottom w:val="single" w:sz="4" w:space="0" w:color="FFFFFF"/>
              <w:right w:val="single" w:sz="4" w:space="0" w:color="auto"/>
            </w:tcBorders>
            <w:shd w:val="clear" w:color="auto" w:fill="E2E2E2"/>
          </w:tcPr>
          <w:p w14:paraId="27CBDDBE" w14:textId="5C5FC8F3" w:rsidR="00672237" w:rsidRPr="00376FCA" w:rsidRDefault="00672237" w:rsidP="00672237">
            <w:pPr>
              <w:numPr>
                <w:ilvl w:val="0"/>
                <w:numId w:val="6"/>
              </w:numPr>
              <w:ind w:left="447" w:hanging="425"/>
              <w:contextualSpacing/>
              <w:rPr>
                <w:rFonts w:eastAsia="Calibri"/>
                <w:b/>
              </w:rPr>
            </w:pPr>
            <w:r w:rsidRPr="00376FCA">
              <w:rPr>
                <w:rFonts w:eastAsia="Calibri"/>
                <w:b/>
              </w:rPr>
              <w:t xml:space="preserve">Stanovisko Komisie na posudzovanie vybraných vplyvov z PPK </w:t>
            </w:r>
            <w:r w:rsidR="004905FD">
              <w:rPr>
                <w:rFonts w:eastAsia="Calibri"/>
                <w:b/>
              </w:rPr>
              <w:t xml:space="preserve"> č. 077/2022</w:t>
            </w:r>
          </w:p>
          <w:p w14:paraId="53067D24" w14:textId="77777777" w:rsidR="00672237" w:rsidRPr="00376FCA" w:rsidRDefault="00672237" w:rsidP="00861281">
            <w:pPr>
              <w:ind w:left="502"/>
              <w:rPr>
                <w:b/>
              </w:rPr>
            </w:pPr>
            <w:r w:rsidRPr="00376FCA">
              <w:rPr>
                <w:rFonts w:eastAsia="Calibri"/>
              </w:rPr>
              <w:t>(v prípade, ak sa uskutočnilo v zmysle bodu 8.1 Jednotnej metodiky)</w:t>
            </w:r>
          </w:p>
        </w:tc>
      </w:tr>
      <w:tr w:rsidR="00672237" w:rsidRPr="00391793" w14:paraId="6E4772F6" w14:textId="77777777" w:rsidTr="00861281">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14:paraId="65347F38" w14:textId="77777777" w:rsidR="00672237" w:rsidRPr="00376FCA" w:rsidRDefault="00672237" w:rsidP="00861281">
            <w:pPr>
              <w:rPr>
                <w:b/>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72237" w:rsidRPr="00391793" w14:paraId="1CB11181" w14:textId="77777777" w:rsidTr="00861281">
              <w:trPr>
                <w:trHeight w:val="396"/>
              </w:trPr>
              <w:tc>
                <w:tcPr>
                  <w:tcW w:w="2552" w:type="dxa"/>
                </w:tcPr>
                <w:p w14:paraId="2A017BC9" w14:textId="21E98D7E" w:rsidR="00672237" w:rsidRPr="00376FCA" w:rsidRDefault="003A73D9" w:rsidP="0057046A">
                  <w:pPr>
                    <w:framePr w:hSpace="141" w:wrap="around" w:vAnchor="text" w:hAnchor="text" w:y="1"/>
                    <w:suppressOverlap/>
                    <w:rPr>
                      <w:b/>
                    </w:rPr>
                  </w:pPr>
                  <w:sdt>
                    <w:sdtPr>
                      <w:rPr>
                        <w:b/>
                      </w:rPr>
                      <w:id w:val="-1874910888"/>
                      <w14:checkbox>
                        <w14:checked w14:val="0"/>
                        <w14:checkedState w14:val="2612" w14:font="MS Gothic"/>
                        <w14:uncheckedState w14:val="2610" w14:font="MS Gothic"/>
                      </w14:checkbox>
                    </w:sdtPr>
                    <w:sdtEndPr/>
                    <w:sdtContent>
                      <w:r w:rsidR="00672237" w:rsidRPr="00376FCA">
                        <w:rPr>
                          <w:rFonts w:ascii="Segoe UI Symbol" w:eastAsia="MS Gothic" w:hAnsi="Segoe UI Symbol" w:cs="Segoe UI Symbol"/>
                          <w:b/>
                        </w:rPr>
                        <w:t>☐</w:t>
                      </w:r>
                    </w:sdtContent>
                  </w:sdt>
                  <w:r w:rsidR="00672237" w:rsidRPr="00376FCA">
                    <w:rPr>
                      <w:b/>
                    </w:rPr>
                    <w:t xml:space="preserve">  Súhlasné </w:t>
                  </w:r>
                </w:p>
              </w:tc>
              <w:tc>
                <w:tcPr>
                  <w:tcW w:w="3827" w:type="dxa"/>
                </w:tcPr>
                <w:p w14:paraId="15F68BD7" w14:textId="169324AA" w:rsidR="00672237" w:rsidRPr="00376FCA" w:rsidRDefault="003A73D9" w:rsidP="0057046A">
                  <w:pPr>
                    <w:framePr w:hSpace="141" w:wrap="around" w:vAnchor="text" w:hAnchor="text" w:y="1"/>
                    <w:suppressOverlap/>
                    <w:rPr>
                      <w:b/>
                    </w:rPr>
                  </w:pPr>
                  <w:sdt>
                    <w:sdtPr>
                      <w:rPr>
                        <w:b/>
                      </w:rPr>
                      <w:id w:val="1697888127"/>
                      <w14:checkbox>
                        <w14:checked w14:val="0"/>
                        <w14:checkedState w14:val="2612" w14:font="MS Gothic"/>
                        <w14:uncheckedState w14:val="2610" w14:font="MS Gothic"/>
                      </w14:checkbox>
                    </w:sdtPr>
                    <w:sdtEndPr/>
                    <w:sdtContent>
                      <w:r w:rsidR="00672237" w:rsidRPr="00376FCA">
                        <w:rPr>
                          <w:rFonts w:ascii="Segoe UI Symbol" w:eastAsia="MS Gothic" w:hAnsi="Segoe UI Symbol" w:cs="Segoe UI Symbol"/>
                          <w:b/>
                        </w:rPr>
                        <w:t>☐</w:t>
                      </w:r>
                    </w:sdtContent>
                  </w:sdt>
                  <w:r w:rsidR="00672237" w:rsidRPr="00376FCA">
                    <w:rPr>
                      <w:b/>
                    </w:rPr>
                    <w:t xml:space="preserve">  Súhlasné s návrhom na dopracovanie</w:t>
                  </w:r>
                </w:p>
              </w:tc>
              <w:tc>
                <w:tcPr>
                  <w:tcW w:w="2534" w:type="dxa"/>
                </w:tcPr>
                <w:p w14:paraId="2E5F64F7" w14:textId="416B96C8" w:rsidR="00672237" w:rsidRPr="00376FCA" w:rsidRDefault="003A73D9" w:rsidP="0057046A">
                  <w:pPr>
                    <w:framePr w:hSpace="141" w:wrap="around" w:vAnchor="text" w:hAnchor="text" w:y="1"/>
                    <w:ind w:right="459"/>
                    <w:suppressOverlap/>
                    <w:rPr>
                      <w:b/>
                    </w:rPr>
                  </w:pPr>
                  <w:sdt>
                    <w:sdtPr>
                      <w:rPr>
                        <w:b/>
                      </w:rPr>
                      <w:id w:val="-647822913"/>
                      <w14:checkbox>
                        <w14:checked w14:val="1"/>
                        <w14:checkedState w14:val="2612" w14:font="MS Gothic"/>
                        <w14:uncheckedState w14:val="2610" w14:font="MS Gothic"/>
                      </w14:checkbox>
                    </w:sdtPr>
                    <w:sdtEndPr/>
                    <w:sdtContent>
                      <w:r w:rsidR="003B4264">
                        <w:rPr>
                          <w:rFonts w:ascii="MS Gothic" w:eastAsia="MS Gothic" w:hAnsi="MS Gothic" w:hint="eastAsia"/>
                          <w:b/>
                        </w:rPr>
                        <w:t>☒</w:t>
                      </w:r>
                    </w:sdtContent>
                  </w:sdt>
                  <w:r w:rsidR="00672237" w:rsidRPr="00376FCA">
                    <w:rPr>
                      <w:b/>
                    </w:rPr>
                    <w:t xml:space="preserve">  Nesúhlasné</w:t>
                  </w:r>
                </w:p>
              </w:tc>
            </w:tr>
          </w:tbl>
          <w:p w14:paraId="26C2394E" w14:textId="64269ABF" w:rsidR="00672237" w:rsidRDefault="00672237" w:rsidP="002F749C">
            <w:pPr>
              <w:spacing w:after="120"/>
              <w:jc w:val="both"/>
              <w:rPr>
                <w:b/>
              </w:rPr>
            </w:pPr>
            <w:r w:rsidRPr="00376FCA">
              <w:rPr>
                <w:b/>
              </w:rPr>
              <w:t>Uveďte pripomienky zo stanoviska Komisie z časti II. spolu s Vaším vyhodnotením:</w:t>
            </w:r>
          </w:p>
          <w:p w14:paraId="439A2621" w14:textId="77777777" w:rsidR="004905FD" w:rsidRDefault="004905FD" w:rsidP="004905FD">
            <w:pPr>
              <w:pStyle w:val="Normlnywebov"/>
              <w:rPr>
                <w:rStyle w:val="Siln"/>
              </w:rPr>
            </w:pPr>
            <w:r w:rsidRPr="001D7A26">
              <w:rPr>
                <w:rStyle w:val="Siln"/>
              </w:rPr>
              <w:t xml:space="preserve">II. Pripomienky a návrhy zmien: </w:t>
            </w:r>
          </w:p>
          <w:p w14:paraId="0C733A41" w14:textId="0BB596C2" w:rsidR="004905FD" w:rsidRPr="001D7A26" w:rsidRDefault="004905FD" w:rsidP="004905FD">
            <w:pPr>
              <w:pStyle w:val="Normlnywebov"/>
            </w:pPr>
            <w:r w:rsidRPr="001D7A26">
              <w:rPr>
                <w:rStyle w:val="Siln"/>
              </w:rPr>
              <w:t>Komisia uplatňuje k materiálu nasledovné pripomienky a odporúčania:</w:t>
            </w:r>
          </w:p>
          <w:p w14:paraId="3B8E8796" w14:textId="77777777" w:rsidR="004905FD" w:rsidRPr="001D7A26" w:rsidRDefault="004905FD" w:rsidP="004905FD">
            <w:pPr>
              <w:pStyle w:val="Normlnywebov"/>
              <w:spacing w:after="0" w:afterAutospacing="0"/>
            </w:pPr>
            <w:r w:rsidRPr="001D7A26">
              <w:rPr>
                <w:rStyle w:val="Siln"/>
              </w:rPr>
              <w:t>K vplyvom na rozpočet verejnej správy</w:t>
            </w:r>
          </w:p>
          <w:p w14:paraId="65F45344" w14:textId="77777777" w:rsidR="004905FD" w:rsidRPr="001D7A26" w:rsidRDefault="004905FD" w:rsidP="004905FD">
            <w:pPr>
              <w:pStyle w:val="Normlnywebov"/>
              <w:spacing w:before="0" w:beforeAutospacing="0" w:after="0" w:afterAutospacing="0"/>
              <w:jc w:val="both"/>
            </w:pPr>
            <w:r w:rsidRPr="001D7A26">
              <w:t>V doložke vybraných vplyvov je označený negatívny, rozpočtovo krytý vplyv na rozpočet verejnej správy. V analýze vplyvov je kvantifikovaný vplyv v sume 770,98 v roku 2022, pričom sa uvádza, že tento vplyv je pokrytý z prostriedkov zabezpečených na prevádzku informačného systému na rok 2022. Ďalej je kvantifikovaný aj vplyv v roku 2024 v sume 173 467,20 eur s tým, že finančné prostriedky nie sú zabezpečené v rámci limitu výdavkov kapitoly MF SR a z uvedeného dôvodu si tieto prostriedky bude kapitola uplatňovať v rámci prípravy návrhu rozpočtu verejnej správy na roky 2023 až 2025.</w:t>
            </w:r>
          </w:p>
          <w:p w14:paraId="692B465F" w14:textId="77777777" w:rsidR="004905FD" w:rsidRPr="001D7A26" w:rsidRDefault="004905FD" w:rsidP="004905FD">
            <w:pPr>
              <w:pStyle w:val="Normlnywebov"/>
              <w:jc w:val="both"/>
            </w:pPr>
            <w:r w:rsidRPr="001D7A26">
              <w:t>S materiálom, ktorý zakladá nekrytý vplyv na rozpočet verejnej správy Komisia nesúhlasí a žiada vplyv zabezpečiť v rámci schválených limitov kapitoly MF SR na príslušný rozpočtový rok.</w:t>
            </w:r>
          </w:p>
          <w:p w14:paraId="3C378F37" w14:textId="77777777" w:rsidR="004905FD" w:rsidRPr="001D7A26" w:rsidRDefault="004905FD" w:rsidP="004905FD">
            <w:r w:rsidRPr="001D7A26">
              <w:rPr>
                <w:rStyle w:val="Siln"/>
              </w:rPr>
              <w:t>K vplyvom na podnikateľské prostredie</w:t>
            </w:r>
          </w:p>
          <w:p w14:paraId="3A7E0F9E" w14:textId="77777777" w:rsidR="004905FD" w:rsidRPr="001D7A26" w:rsidRDefault="004905FD" w:rsidP="004905FD">
            <w:r w:rsidRPr="001D7A26">
              <w:t>Komisia žiada predkladateľa v Doložke vybraných vplyvov v časti 9 „Vybrané vplyvy materiálu“ vyznačiť aj pozitívne vplyvy na podnikateľské prostredie a doplniť Analýzu vplyvov na podnikateľské prostredie.</w:t>
            </w:r>
          </w:p>
          <w:p w14:paraId="1129E3B0" w14:textId="77777777" w:rsidR="004905FD" w:rsidRPr="001D7A26" w:rsidRDefault="004905FD" w:rsidP="004905FD">
            <w:r w:rsidRPr="001D7A26">
              <w:t> </w:t>
            </w:r>
          </w:p>
          <w:p w14:paraId="0F108EC3" w14:textId="77777777" w:rsidR="004905FD" w:rsidRPr="001D7A26" w:rsidRDefault="004905FD" w:rsidP="004905FD">
            <w:pPr>
              <w:jc w:val="both"/>
            </w:pPr>
            <w:r w:rsidRPr="001D7A26">
              <w:rPr>
                <w:rStyle w:val="Siln"/>
              </w:rPr>
              <w:t xml:space="preserve">Odôvodnenie: </w:t>
            </w:r>
            <w:r w:rsidRPr="001D7A26">
              <w:t>Materiál upravuje predĺženie lehoty na vypracovanie súhrnnej účtovnej závierky zo 6 na 9 mesiacov, čo predstavuje pozitívny vplyv pre podnikateľské prostredie, ktorý je potrebný uviesť v časti 3.4 v Analýze vplyvov na podnikateľské prostredie. Zároveň v § 19 ods. 4 sa zavádza nová  administratívna povinnosť pre audítorskú spoločnosť, ktorú je potrebné kvantifikovať v časti 3.1 Analýzy. Ďalej sa zavádzajú sankcie za nepredloženie účtovných záznamov, ktoré je potrebné uviesť v časti 3.4 Analýzy.</w:t>
            </w:r>
          </w:p>
          <w:p w14:paraId="09418EAF" w14:textId="77777777" w:rsidR="004905FD" w:rsidRDefault="004905FD" w:rsidP="004905FD">
            <w:r w:rsidRPr="001D7A26">
              <w:t> </w:t>
            </w:r>
          </w:p>
          <w:p w14:paraId="55551417" w14:textId="77777777" w:rsidR="004905FD" w:rsidRPr="001D7A26" w:rsidRDefault="004905FD" w:rsidP="004905FD"/>
          <w:p w14:paraId="330B79C3" w14:textId="77777777" w:rsidR="004905FD" w:rsidRPr="001D7A26" w:rsidRDefault="004905FD" w:rsidP="004905FD">
            <w:r w:rsidRPr="001D7A26">
              <w:rPr>
                <w:rStyle w:val="Siln"/>
              </w:rPr>
              <w:lastRenderedPageBreak/>
              <w:t>K vplyvom na informatizáciu spoločnosti</w:t>
            </w:r>
          </w:p>
          <w:p w14:paraId="5A4AEB6E" w14:textId="77777777" w:rsidR="004905FD" w:rsidRPr="001D7A26" w:rsidRDefault="004905FD" w:rsidP="004905FD">
            <w:r w:rsidRPr="001D7A26">
              <w:t>Komisia súhlasí s tvrdením predkladateľa, že predmetný návrh zákona má vplyv na informatizáciu spoločnosti. Predkladateľ však použil nesprávny formulár analýzy vplyvov a teda nie je možné ho posúdiť v plnom rozsahu a v doložke vplyvov nesprávne vyznačil vplyv na informatizáciu spoločnosti ako „žiadny“ miesto „pozitívny“.</w:t>
            </w:r>
          </w:p>
          <w:p w14:paraId="0736C0A4" w14:textId="77777777" w:rsidR="004905FD" w:rsidRPr="001D7A26" w:rsidRDefault="004905FD" w:rsidP="004905FD">
            <w:r w:rsidRPr="001D7A26">
              <w:t> </w:t>
            </w:r>
          </w:p>
          <w:p w14:paraId="5A8919B6" w14:textId="77777777" w:rsidR="004905FD" w:rsidRPr="001D7A26" w:rsidRDefault="004905FD" w:rsidP="004905FD">
            <w:r w:rsidRPr="001D7A26">
              <w:rPr>
                <w:rStyle w:val="Siln"/>
              </w:rPr>
              <w:t>III. Záver:</w:t>
            </w:r>
            <w:r w:rsidRPr="001D7A26">
              <w:t xml:space="preserve"> Stála pracovná komisia na posudzovanie vybraných vplyvov vyjadruje</w:t>
            </w:r>
          </w:p>
          <w:p w14:paraId="58AC358E" w14:textId="77777777" w:rsidR="004905FD" w:rsidRPr="001D7A26" w:rsidRDefault="004905FD" w:rsidP="004905FD">
            <w:r w:rsidRPr="001D7A26">
              <w:t> </w:t>
            </w:r>
          </w:p>
          <w:p w14:paraId="618F6BA4" w14:textId="77777777" w:rsidR="004905FD" w:rsidRPr="001D7A26" w:rsidRDefault="004905FD" w:rsidP="004905FD">
            <w:pPr>
              <w:jc w:val="center"/>
            </w:pPr>
            <w:r w:rsidRPr="001D7A26">
              <w:rPr>
                <w:rStyle w:val="Siln"/>
              </w:rPr>
              <w:t>nesúhlasné stanovisko</w:t>
            </w:r>
          </w:p>
          <w:p w14:paraId="5621515D" w14:textId="77777777" w:rsidR="004905FD" w:rsidRPr="001D7A26" w:rsidRDefault="004905FD" w:rsidP="004905FD">
            <w:pPr>
              <w:pStyle w:val="Normlnywebov"/>
            </w:pPr>
            <w:r w:rsidRPr="001D7A26">
              <w:t>s materiálom predloženým na predbežné pripomienkové konanie s odporúčaním na jeho dopracovanie podľa pripomienok v bode II.</w:t>
            </w:r>
          </w:p>
          <w:p w14:paraId="573B2E02" w14:textId="77777777" w:rsidR="004905FD" w:rsidRPr="001D7A26" w:rsidRDefault="004905FD" w:rsidP="004905FD">
            <w:pPr>
              <w:pStyle w:val="Normlnywebov"/>
            </w:pPr>
            <w:r w:rsidRPr="001D7A26">
              <w:rPr>
                <w:rStyle w:val="Siln"/>
              </w:rPr>
              <w:t>Vyhodnotenie pripomienok k stanovisku: </w:t>
            </w:r>
          </w:p>
          <w:p w14:paraId="1460D8AC" w14:textId="77777777" w:rsidR="004905FD" w:rsidRPr="001D7A26" w:rsidRDefault="004905FD" w:rsidP="004905FD">
            <w:pPr>
              <w:pStyle w:val="Normlnywebov"/>
              <w:spacing w:before="0" w:beforeAutospacing="0" w:after="0" w:afterAutospacing="0"/>
            </w:pPr>
            <w:r w:rsidRPr="001D7A26">
              <w:rPr>
                <w:rStyle w:val="Siln"/>
              </w:rPr>
              <w:t>K vplyvom na rozpočet verejnej správy</w:t>
            </w:r>
          </w:p>
          <w:p w14:paraId="6264FF12" w14:textId="77777777" w:rsidR="004905FD" w:rsidRPr="001D7A26" w:rsidRDefault="004905FD" w:rsidP="004905FD">
            <w:pPr>
              <w:pStyle w:val="Normlnywebov"/>
              <w:spacing w:before="0" w:beforeAutospacing="0"/>
              <w:jc w:val="both"/>
            </w:pPr>
            <w:r w:rsidRPr="001D7A26">
              <w:t>MF SR upravilo analýzu vplyvu na rozpočet verejnej správy podľa odporúčania Komisie a predkladá už upravený dokument.</w:t>
            </w:r>
          </w:p>
          <w:p w14:paraId="579A4568" w14:textId="77777777" w:rsidR="004905FD" w:rsidRPr="001D7A26" w:rsidRDefault="004905FD" w:rsidP="004905FD">
            <w:r w:rsidRPr="001D7A26">
              <w:rPr>
                <w:rStyle w:val="Siln"/>
              </w:rPr>
              <w:t>K vplyvom na podnikateľské prostredie</w:t>
            </w:r>
          </w:p>
          <w:p w14:paraId="561AF8E3" w14:textId="293CD5D6" w:rsidR="004905FD" w:rsidRPr="001D7A26" w:rsidRDefault="004905FD" w:rsidP="004905FD">
            <w:pPr>
              <w:jc w:val="both"/>
            </w:pPr>
            <w:r w:rsidRPr="001D7A26">
              <w:t>MF SR upravilo analýzu vplyvu na podnikateľské prostredie podľa odporúčania Komisie s výnimkou pozitívneho vplyvu pri súhrnnej účtovnej závierke, nakoľko ju zostavuje MF SR.</w:t>
            </w:r>
          </w:p>
          <w:p w14:paraId="63CB0C1B" w14:textId="77777777" w:rsidR="004905FD" w:rsidRPr="001D7A26" w:rsidRDefault="004905FD" w:rsidP="004905FD">
            <w:pPr>
              <w:jc w:val="both"/>
            </w:pPr>
            <w:r w:rsidRPr="001D7A26">
              <w:t>Uvádzame pozitívny aj negatívny vplyv na audítora/audítorskú spoločnosť, ktorej vznikne na jednej strane povinnosť uvádzania informácií v správe audítora, ale zároveň to predstavuje aj príjem pre audítora/audítorskú spoločnosť.</w:t>
            </w:r>
          </w:p>
          <w:p w14:paraId="7F9C5A5F" w14:textId="77777777" w:rsidR="004905FD" w:rsidRPr="001D7A26" w:rsidRDefault="004905FD" w:rsidP="004905FD">
            <w:pPr>
              <w:pStyle w:val="Normlnywebov"/>
              <w:spacing w:after="0" w:afterAutospacing="0"/>
            </w:pPr>
            <w:r w:rsidRPr="001D7A26">
              <w:rPr>
                <w:rStyle w:val="Siln"/>
              </w:rPr>
              <w:t>K vplyvom na informatizáciu spoločnosti</w:t>
            </w:r>
          </w:p>
          <w:p w14:paraId="2C43E44D" w14:textId="77777777" w:rsidR="004905FD" w:rsidRPr="001D7A26" w:rsidRDefault="004905FD" w:rsidP="004905FD">
            <w:pPr>
              <w:jc w:val="both"/>
            </w:pPr>
            <w:r w:rsidRPr="001D7A26">
              <w:t>MF SR ako predkladateľ návrhu zákona upravilo vplyv  v doložke vplyvov na „pozitívny“ a predložilo nový formulár odkonzultovaný a schválený MIRRI.</w:t>
            </w:r>
          </w:p>
          <w:p w14:paraId="041D2CAC" w14:textId="5C096D5C" w:rsidR="00896E32" w:rsidRPr="00896E32" w:rsidRDefault="00896E32" w:rsidP="00896E32">
            <w:pPr>
              <w:jc w:val="both"/>
            </w:pPr>
          </w:p>
        </w:tc>
      </w:tr>
      <w:tr w:rsidR="00672237" w:rsidRPr="00391793" w14:paraId="43903D8C" w14:textId="77777777" w:rsidTr="00861281">
        <w:tblPrEx>
          <w:tblBorders>
            <w:insideH w:val="single" w:sz="4" w:space="0" w:color="FFFFFF"/>
            <w:insideV w:val="single" w:sz="4" w:space="0" w:color="FFFFFF"/>
          </w:tblBorders>
        </w:tblPrEx>
        <w:tc>
          <w:tcPr>
            <w:tcW w:w="9176" w:type="dxa"/>
            <w:tcBorders>
              <w:top w:val="single" w:sz="4" w:space="0" w:color="auto"/>
            </w:tcBorders>
            <w:shd w:val="clear" w:color="auto" w:fill="E2E2E2"/>
          </w:tcPr>
          <w:p w14:paraId="46123536" w14:textId="0EE16E34" w:rsidR="00672237" w:rsidRPr="00376FCA" w:rsidRDefault="00672237" w:rsidP="004905FD">
            <w:pPr>
              <w:numPr>
                <w:ilvl w:val="0"/>
                <w:numId w:val="6"/>
              </w:numPr>
              <w:ind w:left="450" w:hanging="425"/>
              <w:contextualSpacing/>
              <w:jc w:val="both"/>
              <w:rPr>
                <w:rFonts w:eastAsia="Calibri"/>
                <w:b/>
              </w:rPr>
            </w:pPr>
            <w:r w:rsidRPr="00376FCA">
              <w:rPr>
                <w:rFonts w:eastAsia="Calibri"/>
                <w:b/>
              </w:rPr>
              <w:lastRenderedPageBreak/>
              <w:t xml:space="preserve">Stanovisko Komisie na posudzovanie vybraných vplyvov zo záverečného posúdenia č. </w:t>
            </w:r>
            <w:r w:rsidR="004905FD">
              <w:rPr>
                <w:rFonts w:eastAsia="Calibri"/>
                <w:b/>
              </w:rPr>
              <w:t>077_2/2022</w:t>
            </w:r>
            <w:r w:rsidRPr="00376FCA">
              <w:rPr>
                <w:rFonts w:eastAsia="Calibri"/>
              </w:rPr>
              <w:t xml:space="preserve"> (v prípade, ak sa uskutočnilo v zmysle bodu 9.1. Jednotnej metodiky) </w:t>
            </w:r>
          </w:p>
        </w:tc>
      </w:tr>
      <w:tr w:rsidR="00672237" w:rsidRPr="00391793" w14:paraId="1455A62B" w14:textId="77777777" w:rsidTr="00861281">
        <w:tblPrEx>
          <w:tblBorders>
            <w:insideH w:val="single" w:sz="4" w:space="0" w:color="FFFFFF"/>
            <w:insideV w:val="single" w:sz="4" w:space="0" w:color="FFFFFF"/>
          </w:tblBorders>
        </w:tblPrEx>
        <w:tc>
          <w:tcPr>
            <w:tcW w:w="9176" w:type="dxa"/>
            <w:shd w:val="clear" w:color="auto" w:fill="FFFFFF"/>
          </w:tcPr>
          <w:p w14:paraId="0F95F10A" w14:textId="77777777" w:rsidR="00672237" w:rsidRPr="00376FCA" w:rsidRDefault="00672237" w:rsidP="00861281">
            <w:pPr>
              <w:rPr>
                <w:b/>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72237" w:rsidRPr="00391793" w14:paraId="2A8D457A" w14:textId="77777777" w:rsidTr="00861281">
              <w:trPr>
                <w:trHeight w:val="396"/>
              </w:trPr>
              <w:tc>
                <w:tcPr>
                  <w:tcW w:w="2552" w:type="dxa"/>
                </w:tcPr>
                <w:p w14:paraId="064CC38F" w14:textId="6ED82619" w:rsidR="00672237" w:rsidRPr="00376FCA" w:rsidRDefault="003A73D9" w:rsidP="0057046A">
                  <w:pPr>
                    <w:framePr w:hSpace="141" w:wrap="around" w:vAnchor="text" w:hAnchor="text" w:y="1"/>
                    <w:suppressOverlap/>
                    <w:rPr>
                      <w:b/>
                    </w:rPr>
                  </w:pPr>
                  <w:sdt>
                    <w:sdtPr>
                      <w:rPr>
                        <w:b/>
                      </w:rPr>
                      <w:id w:val="888232876"/>
                      <w14:checkbox>
                        <w14:checked w14:val="1"/>
                        <w14:checkedState w14:val="2612" w14:font="MS Gothic"/>
                        <w14:uncheckedState w14:val="2610" w14:font="MS Gothic"/>
                      </w14:checkbox>
                    </w:sdtPr>
                    <w:sdtEndPr/>
                    <w:sdtContent>
                      <w:r w:rsidR="004905FD">
                        <w:rPr>
                          <w:rFonts w:ascii="MS Gothic" w:eastAsia="MS Gothic" w:hAnsi="MS Gothic" w:hint="eastAsia"/>
                          <w:b/>
                        </w:rPr>
                        <w:t>☒</w:t>
                      </w:r>
                    </w:sdtContent>
                  </w:sdt>
                  <w:r w:rsidR="00672237" w:rsidRPr="00376FCA">
                    <w:rPr>
                      <w:b/>
                    </w:rPr>
                    <w:t xml:space="preserve">   Súhlasné </w:t>
                  </w:r>
                </w:p>
              </w:tc>
              <w:tc>
                <w:tcPr>
                  <w:tcW w:w="3827" w:type="dxa"/>
                </w:tcPr>
                <w:p w14:paraId="49F6FDE5" w14:textId="1F1801B1" w:rsidR="00672237" w:rsidRPr="00376FCA" w:rsidRDefault="003A73D9" w:rsidP="0057046A">
                  <w:pPr>
                    <w:framePr w:hSpace="141" w:wrap="around" w:vAnchor="text" w:hAnchor="text" w:y="1"/>
                    <w:suppressOverlap/>
                    <w:rPr>
                      <w:b/>
                    </w:rPr>
                  </w:pPr>
                  <w:sdt>
                    <w:sdtPr>
                      <w:rPr>
                        <w:b/>
                      </w:rPr>
                      <w:id w:val="953831761"/>
                      <w14:checkbox>
                        <w14:checked w14:val="0"/>
                        <w14:checkedState w14:val="2612" w14:font="MS Gothic"/>
                        <w14:uncheckedState w14:val="2610" w14:font="MS Gothic"/>
                      </w14:checkbox>
                    </w:sdtPr>
                    <w:sdtEndPr/>
                    <w:sdtContent>
                      <w:r w:rsidR="00672237" w:rsidRPr="00376FCA">
                        <w:rPr>
                          <w:rFonts w:ascii="Segoe UI Symbol" w:eastAsia="MS Gothic" w:hAnsi="Segoe UI Symbol" w:cs="Segoe UI Symbol"/>
                          <w:b/>
                        </w:rPr>
                        <w:t>☐</w:t>
                      </w:r>
                    </w:sdtContent>
                  </w:sdt>
                  <w:r w:rsidR="00672237" w:rsidRPr="00376FCA">
                    <w:rPr>
                      <w:b/>
                    </w:rPr>
                    <w:t xml:space="preserve">  Súhlasné s  návrhom na dopracovanie</w:t>
                  </w:r>
                </w:p>
              </w:tc>
              <w:tc>
                <w:tcPr>
                  <w:tcW w:w="2534" w:type="dxa"/>
                </w:tcPr>
                <w:p w14:paraId="237715D5" w14:textId="5DE80BAB" w:rsidR="00672237" w:rsidRPr="00376FCA" w:rsidRDefault="003A73D9" w:rsidP="0057046A">
                  <w:pPr>
                    <w:framePr w:hSpace="141" w:wrap="around" w:vAnchor="text" w:hAnchor="text" w:y="1"/>
                    <w:ind w:right="459"/>
                    <w:suppressOverlap/>
                    <w:rPr>
                      <w:b/>
                    </w:rPr>
                  </w:pPr>
                  <w:sdt>
                    <w:sdtPr>
                      <w:rPr>
                        <w:b/>
                      </w:rPr>
                      <w:id w:val="-361740452"/>
                      <w14:checkbox>
                        <w14:checked w14:val="0"/>
                        <w14:checkedState w14:val="2612" w14:font="MS Gothic"/>
                        <w14:uncheckedState w14:val="2610" w14:font="MS Gothic"/>
                      </w14:checkbox>
                    </w:sdtPr>
                    <w:sdtEndPr/>
                    <w:sdtContent>
                      <w:r w:rsidR="00672237" w:rsidRPr="00376FCA">
                        <w:rPr>
                          <w:rFonts w:ascii="Segoe UI Symbol" w:eastAsia="MS Gothic" w:hAnsi="Segoe UI Symbol" w:cs="Segoe UI Symbol"/>
                          <w:b/>
                        </w:rPr>
                        <w:t>☐</w:t>
                      </w:r>
                    </w:sdtContent>
                  </w:sdt>
                  <w:r w:rsidR="00672237" w:rsidRPr="00376FCA">
                    <w:rPr>
                      <w:b/>
                    </w:rPr>
                    <w:t xml:space="preserve">  Nesúhlasné</w:t>
                  </w:r>
                </w:p>
              </w:tc>
            </w:tr>
          </w:tbl>
          <w:p w14:paraId="08AF1C89" w14:textId="77777777" w:rsidR="00672237" w:rsidRPr="00376FCA" w:rsidRDefault="00672237" w:rsidP="00861281">
            <w:pPr>
              <w:jc w:val="both"/>
              <w:rPr>
                <w:b/>
              </w:rPr>
            </w:pPr>
            <w:r w:rsidRPr="00376FCA">
              <w:rPr>
                <w:b/>
              </w:rPr>
              <w:t>Uveďte pripomienky zo stanoviska Komisie z časti II. spolu s Vaším vyhodnotením:</w:t>
            </w:r>
          </w:p>
          <w:p w14:paraId="40E664A0" w14:textId="77777777" w:rsidR="00672237" w:rsidRPr="00376FCA" w:rsidRDefault="00672237" w:rsidP="00861281">
            <w:pPr>
              <w:rPr>
                <w:b/>
              </w:rPr>
            </w:pPr>
          </w:p>
          <w:p w14:paraId="61AF1215" w14:textId="77777777" w:rsidR="00672237" w:rsidRPr="00376FCA" w:rsidRDefault="00672237" w:rsidP="00861281">
            <w:pPr>
              <w:rPr>
                <w:b/>
              </w:rPr>
            </w:pPr>
          </w:p>
        </w:tc>
      </w:tr>
    </w:tbl>
    <w:p w14:paraId="34D480BC" w14:textId="77777777" w:rsidR="00672237" w:rsidRDefault="00672237" w:rsidP="00672237"/>
    <w:p w14:paraId="575B8037" w14:textId="77777777" w:rsidR="00672237" w:rsidRDefault="00672237" w:rsidP="00672237"/>
    <w:p w14:paraId="6C52A89A" w14:textId="77777777" w:rsidR="00672237" w:rsidRDefault="00672237" w:rsidP="00672237"/>
    <w:p w14:paraId="3A1B07FE" w14:textId="77777777" w:rsidR="00672237" w:rsidRDefault="00672237" w:rsidP="00672237"/>
    <w:p w14:paraId="3A0E726A" w14:textId="77777777" w:rsidR="00672237" w:rsidRDefault="00672237" w:rsidP="00672237"/>
    <w:p w14:paraId="57482FDD" w14:textId="77777777" w:rsidR="00672237" w:rsidRDefault="00672237" w:rsidP="00672237"/>
    <w:p w14:paraId="07610595" w14:textId="77777777" w:rsidR="00672237" w:rsidRDefault="00672237" w:rsidP="00672237"/>
    <w:p w14:paraId="301FE5DE" w14:textId="77777777" w:rsidR="00672237" w:rsidRDefault="00672237" w:rsidP="00672237"/>
    <w:p w14:paraId="52C24D17" w14:textId="77777777" w:rsidR="00672237" w:rsidRDefault="00672237" w:rsidP="00672237"/>
    <w:p w14:paraId="03144439" w14:textId="77777777" w:rsidR="00672237" w:rsidRDefault="00672237" w:rsidP="00672237"/>
    <w:p w14:paraId="3B8A0285" w14:textId="77777777" w:rsidR="00672237" w:rsidRDefault="00672237" w:rsidP="00672237"/>
    <w:p w14:paraId="388F6A8E" w14:textId="77777777" w:rsidR="00672237" w:rsidRDefault="00672237" w:rsidP="00672237"/>
    <w:p w14:paraId="02EE55F8" w14:textId="77777777" w:rsidR="00861281" w:rsidRPr="007D5748" w:rsidRDefault="00861281" w:rsidP="00861281">
      <w:pPr>
        <w:jc w:val="center"/>
        <w:rPr>
          <w:b/>
          <w:bCs/>
          <w:sz w:val="28"/>
          <w:szCs w:val="28"/>
        </w:rPr>
      </w:pPr>
      <w:r w:rsidRPr="007D5748">
        <w:rPr>
          <w:b/>
          <w:bCs/>
          <w:sz w:val="28"/>
          <w:szCs w:val="28"/>
        </w:rPr>
        <w:lastRenderedPageBreak/>
        <w:t>Analýza vplyvov na rozpočet verejnej správy,</w:t>
      </w:r>
    </w:p>
    <w:p w14:paraId="0C64CB89" w14:textId="77777777" w:rsidR="00861281" w:rsidRPr="007D5748" w:rsidRDefault="00861281" w:rsidP="00861281">
      <w:pPr>
        <w:jc w:val="center"/>
        <w:rPr>
          <w:b/>
          <w:bCs/>
          <w:sz w:val="28"/>
          <w:szCs w:val="28"/>
        </w:rPr>
      </w:pPr>
      <w:r w:rsidRPr="007D5748">
        <w:rPr>
          <w:b/>
          <w:bCs/>
          <w:sz w:val="28"/>
          <w:szCs w:val="28"/>
        </w:rPr>
        <w:t>na zamestnanosť vo verejnej správe a financovanie návrhu</w:t>
      </w:r>
    </w:p>
    <w:p w14:paraId="11E10258" w14:textId="77777777" w:rsidR="00861281" w:rsidRPr="00212894" w:rsidRDefault="00861281" w:rsidP="00861281">
      <w:pPr>
        <w:jc w:val="right"/>
        <w:rPr>
          <w:b/>
          <w:bCs/>
        </w:rPr>
      </w:pPr>
    </w:p>
    <w:p w14:paraId="00239D97" w14:textId="77777777" w:rsidR="00861281" w:rsidRDefault="00861281" w:rsidP="00861281">
      <w:pPr>
        <w:rPr>
          <w:b/>
          <w:bCs/>
        </w:rPr>
      </w:pPr>
    </w:p>
    <w:p w14:paraId="716153DA" w14:textId="77777777" w:rsidR="00861281" w:rsidRPr="00212894" w:rsidRDefault="00861281" w:rsidP="00861281">
      <w:pPr>
        <w:rPr>
          <w:b/>
          <w:bCs/>
        </w:rPr>
      </w:pPr>
      <w:r w:rsidRPr="00212894">
        <w:rPr>
          <w:b/>
          <w:bCs/>
        </w:rPr>
        <w:t>2.1 Zhrnutie vplyvov na rozpočet verejnej správy v návrhu</w:t>
      </w:r>
    </w:p>
    <w:p w14:paraId="3DDAB7EA" w14:textId="77777777" w:rsidR="00861281" w:rsidRDefault="00861281" w:rsidP="00861281">
      <w:pPr>
        <w:jc w:val="right"/>
        <w:rPr>
          <w:sz w:val="20"/>
          <w:szCs w:val="20"/>
        </w:rPr>
      </w:pPr>
    </w:p>
    <w:p w14:paraId="0ACE50DF" w14:textId="77777777" w:rsidR="00861281" w:rsidRPr="007D5748" w:rsidRDefault="00861281" w:rsidP="00861281">
      <w:pPr>
        <w:jc w:val="right"/>
        <w:rPr>
          <w:sz w:val="20"/>
          <w:szCs w:val="20"/>
        </w:rPr>
      </w:pPr>
      <w:r w:rsidRPr="007D5748">
        <w:rPr>
          <w:sz w:val="20"/>
          <w:szCs w:val="20"/>
        </w:rPr>
        <w:t xml:space="preserve">Tabuľka č. 1 </w:t>
      </w: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80"/>
        <w:gridCol w:w="1267"/>
        <w:gridCol w:w="1340"/>
      </w:tblGrid>
      <w:tr w:rsidR="00861281" w:rsidRPr="007D5748" w14:paraId="4E2A0810" w14:textId="77777777" w:rsidTr="00861281">
        <w:trPr>
          <w:cantSplit/>
          <w:trHeight w:val="194"/>
          <w:jc w:val="center"/>
        </w:trPr>
        <w:tc>
          <w:tcPr>
            <w:tcW w:w="4661" w:type="dxa"/>
            <w:vMerge w:val="restart"/>
            <w:shd w:val="clear" w:color="auto" w:fill="BFBFBF" w:themeFill="background1" w:themeFillShade="BF"/>
            <w:vAlign w:val="center"/>
          </w:tcPr>
          <w:p w14:paraId="28012BB8" w14:textId="77777777" w:rsidR="00861281" w:rsidRPr="007D5748" w:rsidRDefault="00861281" w:rsidP="00861281">
            <w:pPr>
              <w:jc w:val="center"/>
              <w:rPr>
                <w:b/>
                <w:bCs/>
              </w:rPr>
            </w:pPr>
            <w:bookmarkStart w:id="0" w:name="OLE_LINK1"/>
            <w:r w:rsidRPr="007D5748">
              <w:rPr>
                <w:b/>
                <w:bCs/>
              </w:rPr>
              <w:t>Vplyvy na rozpočet verejnej správy</w:t>
            </w:r>
          </w:p>
        </w:tc>
        <w:tc>
          <w:tcPr>
            <w:tcW w:w="5154" w:type="dxa"/>
            <w:gridSpan w:val="4"/>
            <w:shd w:val="clear" w:color="auto" w:fill="BFBFBF" w:themeFill="background1" w:themeFillShade="BF"/>
            <w:vAlign w:val="center"/>
          </w:tcPr>
          <w:p w14:paraId="4FF6E7DE" w14:textId="77777777" w:rsidR="00861281" w:rsidRPr="007D5748" w:rsidRDefault="00861281" w:rsidP="00861281">
            <w:pPr>
              <w:jc w:val="center"/>
              <w:rPr>
                <w:b/>
                <w:bCs/>
              </w:rPr>
            </w:pPr>
            <w:r w:rsidRPr="007D5748">
              <w:rPr>
                <w:b/>
                <w:bCs/>
              </w:rPr>
              <w:t>Vplyv na rozpočet verejnej správy (v eurách)</w:t>
            </w:r>
          </w:p>
        </w:tc>
      </w:tr>
      <w:tr w:rsidR="00861281" w:rsidRPr="007D5748" w14:paraId="5D0A4285" w14:textId="77777777" w:rsidTr="00861281">
        <w:trPr>
          <w:cantSplit/>
          <w:trHeight w:val="70"/>
          <w:jc w:val="center"/>
        </w:trPr>
        <w:tc>
          <w:tcPr>
            <w:tcW w:w="4661" w:type="dxa"/>
            <w:vMerge/>
            <w:shd w:val="clear" w:color="auto" w:fill="BFBFBF" w:themeFill="background1" w:themeFillShade="BF"/>
            <w:vAlign w:val="center"/>
          </w:tcPr>
          <w:p w14:paraId="3D84348A" w14:textId="77777777" w:rsidR="00861281" w:rsidRPr="007D5748" w:rsidRDefault="00861281" w:rsidP="00861281">
            <w:pPr>
              <w:jc w:val="center"/>
              <w:rPr>
                <w:b/>
                <w:bCs/>
              </w:rPr>
            </w:pPr>
          </w:p>
        </w:tc>
        <w:tc>
          <w:tcPr>
            <w:tcW w:w="1267" w:type="dxa"/>
            <w:shd w:val="clear" w:color="auto" w:fill="BFBFBF" w:themeFill="background1" w:themeFillShade="BF"/>
            <w:vAlign w:val="center"/>
          </w:tcPr>
          <w:p w14:paraId="13E06D19" w14:textId="77777777" w:rsidR="00861281" w:rsidRPr="007D5748" w:rsidRDefault="00861281" w:rsidP="00861281">
            <w:pPr>
              <w:jc w:val="center"/>
              <w:rPr>
                <w:b/>
                <w:bCs/>
              </w:rPr>
            </w:pPr>
            <w:r>
              <w:rPr>
                <w:b/>
                <w:bCs/>
              </w:rPr>
              <w:t>2022</w:t>
            </w:r>
          </w:p>
        </w:tc>
        <w:tc>
          <w:tcPr>
            <w:tcW w:w="1280" w:type="dxa"/>
            <w:shd w:val="clear" w:color="auto" w:fill="BFBFBF" w:themeFill="background1" w:themeFillShade="BF"/>
            <w:vAlign w:val="center"/>
          </w:tcPr>
          <w:p w14:paraId="23C61F31" w14:textId="77777777" w:rsidR="00861281" w:rsidRPr="007D5748" w:rsidRDefault="00861281" w:rsidP="00861281">
            <w:pPr>
              <w:jc w:val="center"/>
              <w:rPr>
                <w:b/>
                <w:bCs/>
              </w:rPr>
            </w:pPr>
            <w:r>
              <w:rPr>
                <w:b/>
                <w:bCs/>
              </w:rPr>
              <w:t>2023</w:t>
            </w:r>
          </w:p>
        </w:tc>
        <w:tc>
          <w:tcPr>
            <w:tcW w:w="1267" w:type="dxa"/>
            <w:shd w:val="clear" w:color="auto" w:fill="BFBFBF" w:themeFill="background1" w:themeFillShade="BF"/>
            <w:vAlign w:val="center"/>
          </w:tcPr>
          <w:p w14:paraId="02A75CBE" w14:textId="77777777" w:rsidR="00861281" w:rsidRPr="007D5748" w:rsidRDefault="00861281" w:rsidP="00861281">
            <w:pPr>
              <w:jc w:val="center"/>
              <w:rPr>
                <w:b/>
                <w:bCs/>
              </w:rPr>
            </w:pPr>
            <w:r>
              <w:rPr>
                <w:b/>
                <w:bCs/>
              </w:rPr>
              <w:t>2024</w:t>
            </w:r>
          </w:p>
        </w:tc>
        <w:tc>
          <w:tcPr>
            <w:tcW w:w="1340" w:type="dxa"/>
            <w:shd w:val="clear" w:color="auto" w:fill="BFBFBF" w:themeFill="background1" w:themeFillShade="BF"/>
            <w:vAlign w:val="center"/>
          </w:tcPr>
          <w:p w14:paraId="699D9281" w14:textId="77777777" w:rsidR="00861281" w:rsidRPr="007D5748" w:rsidRDefault="00861281" w:rsidP="00861281">
            <w:pPr>
              <w:jc w:val="center"/>
              <w:rPr>
                <w:b/>
                <w:bCs/>
              </w:rPr>
            </w:pPr>
            <w:r>
              <w:rPr>
                <w:b/>
                <w:bCs/>
              </w:rPr>
              <w:t>2025</w:t>
            </w:r>
          </w:p>
        </w:tc>
      </w:tr>
      <w:tr w:rsidR="00861281" w:rsidRPr="007D5748" w14:paraId="46F5B28A" w14:textId="77777777" w:rsidTr="00861281">
        <w:trPr>
          <w:trHeight w:val="70"/>
          <w:jc w:val="center"/>
        </w:trPr>
        <w:tc>
          <w:tcPr>
            <w:tcW w:w="4661" w:type="dxa"/>
            <w:shd w:val="clear" w:color="auto" w:fill="C0C0C0"/>
            <w:noWrap/>
            <w:vAlign w:val="center"/>
          </w:tcPr>
          <w:p w14:paraId="6DA6C91F" w14:textId="77777777" w:rsidR="00861281" w:rsidRPr="007D5748" w:rsidRDefault="00861281" w:rsidP="00861281">
            <w:r w:rsidRPr="007D5748">
              <w:rPr>
                <w:b/>
                <w:bCs/>
              </w:rPr>
              <w:t>Príjmy verejnej správy celkom</w:t>
            </w:r>
          </w:p>
        </w:tc>
        <w:tc>
          <w:tcPr>
            <w:tcW w:w="1267" w:type="dxa"/>
            <w:shd w:val="clear" w:color="auto" w:fill="C0C0C0"/>
            <w:vAlign w:val="center"/>
          </w:tcPr>
          <w:p w14:paraId="327E9E2D" w14:textId="77777777" w:rsidR="00861281" w:rsidRPr="007D5748" w:rsidRDefault="00861281" w:rsidP="00861281">
            <w:pPr>
              <w:jc w:val="right"/>
              <w:rPr>
                <w:b/>
                <w:bCs/>
              </w:rPr>
            </w:pPr>
            <w:r w:rsidRPr="007D5748">
              <w:rPr>
                <w:b/>
                <w:bCs/>
              </w:rPr>
              <w:t>0</w:t>
            </w:r>
          </w:p>
        </w:tc>
        <w:tc>
          <w:tcPr>
            <w:tcW w:w="1280" w:type="dxa"/>
            <w:shd w:val="clear" w:color="auto" w:fill="C0C0C0"/>
            <w:vAlign w:val="center"/>
          </w:tcPr>
          <w:p w14:paraId="3E86FE30" w14:textId="77777777" w:rsidR="00861281" w:rsidRPr="007D5748" w:rsidRDefault="00861281" w:rsidP="00861281">
            <w:pPr>
              <w:jc w:val="right"/>
              <w:rPr>
                <w:b/>
                <w:bCs/>
              </w:rPr>
            </w:pPr>
            <w:r w:rsidRPr="007D5748">
              <w:rPr>
                <w:b/>
                <w:bCs/>
              </w:rPr>
              <w:t>0</w:t>
            </w:r>
          </w:p>
        </w:tc>
        <w:tc>
          <w:tcPr>
            <w:tcW w:w="1267" w:type="dxa"/>
            <w:shd w:val="clear" w:color="auto" w:fill="C0C0C0"/>
            <w:vAlign w:val="center"/>
          </w:tcPr>
          <w:p w14:paraId="5BD2491C" w14:textId="77777777" w:rsidR="00861281" w:rsidRPr="007D5748" w:rsidRDefault="00861281" w:rsidP="00861281">
            <w:pPr>
              <w:jc w:val="right"/>
              <w:rPr>
                <w:b/>
                <w:bCs/>
              </w:rPr>
            </w:pPr>
            <w:r w:rsidRPr="007D5748">
              <w:rPr>
                <w:b/>
                <w:bCs/>
              </w:rPr>
              <w:t>0</w:t>
            </w:r>
          </w:p>
        </w:tc>
        <w:tc>
          <w:tcPr>
            <w:tcW w:w="1340" w:type="dxa"/>
            <w:shd w:val="clear" w:color="auto" w:fill="C0C0C0"/>
            <w:vAlign w:val="center"/>
          </w:tcPr>
          <w:p w14:paraId="2D4B9090" w14:textId="77777777" w:rsidR="00861281" w:rsidRPr="007D5748" w:rsidRDefault="00861281" w:rsidP="00861281">
            <w:pPr>
              <w:jc w:val="right"/>
              <w:rPr>
                <w:b/>
                <w:bCs/>
              </w:rPr>
            </w:pPr>
            <w:r w:rsidRPr="007D5748">
              <w:rPr>
                <w:b/>
                <w:bCs/>
              </w:rPr>
              <w:t>0</w:t>
            </w:r>
          </w:p>
        </w:tc>
      </w:tr>
      <w:tr w:rsidR="00861281" w:rsidRPr="007D5748" w14:paraId="1D04F231" w14:textId="77777777" w:rsidTr="00861281">
        <w:trPr>
          <w:trHeight w:val="132"/>
          <w:jc w:val="center"/>
        </w:trPr>
        <w:tc>
          <w:tcPr>
            <w:tcW w:w="4661" w:type="dxa"/>
            <w:noWrap/>
            <w:vAlign w:val="center"/>
          </w:tcPr>
          <w:p w14:paraId="5ACF23E2" w14:textId="77777777" w:rsidR="00861281" w:rsidRPr="007D5748" w:rsidRDefault="00861281" w:rsidP="00861281">
            <w:r w:rsidRPr="007D5748">
              <w:t xml:space="preserve">v tom: </w:t>
            </w:r>
            <w:r>
              <w:t>kapitola MFSR (FS SR)</w:t>
            </w:r>
          </w:p>
        </w:tc>
        <w:tc>
          <w:tcPr>
            <w:tcW w:w="1267" w:type="dxa"/>
            <w:noWrap/>
            <w:vAlign w:val="center"/>
          </w:tcPr>
          <w:p w14:paraId="57A08771" w14:textId="77777777" w:rsidR="00861281" w:rsidRPr="007D5748" w:rsidRDefault="00861281" w:rsidP="00861281">
            <w:pPr>
              <w:jc w:val="right"/>
            </w:pPr>
            <w:r w:rsidRPr="007D5748">
              <w:t>0</w:t>
            </w:r>
          </w:p>
        </w:tc>
        <w:tc>
          <w:tcPr>
            <w:tcW w:w="1280" w:type="dxa"/>
            <w:noWrap/>
          </w:tcPr>
          <w:p w14:paraId="4478DAEF" w14:textId="77777777" w:rsidR="00861281" w:rsidRPr="007D5748" w:rsidRDefault="00861281" w:rsidP="00861281">
            <w:pPr>
              <w:jc w:val="right"/>
            </w:pPr>
            <w:r w:rsidRPr="00540054">
              <w:t>0</w:t>
            </w:r>
          </w:p>
        </w:tc>
        <w:tc>
          <w:tcPr>
            <w:tcW w:w="1267" w:type="dxa"/>
            <w:noWrap/>
          </w:tcPr>
          <w:p w14:paraId="6B73D757" w14:textId="77777777" w:rsidR="00861281" w:rsidRPr="007D5748" w:rsidRDefault="00861281" w:rsidP="00861281">
            <w:pPr>
              <w:jc w:val="right"/>
            </w:pPr>
            <w:r w:rsidRPr="00540054">
              <w:t>0</w:t>
            </w:r>
          </w:p>
        </w:tc>
        <w:tc>
          <w:tcPr>
            <w:tcW w:w="1340" w:type="dxa"/>
            <w:noWrap/>
          </w:tcPr>
          <w:p w14:paraId="5619209C" w14:textId="77777777" w:rsidR="00861281" w:rsidRPr="007D5748" w:rsidRDefault="00861281" w:rsidP="00861281">
            <w:pPr>
              <w:jc w:val="right"/>
            </w:pPr>
            <w:r w:rsidRPr="00540054">
              <w:t>0</w:t>
            </w:r>
          </w:p>
        </w:tc>
      </w:tr>
      <w:tr w:rsidR="00861281" w:rsidRPr="007D5748" w14:paraId="4A8316DA" w14:textId="77777777" w:rsidTr="00861281">
        <w:trPr>
          <w:trHeight w:val="70"/>
          <w:jc w:val="center"/>
        </w:trPr>
        <w:tc>
          <w:tcPr>
            <w:tcW w:w="4661" w:type="dxa"/>
            <w:noWrap/>
            <w:vAlign w:val="center"/>
          </w:tcPr>
          <w:p w14:paraId="61CBFC65" w14:textId="77777777" w:rsidR="00861281" w:rsidRPr="007D5748" w:rsidRDefault="00861281" w:rsidP="00861281">
            <w:pPr>
              <w:rPr>
                <w:b/>
                <w:bCs/>
                <w:i/>
                <w:iCs/>
              </w:rPr>
            </w:pPr>
            <w:r w:rsidRPr="007D5748">
              <w:rPr>
                <w:b/>
                <w:bCs/>
                <w:i/>
                <w:iCs/>
              </w:rPr>
              <w:t xml:space="preserve">z toho:  </w:t>
            </w:r>
          </w:p>
        </w:tc>
        <w:tc>
          <w:tcPr>
            <w:tcW w:w="1267" w:type="dxa"/>
            <w:noWrap/>
            <w:vAlign w:val="center"/>
          </w:tcPr>
          <w:p w14:paraId="699E8A2D" w14:textId="77777777" w:rsidR="00861281" w:rsidRPr="007D5748" w:rsidRDefault="00861281" w:rsidP="00861281">
            <w:pPr>
              <w:jc w:val="right"/>
              <w:rPr>
                <w:b/>
                <w:bCs/>
                <w:iCs/>
              </w:rPr>
            </w:pPr>
          </w:p>
        </w:tc>
        <w:tc>
          <w:tcPr>
            <w:tcW w:w="1280" w:type="dxa"/>
            <w:noWrap/>
            <w:vAlign w:val="center"/>
          </w:tcPr>
          <w:p w14:paraId="0227D83D" w14:textId="77777777" w:rsidR="00861281" w:rsidRPr="007D5748" w:rsidRDefault="00861281" w:rsidP="00861281">
            <w:pPr>
              <w:jc w:val="right"/>
              <w:rPr>
                <w:b/>
                <w:bCs/>
                <w:iCs/>
              </w:rPr>
            </w:pPr>
          </w:p>
        </w:tc>
        <w:tc>
          <w:tcPr>
            <w:tcW w:w="1267" w:type="dxa"/>
            <w:noWrap/>
            <w:vAlign w:val="center"/>
          </w:tcPr>
          <w:p w14:paraId="4D9F4140" w14:textId="77777777" w:rsidR="00861281" w:rsidRPr="007D5748" w:rsidRDefault="00861281" w:rsidP="00861281">
            <w:pPr>
              <w:jc w:val="right"/>
              <w:rPr>
                <w:b/>
                <w:bCs/>
                <w:iCs/>
              </w:rPr>
            </w:pPr>
          </w:p>
        </w:tc>
        <w:tc>
          <w:tcPr>
            <w:tcW w:w="1340" w:type="dxa"/>
            <w:noWrap/>
            <w:vAlign w:val="center"/>
          </w:tcPr>
          <w:p w14:paraId="71970AB8" w14:textId="77777777" w:rsidR="00861281" w:rsidRPr="007D5748" w:rsidRDefault="00861281" w:rsidP="00861281">
            <w:pPr>
              <w:jc w:val="right"/>
              <w:rPr>
                <w:b/>
                <w:bCs/>
                <w:iCs/>
              </w:rPr>
            </w:pPr>
          </w:p>
        </w:tc>
      </w:tr>
      <w:tr w:rsidR="00861281" w:rsidRPr="007D5748" w14:paraId="5994E210" w14:textId="77777777" w:rsidTr="00861281">
        <w:trPr>
          <w:trHeight w:val="125"/>
          <w:jc w:val="center"/>
        </w:trPr>
        <w:tc>
          <w:tcPr>
            <w:tcW w:w="4661" w:type="dxa"/>
            <w:noWrap/>
            <w:vAlign w:val="center"/>
          </w:tcPr>
          <w:p w14:paraId="22107327" w14:textId="77777777" w:rsidR="00861281" w:rsidRPr="007D5748" w:rsidRDefault="00861281" w:rsidP="00861281">
            <w:pPr>
              <w:rPr>
                <w:b/>
                <w:bCs/>
                <w:i/>
                <w:iCs/>
              </w:rPr>
            </w:pPr>
            <w:r w:rsidRPr="007D5748">
              <w:rPr>
                <w:b/>
                <w:bCs/>
                <w:i/>
                <w:iCs/>
              </w:rPr>
              <w:t>- vplyv na ŠR</w:t>
            </w:r>
          </w:p>
        </w:tc>
        <w:tc>
          <w:tcPr>
            <w:tcW w:w="1267" w:type="dxa"/>
            <w:noWrap/>
            <w:vAlign w:val="center"/>
          </w:tcPr>
          <w:p w14:paraId="6C1E5D5B" w14:textId="77777777" w:rsidR="00861281" w:rsidRPr="007D5748" w:rsidRDefault="00861281" w:rsidP="00861281">
            <w:pPr>
              <w:jc w:val="right"/>
              <w:rPr>
                <w:b/>
                <w:bCs/>
                <w:iCs/>
              </w:rPr>
            </w:pPr>
            <w:r w:rsidRPr="007D5748">
              <w:rPr>
                <w:b/>
                <w:bCs/>
                <w:iCs/>
              </w:rPr>
              <w:t>0</w:t>
            </w:r>
          </w:p>
        </w:tc>
        <w:tc>
          <w:tcPr>
            <w:tcW w:w="1280" w:type="dxa"/>
            <w:noWrap/>
          </w:tcPr>
          <w:p w14:paraId="63F0631E" w14:textId="77777777" w:rsidR="00861281" w:rsidRPr="007D5748" w:rsidRDefault="00861281" w:rsidP="00861281">
            <w:pPr>
              <w:jc w:val="right"/>
              <w:rPr>
                <w:b/>
                <w:bCs/>
                <w:iCs/>
              </w:rPr>
            </w:pPr>
            <w:r w:rsidRPr="001642E1">
              <w:rPr>
                <w:b/>
                <w:bCs/>
                <w:iCs/>
              </w:rPr>
              <w:t>0</w:t>
            </w:r>
          </w:p>
        </w:tc>
        <w:tc>
          <w:tcPr>
            <w:tcW w:w="1267" w:type="dxa"/>
            <w:noWrap/>
          </w:tcPr>
          <w:p w14:paraId="181767DE" w14:textId="77777777" w:rsidR="00861281" w:rsidRPr="007D5748" w:rsidRDefault="00861281" w:rsidP="00861281">
            <w:pPr>
              <w:jc w:val="right"/>
              <w:rPr>
                <w:b/>
                <w:bCs/>
                <w:iCs/>
              </w:rPr>
            </w:pPr>
            <w:r w:rsidRPr="001642E1">
              <w:rPr>
                <w:b/>
                <w:bCs/>
                <w:iCs/>
              </w:rPr>
              <w:t>0</w:t>
            </w:r>
          </w:p>
        </w:tc>
        <w:tc>
          <w:tcPr>
            <w:tcW w:w="1340" w:type="dxa"/>
            <w:noWrap/>
          </w:tcPr>
          <w:p w14:paraId="54F86DB0" w14:textId="77777777" w:rsidR="00861281" w:rsidRPr="007D5748" w:rsidRDefault="00861281" w:rsidP="00861281">
            <w:pPr>
              <w:jc w:val="right"/>
              <w:rPr>
                <w:b/>
                <w:bCs/>
                <w:iCs/>
              </w:rPr>
            </w:pPr>
            <w:r w:rsidRPr="001642E1">
              <w:rPr>
                <w:b/>
                <w:bCs/>
                <w:iCs/>
              </w:rPr>
              <w:t>0</w:t>
            </w:r>
          </w:p>
        </w:tc>
      </w:tr>
      <w:tr w:rsidR="00861281" w:rsidRPr="007D5748" w14:paraId="00896D31" w14:textId="77777777" w:rsidTr="00861281">
        <w:trPr>
          <w:trHeight w:val="125"/>
          <w:jc w:val="center"/>
        </w:trPr>
        <w:tc>
          <w:tcPr>
            <w:tcW w:w="4661" w:type="dxa"/>
            <w:noWrap/>
            <w:vAlign w:val="center"/>
          </w:tcPr>
          <w:p w14:paraId="3FB15395" w14:textId="77777777" w:rsidR="00861281" w:rsidRPr="007D5748" w:rsidRDefault="00861281" w:rsidP="00861281">
            <w:pPr>
              <w:ind w:left="259"/>
              <w:rPr>
                <w:b/>
                <w:bCs/>
                <w:i/>
                <w:iCs/>
              </w:rPr>
            </w:pPr>
            <w:r>
              <w:rPr>
                <w:bCs/>
                <w:i/>
                <w:iCs/>
              </w:rPr>
              <w:t>Rozpočtové prostriedky</w:t>
            </w:r>
          </w:p>
        </w:tc>
        <w:tc>
          <w:tcPr>
            <w:tcW w:w="1267" w:type="dxa"/>
            <w:noWrap/>
            <w:vAlign w:val="center"/>
          </w:tcPr>
          <w:p w14:paraId="10E057D2" w14:textId="77777777" w:rsidR="00861281" w:rsidRPr="007D5748" w:rsidRDefault="00861281" w:rsidP="00861281">
            <w:pPr>
              <w:jc w:val="right"/>
              <w:rPr>
                <w:b/>
                <w:bCs/>
                <w:iCs/>
              </w:rPr>
            </w:pPr>
            <w:r>
              <w:rPr>
                <w:b/>
                <w:bCs/>
                <w:iCs/>
              </w:rPr>
              <w:t>0</w:t>
            </w:r>
          </w:p>
        </w:tc>
        <w:tc>
          <w:tcPr>
            <w:tcW w:w="1280" w:type="dxa"/>
            <w:noWrap/>
          </w:tcPr>
          <w:p w14:paraId="0995BADB" w14:textId="77777777" w:rsidR="00861281" w:rsidRPr="007D5748" w:rsidRDefault="00861281" w:rsidP="00861281">
            <w:pPr>
              <w:jc w:val="right"/>
              <w:rPr>
                <w:b/>
                <w:bCs/>
                <w:iCs/>
              </w:rPr>
            </w:pPr>
            <w:r w:rsidRPr="001642E1">
              <w:rPr>
                <w:b/>
                <w:bCs/>
                <w:iCs/>
              </w:rPr>
              <w:t>0</w:t>
            </w:r>
          </w:p>
        </w:tc>
        <w:tc>
          <w:tcPr>
            <w:tcW w:w="1267" w:type="dxa"/>
            <w:shd w:val="clear" w:color="auto" w:fill="auto"/>
            <w:noWrap/>
          </w:tcPr>
          <w:p w14:paraId="502E1370" w14:textId="77777777" w:rsidR="00861281" w:rsidRPr="001711AC" w:rsidRDefault="00861281" w:rsidP="00861281">
            <w:pPr>
              <w:jc w:val="right"/>
              <w:rPr>
                <w:b/>
                <w:bCs/>
                <w:iCs/>
              </w:rPr>
            </w:pPr>
            <w:r w:rsidRPr="001642E1">
              <w:rPr>
                <w:b/>
                <w:bCs/>
                <w:iCs/>
              </w:rPr>
              <w:t>0</w:t>
            </w:r>
          </w:p>
        </w:tc>
        <w:tc>
          <w:tcPr>
            <w:tcW w:w="1340" w:type="dxa"/>
            <w:shd w:val="clear" w:color="auto" w:fill="auto"/>
            <w:noWrap/>
          </w:tcPr>
          <w:p w14:paraId="12AC8C27" w14:textId="77777777" w:rsidR="00861281" w:rsidRPr="001711AC" w:rsidRDefault="00861281" w:rsidP="00861281">
            <w:pPr>
              <w:jc w:val="right"/>
              <w:rPr>
                <w:b/>
                <w:bCs/>
                <w:iCs/>
              </w:rPr>
            </w:pPr>
            <w:r w:rsidRPr="001642E1">
              <w:rPr>
                <w:b/>
                <w:bCs/>
                <w:iCs/>
              </w:rPr>
              <w:t>0</w:t>
            </w:r>
          </w:p>
        </w:tc>
      </w:tr>
      <w:tr w:rsidR="00861281" w:rsidRPr="007D5748" w14:paraId="007049DA" w14:textId="77777777" w:rsidTr="00861281">
        <w:trPr>
          <w:trHeight w:val="125"/>
          <w:jc w:val="center"/>
        </w:trPr>
        <w:tc>
          <w:tcPr>
            <w:tcW w:w="4661" w:type="dxa"/>
            <w:noWrap/>
            <w:vAlign w:val="center"/>
          </w:tcPr>
          <w:p w14:paraId="332EAD0B" w14:textId="77777777" w:rsidR="00861281" w:rsidRPr="007D5748" w:rsidRDefault="00861281" w:rsidP="00861281">
            <w:pPr>
              <w:ind w:left="259"/>
              <w:rPr>
                <w:bCs/>
                <w:i/>
                <w:iCs/>
              </w:rPr>
            </w:pPr>
            <w:r w:rsidRPr="007D5748">
              <w:rPr>
                <w:bCs/>
                <w:i/>
                <w:iCs/>
              </w:rPr>
              <w:t>EÚ zdroje</w:t>
            </w:r>
          </w:p>
        </w:tc>
        <w:tc>
          <w:tcPr>
            <w:tcW w:w="1267" w:type="dxa"/>
            <w:noWrap/>
            <w:vAlign w:val="center"/>
          </w:tcPr>
          <w:p w14:paraId="20B15A56" w14:textId="77777777" w:rsidR="00861281" w:rsidRPr="007D5748" w:rsidRDefault="00861281" w:rsidP="00861281">
            <w:pPr>
              <w:jc w:val="right"/>
            </w:pPr>
            <w:r w:rsidRPr="007D5748">
              <w:t>0</w:t>
            </w:r>
          </w:p>
        </w:tc>
        <w:tc>
          <w:tcPr>
            <w:tcW w:w="1280" w:type="dxa"/>
            <w:noWrap/>
            <w:vAlign w:val="center"/>
          </w:tcPr>
          <w:p w14:paraId="4EE36454" w14:textId="77777777" w:rsidR="00861281" w:rsidRPr="007D5748" w:rsidRDefault="00861281" w:rsidP="00861281">
            <w:pPr>
              <w:jc w:val="right"/>
            </w:pPr>
            <w:r w:rsidRPr="007D5748">
              <w:t>0</w:t>
            </w:r>
          </w:p>
        </w:tc>
        <w:tc>
          <w:tcPr>
            <w:tcW w:w="1267" w:type="dxa"/>
            <w:noWrap/>
            <w:vAlign w:val="center"/>
          </w:tcPr>
          <w:p w14:paraId="048CCCDD" w14:textId="77777777" w:rsidR="00861281" w:rsidRPr="007D5748" w:rsidRDefault="00861281" w:rsidP="00861281">
            <w:pPr>
              <w:jc w:val="right"/>
            </w:pPr>
            <w:r w:rsidRPr="007D5748">
              <w:t>0</w:t>
            </w:r>
          </w:p>
        </w:tc>
        <w:tc>
          <w:tcPr>
            <w:tcW w:w="1340" w:type="dxa"/>
            <w:noWrap/>
            <w:vAlign w:val="center"/>
          </w:tcPr>
          <w:p w14:paraId="289BEA17" w14:textId="77777777" w:rsidR="00861281" w:rsidRPr="007D5748" w:rsidRDefault="00861281" w:rsidP="00861281">
            <w:pPr>
              <w:jc w:val="right"/>
            </w:pPr>
            <w:r w:rsidRPr="007D5748">
              <w:t>0</w:t>
            </w:r>
          </w:p>
        </w:tc>
      </w:tr>
      <w:tr w:rsidR="00861281" w:rsidRPr="007D5748" w14:paraId="7914BB7C" w14:textId="77777777" w:rsidTr="00861281">
        <w:trPr>
          <w:trHeight w:val="125"/>
          <w:jc w:val="center"/>
        </w:trPr>
        <w:tc>
          <w:tcPr>
            <w:tcW w:w="4661" w:type="dxa"/>
            <w:noWrap/>
            <w:vAlign w:val="center"/>
          </w:tcPr>
          <w:p w14:paraId="6ECDED56" w14:textId="77777777" w:rsidR="00861281" w:rsidRPr="007D5748" w:rsidRDefault="00861281" w:rsidP="00861281">
            <w:pPr>
              <w:rPr>
                <w:b/>
                <w:bCs/>
                <w:i/>
                <w:iCs/>
              </w:rPr>
            </w:pPr>
            <w:r w:rsidRPr="007D5748">
              <w:rPr>
                <w:b/>
                <w:bCs/>
                <w:i/>
                <w:iCs/>
              </w:rPr>
              <w:t>- vplyv na obce</w:t>
            </w:r>
          </w:p>
        </w:tc>
        <w:tc>
          <w:tcPr>
            <w:tcW w:w="1267" w:type="dxa"/>
            <w:noWrap/>
            <w:vAlign w:val="center"/>
          </w:tcPr>
          <w:p w14:paraId="6D16DE79" w14:textId="77777777" w:rsidR="00861281" w:rsidRPr="007D5748" w:rsidRDefault="00861281" w:rsidP="00861281">
            <w:pPr>
              <w:jc w:val="right"/>
              <w:rPr>
                <w:b/>
                <w:bCs/>
                <w:iCs/>
              </w:rPr>
            </w:pPr>
            <w:r w:rsidRPr="007D5748">
              <w:rPr>
                <w:b/>
                <w:bCs/>
                <w:iCs/>
              </w:rPr>
              <w:t>0</w:t>
            </w:r>
          </w:p>
        </w:tc>
        <w:tc>
          <w:tcPr>
            <w:tcW w:w="1280" w:type="dxa"/>
            <w:noWrap/>
            <w:vAlign w:val="center"/>
          </w:tcPr>
          <w:p w14:paraId="2161B26F" w14:textId="77777777" w:rsidR="00861281" w:rsidRPr="007D5748" w:rsidRDefault="00861281" w:rsidP="00861281">
            <w:pPr>
              <w:jc w:val="right"/>
              <w:rPr>
                <w:b/>
                <w:bCs/>
                <w:iCs/>
              </w:rPr>
            </w:pPr>
            <w:r w:rsidRPr="007D5748">
              <w:rPr>
                <w:b/>
                <w:bCs/>
                <w:iCs/>
              </w:rPr>
              <w:t>0</w:t>
            </w:r>
          </w:p>
        </w:tc>
        <w:tc>
          <w:tcPr>
            <w:tcW w:w="1267" w:type="dxa"/>
            <w:noWrap/>
            <w:vAlign w:val="center"/>
          </w:tcPr>
          <w:p w14:paraId="3C070425" w14:textId="77777777" w:rsidR="00861281" w:rsidRPr="007D5748" w:rsidRDefault="00861281" w:rsidP="00861281">
            <w:pPr>
              <w:jc w:val="right"/>
              <w:rPr>
                <w:b/>
                <w:bCs/>
                <w:iCs/>
              </w:rPr>
            </w:pPr>
            <w:r w:rsidRPr="007D5748">
              <w:rPr>
                <w:b/>
                <w:bCs/>
                <w:iCs/>
              </w:rPr>
              <w:t>0</w:t>
            </w:r>
          </w:p>
        </w:tc>
        <w:tc>
          <w:tcPr>
            <w:tcW w:w="1340" w:type="dxa"/>
            <w:noWrap/>
            <w:vAlign w:val="center"/>
          </w:tcPr>
          <w:p w14:paraId="7436E5A4" w14:textId="77777777" w:rsidR="00861281" w:rsidRPr="007D5748" w:rsidRDefault="00861281" w:rsidP="00861281">
            <w:pPr>
              <w:jc w:val="right"/>
              <w:rPr>
                <w:b/>
                <w:bCs/>
                <w:iCs/>
              </w:rPr>
            </w:pPr>
            <w:r w:rsidRPr="007D5748">
              <w:rPr>
                <w:b/>
                <w:bCs/>
                <w:iCs/>
              </w:rPr>
              <w:t>0</w:t>
            </w:r>
          </w:p>
        </w:tc>
      </w:tr>
      <w:tr w:rsidR="00861281" w:rsidRPr="007D5748" w14:paraId="2B9EC6E7" w14:textId="77777777" w:rsidTr="00861281">
        <w:trPr>
          <w:trHeight w:val="125"/>
          <w:jc w:val="center"/>
        </w:trPr>
        <w:tc>
          <w:tcPr>
            <w:tcW w:w="4661" w:type="dxa"/>
            <w:noWrap/>
            <w:vAlign w:val="center"/>
          </w:tcPr>
          <w:p w14:paraId="2B698E71" w14:textId="77777777" w:rsidR="00861281" w:rsidRPr="007D5748" w:rsidRDefault="00861281" w:rsidP="00861281">
            <w:pPr>
              <w:rPr>
                <w:b/>
                <w:bCs/>
                <w:i/>
                <w:iCs/>
              </w:rPr>
            </w:pPr>
            <w:r w:rsidRPr="007D5748">
              <w:rPr>
                <w:b/>
                <w:bCs/>
                <w:i/>
                <w:iCs/>
              </w:rPr>
              <w:t>- vplyv na vyššie územné celky</w:t>
            </w:r>
          </w:p>
        </w:tc>
        <w:tc>
          <w:tcPr>
            <w:tcW w:w="1267" w:type="dxa"/>
            <w:noWrap/>
            <w:vAlign w:val="center"/>
          </w:tcPr>
          <w:p w14:paraId="0B8A4B69" w14:textId="77777777" w:rsidR="00861281" w:rsidRPr="007D5748" w:rsidRDefault="00861281" w:rsidP="00861281">
            <w:pPr>
              <w:jc w:val="right"/>
              <w:rPr>
                <w:b/>
                <w:bCs/>
                <w:iCs/>
              </w:rPr>
            </w:pPr>
            <w:r w:rsidRPr="007D5748">
              <w:rPr>
                <w:b/>
                <w:bCs/>
                <w:iCs/>
              </w:rPr>
              <w:t>0</w:t>
            </w:r>
          </w:p>
        </w:tc>
        <w:tc>
          <w:tcPr>
            <w:tcW w:w="1280" w:type="dxa"/>
            <w:noWrap/>
            <w:vAlign w:val="center"/>
          </w:tcPr>
          <w:p w14:paraId="537BC420" w14:textId="77777777" w:rsidR="00861281" w:rsidRPr="007D5748" w:rsidRDefault="00861281" w:rsidP="00861281">
            <w:pPr>
              <w:jc w:val="right"/>
              <w:rPr>
                <w:b/>
                <w:bCs/>
                <w:iCs/>
              </w:rPr>
            </w:pPr>
            <w:r w:rsidRPr="007D5748">
              <w:rPr>
                <w:b/>
                <w:bCs/>
                <w:iCs/>
              </w:rPr>
              <w:t>0</w:t>
            </w:r>
          </w:p>
        </w:tc>
        <w:tc>
          <w:tcPr>
            <w:tcW w:w="1267" w:type="dxa"/>
            <w:noWrap/>
            <w:vAlign w:val="center"/>
          </w:tcPr>
          <w:p w14:paraId="4E1FD651" w14:textId="77777777" w:rsidR="00861281" w:rsidRPr="007D5748" w:rsidRDefault="00861281" w:rsidP="00861281">
            <w:pPr>
              <w:jc w:val="right"/>
              <w:rPr>
                <w:b/>
                <w:bCs/>
                <w:iCs/>
              </w:rPr>
            </w:pPr>
            <w:r w:rsidRPr="007D5748">
              <w:rPr>
                <w:b/>
                <w:bCs/>
                <w:iCs/>
              </w:rPr>
              <w:t>0</w:t>
            </w:r>
          </w:p>
        </w:tc>
        <w:tc>
          <w:tcPr>
            <w:tcW w:w="1340" w:type="dxa"/>
            <w:noWrap/>
            <w:vAlign w:val="center"/>
          </w:tcPr>
          <w:p w14:paraId="366DC156" w14:textId="77777777" w:rsidR="00861281" w:rsidRPr="007D5748" w:rsidRDefault="00861281" w:rsidP="00861281">
            <w:pPr>
              <w:jc w:val="right"/>
              <w:rPr>
                <w:b/>
                <w:bCs/>
                <w:iCs/>
              </w:rPr>
            </w:pPr>
            <w:r w:rsidRPr="007D5748">
              <w:rPr>
                <w:b/>
                <w:bCs/>
                <w:iCs/>
              </w:rPr>
              <w:t>0</w:t>
            </w:r>
          </w:p>
        </w:tc>
      </w:tr>
      <w:tr w:rsidR="00861281" w:rsidRPr="007D5748" w14:paraId="73B03CC1" w14:textId="77777777" w:rsidTr="00861281">
        <w:trPr>
          <w:trHeight w:val="293"/>
          <w:jc w:val="center"/>
        </w:trPr>
        <w:tc>
          <w:tcPr>
            <w:tcW w:w="4661" w:type="dxa"/>
            <w:noWrap/>
            <w:vAlign w:val="center"/>
          </w:tcPr>
          <w:p w14:paraId="05414A69" w14:textId="77777777" w:rsidR="00861281" w:rsidRPr="007D5748" w:rsidRDefault="00861281" w:rsidP="00861281">
            <w:pPr>
              <w:rPr>
                <w:b/>
                <w:bCs/>
                <w:i/>
                <w:iCs/>
              </w:rPr>
            </w:pPr>
            <w:r w:rsidRPr="007D5748">
              <w:rPr>
                <w:b/>
                <w:bCs/>
                <w:i/>
                <w:iCs/>
              </w:rPr>
              <w:t>- vplyv na ostatné subjekty verejnej správy</w:t>
            </w:r>
          </w:p>
        </w:tc>
        <w:tc>
          <w:tcPr>
            <w:tcW w:w="1267" w:type="dxa"/>
            <w:noWrap/>
            <w:vAlign w:val="center"/>
          </w:tcPr>
          <w:p w14:paraId="34D0645A" w14:textId="77777777" w:rsidR="00861281" w:rsidRPr="007D5748" w:rsidRDefault="00861281" w:rsidP="00861281">
            <w:pPr>
              <w:jc w:val="right"/>
              <w:rPr>
                <w:b/>
                <w:bCs/>
                <w:iCs/>
              </w:rPr>
            </w:pPr>
            <w:r w:rsidRPr="007D5748">
              <w:rPr>
                <w:b/>
                <w:bCs/>
                <w:iCs/>
              </w:rPr>
              <w:t>0</w:t>
            </w:r>
          </w:p>
        </w:tc>
        <w:tc>
          <w:tcPr>
            <w:tcW w:w="1280" w:type="dxa"/>
            <w:noWrap/>
            <w:vAlign w:val="center"/>
          </w:tcPr>
          <w:p w14:paraId="39A6B21A" w14:textId="77777777" w:rsidR="00861281" w:rsidRPr="007D5748" w:rsidRDefault="00861281" w:rsidP="00861281">
            <w:pPr>
              <w:jc w:val="right"/>
              <w:rPr>
                <w:b/>
                <w:bCs/>
                <w:iCs/>
              </w:rPr>
            </w:pPr>
            <w:r w:rsidRPr="007D5748">
              <w:rPr>
                <w:b/>
                <w:bCs/>
                <w:iCs/>
              </w:rPr>
              <w:t>0</w:t>
            </w:r>
          </w:p>
        </w:tc>
        <w:tc>
          <w:tcPr>
            <w:tcW w:w="1267" w:type="dxa"/>
            <w:noWrap/>
            <w:vAlign w:val="center"/>
          </w:tcPr>
          <w:p w14:paraId="4B0B6E61" w14:textId="77777777" w:rsidR="00861281" w:rsidRPr="007D5748" w:rsidRDefault="00861281" w:rsidP="00861281">
            <w:pPr>
              <w:jc w:val="right"/>
              <w:rPr>
                <w:b/>
                <w:bCs/>
                <w:iCs/>
              </w:rPr>
            </w:pPr>
            <w:r w:rsidRPr="007D5748">
              <w:rPr>
                <w:b/>
                <w:bCs/>
                <w:iCs/>
              </w:rPr>
              <w:t>0</w:t>
            </w:r>
          </w:p>
        </w:tc>
        <w:tc>
          <w:tcPr>
            <w:tcW w:w="1340" w:type="dxa"/>
            <w:noWrap/>
            <w:vAlign w:val="center"/>
          </w:tcPr>
          <w:p w14:paraId="10965E67" w14:textId="77777777" w:rsidR="00861281" w:rsidRPr="007D5748" w:rsidRDefault="00861281" w:rsidP="00861281">
            <w:pPr>
              <w:jc w:val="right"/>
              <w:rPr>
                <w:b/>
                <w:bCs/>
                <w:iCs/>
              </w:rPr>
            </w:pPr>
            <w:r w:rsidRPr="007D5748">
              <w:rPr>
                <w:b/>
                <w:bCs/>
                <w:iCs/>
              </w:rPr>
              <w:t>0</w:t>
            </w:r>
          </w:p>
        </w:tc>
      </w:tr>
      <w:tr w:rsidR="00861281" w:rsidRPr="007D5748" w14:paraId="2B1B9D97" w14:textId="77777777" w:rsidTr="00861281">
        <w:trPr>
          <w:trHeight w:val="125"/>
          <w:jc w:val="center"/>
        </w:trPr>
        <w:tc>
          <w:tcPr>
            <w:tcW w:w="4661" w:type="dxa"/>
            <w:shd w:val="clear" w:color="auto" w:fill="C0C0C0"/>
            <w:noWrap/>
            <w:vAlign w:val="center"/>
          </w:tcPr>
          <w:p w14:paraId="4B179FD0" w14:textId="77777777" w:rsidR="00861281" w:rsidRPr="007D5748" w:rsidRDefault="00861281" w:rsidP="00861281">
            <w:pPr>
              <w:rPr>
                <w:b/>
                <w:bCs/>
              </w:rPr>
            </w:pPr>
            <w:r w:rsidRPr="007D5748">
              <w:rPr>
                <w:b/>
                <w:bCs/>
              </w:rPr>
              <w:t>Výdavky verejnej správy celkom</w:t>
            </w:r>
          </w:p>
        </w:tc>
        <w:tc>
          <w:tcPr>
            <w:tcW w:w="1267" w:type="dxa"/>
            <w:shd w:val="clear" w:color="auto" w:fill="C0C0C0"/>
            <w:noWrap/>
            <w:vAlign w:val="center"/>
          </w:tcPr>
          <w:p w14:paraId="645AD763" w14:textId="77777777" w:rsidR="00861281" w:rsidRPr="007D5748" w:rsidRDefault="00861281" w:rsidP="00861281">
            <w:pPr>
              <w:jc w:val="right"/>
              <w:rPr>
                <w:b/>
                <w:bCs/>
              </w:rPr>
            </w:pPr>
            <w:r>
              <w:rPr>
                <w:b/>
                <w:bCs/>
                <w:iCs/>
              </w:rPr>
              <w:t>770,98</w:t>
            </w:r>
          </w:p>
        </w:tc>
        <w:tc>
          <w:tcPr>
            <w:tcW w:w="1280" w:type="dxa"/>
            <w:shd w:val="clear" w:color="auto" w:fill="C0C0C0"/>
            <w:noWrap/>
            <w:vAlign w:val="center"/>
          </w:tcPr>
          <w:p w14:paraId="0C05CF3A" w14:textId="77777777" w:rsidR="00861281" w:rsidRPr="007D5748" w:rsidRDefault="00861281" w:rsidP="00861281">
            <w:pPr>
              <w:jc w:val="right"/>
              <w:rPr>
                <w:b/>
                <w:bCs/>
              </w:rPr>
            </w:pPr>
            <w:r>
              <w:rPr>
                <w:b/>
                <w:bCs/>
              </w:rPr>
              <w:t>0</w:t>
            </w:r>
          </w:p>
        </w:tc>
        <w:tc>
          <w:tcPr>
            <w:tcW w:w="1267" w:type="dxa"/>
            <w:shd w:val="clear" w:color="auto" w:fill="C0C0C0"/>
            <w:noWrap/>
            <w:vAlign w:val="center"/>
          </w:tcPr>
          <w:p w14:paraId="55EBAAE0" w14:textId="77777777" w:rsidR="00861281" w:rsidRPr="00D36129" w:rsidRDefault="00861281" w:rsidP="00861281">
            <w:pPr>
              <w:pStyle w:val="Odsekzoznamu"/>
              <w:ind w:left="0"/>
              <w:jc w:val="right"/>
              <w:rPr>
                <w:b/>
                <w:bCs/>
              </w:rPr>
            </w:pPr>
            <w:r>
              <w:rPr>
                <w:b/>
                <w:bCs/>
              </w:rPr>
              <w:t>173 467,20</w:t>
            </w:r>
          </w:p>
        </w:tc>
        <w:tc>
          <w:tcPr>
            <w:tcW w:w="1340" w:type="dxa"/>
            <w:shd w:val="clear" w:color="auto" w:fill="C0C0C0"/>
            <w:noWrap/>
            <w:vAlign w:val="center"/>
          </w:tcPr>
          <w:p w14:paraId="4D07462A" w14:textId="77777777" w:rsidR="00861281" w:rsidRPr="007D5748" w:rsidRDefault="00861281" w:rsidP="00861281">
            <w:pPr>
              <w:jc w:val="right"/>
              <w:rPr>
                <w:b/>
                <w:bCs/>
              </w:rPr>
            </w:pPr>
          </w:p>
        </w:tc>
      </w:tr>
      <w:tr w:rsidR="00861281" w:rsidRPr="007D5748" w14:paraId="7061AB2E" w14:textId="77777777" w:rsidTr="00861281">
        <w:trPr>
          <w:trHeight w:val="70"/>
          <w:jc w:val="center"/>
        </w:trPr>
        <w:tc>
          <w:tcPr>
            <w:tcW w:w="4661" w:type="dxa"/>
            <w:noWrap/>
            <w:vAlign w:val="center"/>
          </w:tcPr>
          <w:p w14:paraId="5D7965A6" w14:textId="77777777" w:rsidR="00861281" w:rsidRPr="007D5748" w:rsidRDefault="00861281" w:rsidP="00861281">
            <w:r w:rsidRPr="007D5748">
              <w:t xml:space="preserve">v tom: </w:t>
            </w:r>
            <w:r>
              <w:t>kapitola MF SR/0EK 0D IT financované zo ŠR (</w:t>
            </w:r>
            <w:proofErr w:type="spellStart"/>
            <w:r>
              <w:t>org</w:t>
            </w:r>
            <w:proofErr w:type="spellEnd"/>
            <w:r>
              <w:t xml:space="preserve">. MF SR – úrad, </w:t>
            </w:r>
            <w:proofErr w:type="spellStart"/>
            <w:r>
              <w:t>DataCentrum</w:t>
            </w:r>
            <w:proofErr w:type="spellEnd"/>
            <w:r>
              <w:t>, FR SR)</w:t>
            </w:r>
          </w:p>
        </w:tc>
        <w:tc>
          <w:tcPr>
            <w:tcW w:w="1267" w:type="dxa"/>
            <w:noWrap/>
            <w:vAlign w:val="center"/>
          </w:tcPr>
          <w:p w14:paraId="153D6933" w14:textId="77777777" w:rsidR="00861281" w:rsidRPr="007D5748" w:rsidRDefault="00861281" w:rsidP="00861281">
            <w:pPr>
              <w:jc w:val="right"/>
            </w:pPr>
            <w:r>
              <w:rPr>
                <w:b/>
                <w:bCs/>
                <w:iCs/>
              </w:rPr>
              <w:t>770,98</w:t>
            </w:r>
          </w:p>
        </w:tc>
        <w:tc>
          <w:tcPr>
            <w:tcW w:w="1280" w:type="dxa"/>
            <w:shd w:val="clear" w:color="auto" w:fill="auto"/>
            <w:noWrap/>
            <w:vAlign w:val="center"/>
          </w:tcPr>
          <w:p w14:paraId="6FF97F79" w14:textId="77777777" w:rsidR="00861281" w:rsidRPr="009B4FD6" w:rsidRDefault="00861281" w:rsidP="00861281">
            <w:pPr>
              <w:jc w:val="right"/>
            </w:pPr>
            <w:r>
              <w:t>0</w:t>
            </w:r>
          </w:p>
        </w:tc>
        <w:tc>
          <w:tcPr>
            <w:tcW w:w="1267" w:type="dxa"/>
            <w:noWrap/>
          </w:tcPr>
          <w:p w14:paraId="519C3CC4" w14:textId="77777777" w:rsidR="00861281" w:rsidRPr="00B8004D" w:rsidRDefault="00861281" w:rsidP="00861281">
            <w:pPr>
              <w:jc w:val="right"/>
              <w:rPr>
                <w:highlight w:val="yellow"/>
              </w:rPr>
            </w:pPr>
            <w:r>
              <w:rPr>
                <w:b/>
                <w:bCs/>
              </w:rPr>
              <w:t>173 467,20</w:t>
            </w:r>
          </w:p>
        </w:tc>
        <w:tc>
          <w:tcPr>
            <w:tcW w:w="1340" w:type="dxa"/>
            <w:noWrap/>
          </w:tcPr>
          <w:p w14:paraId="71D41620" w14:textId="77777777" w:rsidR="00861281" w:rsidRPr="00B8004D" w:rsidRDefault="00861281" w:rsidP="00861281">
            <w:pPr>
              <w:jc w:val="right"/>
              <w:rPr>
                <w:highlight w:val="yellow"/>
              </w:rPr>
            </w:pPr>
            <w:r w:rsidRPr="00113B81">
              <w:t>0</w:t>
            </w:r>
          </w:p>
        </w:tc>
      </w:tr>
      <w:tr w:rsidR="00861281" w:rsidRPr="007D5748" w14:paraId="5B12AC29" w14:textId="77777777" w:rsidTr="00861281">
        <w:trPr>
          <w:trHeight w:val="70"/>
          <w:jc w:val="center"/>
        </w:trPr>
        <w:tc>
          <w:tcPr>
            <w:tcW w:w="4661" w:type="dxa"/>
            <w:noWrap/>
            <w:vAlign w:val="center"/>
          </w:tcPr>
          <w:p w14:paraId="6DF0F0BB" w14:textId="77777777" w:rsidR="00861281" w:rsidRPr="007D5748" w:rsidRDefault="00861281" w:rsidP="00861281">
            <w:pPr>
              <w:rPr>
                <w:b/>
                <w:bCs/>
                <w:i/>
                <w:iCs/>
              </w:rPr>
            </w:pPr>
            <w:r w:rsidRPr="007D5748">
              <w:rPr>
                <w:b/>
                <w:bCs/>
                <w:i/>
                <w:iCs/>
              </w:rPr>
              <w:t xml:space="preserve">z toho: </w:t>
            </w:r>
          </w:p>
        </w:tc>
        <w:tc>
          <w:tcPr>
            <w:tcW w:w="1267" w:type="dxa"/>
            <w:noWrap/>
            <w:vAlign w:val="center"/>
          </w:tcPr>
          <w:p w14:paraId="4F501ADD" w14:textId="77777777" w:rsidR="00861281" w:rsidRPr="007D5748" w:rsidRDefault="00861281" w:rsidP="00861281">
            <w:pPr>
              <w:jc w:val="right"/>
              <w:rPr>
                <w:b/>
                <w:bCs/>
                <w:iCs/>
              </w:rPr>
            </w:pPr>
          </w:p>
        </w:tc>
        <w:tc>
          <w:tcPr>
            <w:tcW w:w="1280" w:type="dxa"/>
            <w:shd w:val="clear" w:color="auto" w:fill="auto"/>
            <w:noWrap/>
            <w:vAlign w:val="center"/>
          </w:tcPr>
          <w:p w14:paraId="4F235D89" w14:textId="77777777" w:rsidR="00861281" w:rsidRPr="009B4FD6" w:rsidRDefault="00861281" w:rsidP="00861281">
            <w:pPr>
              <w:jc w:val="right"/>
              <w:rPr>
                <w:b/>
                <w:bCs/>
                <w:iCs/>
              </w:rPr>
            </w:pPr>
          </w:p>
        </w:tc>
        <w:tc>
          <w:tcPr>
            <w:tcW w:w="1267" w:type="dxa"/>
            <w:noWrap/>
          </w:tcPr>
          <w:p w14:paraId="1AC83507" w14:textId="77777777" w:rsidR="00861281" w:rsidRPr="00B8004D" w:rsidRDefault="00861281" w:rsidP="00861281">
            <w:pPr>
              <w:jc w:val="right"/>
              <w:rPr>
                <w:b/>
                <w:bCs/>
                <w:iCs/>
                <w:highlight w:val="yellow"/>
              </w:rPr>
            </w:pPr>
            <w:r w:rsidRPr="00113B81">
              <w:t>0</w:t>
            </w:r>
          </w:p>
        </w:tc>
        <w:tc>
          <w:tcPr>
            <w:tcW w:w="1340" w:type="dxa"/>
            <w:noWrap/>
          </w:tcPr>
          <w:p w14:paraId="0DA7025F" w14:textId="77777777" w:rsidR="00861281" w:rsidRPr="00B8004D" w:rsidRDefault="00861281" w:rsidP="00861281">
            <w:pPr>
              <w:jc w:val="right"/>
              <w:rPr>
                <w:b/>
                <w:bCs/>
                <w:iCs/>
                <w:highlight w:val="yellow"/>
              </w:rPr>
            </w:pPr>
            <w:r w:rsidRPr="00113B81">
              <w:t>0</w:t>
            </w:r>
          </w:p>
        </w:tc>
      </w:tr>
      <w:tr w:rsidR="00861281" w:rsidRPr="007D5748" w14:paraId="1F2696D7" w14:textId="77777777" w:rsidTr="00861281">
        <w:trPr>
          <w:trHeight w:val="70"/>
          <w:jc w:val="center"/>
        </w:trPr>
        <w:tc>
          <w:tcPr>
            <w:tcW w:w="4661" w:type="dxa"/>
            <w:noWrap/>
            <w:vAlign w:val="center"/>
          </w:tcPr>
          <w:p w14:paraId="76637CD4" w14:textId="77777777" w:rsidR="00861281" w:rsidRPr="007D5748" w:rsidRDefault="00861281" w:rsidP="00861281">
            <w:pPr>
              <w:rPr>
                <w:b/>
                <w:bCs/>
                <w:i/>
                <w:iCs/>
              </w:rPr>
            </w:pPr>
            <w:r w:rsidRPr="007D5748">
              <w:rPr>
                <w:b/>
                <w:bCs/>
                <w:i/>
                <w:iCs/>
              </w:rPr>
              <w:t>- vplyv na ŠR</w:t>
            </w:r>
          </w:p>
        </w:tc>
        <w:tc>
          <w:tcPr>
            <w:tcW w:w="1267" w:type="dxa"/>
            <w:noWrap/>
            <w:vAlign w:val="center"/>
          </w:tcPr>
          <w:p w14:paraId="61B8CC59" w14:textId="77777777" w:rsidR="00861281" w:rsidRPr="007D5748" w:rsidRDefault="00861281" w:rsidP="00861281">
            <w:pPr>
              <w:jc w:val="right"/>
              <w:rPr>
                <w:b/>
                <w:bCs/>
                <w:iCs/>
              </w:rPr>
            </w:pPr>
            <w:r>
              <w:rPr>
                <w:b/>
                <w:bCs/>
                <w:iCs/>
              </w:rPr>
              <w:t>770,98</w:t>
            </w:r>
          </w:p>
        </w:tc>
        <w:tc>
          <w:tcPr>
            <w:tcW w:w="1280" w:type="dxa"/>
            <w:shd w:val="clear" w:color="auto" w:fill="auto"/>
            <w:noWrap/>
            <w:vAlign w:val="center"/>
          </w:tcPr>
          <w:p w14:paraId="09844B93" w14:textId="77777777" w:rsidR="00861281" w:rsidRPr="009B4FD6" w:rsidRDefault="00861281" w:rsidP="00861281">
            <w:pPr>
              <w:jc w:val="right"/>
              <w:rPr>
                <w:b/>
                <w:bCs/>
                <w:iCs/>
              </w:rPr>
            </w:pPr>
            <w:r>
              <w:rPr>
                <w:b/>
                <w:bCs/>
                <w:iCs/>
              </w:rPr>
              <w:t>0</w:t>
            </w:r>
          </w:p>
        </w:tc>
        <w:tc>
          <w:tcPr>
            <w:tcW w:w="1267" w:type="dxa"/>
            <w:noWrap/>
            <w:vAlign w:val="center"/>
          </w:tcPr>
          <w:p w14:paraId="335406B1" w14:textId="77777777" w:rsidR="00861281" w:rsidRPr="00B8004D" w:rsidRDefault="00861281" w:rsidP="00861281">
            <w:pPr>
              <w:jc w:val="right"/>
              <w:rPr>
                <w:b/>
                <w:bCs/>
                <w:iCs/>
                <w:highlight w:val="yellow"/>
              </w:rPr>
            </w:pPr>
            <w:r>
              <w:rPr>
                <w:b/>
                <w:bCs/>
              </w:rPr>
              <w:t>173 467,20</w:t>
            </w:r>
          </w:p>
        </w:tc>
        <w:tc>
          <w:tcPr>
            <w:tcW w:w="1340" w:type="dxa"/>
            <w:noWrap/>
          </w:tcPr>
          <w:p w14:paraId="3991884C" w14:textId="77777777" w:rsidR="00861281" w:rsidRPr="00B8004D" w:rsidRDefault="00861281" w:rsidP="00861281">
            <w:pPr>
              <w:jc w:val="right"/>
              <w:rPr>
                <w:b/>
                <w:bCs/>
                <w:iCs/>
                <w:highlight w:val="yellow"/>
              </w:rPr>
            </w:pPr>
            <w:r w:rsidRPr="00113B81">
              <w:t>0</w:t>
            </w:r>
          </w:p>
        </w:tc>
      </w:tr>
      <w:tr w:rsidR="00861281" w:rsidRPr="007D5748" w14:paraId="74F7425B" w14:textId="77777777" w:rsidTr="00861281">
        <w:trPr>
          <w:trHeight w:val="70"/>
          <w:jc w:val="center"/>
        </w:trPr>
        <w:tc>
          <w:tcPr>
            <w:tcW w:w="4661" w:type="dxa"/>
            <w:noWrap/>
            <w:vAlign w:val="center"/>
          </w:tcPr>
          <w:p w14:paraId="267577AB" w14:textId="77777777" w:rsidR="00861281" w:rsidRPr="007D5748" w:rsidRDefault="00861281" w:rsidP="00861281">
            <w:pPr>
              <w:ind w:left="259"/>
              <w:rPr>
                <w:b/>
                <w:bCs/>
                <w:i/>
                <w:iCs/>
              </w:rPr>
            </w:pPr>
            <w:r>
              <w:rPr>
                <w:bCs/>
                <w:i/>
                <w:iCs/>
              </w:rPr>
              <w:t>Rozpočtové prostriedky</w:t>
            </w:r>
          </w:p>
        </w:tc>
        <w:tc>
          <w:tcPr>
            <w:tcW w:w="1267" w:type="dxa"/>
            <w:noWrap/>
            <w:vAlign w:val="center"/>
          </w:tcPr>
          <w:p w14:paraId="037CB27E" w14:textId="77777777" w:rsidR="00861281" w:rsidRPr="007D5748" w:rsidRDefault="00861281" w:rsidP="00861281">
            <w:pPr>
              <w:jc w:val="right"/>
              <w:rPr>
                <w:b/>
                <w:bCs/>
                <w:iCs/>
              </w:rPr>
            </w:pPr>
            <w:r>
              <w:rPr>
                <w:b/>
                <w:bCs/>
                <w:iCs/>
              </w:rPr>
              <w:t>770,98</w:t>
            </w:r>
          </w:p>
        </w:tc>
        <w:tc>
          <w:tcPr>
            <w:tcW w:w="1280" w:type="dxa"/>
            <w:shd w:val="clear" w:color="auto" w:fill="auto"/>
            <w:noWrap/>
            <w:vAlign w:val="center"/>
          </w:tcPr>
          <w:p w14:paraId="61D8374E" w14:textId="77777777" w:rsidR="00861281" w:rsidRPr="009B4FD6" w:rsidRDefault="00861281" w:rsidP="00861281">
            <w:pPr>
              <w:jc w:val="right"/>
              <w:rPr>
                <w:b/>
                <w:bCs/>
                <w:iCs/>
              </w:rPr>
            </w:pPr>
            <w:r>
              <w:rPr>
                <w:b/>
                <w:bCs/>
                <w:iCs/>
              </w:rPr>
              <w:t>0</w:t>
            </w:r>
          </w:p>
        </w:tc>
        <w:tc>
          <w:tcPr>
            <w:tcW w:w="1267" w:type="dxa"/>
            <w:noWrap/>
            <w:vAlign w:val="center"/>
          </w:tcPr>
          <w:p w14:paraId="3ECE99A1" w14:textId="77777777" w:rsidR="00861281" w:rsidRPr="00B8004D" w:rsidRDefault="00861281" w:rsidP="00861281">
            <w:pPr>
              <w:jc w:val="right"/>
              <w:rPr>
                <w:b/>
                <w:bCs/>
                <w:iCs/>
                <w:highlight w:val="yellow"/>
              </w:rPr>
            </w:pPr>
            <w:r>
              <w:rPr>
                <w:b/>
                <w:bCs/>
              </w:rPr>
              <w:t>173 467,20</w:t>
            </w:r>
          </w:p>
        </w:tc>
        <w:tc>
          <w:tcPr>
            <w:tcW w:w="1340" w:type="dxa"/>
            <w:noWrap/>
          </w:tcPr>
          <w:p w14:paraId="16E89DB7" w14:textId="77777777" w:rsidR="00861281" w:rsidRPr="00B8004D" w:rsidRDefault="00861281" w:rsidP="00861281">
            <w:pPr>
              <w:jc w:val="right"/>
              <w:rPr>
                <w:b/>
                <w:bCs/>
                <w:iCs/>
                <w:highlight w:val="yellow"/>
              </w:rPr>
            </w:pPr>
            <w:r w:rsidRPr="00113B81">
              <w:t>0</w:t>
            </w:r>
          </w:p>
        </w:tc>
      </w:tr>
      <w:tr w:rsidR="00861281" w:rsidRPr="007D5748" w14:paraId="6FA163E6" w14:textId="77777777" w:rsidTr="00861281">
        <w:trPr>
          <w:trHeight w:val="70"/>
          <w:jc w:val="center"/>
        </w:trPr>
        <w:tc>
          <w:tcPr>
            <w:tcW w:w="4661" w:type="dxa"/>
            <w:noWrap/>
            <w:vAlign w:val="center"/>
          </w:tcPr>
          <w:p w14:paraId="4CB984D5" w14:textId="77777777" w:rsidR="00861281" w:rsidRPr="007D5748" w:rsidRDefault="00861281" w:rsidP="00861281">
            <w:pPr>
              <w:rPr>
                <w:bCs/>
                <w:i/>
                <w:iCs/>
              </w:rPr>
            </w:pPr>
            <w:r w:rsidRPr="007D5748">
              <w:rPr>
                <w:bCs/>
                <w:i/>
                <w:iCs/>
              </w:rPr>
              <w:t xml:space="preserve">    EÚ zdroje</w:t>
            </w:r>
          </w:p>
        </w:tc>
        <w:tc>
          <w:tcPr>
            <w:tcW w:w="1267" w:type="dxa"/>
            <w:noWrap/>
            <w:vAlign w:val="center"/>
          </w:tcPr>
          <w:p w14:paraId="0429CF40" w14:textId="77777777" w:rsidR="00861281" w:rsidRPr="007D5748" w:rsidRDefault="00861281" w:rsidP="00861281">
            <w:pPr>
              <w:jc w:val="right"/>
            </w:pPr>
            <w:r w:rsidRPr="007D5748">
              <w:t>0</w:t>
            </w:r>
          </w:p>
        </w:tc>
        <w:tc>
          <w:tcPr>
            <w:tcW w:w="1280" w:type="dxa"/>
            <w:noWrap/>
            <w:vAlign w:val="center"/>
          </w:tcPr>
          <w:p w14:paraId="530084FE" w14:textId="77777777" w:rsidR="00861281" w:rsidRPr="007D5748" w:rsidRDefault="00861281" w:rsidP="00861281">
            <w:pPr>
              <w:jc w:val="right"/>
            </w:pPr>
            <w:r w:rsidRPr="007D5748">
              <w:t>0</w:t>
            </w:r>
          </w:p>
        </w:tc>
        <w:tc>
          <w:tcPr>
            <w:tcW w:w="1267" w:type="dxa"/>
            <w:noWrap/>
            <w:vAlign w:val="center"/>
          </w:tcPr>
          <w:p w14:paraId="55FAEDB2" w14:textId="77777777" w:rsidR="00861281" w:rsidRPr="007D5748" w:rsidRDefault="00861281" w:rsidP="00861281">
            <w:pPr>
              <w:jc w:val="right"/>
            </w:pPr>
            <w:r w:rsidRPr="007D5748">
              <w:t>0</w:t>
            </w:r>
          </w:p>
        </w:tc>
        <w:tc>
          <w:tcPr>
            <w:tcW w:w="1340" w:type="dxa"/>
            <w:noWrap/>
            <w:vAlign w:val="center"/>
          </w:tcPr>
          <w:p w14:paraId="167DB54F" w14:textId="77777777" w:rsidR="00861281" w:rsidRPr="007D5748" w:rsidRDefault="00861281" w:rsidP="00861281">
            <w:pPr>
              <w:jc w:val="right"/>
            </w:pPr>
            <w:r w:rsidRPr="007D5748">
              <w:t>0</w:t>
            </w:r>
          </w:p>
        </w:tc>
      </w:tr>
      <w:tr w:rsidR="00861281" w:rsidRPr="007D5748" w14:paraId="32C8A29D" w14:textId="77777777" w:rsidTr="00861281">
        <w:trPr>
          <w:trHeight w:val="70"/>
          <w:jc w:val="center"/>
        </w:trPr>
        <w:tc>
          <w:tcPr>
            <w:tcW w:w="4661" w:type="dxa"/>
            <w:noWrap/>
            <w:vAlign w:val="center"/>
          </w:tcPr>
          <w:p w14:paraId="1D826458" w14:textId="77777777" w:rsidR="00861281" w:rsidRPr="007D5748" w:rsidRDefault="00861281" w:rsidP="00861281">
            <w:pPr>
              <w:rPr>
                <w:bCs/>
                <w:i/>
                <w:iCs/>
              </w:rPr>
            </w:pPr>
            <w:r w:rsidRPr="007D5748">
              <w:rPr>
                <w:bCs/>
                <w:i/>
                <w:iCs/>
              </w:rPr>
              <w:t xml:space="preserve">    spolufinancovanie</w:t>
            </w:r>
          </w:p>
        </w:tc>
        <w:tc>
          <w:tcPr>
            <w:tcW w:w="1267" w:type="dxa"/>
            <w:noWrap/>
            <w:vAlign w:val="center"/>
          </w:tcPr>
          <w:p w14:paraId="2E504C20" w14:textId="77777777" w:rsidR="00861281" w:rsidRPr="007D5748" w:rsidRDefault="00861281" w:rsidP="00861281">
            <w:pPr>
              <w:jc w:val="right"/>
            </w:pPr>
            <w:r w:rsidRPr="007D5748">
              <w:t>0</w:t>
            </w:r>
          </w:p>
        </w:tc>
        <w:tc>
          <w:tcPr>
            <w:tcW w:w="1280" w:type="dxa"/>
            <w:noWrap/>
            <w:vAlign w:val="center"/>
          </w:tcPr>
          <w:p w14:paraId="59853E64" w14:textId="77777777" w:rsidR="00861281" w:rsidRPr="007D5748" w:rsidRDefault="00861281" w:rsidP="00861281">
            <w:pPr>
              <w:jc w:val="right"/>
            </w:pPr>
            <w:r w:rsidRPr="007D5748">
              <w:t>0</w:t>
            </w:r>
          </w:p>
        </w:tc>
        <w:tc>
          <w:tcPr>
            <w:tcW w:w="1267" w:type="dxa"/>
            <w:noWrap/>
            <w:vAlign w:val="center"/>
          </w:tcPr>
          <w:p w14:paraId="67B76934" w14:textId="77777777" w:rsidR="00861281" w:rsidRPr="007D5748" w:rsidRDefault="00861281" w:rsidP="00861281">
            <w:pPr>
              <w:jc w:val="right"/>
            </w:pPr>
            <w:r w:rsidRPr="007D5748">
              <w:t>0</w:t>
            </w:r>
          </w:p>
        </w:tc>
        <w:tc>
          <w:tcPr>
            <w:tcW w:w="1340" w:type="dxa"/>
            <w:noWrap/>
            <w:vAlign w:val="center"/>
          </w:tcPr>
          <w:p w14:paraId="024BD8CB" w14:textId="77777777" w:rsidR="00861281" w:rsidRPr="007D5748" w:rsidRDefault="00861281" w:rsidP="00861281">
            <w:pPr>
              <w:jc w:val="right"/>
            </w:pPr>
            <w:r w:rsidRPr="007D5748">
              <w:t>0</w:t>
            </w:r>
          </w:p>
        </w:tc>
      </w:tr>
      <w:tr w:rsidR="00861281" w:rsidRPr="007D5748" w14:paraId="20197A93" w14:textId="77777777" w:rsidTr="00861281">
        <w:trPr>
          <w:trHeight w:val="125"/>
          <w:jc w:val="center"/>
        </w:trPr>
        <w:tc>
          <w:tcPr>
            <w:tcW w:w="4661" w:type="dxa"/>
            <w:noWrap/>
            <w:vAlign w:val="center"/>
          </w:tcPr>
          <w:p w14:paraId="561323B9" w14:textId="77777777" w:rsidR="00861281" w:rsidRPr="007D5748" w:rsidRDefault="00861281" w:rsidP="00861281">
            <w:pPr>
              <w:rPr>
                <w:b/>
                <w:bCs/>
                <w:i/>
                <w:iCs/>
              </w:rPr>
            </w:pPr>
            <w:r w:rsidRPr="007D5748">
              <w:rPr>
                <w:b/>
                <w:bCs/>
                <w:i/>
                <w:iCs/>
              </w:rPr>
              <w:t>- vplyv na obce</w:t>
            </w:r>
          </w:p>
        </w:tc>
        <w:tc>
          <w:tcPr>
            <w:tcW w:w="1267" w:type="dxa"/>
            <w:noWrap/>
            <w:vAlign w:val="center"/>
          </w:tcPr>
          <w:p w14:paraId="374E5403" w14:textId="77777777" w:rsidR="00861281" w:rsidRPr="007D5748" w:rsidRDefault="00861281" w:rsidP="00861281">
            <w:pPr>
              <w:jc w:val="right"/>
              <w:rPr>
                <w:b/>
                <w:bCs/>
                <w:iCs/>
              </w:rPr>
            </w:pPr>
            <w:r w:rsidRPr="007D5748">
              <w:rPr>
                <w:b/>
                <w:bCs/>
                <w:iCs/>
              </w:rPr>
              <w:t>0</w:t>
            </w:r>
          </w:p>
        </w:tc>
        <w:tc>
          <w:tcPr>
            <w:tcW w:w="1280" w:type="dxa"/>
            <w:noWrap/>
            <w:vAlign w:val="center"/>
          </w:tcPr>
          <w:p w14:paraId="52F9CED4" w14:textId="77777777" w:rsidR="00861281" w:rsidRPr="007D5748" w:rsidRDefault="00861281" w:rsidP="00861281">
            <w:pPr>
              <w:jc w:val="right"/>
              <w:rPr>
                <w:b/>
                <w:bCs/>
                <w:iCs/>
              </w:rPr>
            </w:pPr>
            <w:r w:rsidRPr="007D5748">
              <w:rPr>
                <w:b/>
                <w:bCs/>
                <w:iCs/>
              </w:rPr>
              <w:t>0</w:t>
            </w:r>
          </w:p>
        </w:tc>
        <w:tc>
          <w:tcPr>
            <w:tcW w:w="1267" w:type="dxa"/>
            <w:noWrap/>
            <w:vAlign w:val="center"/>
          </w:tcPr>
          <w:p w14:paraId="54808FC1" w14:textId="77777777" w:rsidR="00861281" w:rsidRPr="007D5748" w:rsidRDefault="00861281" w:rsidP="00861281">
            <w:pPr>
              <w:jc w:val="right"/>
              <w:rPr>
                <w:b/>
                <w:bCs/>
                <w:iCs/>
              </w:rPr>
            </w:pPr>
            <w:r w:rsidRPr="007D5748">
              <w:rPr>
                <w:b/>
                <w:bCs/>
                <w:iCs/>
              </w:rPr>
              <w:t>0</w:t>
            </w:r>
          </w:p>
        </w:tc>
        <w:tc>
          <w:tcPr>
            <w:tcW w:w="1340" w:type="dxa"/>
            <w:noWrap/>
            <w:vAlign w:val="center"/>
          </w:tcPr>
          <w:p w14:paraId="6317B8CD" w14:textId="77777777" w:rsidR="00861281" w:rsidRPr="007D5748" w:rsidRDefault="00861281" w:rsidP="00861281">
            <w:pPr>
              <w:jc w:val="right"/>
              <w:rPr>
                <w:b/>
                <w:bCs/>
                <w:iCs/>
              </w:rPr>
            </w:pPr>
            <w:r w:rsidRPr="007D5748">
              <w:rPr>
                <w:b/>
                <w:bCs/>
                <w:iCs/>
              </w:rPr>
              <w:t>0</w:t>
            </w:r>
          </w:p>
        </w:tc>
      </w:tr>
      <w:tr w:rsidR="00861281" w:rsidRPr="007D5748" w14:paraId="44D64B93" w14:textId="77777777" w:rsidTr="00861281">
        <w:trPr>
          <w:trHeight w:val="125"/>
          <w:jc w:val="center"/>
        </w:trPr>
        <w:tc>
          <w:tcPr>
            <w:tcW w:w="4661" w:type="dxa"/>
            <w:noWrap/>
            <w:vAlign w:val="center"/>
          </w:tcPr>
          <w:p w14:paraId="0C8014AD" w14:textId="77777777" w:rsidR="00861281" w:rsidRPr="007D5748" w:rsidRDefault="00861281" w:rsidP="00861281">
            <w:pPr>
              <w:rPr>
                <w:b/>
                <w:bCs/>
                <w:i/>
                <w:iCs/>
              </w:rPr>
            </w:pPr>
            <w:r w:rsidRPr="007D5748">
              <w:rPr>
                <w:b/>
                <w:bCs/>
                <w:i/>
                <w:iCs/>
              </w:rPr>
              <w:t>- vplyv na vyššie územné celky</w:t>
            </w:r>
          </w:p>
        </w:tc>
        <w:tc>
          <w:tcPr>
            <w:tcW w:w="1267" w:type="dxa"/>
            <w:noWrap/>
            <w:vAlign w:val="center"/>
          </w:tcPr>
          <w:p w14:paraId="28A5D7F6" w14:textId="77777777" w:rsidR="00861281" w:rsidRPr="007D5748" w:rsidRDefault="00861281" w:rsidP="00861281">
            <w:pPr>
              <w:jc w:val="right"/>
              <w:rPr>
                <w:b/>
                <w:bCs/>
                <w:iCs/>
              </w:rPr>
            </w:pPr>
            <w:r w:rsidRPr="007D5748">
              <w:rPr>
                <w:b/>
                <w:bCs/>
                <w:iCs/>
              </w:rPr>
              <w:t>0</w:t>
            </w:r>
          </w:p>
        </w:tc>
        <w:tc>
          <w:tcPr>
            <w:tcW w:w="1280" w:type="dxa"/>
            <w:noWrap/>
            <w:vAlign w:val="center"/>
          </w:tcPr>
          <w:p w14:paraId="7D5ACB29" w14:textId="77777777" w:rsidR="00861281" w:rsidRPr="007D5748" w:rsidRDefault="00861281" w:rsidP="00861281">
            <w:pPr>
              <w:jc w:val="right"/>
              <w:rPr>
                <w:b/>
                <w:bCs/>
                <w:iCs/>
              </w:rPr>
            </w:pPr>
            <w:r w:rsidRPr="007D5748">
              <w:rPr>
                <w:b/>
                <w:bCs/>
                <w:iCs/>
              </w:rPr>
              <w:t>0</w:t>
            </w:r>
          </w:p>
        </w:tc>
        <w:tc>
          <w:tcPr>
            <w:tcW w:w="1267" w:type="dxa"/>
            <w:noWrap/>
            <w:vAlign w:val="center"/>
          </w:tcPr>
          <w:p w14:paraId="1F30D916" w14:textId="77777777" w:rsidR="00861281" w:rsidRPr="007D5748" w:rsidRDefault="00861281" w:rsidP="00861281">
            <w:pPr>
              <w:jc w:val="right"/>
              <w:rPr>
                <w:b/>
                <w:bCs/>
                <w:iCs/>
              </w:rPr>
            </w:pPr>
            <w:r w:rsidRPr="007D5748">
              <w:rPr>
                <w:b/>
                <w:bCs/>
                <w:iCs/>
              </w:rPr>
              <w:t>0</w:t>
            </w:r>
          </w:p>
        </w:tc>
        <w:tc>
          <w:tcPr>
            <w:tcW w:w="1340" w:type="dxa"/>
            <w:noWrap/>
            <w:vAlign w:val="center"/>
          </w:tcPr>
          <w:p w14:paraId="3004D7C4" w14:textId="77777777" w:rsidR="00861281" w:rsidRPr="007D5748" w:rsidRDefault="00861281" w:rsidP="00861281">
            <w:pPr>
              <w:jc w:val="right"/>
              <w:rPr>
                <w:b/>
                <w:bCs/>
                <w:iCs/>
              </w:rPr>
            </w:pPr>
            <w:r w:rsidRPr="007D5748">
              <w:rPr>
                <w:b/>
                <w:bCs/>
                <w:iCs/>
              </w:rPr>
              <w:t>0</w:t>
            </w:r>
          </w:p>
        </w:tc>
      </w:tr>
      <w:tr w:rsidR="00861281" w:rsidRPr="007D5748" w14:paraId="229E1B9C" w14:textId="77777777" w:rsidTr="00861281">
        <w:trPr>
          <w:trHeight w:val="70"/>
          <w:jc w:val="center"/>
        </w:trPr>
        <w:tc>
          <w:tcPr>
            <w:tcW w:w="4661" w:type="dxa"/>
            <w:noWrap/>
            <w:vAlign w:val="center"/>
          </w:tcPr>
          <w:p w14:paraId="6C1E2A48" w14:textId="77777777" w:rsidR="00861281" w:rsidRPr="007D5748" w:rsidRDefault="00861281" w:rsidP="00861281">
            <w:pPr>
              <w:rPr>
                <w:b/>
                <w:bCs/>
              </w:rPr>
            </w:pPr>
            <w:r w:rsidRPr="007D5748">
              <w:rPr>
                <w:b/>
                <w:bCs/>
                <w:i/>
                <w:iCs/>
              </w:rPr>
              <w:t>- vplyv na ostatné subjekty verejnej správy</w:t>
            </w:r>
          </w:p>
        </w:tc>
        <w:tc>
          <w:tcPr>
            <w:tcW w:w="1267" w:type="dxa"/>
            <w:noWrap/>
            <w:vAlign w:val="center"/>
          </w:tcPr>
          <w:p w14:paraId="5C48EADD" w14:textId="77777777" w:rsidR="00861281" w:rsidRPr="007D5748" w:rsidRDefault="00861281" w:rsidP="00861281">
            <w:pPr>
              <w:jc w:val="right"/>
              <w:rPr>
                <w:b/>
                <w:bCs/>
                <w:iCs/>
              </w:rPr>
            </w:pPr>
            <w:r w:rsidRPr="007D5748">
              <w:rPr>
                <w:b/>
                <w:bCs/>
                <w:iCs/>
              </w:rPr>
              <w:t>0</w:t>
            </w:r>
          </w:p>
        </w:tc>
        <w:tc>
          <w:tcPr>
            <w:tcW w:w="1280" w:type="dxa"/>
            <w:noWrap/>
            <w:vAlign w:val="center"/>
          </w:tcPr>
          <w:p w14:paraId="746710E6" w14:textId="77777777" w:rsidR="00861281" w:rsidRPr="007D5748" w:rsidRDefault="00861281" w:rsidP="00861281">
            <w:pPr>
              <w:jc w:val="right"/>
              <w:rPr>
                <w:b/>
                <w:bCs/>
                <w:iCs/>
              </w:rPr>
            </w:pPr>
            <w:r w:rsidRPr="007D5748">
              <w:rPr>
                <w:b/>
                <w:bCs/>
                <w:iCs/>
              </w:rPr>
              <w:t>0</w:t>
            </w:r>
          </w:p>
        </w:tc>
        <w:tc>
          <w:tcPr>
            <w:tcW w:w="1267" w:type="dxa"/>
            <w:noWrap/>
            <w:vAlign w:val="center"/>
          </w:tcPr>
          <w:p w14:paraId="310047FC" w14:textId="77777777" w:rsidR="00861281" w:rsidRPr="007D5748" w:rsidRDefault="00861281" w:rsidP="00861281">
            <w:pPr>
              <w:jc w:val="right"/>
              <w:rPr>
                <w:b/>
                <w:bCs/>
                <w:iCs/>
              </w:rPr>
            </w:pPr>
            <w:r w:rsidRPr="007D5748">
              <w:rPr>
                <w:b/>
                <w:bCs/>
                <w:iCs/>
              </w:rPr>
              <w:t>0</w:t>
            </w:r>
          </w:p>
        </w:tc>
        <w:tc>
          <w:tcPr>
            <w:tcW w:w="1340" w:type="dxa"/>
            <w:noWrap/>
            <w:vAlign w:val="center"/>
          </w:tcPr>
          <w:p w14:paraId="72D64EE8" w14:textId="77777777" w:rsidR="00861281" w:rsidRPr="007D5748" w:rsidRDefault="00861281" w:rsidP="00861281">
            <w:pPr>
              <w:jc w:val="right"/>
              <w:rPr>
                <w:b/>
                <w:bCs/>
                <w:iCs/>
              </w:rPr>
            </w:pPr>
            <w:r w:rsidRPr="007D5748">
              <w:rPr>
                <w:b/>
                <w:bCs/>
                <w:iCs/>
              </w:rPr>
              <w:t>0</w:t>
            </w:r>
          </w:p>
        </w:tc>
      </w:tr>
      <w:tr w:rsidR="00861281" w:rsidRPr="007D5748" w14:paraId="5C38267C" w14:textId="77777777" w:rsidTr="00861281">
        <w:trPr>
          <w:trHeight w:val="70"/>
          <w:jc w:val="center"/>
        </w:trPr>
        <w:tc>
          <w:tcPr>
            <w:tcW w:w="4661" w:type="dxa"/>
            <w:noWrap/>
            <w:vAlign w:val="center"/>
          </w:tcPr>
          <w:p w14:paraId="2695F6EE" w14:textId="77777777" w:rsidR="00861281" w:rsidRPr="007D5748" w:rsidRDefault="00861281" w:rsidP="00861281">
            <w:pPr>
              <w:rPr>
                <w:b/>
                <w:bCs/>
                <w:i/>
                <w:iCs/>
              </w:rPr>
            </w:pPr>
          </w:p>
        </w:tc>
        <w:tc>
          <w:tcPr>
            <w:tcW w:w="1267" w:type="dxa"/>
            <w:noWrap/>
            <w:vAlign w:val="center"/>
          </w:tcPr>
          <w:p w14:paraId="622ED855" w14:textId="77777777" w:rsidR="00861281" w:rsidRPr="007D5748" w:rsidRDefault="00861281" w:rsidP="00861281">
            <w:pPr>
              <w:jc w:val="right"/>
              <w:rPr>
                <w:b/>
                <w:bCs/>
                <w:iCs/>
              </w:rPr>
            </w:pPr>
          </w:p>
        </w:tc>
        <w:tc>
          <w:tcPr>
            <w:tcW w:w="1280" w:type="dxa"/>
            <w:noWrap/>
            <w:vAlign w:val="center"/>
          </w:tcPr>
          <w:p w14:paraId="3A2E26D8" w14:textId="77777777" w:rsidR="00861281" w:rsidRPr="007D5748" w:rsidRDefault="00861281" w:rsidP="00861281">
            <w:pPr>
              <w:jc w:val="right"/>
              <w:rPr>
                <w:b/>
                <w:bCs/>
                <w:iCs/>
              </w:rPr>
            </w:pPr>
          </w:p>
        </w:tc>
        <w:tc>
          <w:tcPr>
            <w:tcW w:w="1267" w:type="dxa"/>
            <w:noWrap/>
            <w:vAlign w:val="center"/>
          </w:tcPr>
          <w:p w14:paraId="179510E0" w14:textId="77777777" w:rsidR="00861281" w:rsidRPr="007D5748" w:rsidRDefault="00861281" w:rsidP="00861281">
            <w:pPr>
              <w:jc w:val="right"/>
              <w:rPr>
                <w:b/>
                <w:bCs/>
                <w:iCs/>
              </w:rPr>
            </w:pPr>
          </w:p>
        </w:tc>
        <w:tc>
          <w:tcPr>
            <w:tcW w:w="1340" w:type="dxa"/>
            <w:noWrap/>
            <w:vAlign w:val="center"/>
          </w:tcPr>
          <w:p w14:paraId="4CB52423" w14:textId="77777777" w:rsidR="00861281" w:rsidRPr="007D5748" w:rsidRDefault="00861281" w:rsidP="00861281">
            <w:pPr>
              <w:jc w:val="right"/>
              <w:rPr>
                <w:b/>
                <w:bCs/>
                <w:iCs/>
              </w:rPr>
            </w:pPr>
          </w:p>
        </w:tc>
      </w:tr>
      <w:tr w:rsidR="00861281" w:rsidRPr="007D5748" w14:paraId="2DB7F59A" w14:textId="77777777" w:rsidTr="00861281">
        <w:trPr>
          <w:trHeight w:val="70"/>
          <w:jc w:val="center"/>
        </w:trPr>
        <w:tc>
          <w:tcPr>
            <w:tcW w:w="4661" w:type="dxa"/>
            <w:shd w:val="clear" w:color="auto" w:fill="BFBFBF" w:themeFill="background1" w:themeFillShade="BF"/>
            <w:noWrap/>
            <w:vAlign w:val="center"/>
          </w:tcPr>
          <w:p w14:paraId="71293FBB" w14:textId="77777777" w:rsidR="00861281" w:rsidRPr="007D5748" w:rsidRDefault="00861281" w:rsidP="00861281">
            <w:pPr>
              <w:rPr>
                <w:b/>
                <w:bCs/>
              </w:rPr>
            </w:pPr>
            <w:r w:rsidRPr="007D5748">
              <w:rPr>
                <w:b/>
                <w:bCs/>
              </w:rPr>
              <w:t xml:space="preserve">Vplyv na počet zamestnancov </w:t>
            </w:r>
          </w:p>
        </w:tc>
        <w:tc>
          <w:tcPr>
            <w:tcW w:w="1267" w:type="dxa"/>
            <w:shd w:val="clear" w:color="auto" w:fill="BFBFBF" w:themeFill="background1" w:themeFillShade="BF"/>
            <w:noWrap/>
            <w:vAlign w:val="center"/>
          </w:tcPr>
          <w:p w14:paraId="567EDD39" w14:textId="77777777" w:rsidR="00861281" w:rsidRPr="007D5748" w:rsidRDefault="00861281" w:rsidP="00861281">
            <w:pPr>
              <w:jc w:val="right"/>
              <w:rPr>
                <w:b/>
                <w:bCs/>
              </w:rPr>
            </w:pPr>
            <w:r w:rsidRPr="007D5748">
              <w:rPr>
                <w:b/>
                <w:bCs/>
              </w:rPr>
              <w:t>0</w:t>
            </w:r>
          </w:p>
        </w:tc>
        <w:tc>
          <w:tcPr>
            <w:tcW w:w="1280" w:type="dxa"/>
            <w:shd w:val="clear" w:color="auto" w:fill="BFBFBF" w:themeFill="background1" w:themeFillShade="BF"/>
            <w:noWrap/>
            <w:vAlign w:val="center"/>
          </w:tcPr>
          <w:p w14:paraId="5BF9A9F3" w14:textId="77777777" w:rsidR="00861281" w:rsidRPr="007D5748" w:rsidRDefault="00861281" w:rsidP="00861281">
            <w:pPr>
              <w:jc w:val="right"/>
              <w:rPr>
                <w:b/>
                <w:bCs/>
              </w:rPr>
            </w:pPr>
            <w:r w:rsidRPr="007D5748">
              <w:rPr>
                <w:b/>
                <w:bCs/>
              </w:rPr>
              <w:t>0</w:t>
            </w:r>
          </w:p>
        </w:tc>
        <w:tc>
          <w:tcPr>
            <w:tcW w:w="1267" w:type="dxa"/>
            <w:shd w:val="clear" w:color="auto" w:fill="BFBFBF" w:themeFill="background1" w:themeFillShade="BF"/>
            <w:noWrap/>
            <w:vAlign w:val="center"/>
          </w:tcPr>
          <w:p w14:paraId="13F9ABBE" w14:textId="77777777" w:rsidR="00861281" w:rsidRPr="007D5748" w:rsidRDefault="00861281" w:rsidP="00861281">
            <w:pPr>
              <w:jc w:val="right"/>
              <w:rPr>
                <w:b/>
                <w:bCs/>
              </w:rPr>
            </w:pPr>
            <w:r w:rsidRPr="007D5748">
              <w:rPr>
                <w:b/>
                <w:bCs/>
              </w:rPr>
              <w:t>0</w:t>
            </w:r>
          </w:p>
        </w:tc>
        <w:tc>
          <w:tcPr>
            <w:tcW w:w="1340" w:type="dxa"/>
            <w:shd w:val="clear" w:color="auto" w:fill="BFBFBF" w:themeFill="background1" w:themeFillShade="BF"/>
            <w:noWrap/>
            <w:vAlign w:val="center"/>
          </w:tcPr>
          <w:p w14:paraId="6C3E510B" w14:textId="77777777" w:rsidR="00861281" w:rsidRPr="007D5748" w:rsidRDefault="00861281" w:rsidP="00861281">
            <w:pPr>
              <w:jc w:val="right"/>
              <w:rPr>
                <w:b/>
                <w:bCs/>
              </w:rPr>
            </w:pPr>
            <w:r w:rsidRPr="007D5748">
              <w:rPr>
                <w:b/>
                <w:bCs/>
              </w:rPr>
              <w:t>0</w:t>
            </w:r>
          </w:p>
        </w:tc>
      </w:tr>
      <w:tr w:rsidR="00861281" w:rsidRPr="007D5748" w14:paraId="66E0DB37" w14:textId="77777777" w:rsidTr="00861281">
        <w:trPr>
          <w:trHeight w:val="70"/>
          <w:jc w:val="center"/>
        </w:trPr>
        <w:tc>
          <w:tcPr>
            <w:tcW w:w="4661" w:type="dxa"/>
            <w:noWrap/>
            <w:vAlign w:val="center"/>
          </w:tcPr>
          <w:p w14:paraId="0555F049" w14:textId="77777777" w:rsidR="00861281" w:rsidRPr="007D5748" w:rsidRDefault="00861281" w:rsidP="00861281">
            <w:pPr>
              <w:rPr>
                <w:b/>
                <w:bCs/>
                <w:i/>
                <w:iCs/>
              </w:rPr>
            </w:pPr>
            <w:r w:rsidRPr="007D5748">
              <w:rPr>
                <w:b/>
                <w:bCs/>
                <w:i/>
                <w:iCs/>
              </w:rPr>
              <w:t>- vplyv na ŠR</w:t>
            </w:r>
          </w:p>
        </w:tc>
        <w:tc>
          <w:tcPr>
            <w:tcW w:w="1267" w:type="dxa"/>
            <w:noWrap/>
            <w:vAlign w:val="center"/>
          </w:tcPr>
          <w:p w14:paraId="4CEFE41B" w14:textId="77777777" w:rsidR="00861281" w:rsidRPr="007D5748" w:rsidRDefault="00861281" w:rsidP="00861281">
            <w:pPr>
              <w:jc w:val="right"/>
              <w:rPr>
                <w:b/>
                <w:bCs/>
                <w:iCs/>
              </w:rPr>
            </w:pPr>
            <w:r w:rsidRPr="007D5748">
              <w:rPr>
                <w:b/>
                <w:bCs/>
                <w:iCs/>
              </w:rPr>
              <w:t>0</w:t>
            </w:r>
          </w:p>
        </w:tc>
        <w:tc>
          <w:tcPr>
            <w:tcW w:w="1280" w:type="dxa"/>
            <w:noWrap/>
            <w:vAlign w:val="center"/>
          </w:tcPr>
          <w:p w14:paraId="2A0EB381" w14:textId="77777777" w:rsidR="00861281" w:rsidRPr="007D5748" w:rsidRDefault="00861281" w:rsidP="00861281">
            <w:pPr>
              <w:jc w:val="right"/>
              <w:rPr>
                <w:b/>
                <w:bCs/>
                <w:iCs/>
              </w:rPr>
            </w:pPr>
            <w:r w:rsidRPr="007D5748">
              <w:rPr>
                <w:b/>
                <w:bCs/>
                <w:iCs/>
              </w:rPr>
              <w:t>0</w:t>
            </w:r>
          </w:p>
        </w:tc>
        <w:tc>
          <w:tcPr>
            <w:tcW w:w="1267" w:type="dxa"/>
            <w:noWrap/>
            <w:vAlign w:val="center"/>
          </w:tcPr>
          <w:p w14:paraId="11093196" w14:textId="77777777" w:rsidR="00861281" w:rsidRPr="007D5748" w:rsidRDefault="00861281" w:rsidP="00861281">
            <w:pPr>
              <w:jc w:val="right"/>
              <w:rPr>
                <w:b/>
                <w:bCs/>
                <w:iCs/>
              </w:rPr>
            </w:pPr>
            <w:r w:rsidRPr="007D5748">
              <w:rPr>
                <w:b/>
                <w:bCs/>
                <w:iCs/>
              </w:rPr>
              <w:t>0</w:t>
            </w:r>
          </w:p>
        </w:tc>
        <w:tc>
          <w:tcPr>
            <w:tcW w:w="1340" w:type="dxa"/>
            <w:noWrap/>
            <w:vAlign w:val="center"/>
          </w:tcPr>
          <w:p w14:paraId="28BFF32D" w14:textId="77777777" w:rsidR="00861281" w:rsidRPr="007D5748" w:rsidRDefault="00861281" w:rsidP="00861281">
            <w:pPr>
              <w:jc w:val="right"/>
              <w:rPr>
                <w:b/>
                <w:bCs/>
                <w:iCs/>
              </w:rPr>
            </w:pPr>
            <w:r w:rsidRPr="007D5748">
              <w:rPr>
                <w:b/>
                <w:bCs/>
                <w:iCs/>
              </w:rPr>
              <w:t>0</w:t>
            </w:r>
          </w:p>
        </w:tc>
      </w:tr>
      <w:tr w:rsidR="00861281" w:rsidRPr="007D5748" w14:paraId="25C40BC0" w14:textId="77777777" w:rsidTr="00861281">
        <w:trPr>
          <w:trHeight w:val="70"/>
          <w:jc w:val="center"/>
        </w:trPr>
        <w:tc>
          <w:tcPr>
            <w:tcW w:w="4661" w:type="dxa"/>
            <w:noWrap/>
            <w:vAlign w:val="center"/>
          </w:tcPr>
          <w:p w14:paraId="5B46ACF6" w14:textId="77777777" w:rsidR="00861281" w:rsidRPr="007D5748" w:rsidRDefault="00861281" w:rsidP="00861281">
            <w:pPr>
              <w:rPr>
                <w:b/>
                <w:bCs/>
                <w:i/>
                <w:iCs/>
              </w:rPr>
            </w:pPr>
            <w:r w:rsidRPr="007D5748">
              <w:rPr>
                <w:b/>
                <w:bCs/>
                <w:i/>
                <w:iCs/>
              </w:rPr>
              <w:t>- vplyv na obce</w:t>
            </w:r>
          </w:p>
        </w:tc>
        <w:tc>
          <w:tcPr>
            <w:tcW w:w="1267" w:type="dxa"/>
            <w:noWrap/>
            <w:vAlign w:val="center"/>
          </w:tcPr>
          <w:p w14:paraId="41664D5B" w14:textId="77777777" w:rsidR="00861281" w:rsidRPr="007D5748" w:rsidRDefault="00861281" w:rsidP="00861281">
            <w:pPr>
              <w:jc w:val="right"/>
              <w:rPr>
                <w:b/>
                <w:bCs/>
                <w:iCs/>
              </w:rPr>
            </w:pPr>
            <w:r w:rsidRPr="007D5748">
              <w:rPr>
                <w:b/>
                <w:bCs/>
                <w:iCs/>
              </w:rPr>
              <w:t>0</w:t>
            </w:r>
          </w:p>
        </w:tc>
        <w:tc>
          <w:tcPr>
            <w:tcW w:w="1280" w:type="dxa"/>
            <w:noWrap/>
            <w:vAlign w:val="center"/>
          </w:tcPr>
          <w:p w14:paraId="0CB27CCB" w14:textId="77777777" w:rsidR="00861281" w:rsidRPr="007D5748" w:rsidRDefault="00861281" w:rsidP="00861281">
            <w:pPr>
              <w:jc w:val="right"/>
              <w:rPr>
                <w:b/>
                <w:bCs/>
                <w:iCs/>
              </w:rPr>
            </w:pPr>
            <w:r w:rsidRPr="007D5748">
              <w:rPr>
                <w:b/>
                <w:bCs/>
                <w:iCs/>
              </w:rPr>
              <w:t>0</w:t>
            </w:r>
          </w:p>
        </w:tc>
        <w:tc>
          <w:tcPr>
            <w:tcW w:w="1267" w:type="dxa"/>
            <w:noWrap/>
            <w:vAlign w:val="center"/>
          </w:tcPr>
          <w:p w14:paraId="366A3E54" w14:textId="77777777" w:rsidR="00861281" w:rsidRPr="007D5748" w:rsidRDefault="00861281" w:rsidP="00861281">
            <w:pPr>
              <w:jc w:val="right"/>
              <w:rPr>
                <w:b/>
                <w:bCs/>
                <w:iCs/>
              </w:rPr>
            </w:pPr>
            <w:r w:rsidRPr="007D5748">
              <w:rPr>
                <w:b/>
                <w:bCs/>
                <w:iCs/>
              </w:rPr>
              <w:t>0</w:t>
            </w:r>
          </w:p>
        </w:tc>
        <w:tc>
          <w:tcPr>
            <w:tcW w:w="1340" w:type="dxa"/>
            <w:noWrap/>
            <w:vAlign w:val="center"/>
          </w:tcPr>
          <w:p w14:paraId="24E5FA67" w14:textId="77777777" w:rsidR="00861281" w:rsidRPr="007D5748" w:rsidRDefault="00861281" w:rsidP="00861281">
            <w:pPr>
              <w:jc w:val="right"/>
              <w:rPr>
                <w:b/>
                <w:bCs/>
                <w:iCs/>
              </w:rPr>
            </w:pPr>
            <w:r w:rsidRPr="007D5748">
              <w:rPr>
                <w:b/>
                <w:bCs/>
                <w:iCs/>
              </w:rPr>
              <w:t>0</w:t>
            </w:r>
          </w:p>
        </w:tc>
      </w:tr>
      <w:tr w:rsidR="00861281" w:rsidRPr="007D5748" w14:paraId="743A921F" w14:textId="77777777" w:rsidTr="00861281">
        <w:trPr>
          <w:trHeight w:val="70"/>
          <w:jc w:val="center"/>
        </w:trPr>
        <w:tc>
          <w:tcPr>
            <w:tcW w:w="4661" w:type="dxa"/>
            <w:noWrap/>
            <w:vAlign w:val="center"/>
          </w:tcPr>
          <w:p w14:paraId="6D037F6B" w14:textId="77777777" w:rsidR="00861281" w:rsidRPr="007D5748" w:rsidRDefault="00861281" w:rsidP="00861281">
            <w:pPr>
              <w:rPr>
                <w:b/>
                <w:bCs/>
                <w:i/>
                <w:iCs/>
              </w:rPr>
            </w:pPr>
            <w:r w:rsidRPr="007D5748">
              <w:rPr>
                <w:b/>
                <w:bCs/>
                <w:i/>
                <w:iCs/>
              </w:rPr>
              <w:t>- vplyv na vyššie územné celky</w:t>
            </w:r>
          </w:p>
        </w:tc>
        <w:tc>
          <w:tcPr>
            <w:tcW w:w="1267" w:type="dxa"/>
            <w:noWrap/>
            <w:vAlign w:val="center"/>
          </w:tcPr>
          <w:p w14:paraId="3A3C0E54" w14:textId="77777777" w:rsidR="00861281" w:rsidRPr="007D5748" w:rsidRDefault="00861281" w:rsidP="00861281">
            <w:pPr>
              <w:jc w:val="right"/>
              <w:rPr>
                <w:b/>
                <w:bCs/>
                <w:iCs/>
              </w:rPr>
            </w:pPr>
            <w:r w:rsidRPr="007D5748">
              <w:rPr>
                <w:b/>
                <w:bCs/>
                <w:iCs/>
              </w:rPr>
              <w:t>0</w:t>
            </w:r>
          </w:p>
        </w:tc>
        <w:tc>
          <w:tcPr>
            <w:tcW w:w="1280" w:type="dxa"/>
            <w:noWrap/>
            <w:vAlign w:val="center"/>
          </w:tcPr>
          <w:p w14:paraId="2CFE7A11" w14:textId="77777777" w:rsidR="00861281" w:rsidRPr="007D5748" w:rsidRDefault="00861281" w:rsidP="00861281">
            <w:pPr>
              <w:jc w:val="right"/>
              <w:rPr>
                <w:b/>
                <w:bCs/>
                <w:iCs/>
              </w:rPr>
            </w:pPr>
            <w:r w:rsidRPr="007D5748">
              <w:rPr>
                <w:b/>
                <w:bCs/>
                <w:iCs/>
              </w:rPr>
              <w:t>0</w:t>
            </w:r>
          </w:p>
        </w:tc>
        <w:tc>
          <w:tcPr>
            <w:tcW w:w="1267" w:type="dxa"/>
            <w:noWrap/>
            <w:vAlign w:val="center"/>
          </w:tcPr>
          <w:p w14:paraId="399DB7F1" w14:textId="77777777" w:rsidR="00861281" w:rsidRPr="007D5748" w:rsidRDefault="00861281" w:rsidP="00861281">
            <w:pPr>
              <w:jc w:val="right"/>
              <w:rPr>
                <w:b/>
                <w:bCs/>
                <w:iCs/>
              </w:rPr>
            </w:pPr>
            <w:r w:rsidRPr="007D5748">
              <w:rPr>
                <w:b/>
                <w:bCs/>
                <w:iCs/>
              </w:rPr>
              <w:t>0</w:t>
            </w:r>
          </w:p>
        </w:tc>
        <w:tc>
          <w:tcPr>
            <w:tcW w:w="1340" w:type="dxa"/>
            <w:noWrap/>
            <w:vAlign w:val="center"/>
          </w:tcPr>
          <w:p w14:paraId="72A66340" w14:textId="77777777" w:rsidR="00861281" w:rsidRPr="007D5748" w:rsidRDefault="00861281" w:rsidP="00861281">
            <w:pPr>
              <w:jc w:val="right"/>
              <w:rPr>
                <w:b/>
                <w:bCs/>
                <w:iCs/>
              </w:rPr>
            </w:pPr>
            <w:r w:rsidRPr="007D5748">
              <w:rPr>
                <w:b/>
                <w:bCs/>
                <w:iCs/>
              </w:rPr>
              <w:t>0</w:t>
            </w:r>
          </w:p>
        </w:tc>
      </w:tr>
      <w:tr w:rsidR="00861281" w:rsidRPr="007D5748" w14:paraId="7DB3A44A" w14:textId="77777777" w:rsidTr="00861281">
        <w:trPr>
          <w:trHeight w:val="70"/>
          <w:jc w:val="center"/>
        </w:trPr>
        <w:tc>
          <w:tcPr>
            <w:tcW w:w="4661" w:type="dxa"/>
            <w:noWrap/>
            <w:vAlign w:val="center"/>
          </w:tcPr>
          <w:p w14:paraId="0604A37B" w14:textId="77777777" w:rsidR="00861281" w:rsidRPr="007D5748" w:rsidRDefault="00861281" w:rsidP="00861281">
            <w:pPr>
              <w:rPr>
                <w:b/>
                <w:bCs/>
                <w:i/>
                <w:iCs/>
              </w:rPr>
            </w:pPr>
            <w:r w:rsidRPr="007D5748">
              <w:rPr>
                <w:b/>
                <w:bCs/>
                <w:i/>
                <w:iCs/>
              </w:rPr>
              <w:t>- vplyv na ostatné subjekty verejnej správy</w:t>
            </w:r>
          </w:p>
        </w:tc>
        <w:tc>
          <w:tcPr>
            <w:tcW w:w="1267" w:type="dxa"/>
            <w:noWrap/>
            <w:vAlign w:val="center"/>
          </w:tcPr>
          <w:p w14:paraId="7B004EAB" w14:textId="77777777" w:rsidR="00861281" w:rsidRPr="007D5748" w:rsidRDefault="00861281" w:rsidP="00861281">
            <w:pPr>
              <w:jc w:val="right"/>
              <w:rPr>
                <w:b/>
                <w:bCs/>
                <w:iCs/>
              </w:rPr>
            </w:pPr>
            <w:r w:rsidRPr="007D5748">
              <w:rPr>
                <w:b/>
                <w:bCs/>
                <w:iCs/>
              </w:rPr>
              <w:t>0</w:t>
            </w:r>
          </w:p>
        </w:tc>
        <w:tc>
          <w:tcPr>
            <w:tcW w:w="1280" w:type="dxa"/>
            <w:noWrap/>
            <w:vAlign w:val="center"/>
          </w:tcPr>
          <w:p w14:paraId="55D6DDAC" w14:textId="77777777" w:rsidR="00861281" w:rsidRPr="007D5748" w:rsidRDefault="00861281" w:rsidP="00861281">
            <w:pPr>
              <w:jc w:val="right"/>
              <w:rPr>
                <w:b/>
                <w:bCs/>
                <w:iCs/>
              </w:rPr>
            </w:pPr>
            <w:r w:rsidRPr="007D5748">
              <w:rPr>
                <w:b/>
                <w:bCs/>
                <w:iCs/>
              </w:rPr>
              <w:t>0</w:t>
            </w:r>
          </w:p>
        </w:tc>
        <w:tc>
          <w:tcPr>
            <w:tcW w:w="1267" w:type="dxa"/>
            <w:noWrap/>
            <w:vAlign w:val="center"/>
          </w:tcPr>
          <w:p w14:paraId="2F02EA86" w14:textId="77777777" w:rsidR="00861281" w:rsidRPr="007D5748" w:rsidRDefault="00861281" w:rsidP="00861281">
            <w:pPr>
              <w:jc w:val="right"/>
              <w:rPr>
                <w:b/>
                <w:bCs/>
                <w:iCs/>
              </w:rPr>
            </w:pPr>
            <w:r w:rsidRPr="007D5748">
              <w:rPr>
                <w:b/>
                <w:bCs/>
                <w:iCs/>
              </w:rPr>
              <w:t>0</w:t>
            </w:r>
          </w:p>
        </w:tc>
        <w:tc>
          <w:tcPr>
            <w:tcW w:w="1340" w:type="dxa"/>
            <w:noWrap/>
            <w:vAlign w:val="center"/>
          </w:tcPr>
          <w:p w14:paraId="1DEBE4C2" w14:textId="77777777" w:rsidR="00861281" w:rsidRPr="007D5748" w:rsidRDefault="00861281" w:rsidP="00861281">
            <w:pPr>
              <w:jc w:val="right"/>
              <w:rPr>
                <w:b/>
                <w:bCs/>
                <w:iCs/>
              </w:rPr>
            </w:pPr>
            <w:r w:rsidRPr="007D5748">
              <w:rPr>
                <w:b/>
                <w:bCs/>
                <w:iCs/>
              </w:rPr>
              <w:t>0</w:t>
            </w:r>
          </w:p>
        </w:tc>
      </w:tr>
      <w:tr w:rsidR="00861281" w:rsidRPr="007D5748" w14:paraId="27B33698" w14:textId="77777777" w:rsidTr="00861281">
        <w:trPr>
          <w:trHeight w:val="70"/>
          <w:jc w:val="center"/>
        </w:trPr>
        <w:tc>
          <w:tcPr>
            <w:tcW w:w="4661" w:type="dxa"/>
            <w:shd w:val="clear" w:color="auto" w:fill="BFBFBF" w:themeFill="background1" w:themeFillShade="BF"/>
            <w:noWrap/>
            <w:vAlign w:val="center"/>
          </w:tcPr>
          <w:p w14:paraId="6FB2A577" w14:textId="77777777" w:rsidR="00861281" w:rsidRPr="007D5748" w:rsidRDefault="00861281" w:rsidP="00861281">
            <w:pPr>
              <w:rPr>
                <w:b/>
              </w:rPr>
            </w:pPr>
            <w:r w:rsidRPr="007D5748">
              <w:rPr>
                <w:b/>
              </w:rPr>
              <w:t>Vplyv na mzdové výdavky</w:t>
            </w:r>
          </w:p>
        </w:tc>
        <w:tc>
          <w:tcPr>
            <w:tcW w:w="1267" w:type="dxa"/>
            <w:shd w:val="clear" w:color="auto" w:fill="BFBFBF" w:themeFill="background1" w:themeFillShade="BF"/>
            <w:noWrap/>
            <w:vAlign w:val="center"/>
          </w:tcPr>
          <w:p w14:paraId="3382A65D" w14:textId="77777777" w:rsidR="00861281" w:rsidRPr="007D5748" w:rsidRDefault="00861281" w:rsidP="00861281">
            <w:pPr>
              <w:jc w:val="right"/>
              <w:rPr>
                <w:b/>
              </w:rPr>
            </w:pPr>
            <w:r w:rsidRPr="007D5748">
              <w:rPr>
                <w:b/>
              </w:rPr>
              <w:t>0</w:t>
            </w:r>
          </w:p>
        </w:tc>
        <w:tc>
          <w:tcPr>
            <w:tcW w:w="1280" w:type="dxa"/>
            <w:shd w:val="clear" w:color="auto" w:fill="BFBFBF" w:themeFill="background1" w:themeFillShade="BF"/>
            <w:noWrap/>
            <w:vAlign w:val="center"/>
          </w:tcPr>
          <w:p w14:paraId="3635196C" w14:textId="77777777" w:rsidR="00861281" w:rsidRPr="007D5748" w:rsidRDefault="00861281" w:rsidP="00861281">
            <w:pPr>
              <w:jc w:val="right"/>
              <w:rPr>
                <w:b/>
              </w:rPr>
            </w:pPr>
            <w:r w:rsidRPr="007D5748">
              <w:rPr>
                <w:b/>
              </w:rPr>
              <w:t>0</w:t>
            </w:r>
          </w:p>
        </w:tc>
        <w:tc>
          <w:tcPr>
            <w:tcW w:w="1267" w:type="dxa"/>
            <w:shd w:val="clear" w:color="auto" w:fill="BFBFBF" w:themeFill="background1" w:themeFillShade="BF"/>
            <w:noWrap/>
            <w:vAlign w:val="center"/>
          </w:tcPr>
          <w:p w14:paraId="2E1D23B2" w14:textId="77777777" w:rsidR="00861281" w:rsidRPr="007D5748" w:rsidRDefault="00861281" w:rsidP="00861281">
            <w:pPr>
              <w:jc w:val="right"/>
              <w:rPr>
                <w:b/>
              </w:rPr>
            </w:pPr>
            <w:r w:rsidRPr="007D5748">
              <w:rPr>
                <w:b/>
              </w:rPr>
              <w:t>0</w:t>
            </w:r>
          </w:p>
        </w:tc>
        <w:tc>
          <w:tcPr>
            <w:tcW w:w="1340" w:type="dxa"/>
            <w:shd w:val="clear" w:color="auto" w:fill="BFBFBF" w:themeFill="background1" w:themeFillShade="BF"/>
            <w:noWrap/>
            <w:vAlign w:val="center"/>
          </w:tcPr>
          <w:p w14:paraId="2EEF26E0" w14:textId="77777777" w:rsidR="00861281" w:rsidRPr="007D5748" w:rsidRDefault="00861281" w:rsidP="00861281">
            <w:pPr>
              <w:jc w:val="right"/>
              <w:rPr>
                <w:b/>
              </w:rPr>
            </w:pPr>
            <w:r w:rsidRPr="007D5748">
              <w:rPr>
                <w:b/>
              </w:rPr>
              <w:t>0</w:t>
            </w:r>
          </w:p>
        </w:tc>
      </w:tr>
      <w:tr w:rsidR="00861281" w:rsidRPr="007D5748" w14:paraId="67FF8181" w14:textId="77777777" w:rsidTr="00861281">
        <w:trPr>
          <w:trHeight w:val="70"/>
          <w:jc w:val="center"/>
        </w:trPr>
        <w:tc>
          <w:tcPr>
            <w:tcW w:w="4661" w:type="dxa"/>
            <w:noWrap/>
            <w:vAlign w:val="center"/>
          </w:tcPr>
          <w:p w14:paraId="2142292E" w14:textId="77777777" w:rsidR="00861281" w:rsidRPr="007D5748" w:rsidRDefault="00861281" w:rsidP="00861281">
            <w:pPr>
              <w:rPr>
                <w:b/>
                <w:bCs/>
                <w:i/>
                <w:iCs/>
              </w:rPr>
            </w:pPr>
            <w:r w:rsidRPr="007D5748">
              <w:rPr>
                <w:b/>
                <w:bCs/>
                <w:i/>
                <w:iCs/>
              </w:rPr>
              <w:t>- vplyv na ŠR</w:t>
            </w:r>
          </w:p>
        </w:tc>
        <w:tc>
          <w:tcPr>
            <w:tcW w:w="1267" w:type="dxa"/>
            <w:noWrap/>
            <w:vAlign w:val="center"/>
          </w:tcPr>
          <w:p w14:paraId="023299E3" w14:textId="77777777" w:rsidR="00861281" w:rsidRPr="007D5748" w:rsidRDefault="00861281" w:rsidP="00861281">
            <w:pPr>
              <w:jc w:val="right"/>
              <w:rPr>
                <w:b/>
                <w:bCs/>
                <w:iCs/>
              </w:rPr>
            </w:pPr>
            <w:r w:rsidRPr="007D5748">
              <w:rPr>
                <w:b/>
                <w:bCs/>
                <w:iCs/>
              </w:rPr>
              <w:t>0</w:t>
            </w:r>
          </w:p>
        </w:tc>
        <w:tc>
          <w:tcPr>
            <w:tcW w:w="1280" w:type="dxa"/>
            <w:noWrap/>
            <w:vAlign w:val="center"/>
          </w:tcPr>
          <w:p w14:paraId="6A465A93" w14:textId="77777777" w:rsidR="00861281" w:rsidRPr="007D5748" w:rsidRDefault="00861281" w:rsidP="00861281">
            <w:pPr>
              <w:jc w:val="right"/>
              <w:rPr>
                <w:b/>
                <w:bCs/>
                <w:iCs/>
              </w:rPr>
            </w:pPr>
            <w:r w:rsidRPr="007D5748">
              <w:rPr>
                <w:b/>
                <w:bCs/>
                <w:iCs/>
              </w:rPr>
              <w:t>0</w:t>
            </w:r>
          </w:p>
        </w:tc>
        <w:tc>
          <w:tcPr>
            <w:tcW w:w="1267" w:type="dxa"/>
            <w:noWrap/>
            <w:vAlign w:val="center"/>
          </w:tcPr>
          <w:p w14:paraId="280DB3B0" w14:textId="77777777" w:rsidR="00861281" w:rsidRPr="007D5748" w:rsidRDefault="00861281" w:rsidP="00861281">
            <w:pPr>
              <w:jc w:val="right"/>
              <w:rPr>
                <w:b/>
                <w:bCs/>
                <w:iCs/>
              </w:rPr>
            </w:pPr>
            <w:r w:rsidRPr="007D5748">
              <w:rPr>
                <w:b/>
                <w:bCs/>
                <w:iCs/>
              </w:rPr>
              <w:t>0</w:t>
            </w:r>
          </w:p>
        </w:tc>
        <w:tc>
          <w:tcPr>
            <w:tcW w:w="1340" w:type="dxa"/>
            <w:noWrap/>
            <w:vAlign w:val="center"/>
          </w:tcPr>
          <w:p w14:paraId="30B34234" w14:textId="77777777" w:rsidR="00861281" w:rsidRPr="007D5748" w:rsidRDefault="00861281" w:rsidP="00861281">
            <w:pPr>
              <w:jc w:val="right"/>
              <w:rPr>
                <w:b/>
                <w:bCs/>
                <w:iCs/>
              </w:rPr>
            </w:pPr>
            <w:r w:rsidRPr="007D5748">
              <w:rPr>
                <w:b/>
                <w:bCs/>
                <w:iCs/>
              </w:rPr>
              <w:t>0</w:t>
            </w:r>
          </w:p>
        </w:tc>
      </w:tr>
      <w:tr w:rsidR="00861281" w:rsidRPr="007D5748" w14:paraId="7E4BBC44" w14:textId="77777777" w:rsidTr="00861281">
        <w:trPr>
          <w:trHeight w:val="70"/>
          <w:jc w:val="center"/>
        </w:trPr>
        <w:tc>
          <w:tcPr>
            <w:tcW w:w="4661" w:type="dxa"/>
            <w:noWrap/>
            <w:vAlign w:val="center"/>
          </w:tcPr>
          <w:p w14:paraId="5018300B" w14:textId="77777777" w:rsidR="00861281" w:rsidRPr="007D5748" w:rsidRDefault="00861281" w:rsidP="00861281">
            <w:pPr>
              <w:rPr>
                <w:b/>
                <w:bCs/>
                <w:i/>
                <w:iCs/>
              </w:rPr>
            </w:pPr>
            <w:r w:rsidRPr="007D5748">
              <w:rPr>
                <w:b/>
                <w:bCs/>
                <w:i/>
                <w:iCs/>
              </w:rPr>
              <w:t>- vplyv na obce</w:t>
            </w:r>
          </w:p>
        </w:tc>
        <w:tc>
          <w:tcPr>
            <w:tcW w:w="1267" w:type="dxa"/>
            <w:noWrap/>
            <w:vAlign w:val="center"/>
          </w:tcPr>
          <w:p w14:paraId="4AF7EB57" w14:textId="77777777" w:rsidR="00861281" w:rsidRPr="007D5748" w:rsidRDefault="00861281" w:rsidP="00861281">
            <w:pPr>
              <w:jc w:val="right"/>
              <w:rPr>
                <w:b/>
                <w:bCs/>
                <w:iCs/>
              </w:rPr>
            </w:pPr>
            <w:r w:rsidRPr="007D5748">
              <w:rPr>
                <w:b/>
                <w:bCs/>
                <w:iCs/>
              </w:rPr>
              <w:t>0</w:t>
            </w:r>
          </w:p>
        </w:tc>
        <w:tc>
          <w:tcPr>
            <w:tcW w:w="1280" w:type="dxa"/>
            <w:noWrap/>
            <w:vAlign w:val="center"/>
          </w:tcPr>
          <w:p w14:paraId="240C3E2D" w14:textId="77777777" w:rsidR="00861281" w:rsidRPr="007D5748" w:rsidRDefault="00861281" w:rsidP="00861281">
            <w:pPr>
              <w:jc w:val="right"/>
              <w:rPr>
                <w:b/>
                <w:bCs/>
                <w:iCs/>
              </w:rPr>
            </w:pPr>
            <w:r w:rsidRPr="007D5748">
              <w:rPr>
                <w:b/>
                <w:bCs/>
                <w:iCs/>
              </w:rPr>
              <w:t>0</w:t>
            </w:r>
          </w:p>
        </w:tc>
        <w:tc>
          <w:tcPr>
            <w:tcW w:w="1267" w:type="dxa"/>
            <w:noWrap/>
            <w:vAlign w:val="center"/>
          </w:tcPr>
          <w:p w14:paraId="04BA0876" w14:textId="77777777" w:rsidR="00861281" w:rsidRPr="007D5748" w:rsidRDefault="00861281" w:rsidP="00861281">
            <w:pPr>
              <w:jc w:val="right"/>
              <w:rPr>
                <w:b/>
                <w:bCs/>
                <w:iCs/>
              </w:rPr>
            </w:pPr>
            <w:r w:rsidRPr="007D5748">
              <w:rPr>
                <w:b/>
                <w:bCs/>
                <w:iCs/>
              </w:rPr>
              <w:t>0</w:t>
            </w:r>
          </w:p>
        </w:tc>
        <w:tc>
          <w:tcPr>
            <w:tcW w:w="1340" w:type="dxa"/>
            <w:noWrap/>
            <w:vAlign w:val="center"/>
          </w:tcPr>
          <w:p w14:paraId="6FE34E9C" w14:textId="77777777" w:rsidR="00861281" w:rsidRPr="007D5748" w:rsidRDefault="00861281" w:rsidP="00861281">
            <w:pPr>
              <w:jc w:val="right"/>
              <w:rPr>
                <w:b/>
                <w:bCs/>
                <w:iCs/>
              </w:rPr>
            </w:pPr>
            <w:r w:rsidRPr="007D5748">
              <w:rPr>
                <w:b/>
                <w:bCs/>
                <w:iCs/>
              </w:rPr>
              <w:t>0</w:t>
            </w:r>
          </w:p>
        </w:tc>
      </w:tr>
      <w:tr w:rsidR="00861281" w:rsidRPr="007D5748" w14:paraId="750B0984" w14:textId="77777777" w:rsidTr="00861281">
        <w:trPr>
          <w:trHeight w:val="70"/>
          <w:jc w:val="center"/>
        </w:trPr>
        <w:tc>
          <w:tcPr>
            <w:tcW w:w="4661" w:type="dxa"/>
            <w:noWrap/>
            <w:vAlign w:val="center"/>
          </w:tcPr>
          <w:p w14:paraId="3A8277D0" w14:textId="77777777" w:rsidR="00861281" w:rsidRPr="007D5748" w:rsidRDefault="00861281" w:rsidP="00861281">
            <w:pPr>
              <w:rPr>
                <w:b/>
                <w:bCs/>
                <w:i/>
                <w:iCs/>
              </w:rPr>
            </w:pPr>
            <w:r w:rsidRPr="007D5748">
              <w:rPr>
                <w:b/>
                <w:bCs/>
                <w:i/>
                <w:iCs/>
              </w:rPr>
              <w:t>- vplyv na vyššie územné celky</w:t>
            </w:r>
          </w:p>
        </w:tc>
        <w:tc>
          <w:tcPr>
            <w:tcW w:w="1267" w:type="dxa"/>
            <w:noWrap/>
            <w:vAlign w:val="center"/>
          </w:tcPr>
          <w:p w14:paraId="3A3B2AD3" w14:textId="77777777" w:rsidR="00861281" w:rsidRPr="007D5748" w:rsidRDefault="00861281" w:rsidP="00861281">
            <w:pPr>
              <w:jc w:val="right"/>
              <w:rPr>
                <w:b/>
                <w:bCs/>
                <w:iCs/>
              </w:rPr>
            </w:pPr>
            <w:r w:rsidRPr="007D5748">
              <w:rPr>
                <w:b/>
                <w:bCs/>
                <w:iCs/>
              </w:rPr>
              <w:t>0</w:t>
            </w:r>
          </w:p>
        </w:tc>
        <w:tc>
          <w:tcPr>
            <w:tcW w:w="1280" w:type="dxa"/>
            <w:noWrap/>
            <w:vAlign w:val="center"/>
          </w:tcPr>
          <w:p w14:paraId="0AE6A657" w14:textId="77777777" w:rsidR="00861281" w:rsidRPr="007D5748" w:rsidRDefault="00861281" w:rsidP="00861281">
            <w:pPr>
              <w:jc w:val="right"/>
              <w:rPr>
                <w:b/>
                <w:bCs/>
                <w:iCs/>
              </w:rPr>
            </w:pPr>
            <w:r w:rsidRPr="007D5748">
              <w:rPr>
                <w:b/>
                <w:bCs/>
                <w:iCs/>
              </w:rPr>
              <w:t>0</w:t>
            </w:r>
          </w:p>
        </w:tc>
        <w:tc>
          <w:tcPr>
            <w:tcW w:w="1267" w:type="dxa"/>
            <w:noWrap/>
            <w:vAlign w:val="center"/>
          </w:tcPr>
          <w:p w14:paraId="4D88083C" w14:textId="77777777" w:rsidR="00861281" w:rsidRPr="007D5748" w:rsidRDefault="00861281" w:rsidP="00861281">
            <w:pPr>
              <w:jc w:val="right"/>
              <w:rPr>
                <w:b/>
                <w:bCs/>
                <w:iCs/>
              </w:rPr>
            </w:pPr>
            <w:r w:rsidRPr="007D5748">
              <w:rPr>
                <w:b/>
                <w:bCs/>
                <w:iCs/>
              </w:rPr>
              <w:t>0</w:t>
            </w:r>
          </w:p>
        </w:tc>
        <w:tc>
          <w:tcPr>
            <w:tcW w:w="1340" w:type="dxa"/>
            <w:noWrap/>
            <w:vAlign w:val="center"/>
          </w:tcPr>
          <w:p w14:paraId="76B0BB36" w14:textId="77777777" w:rsidR="00861281" w:rsidRPr="007D5748" w:rsidRDefault="00861281" w:rsidP="00861281">
            <w:pPr>
              <w:jc w:val="right"/>
              <w:rPr>
                <w:b/>
                <w:bCs/>
                <w:iCs/>
              </w:rPr>
            </w:pPr>
            <w:r w:rsidRPr="007D5748">
              <w:rPr>
                <w:b/>
                <w:bCs/>
                <w:iCs/>
              </w:rPr>
              <w:t>0</w:t>
            </w:r>
          </w:p>
        </w:tc>
      </w:tr>
      <w:tr w:rsidR="00861281" w:rsidRPr="007D5748" w14:paraId="107D7298" w14:textId="77777777" w:rsidTr="00861281">
        <w:trPr>
          <w:trHeight w:val="70"/>
          <w:jc w:val="center"/>
        </w:trPr>
        <w:tc>
          <w:tcPr>
            <w:tcW w:w="4661" w:type="dxa"/>
            <w:noWrap/>
            <w:vAlign w:val="center"/>
          </w:tcPr>
          <w:p w14:paraId="4378F361" w14:textId="77777777" w:rsidR="00861281" w:rsidRPr="007D5748" w:rsidRDefault="00861281" w:rsidP="00861281">
            <w:pPr>
              <w:rPr>
                <w:b/>
                <w:bCs/>
              </w:rPr>
            </w:pPr>
            <w:r w:rsidRPr="007D5748">
              <w:rPr>
                <w:b/>
                <w:bCs/>
                <w:i/>
                <w:iCs/>
              </w:rPr>
              <w:t>- vplyv na ostatné subjekty verejnej správy</w:t>
            </w:r>
          </w:p>
        </w:tc>
        <w:tc>
          <w:tcPr>
            <w:tcW w:w="1267" w:type="dxa"/>
            <w:noWrap/>
            <w:vAlign w:val="center"/>
          </w:tcPr>
          <w:p w14:paraId="121DB5C5" w14:textId="77777777" w:rsidR="00861281" w:rsidRPr="007D5748" w:rsidRDefault="00861281" w:rsidP="00861281">
            <w:pPr>
              <w:jc w:val="right"/>
              <w:rPr>
                <w:b/>
                <w:bCs/>
                <w:iCs/>
              </w:rPr>
            </w:pPr>
            <w:r w:rsidRPr="007D5748">
              <w:rPr>
                <w:b/>
                <w:bCs/>
                <w:iCs/>
              </w:rPr>
              <w:t>0</w:t>
            </w:r>
          </w:p>
        </w:tc>
        <w:tc>
          <w:tcPr>
            <w:tcW w:w="1280" w:type="dxa"/>
            <w:noWrap/>
            <w:vAlign w:val="center"/>
          </w:tcPr>
          <w:p w14:paraId="18D2FEC4" w14:textId="77777777" w:rsidR="00861281" w:rsidRPr="007D5748" w:rsidRDefault="00861281" w:rsidP="00861281">
            <w:pPr>
              <w:jc w:val="right"/>
              <w:rPr>
                <w:b/>
                <w:bCs/>
                <w:iCs/>
              </w:rPr>
            </w:pPr>
            <w:r w:rsidRPr="007D5748">
              <w:rPr>
                <w:b/>
                <w:bCs/>
                <w:iCs/>
              </w:rPr>
              <w:t>0</w:t>
            </w:r>
          </w:p>
        </w:tc>
        <w:tc>
          <w:tcPr>
            <w:tcW w:w="1267" w:type="dxa"/>
            <w:noWrap/>
            <w:vAlign w:val="center"/>
          </w:tcPr>
          <w:p w14:paraId="71846185" w14:textId="77777777" w:rsidR="00861281" w:rsidRPr="007D5748" w:rsidRDefault="00861281" w:rsidP="00861281">
            <w:pPr>
              <w:jc w:val="right"/>
              <w:rPr>
                <w:b/>
                <w:bCs/>
                <w:iCs/>
              </w:rPr>
            </w:pPr>
            <w:r w:rsidRPr="007D5748">
              <w:rPr>
                <w:b/>
                <w:bCs/>
                <w:iCs/>
              </w:rPr>
              <w:t>0</w:t>
            </w:r>
          </w:p>
        </w:tc>
        <w:tc>
          <w:tcPr>
            <w:tcW w:w="1340" w:type="dxa"/>
            <w:noWrap/>
            <w:vAlign w:val="center"/>
          </w:tcPr>
          <w:p w14:paraId="7E9E0D9E" w14:textId="77777777" w:rsidR="00861281" w:rsidRPr="007D5748" w:rsidRDefault="00861281" w:rsidP="00861281">
            <w:pPr>
              <w:jc w:val="right"/>
              <w:rPr>
                <w:b/>
                <w:bCs/>
                <w:iCs/>
              </w:rPr>
            </w:pPr>
            <w:r w:rsidRPr="007D5748">
              <w:rPr>
                <w:b/>
                <w:bCs/>
                <w:iCs/>
              </w:rPr>
              <w:t>0</w:t>
            </w:r>
          </w:p>
        </w:tc>
      </w:tr>
      <w:tr w:rsidR="00861281" w:rsidRPr="007D5748" w14:paraId="66CF88E7" w14:textId="77777777" w:rsidTr="00861281">
        <w:trPr>
          <w:trHeight w:val="70"/>
          <w:jc w:val="center"/>
        </w:trPr>
        <w:tc>
          <w:tcPr>
            <w:tcW w:w="4661" w:type="dxa"/>
            <w:shd w:val="clear" w:color="auto" w:fill="C0C0C0"/>
            <w:noWrap/>
            <w:vAlign w:val="center"/>
          </w:tcPr>
          <w:p w14:paraId="37A1DF00" w14:textId="77777777" w:rsidR="00861281" w:rsidRPr="007D5748" w:rsidRDefault="00861281" w:rsidP="00861281">
            <w:pPr>
              <w:rPr>
                <w:b/>
                <w:bCs/>
              </w:rPr>
            </w:pPr>
            <w:r w:rsidRPr="007D5748">
              <w:rPr>
                <w:b/>
                <w:bCs/>
              </w:rPr>
              <w:t>Financovanie zabezpečené v rozpočte</w:t>
            </w:r>
          </w:p>
        </w:tc>
        <w:tc>
          <w:tcPr>
            <w:tcW w:w="1267" w:type="dxa"/>
            <w:shd w:val="clear" w:color="auto" w:fill="C0C0C0"/>
            <w:noWrap/>
            <w:vAlign w:val="center"/>
          </w:tcPr>
          <w:p w14:paraId="57F4DC2A" w14:textId="77777777" w:rsidR="00861281" w:rsidRPr="007D5748" w:rsidRDefault="00861281" w:rsidP="00861281">
            <w:pPr>
              <w:jc w:val="right"/>
              <w:rPr>
                <w:b/>
                <w:bCs/>
              </w:rPr>
            </w:pPr>
            <w:r>
              <w:rPr>
                <w:b/>
                <w:bCs/>
              </w:rPr>
              <w:t>770,98</w:t>
            </w:r>
          </w:p>
        </w:tc>
        <w:tc>
          <w:tcPr>
            <w:tcW w:w="1280" w:type="dxa"/>
            <w:shd w:val="clear" w:color="auto" w:fill="C0C0C0"/>
            <w:noWrap/>
            <w:vAlign w:val="center"/>
          </w:tcPr>
          <w:p w14:paraId="67AF16F0" w14:textId="77777777" w:rsidR="00861281" w:rsidRPr="007D5748" w:rsidRDefault="00861281" w:rsidP="00861281">
            <w:pPr>
              <w:jc w:val="right"/>
              <w:rPr>
                <w:b/>
                <w:bCs/>
              </w:rPr>
            </w:pPr>
            <w:r>
              <w:rPr>
                <w:b/>
                <w:bCs/>
                <w:iCs/>
              </w:rPr>
              <w:t>0</w:t>
            </w:r>
          </w:p>
        </w:tc>
        <w:tc>
          <w:tcPr>
            <w:tcW w:w="1267" w:type="dxa"/>
            <w:shd w:val="clear" w:color="auto" w:fill="C0C0C0"/>
            <w:noWrap/>
            <w:vAlign w:val="center"/>
          </w:tcPr>
          <w:p w14:paraId="430FF3AB" w14:textId="77777777" w:rsidR="00861281" w:rsidRPr="007D5748" w:rsidRDefault="00861281" w:rsidP="00861281">
            <w:pPr>
              <w:jc w:val="right"/>
              <w:rPr>
                <w:b/>
                <w:bCs/>
              </w:rPr>
            </w:pPr>
            <w:r>
              <w:rPr>
                <w:b/>
                <w:bCs/>
              </w:rPr>
              <w:t>173 467,20</w:t>
            </w:r>
          </w:p>
        </w:tc>
        <w:tc>
          <w:tcPr>
            <w:tcW w:w="1340" w:type="dxa"/>
            <w:shd w:val="clear" w:color="auto" w:fill="C0C0C0"/>
            <w:noWrap/>
            <w:vAlign w:val="center"/>
          </w:tcPr>
          <w:p w14:paraId="5603B1F9" w14:textId="77777777" w:rsidR="00861281" w:rsidRPr="003130D2" w:rsidRDefault="00861281" w:rsidP="00861281">
            <w:pPr>
              <w:pStyle w:val="Odsekzoznamu"/>
              <w:ind w:left="-45"/>
              <w:jc w:val="right"/>
              <w:rPr>
                <w:b/>
                <w:bCs/>
              </w:rPr>
            </w:pPr>
            <w:r>
              <w:rPr>
                <w:b/>
                <w:bCs/>
              </w:rPr>
              <w:t>0</w:t>
            </w:r>
          </w:p>
        </w:tc>
      </w:tr>
      <w:tr w:rsidR="00861281" w:rsidRPr="007D5748" w14:paraId="3BD23CDB" w14:textId="77777777" w:rsidTr="00861281">
        <w:trPr>
          <w:trHeight w:val="70"/>
          <w:jc w:val="center"/>
        </w:trPr>
        <w:tc>
          <w:tcPr>
            <w:tcW w:w="4661" w:type="dxa"/>
            <w:noWrap/>
            <w:vAlign w:val="center"/>
          </w:tcPr>
          <w:p w14:paraId="42C3F1E4" w14:textId="77777777" w:rsidR="00861281" w:rsidRPr="007D5748" w:rsidRDefault="00861281" w:rsidP="00861281">
            <w:r w:rsidRPr="007D5748">
              <w:t xml:space="preserve">v tom: </w:t>
            </w:r>
            <w:r>
              <w:t>kapitola MF SR/0EK 0D IT financované zo ŠR (</w:t>
            </w:r>
            <w:proofErr w:type="spellStart"/>
            <w:r>
              <w:t>org</w:t>
            </w:r>
            <w:proofErr w:type="spellEnd"/>
            <w:r>
              <w:t xml:space="preserve">. MF SR – úrad, </w:t>
            </w:r>
            <w:proofErr w:type="spellStart"/>
            <w:r>
              <w:t>DataCentrum</w:t>
            </w:r>
            <w:proofErr w:type="spellEnd"/>
            <w:r>
              <w:t>, FR SR)</w:t>
            </w:r>
          </w:p>
        </w:tc>
        <w:tc>
          <w:tcPr>
            <w:tcW w:w="1267" w:type="dxa"/>
            <w:noWrap/>
            <w:vAlign w:val="center"/>
          </w:tcPr>
          <w:p w14:paraId="722387D9" w14:textId="77777777" w:rsidR="00861281" w:rsidRPr="007D5748" w:rsidRDefault="00861281" w:rsidP="00861281">
            <w:pPr>
              <w:jc w:val="right"/>
            </w:pPr>
            <w:r>
              <w:rPr>
                <w:b/>
                <w:bCs/>
                <w:iCs/>
              </w:rPr>
              <w:t>770,98</w:t>
            </w:r>
          </w:p>
        </w:tc>
        <w:tc>
          <w:tcPr>
            <w:tcW w:w="1280" w:type="dxa"/>
            <w:shd w:val="clear" w:color="auto" w:fill="auto"/>
            <w:noWrap/>
            <w:vAlign w:val="center"/>
          </w:tcPr>
          <w:p w14:paraId="581F8FBC" w14:textId="77777777" w:rsidR="00861281" w:rsidRPr="00B8004D" w:rsidRDefault="00861281" w:rsidP="00861281">
            <w:pPr>
              <w:jc w:val="right"/>
              <w:rPr>
                <w:highlight w:val="yellow"/>
              </w:rPr>
            </w:pPr>
            <w:r w:rsidRPr="009B4FD6">
              <w:t>0</w:t>
            </w:r>
          </w:p>
        </w:tc>
        <w:tc>
          <w:tcPr>
            <w:tcW w:w="1267" w:type="dxa"/>
            <w:noWrap/>
            <w:vAlign w:val="center"/>
          </w:tcPr>
          <w:p w14:paraId="4DD9FB88" w14:textId="77777777" w:rsidR="00861281" w:rsidRPr="00601B57" w:rsidRDefault="00861281" w:rsidP="00861281">
            <w:pPr>
              <w:jc w:val="right"/>
            </w:pPr>
            <w:r>
              <w:rPr>
                <w:b/>
                <w:bCs/>
              </w:rPr>
              <w:t>173 467,20</w:t>
            </w:r>
          </w:p>
        </w:tc>
        <w:tc>
          <w:tcPr>
            <w:tcW w:w="1340" w:type="dxa"/>
            <w:noWrap/>
            <w:vAlign w:val="center"/>
          </w:tcPr>
          <w:p w14:paraId="3E938140" w14:textId="77777777" w:rsidR="00861281" w:rsidRPr="00601B57" w:rsidRDefault="00861281" w:rsidP="00861281">
            <w:pPr>
              <w:jc w:val="right"/>
            </w:pPr>
            <w:r w:rsidRPr="00601B57">
              <w:rPr>
                <w:b/>
                <w:bCs/>
                <w:iCs/>
              </w:rPr>
              <w:t>0</w:t>
            </w:r>
          </w:p>
        </w:tc>
      </w:tr>
      <w:tr w:rsidR="00861281" w:rsidRPr="007D5748" w14:paraId="341DB4F8" w14:textId="77777777" w:rsidTr="00861281">
        <w:trPr>
          <w:trHeight w:val="70"/>
          <w:jc w:val="center"/>
        </w:trPr>
        <w:tc>
          <w:tcPr>
            <w:tcW w:w="4661" w:type="dxa"/>
            <w:shd w:val="clear" w:color="auto" w:fill="BFBFBF" w:themeFill="background1" w:themeFillShade="BF"/>
            <w:noWrap/>
            <w:vAlign w:val="center"/>
          </w:tcPr>
          <w:p w14:paraId="0B7577C7" w14:textId="77777777" w:rsidR="00861281" w:rsidRPr="007D5748" w:rsidRDefault="00861281" w:rsidP="00861281">
            <w:pPr>
              <w:rPr>
                <w:b/>
              </w:rPr>
            </w:pPr>
            <w:r w:rsidRPr="007D5748">
              <w:rPr>
                <w:b/>
              </w:rPr>
              <w:t>Iné ako rozpočtové zdroje</w:t>
            </w:r>
          </w:p>
        </w:tc>
        <w:tc>
          <w:tcPr>
            <w:tcW w:w="1267" w:type="dxa"/>
            <w:shd w:val="clear" w:color="auto" w:fill="BFBFBF" w:themeFill="background1" w:themeFillShade="BF"/>
            <w:noWrap/>
            <w:vAlign w:val="center"/>
          </w:tcPr>
          <w:p w14:paraId="3480B515" w14:textId="77777777" w:rsidR="00861281" w:rsidRPr="007D5748" w:rsidRDefault="00861281" w:rsidP="00861281">
            <w:pPr>
              <w:jc w:val="right"/>
              <w:rPr>
                <w:b/>
                <w:bCs/>
              </w:rPr>
            </w:pPr>
            <w:r w:rsidRPr="007D5748">
              <w:rPr>
                <w:b/>
                <w:bCs/>
              </w:rPr>
              <w:t>0</w:t>
            </w:r>
          </w:p>
        </w:tc>
        <w:tc>
          <w:tcPr>
            <w:tcW w:w="1280" w:type="dxa"/>
            <w:shd w:val="clear" w:color="auto" w:fill="BFBFBF" w:themeFill="background1" w:themeFillShade="BF"/>
            <w:noWrap/>
            <w:vAlign w:val="center"/>
          </w:tcPr>
          <w:p w14:paraId="48AFAB6A" w14:textId="77777777" w:rsidR="00861281" w:rsidRPr="007D5748" w:rsidRDefault="00861281" w:rsidP="00861281">
            <w:pPr>
              <w:jc w:val="right"/>
              <w:rPr>
                <w:b/>
                <w:bCs/>
              </w:rPr>
            </w:pPr>
            <w:r w:rsidRPr="007D5748">
              <w:rPr>
                <w:b/>
                <w:bCs/>
              </w:rPr>
              <w:t>0</w:t>
            </w:r>
          </w:p>
        </w:tc>
        <w:tc>
          <w:tcPr>
            <w:tcW w:w="1267" w:type="dxa"/>
            <w:shd w:val="clear" w:color="auto" w:fill="BFBFBF" w:themeFill="background1" w:themeFillShade="BF"/>
            <w:noWrap/>
            <w:vAlign w:val="center"/>
          </w:tcPr>
          <w:p w14:paraId="164FD19C" w14:textId="77777777" w:rsidR="00861281" w:rsidRPr="007D5748" w:rsidRDefault="00861281" w:rsidP="00861281">
            <w:pPr>
              <w:jc w:val="right"/>
              <w:rPr>
                <w:b/>
                <w:bCs/>
              </w:rPr>
            </w:pPr>
            <w:r w:rsidRPr="007D5748">
              <w:rPr>
                <w:b/>
                <w:bCs/>
              </w:rPr>
              <w:t>0</w:t>
            </w:r>
          </w:p>
        </w:tc>
        <w:tc>
          <w:tcPr>
            <w:tcW w:w="1340" w:type="dxa"/>
            <w:shd w:val="clear" w:color="auto" w:fill="BFBFBF" w:themeFill="background1" w:themeFillShade="BF"/>
            <w:noWrap/>
            <w:vAlign w:val="center"/>
          </w:tcPr>
          <w:p w14:paraId="0F2907D2" w14:textId="77777777" w:rsidR="00861281" w:rsidRPr="007D5748" w:rsidRDefault="00861281" w:rsidP="00861281">
            <w:pPr>
              <w:jc w:val="right"/>
              <w:rPr>
                <w:b/>
                <w:bCs/>
              </w:rPr>
            </w:pPr>
            <w:r w:rsidRPr="007D5748">
              <w:rPr>
                <w:b/>
                <w:bCs/>
              </w:rPr>
              <w:t>0</w:t>
            </w:r>
          </w:p>
        </w:tc>
      </w:tr>
      <w:tr w:rsidR="00861281" w:rsidRPr="007D5748" w14:paraId="04676DE3" w14:textId="77777777" w:rsidTr="00861281">
        <w:trPr>
          <w:trHeight w:val="70"/>
          <w:jc w:val="center"/>
        </w:trPr>
        <w:tc>
          <w:tcPr>
            <w:tcW w:w="4661" w:type="dxa"/>
            <w:shd w:val="clear" w:color="auto" w:fill="A6A6A6" w:themeFill="background1" w:themeFillShade="A6"/>
            <w:noWrap/>
            <w:vAlign w:val="center"/>
          </w:tcPr>
          <w:p w14:paraId="72B451FA" w14:textId="77777777" w:rsidR="00861281" w:rsidRPr="007D5748" w:rsidRDefault="00861281" w:rsidP="00861281">
            <w:pPr>
              <w:rPr>
                <w:b/>
                <w:bCs/>
              </w:rPr>
            </w:pPr>
            <w:r w:rsidRPr="007D5748">
              <w:rPr>
                <w:b/>
                <w:bCs/>
              </w:rPr>
              <w:t>Rozpočtovo nekrytý vplyv / úspora</w:t>
            </w:r>
          </w:p>
        </w:tc>
        <w:tc>
          <w:tcPr>
            <w:tcW w:w="1267" w:type="dxa"/>
            <w:shd w:val="clear" w:color="auto" w:fill="A6A6A6" w:themeFill="background1" w:themeFillShade="A6"/>
            <w:noWrap/>
            <w:vAlign w:val="center"/>
          </w:tcPr>
          <w:p w14:paraId="0AB9D364" w14:textId="77777777" w:rsidR="00861281" w:rsidRPr="007D5748" w:rsidRDefault="00861281" w:rsidP="00861281">
            <w:pPr>
              <w:jc w:val="right"/>
              <w:rPr>
                <w:b/>
                <w:bCs/>
              </w:rPr>
            </w:pPr>
            <w:r w:rsidRPr="007D5748">
              <w:rPr>
                <w:b/>
                <w:bCs/>
              </w:rPr>
              <w:t>0</w:t>
            </w:r>
          </w:p>
        </w:tc>
        <w:tc>
          <w:tcPr>
            <w:tcW w:w="1280" w:type="dxa"/>
            <w:shd w:val="clear" w:color="auto" w:fill="A6A6A6" w:themeFill="background1" w:themeFillShade="A6"/>
            <w:noWrap/>
            <w:vAlign w:val="center"/>
          </w:tcPr>
          <w:p w14:paraId="15EF68A4" w14:textId="77777777" w:rsidR="00861281" w:rsidRPr="007D5748" w:rsidRDefault="00861281" w:rsidP="00861281">
            <w:pPr>
              <w:jc w:val="right"/>
              <w:rPr>
                <w:b/>
                <w:bCs/>
              </w:rPr>
            </w:pPr>
            <w:r w:rsidRPr="007D5748">
              <w:rPr>
                <w:b/>
                <w:bCs/>
              </w:rPr>
              <w:t>0</w:t>
            </w:r>
          </w:p>
        </w:tc>
        <w:tc>
          <w:tcPr>
            <w:tcW w:w="1267" w:type="dxa"/>
            <w:shd w:val="clear" w:color="auto" w:fill="A6A6A6" w:themeFill="background1" w:themeFillShade="A6"/>
            <w:noWrap/>
            <w:vAlign w:val="center"/>
          </w:tcPr>
          <w:p w14:paraId="1C8E0FBB" w14:textId="77777777" w:rsidR="00861281" w:rsidRPr="007D5748" w:rsidRDefault="00861281" w:rsidP="00861281">
            <w:pPr>
              <w:jc w:val="right"/>
              <w:rPr>
                <w:b/>
                <w:bCs/>
              </w:rPr>
            </w:pPr>
            <w:r>
              <w:rPr>
                <w:b/>
                <w:bCs/>
              </w:rPr>
              <w:t>0</w:t>
            </w:r>
          </w:p>
        </w:tc>
        <w:tc>
          <w:tcPr>
            <w:tcW w:w="1340" w:type="dxa"/>
            <w:shd w:val="clear" w:color="auto" w:fill="A6A6A6" w:themeFill="background1" w:themeFillShade="A6"/>
            <w:noWrap/>
            <w:vAlign w:val="center"/>
          </w:tcPr>
          <w:p w14:paraId="10FE3C99" w14:textId="77777777" w:rsidR="00861281" w:rsidRPr="007D5748" w:rsidRDefault="00861281" w:rsidP="00861281">
            <w:pPr>
              <w:jc w:val="right"/>
              <w:rPr>
                <w:b/>
                <w:bCs/>
              </w:rPr>
            </w:pPr>
            <w:r>
              <w:rPr>
                <w:b/>
                <w:bCs/>
              </w:rPr>
              <w:t>0</w:t>
            </w:r>
          </w:p>
        </w:tc>
      </w:tr>
      <w:bookmarkEnd w:id="0"/>
    </w:tbl>
    <w:p w14:paraId="0EEF48B4" w14:textId="77777777" w:rsidR="00861281" w:rsidRPr="007D5748" w:rsidRDefault="00861281" w:rsidP="00861281">
      <w:pPr>
        <w:rPr>
          <w:b/>
          <w:bCs/>
        </w:rPr>
      </w:pPr>
    </w:p>
    <w:p w14:paraId="0CC4CD74" w14:textId="77777777" w:rsidR="00861281" w:rsidRDefault="00861281" w:rsidP="00861281">
      <w:pPr>
        <w:rPr>
          <w:b/>
          <w:bCs/>
        </w:rPr>
      </w:pPr>
      <w:r>
        <w:rPr>
          <w:b/>
          <w:bCs/>
        </w:rPr>
        <w:br w:type="page"/>
      </w:r>
    </w:p>
    <w:p w14:paraId="750A871F" w14:textId="77777777" w:rsidR="00861281" w:rsidRPr="007D5748" w:rsidRDefault="00861281" w:rsidP="00861281">
      <w:pPr>
        <w:jc w:val="both"/>
        <w:rPr>
          <w:b/>
          <w:bCs/>
        </w:rPr>
      </w:pPr>
      <w:r w:rsidRPr="007D5748">
        <w:rPr>
          <w:b/>
          <w:bCs/>
        </w:rPr>
        <w:lastRenderedPageBreak/>
        <w:t>2.1.1. Financovanie návrhu - Návrh na riešenie úbytku príjmov alebo zvýšených výdavkov podľa § 33 ods. 1 zákona č. 523/2004 Z. z. o rozpočtových pravidlách verejnej správy:</w:t>
      </w:r>
    </w:p>
    <w:p w14:paraId="2FEEA201" w14:textId="77777777" w:rsidR="00861281" w:rsidRPr="007D5748" w:rsidRDefault="00861281" w:rsidP="00861281">
      <w:pPr>
        <w:jc w:val="both"/>
        <w:rPr>
          <w:b/>
          <w:bCs/>
          <w:sz w:val="12"/>
        </w:rPr>
      </w:pPr>
    </w:p>
    <w:p w14:paraId="70C9D002" w14:textId="77777777" w:rsidR="00861281" w:rsidRPr="009B4FD6" w:rsidRDefault="00861281" w:rsidP="00861281">
      <w:pPr>
        <w:pBdr>
          <w:top w:val="single" w:sz="4" w:space="1" w:color="auto"/>
          <w:left w:val="single" w:sz="4" w:space="4" w:color="auto"/>
          <w:bottom w:val="single" w:sz="4" w:space="8" w:color="auto"/>
          <w:right w:val="single" w:sz="4" w:space="4" w:color="auto"/>
        </w:pBdr>
        <w:jc w:val="both"/>
        <w:rPr>
          <w:bCs/>
        </w:rPr>
      </w:pPr>
      <w:r>
        <w:rPr>
          <w:bCs/>
        </w:rPr>
        <w:t xml:space="preserve">Návrh zákona </w:t>
      </w:r>
      <w:r w:rsidRPr="009B4FD6">
        <w:rPr>
          <w:bCs/>
        </w:rPr>
        <w:t>bude mať negatívny vplyv na rozpočet kapitoly MF SR.</w:t>
      </w:r>
    </w:p>
    <w:p w14:paraId="093DE028" w14:textId="77777777" w:rsidR="00861281" w:rsidRPr="009B4FD6" w:rsidRDefault="00861281" w:rsidP="00861281">
      <w:pPr>
        <w:pBdr>
          <w:top w:val="single" w:sz="4" w:space="1" w:color="auto"/>
          <w:left w:val="single" w:sz="4" w:space="4" w:color="auto"/>
          <w:bottom w:val="single" w:sz="4" w:space="8" w:color="auto"/>
          <w:right w:val="single" w:sz="4" w:space="4" w:color="auto"/>
        </w:pBdr>
        <w:jc w:val="both"/>
        <w:rPr>
          <w:bCs/>
        </w:rPr>
      </w:pPr>
    </w:p>
    <w:p w14:paraId="25CD02B9" w14:textId="77777777" w:rsidR="00861281" w:rsidRPr="009B4FD6" w:rsidRDefault="00861281" w:rsidP="00861281">
      <w:pPr>
        <w:pBdr>
          <w:top w:val="single" w:sz="4" w:space="1" w:color="auto"/>
          <w:left w:val="single" w:sz="4" w:space="4" w:color="auto"/>
          <w:bottom w:val="single" w:sz="4" w:space="8" w:color="auto"/>
          <w:right w:val="single" w:sz="4" w:space="4" w:color="auto"/>
        </w:pBdr>
        <w:jc w:val="both"/>
        <w:rPr>
          <w:bCs/>
        </w:rPr>
      </w:pPr>
      <w:r w:rsidRPr="009B4FD6">
        <w:rPr>
          <w:bCs/>
        </w:rPr>
        <w:t>Návrh zákona si vyžiada zmeny informačných systémov s vplyvom na rozpočet výdavkov, a to:</w:t>
      </w:r>
    </w:p>
    <w:p w14:paraId="44EE42C8" w14:textId="77777777" w:rsidR="00861281" w:rsidRDefault="00861281" w:rsidP="00861281">
      <w:pPr>
        <w:pBdr>
          <w:top w:val="single" w:sz="4" w:space="1" w:color="auto"/>
          <w:left w:val="single" w:sz="4" w:space="4" w:color="auto"/>
          <w:bottom w:val="single" w:sz="4" w:space="8" w:color="auto"/>
          <w:right w:val="single" w:sz="4" w:space="4" w:color="auto"/>
        </w:pBdr>
        <w:jc w:val="both"/>
        <w:rPr>
          <w:bCs/>
        </w:rPr>
      </w:pPr>
      <w:r w:rsidRPr="009B4FD6">
        <w:rPr>
          <w:bCs/>
        </w:rPr>
        <w:t xml:space="preserve">- </w:t>
      </w:r>
      <w:r>
        <w:rPr>
          <w:bCs/>
        </w:rPr>
        <w:t>informačný systém ISFS-SD na rok 2022 vo výške 770,98 eur</w:t>
      </w:r>
    </w:p>
    <w:p w14:paraId="0384C8C1" w14:textId="77777777" w:rsidR="00861281" w:rsidRDefault="00861281" w:rsidP="00861281">
      <w:pPr>
        <w:pBdr>
          <w:top w:val="single" w:sz="4" w:space="1" w:color="auto"/>
          <w:left w:val="single" w:sz="4" w:space="4" w:color="auto"/>
          <w:bottom w:val="single" w:sz="4" w:space="8" w:color="auto"/>
          <w:right w:val="single" w:sz="4" w:space="4" w:color="auto"/>
        </w:pBdr>
        <w:jc w:val="both"/>
        <w:rPr>
          <w:bCs/>
        </w:rPr>
      </w:pPr>
      <w:r>
        <w:rPr>
          <w:bCs/>
        </w:rPr>
        <w:t xml:space="preserve"> a na rozpočtový rok 2024:</w:t>
      </w:r>
    </w:p>
    <w:p w14:paraId="18163C47" w14:textId="77777777" w:rsidR="00861281" w:rsidRPr="009B4FD6" w:rsidRDefault="00861281" w:rsidP="00861281">
      <w:pPr>
        <w:pBdr>
          <w:top w:val="single" w:sz="4" w:space="1" w:color="auto"/>
          <w:left w:val="single" w:sz="4" w:space="4" w:color="auto"/>
          <w:bottom w:val="single" w:sz="4" w:space="8" w:color="auto"/>
          <w:right w:val="single" w:sz="4" w:space="4" w:color="auto"/>
        </w:pBdr>
        <w:jc w:val="both"/>
        <w:rPr>
          <w:bCs/>
        </w:rPr>
      </w:pPr>
      <w:r>
        <w:rPr>
          <w:bCs/>
        </w:rPr>
        <w:t xml:space="preserve">- </w:t>
      </w:r>
      <w:r w:rsidRPr="009B4FD6">
        <w:rPr>
          <w:bCs/>
        </w:rPr>
        <w:t>Rozpočtový informačný systém</w:t>
      </w:r>
      <w:r>
        <w:rPr>
          <w:bCs/>
        </w:rPr>
        <w:t xml:space="preserve"> v časti register účtovných závierok 120 000 eur</w:t>
      </w:r>
      <w:r w:rsidRPr="009B4FD6">
        <w:rPr>
          <w:bCs/>
        </w:rPr>
        <w:t>,</w:t>
      </w:r>
    </w:p>
    <w:p w14:paraId="2813310F" w14:textId="77777777" w:rsidR="00861281" w:rsidRPr="009B4FD6" w:rsidRDefault="00861281" w:rsidP="00861281">
      <w:pPr>
        <w:pBdr>
          <w:top w:val="single" w:sz="4" w:space="1" w:color="auto"/>
          <w:left w:val="single" w:sz="4" w:space="4" w:color="auto"/>
          <w:bottom w:val="single" w:sz="4" w:space="8" w:color="auto"/>
          <w:right w:val="single" w:sz="4" w:space="4" w:color="auto"/>
        </w:pBdr>
        <w:jc w:val="both"/>
        <w:rPr>
          <w:bCs/>
        </w:rPr>
      </w:pPr>
      <w:r w:rsidRPr="009B4FD6">
        <w:rPr>
          <w:bCs/>
        </w:rPr>
        <w:t xml:space="preserve">- Portál finančnej správy v sume </w:t>
      </w:r>
      <w:r>
        <w:rPr>
          <w:bCs/>
        </w:rPr>
        <w:t>21 067,20</w:t>
      </w:r>
      <w:r w:rsidRPr="009B4FD6">
        <w:rPr>
          <w:bCs/>
        </w:rPr>
        <w:t xml:space="preserve"> eur, </w:t>
      </w:r>
    </w:p>
    <w:p w14:paraId="034DC7F2" w14:textId="77777777" w:rsidR="00861281" w:rsidRPr="009B4FD6" w:rsidRDefault="00861281" w:rsidP="00861281">
      <w:pPr>
        <w:pBdr>
          <w:top w:val="single" w:sz="4" w:space="1" w:color="auto"/>
          <w:left w:val="single" w:sz="4" w:space="4" w:color="auto"/>
          <w:bottom w:val="single" w:sz="4" w:space="8" w:color="auto"/>
          <w:right w:val="single" w:sz="4" w:space="4" w:color="auto"/>
        </w:pBdr>
        <w:jc w:val="both"/>
        <w:rPr>
          <w:bCs/>
        </w:rPr>
      </w:pPr>
      <w:r w:rsidRPr="009B4FD6">
        <w:rPr>
          <w:bCs/>
        </w:rPr>
        <w:t>- Konsolidácia registra účtovných závierok v sume 32 400 eur.</w:t>
      </w:r>
    </w:p>
    <w:p w14:paraId="59FC4AEE" w14:textId="77777777" w:rsidR="00861281" w:rsidRPr="009B4FD6" w:rsidRDefault="00861281" w:rsidP="00861281">
      <w:pPr>
        <w:pBdr>
          <w:top w:val="single" w:sz="4" w:space="1" w:color="auto"/>
          <w:left w:val="single" w:sz="4" w:space="4" w:color="auto"/>
          <w:bottom w:val="single" w:sz="4" w:space="8" w:color="auto"/>
          <w:right w:val="single" w:sz="4" w:space="4" w:color="auto"/>
        </w:pBdr>
        <w:jc w:val="both"/>
        <w:rPr>
          <w:bCs/>
        </w:rPr>
      </w:pPr>
    </w:p>
    <w:p w14:paraId="3ED37942" w14:textId="77777777" w:rsidR="00861281" w:rsidRDefault="00861281" w:rsidP="00861281">
      <w:pPr>
        <w:pBdr>
          <w:top w:val="single" w:sz="4" w:space="1" w:color="auto"/>
          <w:left w:val="single" w:sz="4" w:space="4" w:color="auto"/>
          <w:bottom w:val="single" w:sz="4" w:space="8" w:color="auto"/>
          <w:right w:val="single" w:sz="4" w:space="4" w:color="auto"/>
        </w:pBdr>
        <w:jc w:val="both"/>
        <w:rPr>
          <w:bCs/>
        </w:rPr>
      </w:pPr>
      <w:r>
        <w:rPr>
          <w:bCs/>
        </w:rPr>
        <w:t>Finančné prostriedky potrebné na úpravu informačného systému Finančnej správy – správa daní sa pokryjú z prostriedkov zabezpečených na prevádzku informačného systému na rozpočtový rok 2022.</w:t>
      </w:r>
    </w:p>
    <w:p w14:paraId="51DFBFED" w14:textId="77777777" w:rsidR="00861281" w:rsidRDefault="00861281" w:rsidP="00861281">
      <w:pPr>
        <w:pBdr>
          <w:top w:val="single" w:sz="4" w:space="1" w:color="auto"/>
          <w:left w:val="single" w:sz="4" w:space="4" w:color="auto"/>
          <w:bottom w:val="single" w:sz="4" w:space="8" w:color="auto"/>
          <w:right w:val="single" w:sz="4" w:space="4" w:color="auto"/>
        </w:pBdr>
        <w:jc w:val="both"/>
        <w:rPr>
          <w:bCs/>
        </w:rPr>
      </w:pPr>
      <w:r w:rsidRPr="00E428C9">
        <w:rPr>
          <w:bCs/>
        </w:rPr>
        <w:t xml:space="preserve">Finančné prostriedky potrebné na úpravu informačných systémov </w:t>
      </w:r>
      <w:r>
        <w:rPr>
          <w:bCs/>
        </w:rPr>
        <w:t>na rozpočtový rok 2024 budú</w:t>
      </w:r>
      <w:r w:rsidRPr="00E428C9">
        <w:rPr>
          <w:bCs/>
        </w:rPr>
        <w:t xml:space="preserve"> zabezpečené v rámci prípravy rozpočtu </w:t>
      </w:r>
      <w:r>
        <w:rPr>
          <w:bCs/>
        </w:rPr>
        <w:t>kapitoly MF SR</w:t>
      </w:r>
      <w:r w:rsidRPr="00E428C9">
        <w:rPr>
          <w:bCs/>
        </w:rPr>
        <w:t xml:space="preserve"> na roky 2023 – 2025.</w:t>
      </w:r>
      <w:r>
        <w:rPr>
          <w:bCs/>
        </w:rPr>
        <w:t xml:space="preserve"> Vzhľadom na to, že samotný výkaz bude </w:t>
      </w:r>
      <w:r>
        <w:rPr>
          <w:bCs/>
          <w:szCs w:val="20"/>
        </w:rPr>
        <w:t>prijatý predpokladáme koncom roka 2022, najneskôr v roku 2023 prostredníctvom  vykonávacieho aktu, v súčasnosti nie je možné presne vyčísliť finančné vplyvy na zabezpečenie splnenia tejto povinnosti v informačných systémoch verejnej správy. Preto v analýze na rozpočet uvádzame odhadovanú výšku predpokladaných nákladov, ktorú budeme v prípade potreby aktualizovať na základe nových skutočností pri vykonávacom predpise.</w:t>
      </w:r>
    </w:p>
    <w:p w14:paraId="0FD2D6F8" w14:textId="77777777" w:rsidR="00861281" w:rsidRDefault="00861281" w:rsidP="00861281">
      <w:pPr>
        <w:pBdr>
          <w:top w:val="single" w:sz="4" w:space="1" w:color="auto"/>
          <w:left w:val="single" w:sz="4" w:space="4" w:color="auto"/>
          <w:bottom w:val="single" w:sz="4" w:space="8" w:color="auto"/>
          <w:right w:val="single" w:sz="4" w:space="4" w:color="auto"/>
        </w:pBdr>
        <w:tabs>
          <w:tab w:val="left" w:pos="6288"/>
        </w:tabs>
        <w:jc w:val="both"/>
        <w:rPr>
          <w:bCs/>
        </w:rPr>
      </w:pPr>
      <w:r>
        <w:rPr>
          <w:bCs/>
        </w:rPr>
        <w:t xml:space="preserve">V návrhu zákona v nadväznosti na podávanie nového výkazu – správa s informáciami o dani z príjmov, bude potrebné zabezpečiť úpravy informačných systémov, a to podávanie prostredníctvom portálu Finančnej správy a následne jeho zverejnenie v registri účtovných závierok. Zároveň tento dokument bude súčasne zasielaný aj do </w:t>
      </w:r>
      <w:r w:rsidRPr="00AF4751">
        <w:rPr>
          <w:bCs/>
        </w:rPr>
        <w:t>Zbierky listín Obchodného</w:t>
      </w:r>
      <w:r>
        <w:rPr>
          <w:bCs/>
        </w:rPr>
        <w:t xml:space="preserve"> registra.</w:t>
      </w:r>
    </w:p>
    <w:p w14:paraId="268DA2D7" w14:textId="77777777" w:rsidR="00861281" w:rsidRPr="007D5748" w:rsidRDefault="00861281" w:rsidP="00861281">
      <w:pPr>
        <w:rPr>
          <w:b/>
          <w:bCs/>
        </w:rPr>
      </w:pPr>
      <w:r w:rsidRPr="007D5748">
        <w:rPr>
          <w:b/>
          <w:bCs/>
        </w:rPr>
        <w:t>2.2. Popis a charakteristika návrhu</w:t>
      </w:r>
    </w:p>
    <w:p w14:paraId="22ACD52B" w14:textId="77777777" w:rsidR="00861281" w:rsidRPr="007D5748" w:rsidRDefault="00861281" w:rsidP="00861281"/>
    <w:p w14:paraId="5B7A9BE6" w14:textId="77777777" w:rsidR="00861281" w:rsidRPr="007D5748" w:rsidRDefault="00861281" w:rsidP="00861281">
      <w:pPr>
        <w:jc w:val="both"/>
        <w:rPr>
          <w:b/>
          <w:bCs/>
        </w:rPr>
      </w:pPr>
      <w:r w:rsidRPr="007D5748">
        <w:rPr>
          <w:b/>
          <w:bCs/>
        </w:rPr>
        <w:t>2.2.1. Popis návrhu:</w:t>
      </w:r>
    </w:p>
    <w:p w14:paraId="09BBB920" w14:textId="77777777" w:rsidR="00861281" w:rsidRPr="007D5748" w:rsidRDefault="00861281" w:rsidP="00861281">
      <w:pPr>
        <w:jc w:val="both"/>
        <w:rPr>
          <w:b/>
          <w:bCs/>
        </w:rPr>
      </w:pPr>
    </w:p>
    <w:p w14:paraId="01B9A9B1" w14:textId="77777777" w:rsidR="00861281" w:rsidRPr="007D5748" w:rsidRDefault="00861281" w:rsidP="00861281">
      <w:pPr>
        <w:ind w:firstLine="708"/>
        <w:jc w:val="both"/>
      </w:pPr>
      <w:r w:rsidRPr="007D5748">
        <w:t>Akú problematiku návrh rieši? Kto bude návrh implementovať? Kde sa budú služby poskytovať?</w:t>
      </w:r>
    </w:p>
    <w:p w14:paraId="4AAF8D18" w14:textId="77777777" w:rsidR="00861281" w:rsidRPr="007D5748" w:rsidRDefault="00861281" w:rsidP="00861281">
      <w:pPr>
        <w:tabs>
          <w:tab w:val="left" w:pos="2100"/>
        </w:tabs>
      </w:pPr>
    </w:p>
    <w:p w14:paraId="4BC4A87D" w14:textId="77777777" w:rsidR="00861281" w:rsidRDefault="00861281" w:rsidP="00861281">
      <w:pPr>
        <w:jc w:val="both"/>
      </w:pPr>
      <w:r w:rsidRPr="00A1164F">
        <w:rPr>
          <w:rStyle w:val="Zstupntext"/>
          <w:color w:val="000000"/>
        </w:rPr>
        <w:t xml:space="preserve">V návrhu zákona </w:t>
      </w:r>
      <w:r>
        <w:rPr>
          <w:rStyle w:val="Zstupntext"/>
          <w:color w:val="000000"/>
        </w:rPr>
        <w:t>sa v nadväznosti na prijatie s</w:t>
      </w:r>
      <w:r w:rsidRPr="008C6F24">
        <w:rPr>
          <w:rStyle w:val="Zstupntext"/>
          <w:color w:val="000000"/>
        </w:rPr>
        <w:t>mernica Európskeho parlamentu a Rady (EÚ) 2021/2101 z 24. novembra 2021, ktorou sa mení smernica 2013/34/EÚ, pokiaľ ide o zverejňovanie informácií o dani z príjmov určitými podnikmi a</w:t>
      </w:r>
      <w:r>
        <w:rPr>
          <w:rStyle w:val="Zstupntext"/>
          <w:color w:val="000000"/>
        </w:rPr>
        <w:t> </w:t>
      </w:r>
      <w:r w:rsidRPr="008C6F24">
        <w:rPr>
          <w:rStyle w:val="Zstupntext"/>
          <w:color w:val="000000"/>
        </w:rPr>
        <w:t>pobočkami</w:t>
      </w:r>
      <w:r>
        <w:rPr>
          <w:rStyle w:val="Zstupntext"/>
          <w:color w:val="000000"/>
        </w:rPr>
        <w:t xml:space="preserve">  </w:t>
      </w:r>
      <w:r w:rsidRPr="00293ECA">
        <w:rPr>
          <w:bCs/>
        </w:rPr>
        <w:t>(Ú. v. EÚ L 429, 1.12.2021)</w:t>
      </w:r>
      <w:r>
        <w:rPr>
          <w:bCs/>
        </w:rPr>
        <w:t xml:space="preserve"> </w:t>
      </w:r>
      <w:r>
        <w:rPr>
          <w:rStyle w:val="Zstupntext"/>
          <w:color w:val="000000"/>
        </w:rPr>
        <w:t>doplnili povinnosti v súvislosti s podávaním nového výkazu – správa s informáciami o dani z príjmov. Správa s informáciami o dani z príjmov sa podáva prostredníctvom portálu Finančnej správy do registra účtovných závierok a následne je zasielaná do Zbierky listín Obchodného registra. V nadväznosti na požiadavky cit. smernice sa dopĺňajú ustanovenia týkajúce sa porušenia povinností uložiť a uverejniť správu s informáciami o dani z príjmov a následne aj výška pokuty pri ich porušení.</w:t>
      </w:r>
    </w:p>
    <w:p w14:paraId="52809AED" w14:textId="77777777" w:rsidR="00861281" w:rsidRDefault="00861281" w:rsidP="00861281">
      <w:pPr>
        <w:jc w:val="both"/>
      </w:pPr>
      <w:r>
        <w:t>V návrhu zákona je zapracovaná aj požiadavka v súvislosti so zvýšenou periodicitou inventarizácie hmotného majetku v účtovných</w:t>
      </w:r>
      <w:r w:rsidRPr="00B31F7D">
        <w:t xml:space="preserve"> jednotk</w:t>
      </w:r>
      <w:r>
        <w:t>ách</w:t>
      </w:r>
      <w:r w:rsidRPr="00B31F7D">
        <w:t xml:space="preserve"> verejnej správy</w:t>
      </w:r>
      <w:r>
        <w:t xml:space="preserve"> -</w:t>
      </w:r>
      <w:r w:rsidRPr="00B31F7D">
        <w:t xml:space="preserve"> štátn</w:t>
      </w:r>
      <w:r>
        <w:t>e</w:t>
      </w:r>
      <w:r w:rsidRPr="00B31F7D">
        <w:t xml:space="preserve"> rozpočtové organizácie a príspevkové organizácie, </w:t>
      </w:r>
      <w:r>
        <w:t xml:space="preserve">obce, vyššie územné celky, </w:t>
      </w:r>
      <w:r w:rsidRPr="00B31F7D">
        <w:t>štátne fondy</w:t>
      </w:r>
      <w:r>
        <w:t>,</w:t>
      </w:r>
      <w:r w:rsidRPr="00B31F7D">
        <w:t xml:space="preserve"> rozpočtové organizácie a príspevkové organizácie v zriaďovateľskej pôsobnosti obc</w:t>
      </w:r>
      <w:r>
        <w:t xml:space="preserve">í a vyšších územných celkov. Uvedené sa navrhuje na základe odporúčaní aplikačnej praxe a výsledkov auditu konsolidovanej účtovnej závierky ústrednej správy s cieľom lepšie ochrániť majetok štátu </w:t>
      </w:r>
      <w:r>
        <w:lastRenderedPageBreak/>
        <w:t xml:space="preserve">a územnej samosprávy. Uvedeným opatrením sa súčasne zvýši aj kvalita dát v účtovných závierkach predmetných účtovných jednotiek.  </w:t>
      </w:r>
    </w:p>
    <w:p w14:paraId="2AC455EF" w14:textId="77777777" w:rsidR="00861281" w:rsidRPr="007D5748" w:rsidRDefault="00861281" w:rsidP="00861281"/>
    <w:p w14:paraId="49217183" w14:textId="77777777" w:rsidR="00861281" w:rsidRPr="007D5748" w:rsidRDefault="00861281" w:rsidP="00861281">
      <w:pPr>
        <w:rPr>
          <w:b/>
          <w:bCs/>
        </w:rPr>
      </w:pPr>
      <w:r w:rsidRPr="007D5748">
        <w:rPr>
          <w:b/>
          <w:bCs/>
        </w:rPr>
        <w:t>2.2.2. Charakteristika návrhu:</w:t>
      </w:r>
    </w:p>
    <w:p w14:paraId="230C9791" w14:textId="77777777" w:rsidR="00861281" w:rsidRPr="007D5748" w:rsidRDefault="00861281" w:rsidP="00861281"/>
    <w:p w14:paraId="351F5B83" w14:textId="77777777" w:rsidR="00861281" w:rsidRPr="007D5748" w:rsidRDefault="00861281" w:rsidP="00861281">
      <w:r w:rsidRPr="007D5748">
        <w:rPr>
          <w:b/>
          <w:bdr w:val="single" w:sz="4" w:space="0" w:color="auto"/>
        </w:rPr>
        <w:t xml:space="preserve">     </w:t>
      </w:r>
      <w:r w:rsidRPr="007D5748">
        <w:rPr>
          <w:b/>
        </w:rPr>
        <w:t xml:space="preserve">  </w:t>
      </w:r>
      <w:r w:rsidRPr="007D5748">
        <w:t>zmena sadzby</w:t>
      </w:r>
    </w:p>
    <w:p w14:paraId="0F066F29" w14:textId="77777777" w:rsidR="00861281" w:rsidRPr="007D5748" w:rsidRDefault="00861281" w:rsidP="00861281">
      <w:r w:rsidRPr="007D5748">
        <w:rPr>
          <w:bdr w:val="single" w:sz="4" w:space="0" w:color="auto"/>
        </w:rPr>
        <w:t xml:space="preserve">     </w:t>
      </w:r>
      <w:r w:rsidRPr="007D5748">
        <w:t xml:space="preserve">  zmena v nároku</w:t>
      </w:r>
    </w:p>
    <w:p w14:paraId="04E31EB6" w14:textId="77777777" w:rsidR="00861281" w:rsidRPr="007D5748" w:rsidRDefault="00861281" w:rsidP="00861281">
      <w:r w:rsidRPr="007D5748">
        <w:rPr>
          <w:bdr w:val="single" w:sz="4" w:space="0" w:color="auto"/>
        </w:rPr>
        <w:t xml:space="preserve"> </w:t>
      </w:r>
      <w:r>
        <w:rPr>
          <w:bdr w:val="single" w:sz="4" w:space="0" w:color="auto"/>
        </w:rPr>
        <w:t xml:space="preserve">    </w:t>
      </w:r>
      <w:r w:rsidRPr="007D5748">
        <w:t xml:space="preserve">  nová služba alebo nariadenie (alebo ich zrušenie)</w:t>
      </w:r>
    </w:p>
    <w:p w14:paraId="181DE30B" w14:textId="77777777" w:rsidR="00861281" w:rsidRPr="007D5748" w:rsidRDefault="00861281" w:rsidP="00861281">
      <w:r>
        <w:rPr>
          <w:bdr w:val="single" w:sz="4" w:space="0" w:color="auto"/>
        </w:rPr>
        <w:t xml:space="preserve">  x</w:t>
      </w:r>
      <w:r w:rsidRPr="007D5748">
        <w:rPr>
          <w:bdr w:val="single" w:sz="4" w:space="0" w:color="auto"/>
        </w:rPr>
        <w:t xml:space="preserve"> </w:t>
      </w:r>
      <w:r w:rsidRPr="007D5748">
        <w:t xml:space="preserve">  kombinovaný návrh</w:t>
      </w:r>
    </w:p>
    <w:p w14:paraId="4D9BD5F1" w14:textId="77777777" w:rsidR="00861281" w:rsidRPr="007D5748" w:rsidRDefault="00861281" w:rsidP="00861281">
      <w:r w:rsidRPr="007D5748">
        <w:rPr>
          <w:bdr w:val="single" w:sz="4" w:space="0" w:color="auto"/>
        </w:rPr>
        <w:t xml:space="preserve">     </w:t>
      </w:r>
      <w:r w:rsidRPr="007D5748">
        <w:t xml:space="preserve">  iné </w:t>
      </w:r>
    </w:p>
    <w:p w14:paraId="6E6B5A30" w14:textId="77777777" w:rsidR="00861281" w:rsidRPr="007D5748" w:rsidRDefault="00861281" w:rsidP="00861281"/>
    <w:p w14:paraId="276FC2E6" w14:textId="77777777" w:rsidR="00861281" w:rsidRPr="007D5748" w:rsidRDefault="00861281" w:rsidP="00861281">
      <w:r w:rsidRPr="007D5748">
        <w:rPr>
          <w:b/>
          <w:bCs/>
        </w:rPr>
        <w:t>2.2.3. Predpoklady vývoja objemu aktivít:</w:t>
      </w:r>
    </w:p>
    <w:p w14:paraId="0594B4EB" w14:textId="77777777" w:rsidR="00861281" w:rsidRPr="007D5748" w:rsidRDefault="00861281" w:rsidP="00861281"/>
    <w:p w14:paraId="34ED5A29" w14:textId="77777777" w:rsidR="00861281" w:rsidRPr="007D5748" w:rsidRDefault="00861281" w:rsidP="00861281">
      <w:pPr>
        <w:ind w:firstLine="708"/>
        <w:jc w:val="both"/>
      </w:pPr>
      <w:r w:rsidRPr="007D5748">
        <w:t>Jasne popíšte, v prípade potreby použite nižšie uvedenú tabuľku. Uveďte aj odhady základov daní a/alebo poplatkov, ak sa ich táto zmena týka.</w:t>
      </w:r>
    </w:p>
    <w:p w14:paraId="10A8B8FB" w14:textId="77777777" w:rsidR="00861281" w:rsidRPr="007D5748" w:rsidRDefault="00861281" w:rsidP="00861281">
      <w:pPr>
        <w:jc w:val="right"/>
        <w:rPr>
          <w:sz w:val="20"/>
          <w:szCs w:val="20"/>
        </w:rPr>
      </w:pPr>
      <w:r w:rsidRPr="007D5748">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861281" w:rsidRPr="007D5748" w14:paraId="594A0593" w14:textId="77777777" w:rsidTr="00861281">
        <w:trPr>
          <w:cantSplit/>
          <w:trHeight w:val="70"/>
        </w:trPr>
        <w:tc>
          <w:tcPr>
            <w:tcW w:w="4530" w:type="dxa"/>
            <w:vMerge w:val="restart"/>
            <w:shd w:val="clear" w:color="auto" w:fill="BFBFBF" w:themeFill="background1" w:themeFillShade="BF"/>
            <w:vAlign w:val="center"/>
          </w:tcPr>
          <w:p w14:paraId="33CD1FBE" w14:textId="77777777" w:rsidR="00861281" w:rsidRPr="007D5748" w:rsidRDefault="00861281" w:rsidP="00861281">
            <w:pPr>
              <w:autoSpaceDE w:val="0"/>
              <w:autoSpaceDN w:val="0"/>
              <w:adjustRightInd w:val="0"/>
              <w:jc w:val="center"/>
              <w:rPr>
                <w:b/>
                <w:bCs/>
              </w:rPr>
            </w:pPr>
            <w:r w:rsidRPr="007D5748">
              <w:rPr>
                <w:b/>
                <w:bCs/>
              </w:rPr>
              <w:t>Objem aktivít</w:t>
            </w:r>
          </w:p>
        </w:tc>
        <w:tc>
          <w:tcPr>
            <w:tcW w:w="1134" w:type="dxa"/>
            <w:gridSpan w:val="4"/>
            <w:shd w:val="clear" w:color="auto" w:fill="BFBFBF" w:themeFill="background1" w:themeFillShade="BF"/>
            <w:vAlign w:val="center"/>
          </w:tcPr>
          <w:p w14:paraId="5F479C74" w14:textId="77777777" w:rsidR="00861281" w:rsidRPr="007D5748" w:rsidRDefault="00861281" w:rsidP="00861281">
            <w:pPr>
              <w:autoSpaceDE w:val="0"/>
              <w:autoSpaceDN w:val="0"/>
              <w:adjustRightInd w:val="0"/>
              <w:jc w:val="center"/>
              <w:rPr>
                <w:b/>
                <w:bCs/>
              </w:rPr>
            </w:pPr>
            <w:r w:rsidRPr="007D5748">
              <w:rPr>
                <w:b/>
                <w:bCs/>
              </w:rPr>
              <w:t>Odhadované objemy</w:t>
            </w:r>
          </w:p>
        </w:tc>
      </w:tr>
      <w:tr w:rsidR="00861281" w:rsidRPr="007D5748" w14:paraId="62F21CC4" w14:textId="77777777" w:rsidTr="00861281">
        <w:trPr>
          <w:cantSplit/>
          <w:trHeight w:val="70"/>
        </w:trPr>
        <w:tc>
          <w:tcPr>
            <w:tcW w:w="4530" w:type="dxa"/>
            <w:vMerge/>
            <w:shd w:val="clear" w:color="auto" w:fill="BFBFBF" w:themeFill="background1" w:themeFillShade="BF"/>
          </w:tcPr>
          <w:p w14:paraId="07C4C6C7" w14:textId="77777777" w:rsidR="00861281" w:rsidRPr="007D5748" w:rsidRDefault="00861281" w:rsidP="00861281">
            <w:pPr>
              <w:autoSpaceDE w:val="0"/>
              <w:autoSpaceDN w:val="0"/>
              <w:adjustRightInd w:val="0"/>
              <w:jc w:val="center"/>
              <w:rPr>
                <w:b/>
                <w:bCs/>
              </w:rPr>
            </w:pPr>
          </w:p>
        </w:tc>
        <w:tc>
          <w:tcPr>
            <w:tcW w:w="1134" w:type="dxa"/>
            <w:shd w:val="clear" w:color="auto" w:fill="BFBFBF" w:themeFill="background1" w:themeFillShade="BF"/>
            <w:vAlign w:val="center"/>
          </w:tcPr>
          <w:p w14:paraId="230A62C3" w14:textId="77777777" w:rsidR="00861281" w:rsidRPr="007D5748" w:rsidRDefault="00861281" w:rsidP="00861281">
            <w:pPr>
              <w:autoSpaceDE w:val="0"/>
              <w:autoSpaceDN w:val="0"/>
              <w:adjustRightInd w:val="0"/>
              <w:jc w:val="center"/>
              <w:rPr>
                <w:b/>
                <w:bCs/>
              </w:rPr>
            </w:pPr>
            <w:r w:rsidRPr="007D5748">
              <w:rPr>
                <w:b/>
                <w:bCs/>
              </w:rPr>
              <w:t>r</w:t>
            </w:r>
          </w:p>
        </w:tc>
        <w:tc>
          <w:tcPr>
            <w:tcW w:w="1134" w:type="dxa"/>
            <w:shd w:val="clear" w:color="auto" w:fill="BFBFBF" w:themeFill="background1" w:themeFillShade="BF"/>
            <w:vAlign w:val="center"/>
          </w:tcPr>
          <w:p w14:paraId="607B9B98" w14:textId="77777777" w:rsidR="00861281" w:rsidRPr="007D5748" w:rsidRDefault="00861281" w:rsidP="00861281">
            <w:pPr>
              <w:autoSpaceDE w:val="0"/>
              <w:autoSpaceDN w:val="0"/>
              <w:adjustRightInd w:val="0"/>
              <w:jc w:val="center"/>
              <w:rPr>
                <w:b/>
                <w:bCs/>
              </w:rPr>
            </w:pPr>
            <w:r w:rsidRPr="007D5748">
              <w:rPr>
                <w:b/>
                <w:bCs/>
              </w:rPr>
              <w:t>r + 1</w:t>
            </w:r>
          </w:p>
        </w:tc>
        <w:tc>
          <w:tcPr>
            <w:tcW w:w="1134" w:type="dxa"/>
            <w:shd w:val="clear" w:color="auto" w:fill="BFBFBF" w:themeFill="background1" w:themeFillShade="BF"/>
            <w:vAlign w:val="center"/>
          </w:tcPr>
          <w:p w14:paraId="010CFE60" w14:textId="77777777" w:rsidR="00861281" w:rsidRPr="007D5748" w:rsidRDefault="00861281" w:rsidP="00861281">
            <w:pPr>
              <w:autoSpaceDE w:val="0"/>
              <w:autoSpaceDN w:val="0"/>
              <w:adjustRightInd w:val="0"/>
              <w:jc w:val="center"/>
              <w:rPr>
                <w:b/>
                <w:bCs/>
              </w:rPr>
            </w:pPr>
            <w:r w:rsidRPr="007D5748">
              <w:rPr>
                <w:b/>
                <w:bCs/>
              </w:rPr>
              <w:t>r + 2</w:t>
            </w:r>
          </w:p>
        </w:tc>
        <w:tc>
          <w:tcPr>
            <w:tcW w:w="1134" w:type="dxa"/>
            <w:shd w:val="clear" w:color="auto" w:fill="BFBFBF" w:themeFill="background1" w:themeFillShade="BF"/>
            <w:vAlign w:val="center"/>
          </w:tcPr>
          <w:p w14:paraId="6A87486B" w14:textId="77777777" w:rsidR="00861281" w:rsidRPr="007D5748" w:rsidRDefault="00861281" w:rsidP="00861281">
            <w:pPr>
              <w:autoSpaceDE w:val="0"/>
              <w:autoSpaceDN w:val="0"/>
              <w:adjustRightInd w:val="0"/>
              <w:jc w:val="center"/>
              <w:rPr>
                <w:b/>
                <w:bCs/>
              </w:rPr>
            </w:pPr>
            <w:r w:rsidRPr="007D5748">
              <w:rPr>
                <w:b/>
                <w:bCs/>
              </w:rPr>
              <w:t>r + 3</w:t>
            </w:r>
          </w:p>
        </w:tc>
      </w:tr>
      <w:tr w:rsidR="00861281" w:rsidRPr="007D5748" w14:paraId="3DAB2622" w14:textId="77777777" w:rsidTr="00861281">
        <w:trPr>
          <w:trHeight w:val="70"/>
        </w:trPr>
        <w:tc>
          <w:tcPr>
            <w:tcW w:w="4530" w:type="dxa"/>
          </w:tcPr>
          <w:p w14:paraId="7D468615" w14:textId="77777777" w:rsidR="00861281" w:rsidRPr="007D5748" w:rsidRDefault="00861281" w:rsidP="00861281">
            <w:pPr>
              <w:autoSpaceDE w:val="0"/>
              <w:autoSpaceDN w:val="0"/>
              <w:adjustRightInd w:val="0"/>
              <w:rPr>
                <w:color w:val="000000"/>
              </w:rPr>
            </w:pPr>
            <w:r w:rsidRPr="007D5748">
              <w:rPr>
                <w:color w:val="000000"/>
              </w:rPr>
              <w:t>Indikátor ABC</w:t>
            </w:r>
          </w:p>
        </w:tc>
        <w:tc>
          <w:tcPr>
            <w:tcW w:w="1134" w:type="dxa"/>
          </w:tcPr>
          <w:p w14:paraId="1592CFA3" w14:textId="77777777" w:rsidR="00861281" w:rsidRPr="007D5748" w:rsidRDefault="00861281" w:rsidP="00861281">
            <w:pPr>
              <w:autoSpaceDE w:val="0"/>
              <w:autoSpaceDN w:val="0"/>
              <w:adjustRightInd w:val="0"/>
              <w:jc w:val="right"/>
              <w:rPr>
                <w:color w:val="000000"/>
              </w:rPr>
            </w:pPr>
          </w:p>
        </w:tc>
        <w:tc>
          <w:tcPr>
            <w:tcW w:w="1134" w:type="dxa"/>
          </w:tcPr>
          <w:p w14:paraId="3C346B5E" w14:textId="77777777" w:rsidR="00861281" w:rsidRPr="007D5748" w:rsidRDefault="00861281" w:rsidP="00861281">
            <w:pPr>
              <w:autoSpaceDE w:val="0"/>
              <w:autoSpaceDN w:val="0"/>
              <w:adjustRightInd w:val="0"/>
              <w:jc w:val="right"/>
              <w:rPr>
                <w:color w:val="000000"/>
              </w:rPr>
            </w:pPr>
          </w:p>
        </w:tc>
        <w:tc>
          <w:tcPr>
            <w:tcW w:w="1134" w:type="dxa"/>
          </w:tcPr>
          <w:p w14:paraId="4207D61B" w14:textId="77777777" w:rsidR="00861281" w:rsidRPr="007D5748" w:rsidRDefault="00861281" w:rsidP="00861281">
            <w:pPr>
              <w:autoSpaceDE w:val="0"/>
              <w:autoSpaceDN w:val="0"/>
              <w:adjustRightInd w:val="0"/>
              <w:jc w:val="right"/>
              <w:rPr>
                <w:color w:val="000000"/>
              </w:rPr>
            </w:pPr>
          </w:p>
        </w:tc>
        <w:tc>
          <w:tcPr>
            <w:tcW w:w="1134" w:type="dxa"/>
          </w:tcPr>
          <w:p w14:paraId="41ADA54C" w14:textId="77777777" w:rsidR="00861281" w:rsidRPr="007D5748" w:rsidRDefault="00861281" w:rsidP="00861281">
            <w:pPr>
              <w:autoSpaceDE w:val="0"/>
              <w:autoSpaceDN w:val="0"/>
              <w:adjustRightInd w:val="0"/>
              <w:jc w:val="right"/>
              <w:rPr>
                <w:color w:val="000000"/>
              </w:rPr>
            </w:pPr>
          </w:p>
        </w:tc>
      </w:tr>
      <w:tr w:rsidR="00861281" w:rsidRPr="007D5748" w14:paraId="2F07B055" w14:textId="77777777" w:rsidTr="00861281">
        <w:trPr>
          <w:trHeight w:val="70"/>
        </w:trPr>
        <w:tc>
          <w:tcPr>
            <w:tcW w:w="4530" w:type="dxa"/>
          </w:tcPr>
          <w:p w14:paraId="69E2B1CD" w14:textId="77777777" w:rsidR="00861281" w:rsidRPr="007D5748" w:rsidRDefault="00861281" w:rsidP="00861281">
            <w:pPr>
              <w:autoSpaceDE w:val="0"/>
              <w:autoSpaceDN w:val="0"/>
              <w:adjustRightInd w:val="0"/>
              <w:rPr>
                <w:color w:val="000000"/>
              </w:rPr>
            </w:pPr>
            <w:r w:rsidRPr="007D5748">
              <w:rPr>
                <w:color w:val="000000"/>
              </w:rPr>
              <w:t>Indikátor KLM</w:t>
            </w:r>
          </w:p>
        </w:tc>
        <w:tc>
          <w:tcPr>
            <w:tcW w:w="1134" w:type="dxa"/>
          </w:tcPr>
          <w:p w14:paraId="38CC024E" w14:textId="77777777" w:rsidR="00861281" w:rsidRPr="007D5748" w:rsidRDefault="00861281" w:rsidP="00861281">
            <w:pPr>
              <w:autoSpaceDE w:val="0"/>
              <w:autoSpaceDN w:val="0"/>
              <w:adjustRightInd w:val="0"/>
              <w:jc w:val="right"/>
              <w:rPr>
                <w:color w:val="000000"/>
              </w:rPr>
            </w:pPr>
          </w:p>
        </w:tc>
        <w:tc>
          <w:tcPr>
            <w:tcW w:w="1134" w:type="dxa"/>
          </w:tcPr>
          <w:p w14:paraId="05813558" w14:textId="77777777" w:rsidR="00861281" w:rsidRPr="007D5748" w:rsidRDefault="00861281" w:rsidP="00861281">
            <w:pPr>
              <w:autoSpaceDE w:val="0"/>
              <w:autoSpaceDN w:val="0"/>
              <w:adjustRightInd w:val="0"/>
              <w:jc w:val="right"/>
              <w:rPr>
                <w:color w:val="000000"/>
              </w:rPr>
            </w:pPr>
          </w:p>
        </w:tc>
        <w:tc>
          <w:tcPr>
            <w:tcW w:w="1134" w:type="dxa"/>
          </w:tcPr>
          <w:p w14:paraId="48E81DA0" w14:textId="77777777" w:rsidR="00861281" w:rsidRPr="007D5748" w:rsidRDefault="00861281" w:rsidP="00861281">
            <w:pPr>
              <w:autoSpaceDE w:val="0"/>
              <w:autoSpaceDN w:val="0"/>
              <w:adjustRightInd w:val="0"/>
              <w:jc w:val="right"/>
              <w:rPr>
                <w:color w:val="000000"/>
              </w:rPr>
            </w:pPr>
          </w:p>
        </w:tc>
        <w:tc>
          <w:tcPr>
            <w:tcW w:w="1134" w:type="dxa"/>
          </w:tcPr>
          <w:p w14:paraId="0BC566DC" w14:textId="77777777" w:rsidR="00861281" w:rsidRPr="007D5748" w:rsidRDefault="00861281" w:rsidP="00861281">
            <w:pPr>
              <w:autoSpaceDE w:val="0"/>
              <w:autoSpaceDN w:val="0"/>
              <w:adjustRightInd w:val="0"/>
              <w:jc w:val="right"/>
              <w:rPr>
                <w:color w:val="000000"/>
              </w:rPr>
            </w:pPr>
          </w:p>
        </w:tc>
      </w:tr>
      <w:tr w:rsidR="00861281" w:rsidRPr="007D5748" w14:paraId="77663097" w14:textId="77777777" w:rsidTr="00861281">
        <w:trPr>
          <w:trHeight w:val="70"/>
        </w:trPr>
        <w:tc>
          <w:tcPr>
            <w:tcW w:w="4530" w:type="dxa"/>
          </w:tcPr>
          <w:p w14:paraId="55047F60" w14:textId="77777777" w:rsidR="00861281" w:rsidRPr="007D5748" w:rsidRDefault="00861281" w:rsidP="00861281">
            <w:pPr>
              <w:autoSpaceDE w:val="0"/>
              <w:autoSpaceDN w:val="0"/>
              <w:adjustRightInd w:val="0"/>
              <w:rPr>
                <w:color w:val="000000"/>
              </w:rPr>
            </w:pPr>
            <w:r w:rsidRPr="007D5748">
              <w:rPr>
                <w:color w:val="000000"/>
              </w:rPr>
              <w:t>Indikátor XYZ</w:t>
            </w:r>
          </w:p>
        </w:tc>
        <w:tc>
          <w:tcPr>
            <w:tcW w:w="1134" w:type="dxa"/>
          </w:tcPr>
          <w:p w14:paraId="28975F31" w14:textId="77777777" w:rsidR="00861281" w:rsidRPr="007D5748" w:rsidRDefault="00861281" w:rsidP="00861281">
            <w:pPr>
              <w:autoSpaceDE w:val="0"/>
              <w:autoSpaceDN w:val="0"/>
              <w:adjustRightInd w:val="0"/>
              <w:jc w:val="right"/>
              <w:rPr>
                <w:color w:val="000000"/>
              </w:rPr>
            </w:pPr>
          </w:p>
        </w:tc>
        <w:tc>
          <w:tcPr>
            <w:tcW w:w="1134" w:type="dxa"/>
          </w:tcPr>
          <w:p w14:paraId="522BA20F" w14:textId="77777777" w:rsidR="00861281" w:rsidRPr="007D5748" w:rsidRDefault="00861281" w:rsidP="00861281">
            <w:pPr>
              <w:autoSpaceDE w:val="0"/>
              <w:autoSpaceDN w:val="0"/>
              <w:adjustRightInd w:val="0"/>
              <w:jc w:val="right"/>
              <w:rPr>
                <w:color w:val="000000"/>
              </w:rPr>
            </w:pPr>
          </w:p>
        </w:tc>
        <w:tc>
          <w:tcPr>
            <w:tcW w:w="1134" w:type="dxa"/>
          </w:tcPr>
          <w:p w14:paraId="6EF4E952" w14:textId="77777777" w:rsidR="00861281" w:rsidRPr="007D5748" w:rsidRDefault="00861281" w:rsidP="00861281">
            <w:pPr>
              <w:autoSpaceDE w:val="0"/>
              <w:autoSpaceDN w:val="0"/>
              <w:adjustRightInd w:val="0"/>
              <w:jc w:val="right"/>
              <w:rPr>
                <w:color w:val="000000"/>
              </w:rPr>
            </w:pPr>
          </w:p>
        </w:tc>
        <w:tc>
          <w:tcPr>
            <w:tcW w:w="1134" w:type="dxa"/>
          </w:tcPr>
          <w:p w14:paraId="44A7E0C1" w14:textId="77777777" w:rsidR="00861281" w:rsidRPr="007D5748" w:rsidRDefault="00861281" w:rsidP="00861281">
            <w:pPr>
              <w:autoSpaceDE w:val="0"/>
              <w:autoSpaceDN w:val="0"/>
              <w:adjustRightInd w:val="0"/>
              <w:jc w:val="right"/>
              <w:rPr>
                <w:color w:val="000000"/>
              </w:rPr>
            </w:pPr>
          </w:p>
        </w:tc>
      </w:tr>
    </w:tbl>
    <w:p w14:paraId="266300F3" w14:textId="77777777" w:rsidR="00861281" w:rsidRPr="007D5748" w:rsidRDefault="00861281" w:rsidP="00861281"/>
    <w:p w14:paraId="3F2839ED" w14:textId="77777777" w:rsidR="00861281" w:rsidRPr="007D5748" w:rsidRDefault="00861281" w:rsidP="00861281">
      <w:pPr>
        <w:rPr>
          <w:b/>
          <w:bCs/>
        </w:rPr>
      </w:pPr>
      <w:r w:rsidRPr="007D5748">
        <w:rPr>
          <w:b/>
          <w:bCs/>
        </w:rPr>
        <w:t>2.2.4. Výpočty vplyvov na verejné financie</w:t>
      </w:r>
    </w:p>
    <w:p w14:paraId="0543162A" w14:textId="77777777" w:rsidR="00861281" w:rsidRPr="007D5748" w:rsidRDefault="00861281" w:rsidP="00861281"/>
    <w:p w14:paraId="79B5ED4C" w14:textId="77777777" w:rsidR="00861281" w:rsidRDefault="00861281" w:rsidP="00861281">
      <w:pPr>
        <w:ind w:firstLine="708"/>
        <w:jc w:val="both"/>
      </w:pPr>
      <w:r w:rsidRPr="007D5748">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14:paraId="535D649C" w14:textId="77777777" w:rsidR="00861281" w:rsidRPr="007D5748" w:rsidRDefault="00861281" w:rsidP="00861281">
      <w:pPr>
        <w:ind w:firstLine="708"/>
        <w:jc w:val="both"/>
      </w:pPr>
    </w:p>
    <w:p w14:paraId="40E99302" w14:textId="77777777" w:rsidR="00861281" w:rsidRDefault="00861281" w:rsidP="00861281">
      <w:pPr>
        <w:tabs>
          <w:tab w:val="num" w:pos="1080"/>
        </w:tabs>
        <w:jc w:val="both"/>
        <w:rPr>
          <w:bCs/>
          <w:szCs w:val="20"/>
        </w:rPr>
      </w:pPr>
      <w:r>
        <w:rPr>
          <w:bCs/>
          <w:szCs w:val="20"/>
        </w:rPr>
        <w:t>Pri výpočte vplyvu sa vychádzalo z týchto údajov:</w:t>
      </w:r>
    </w:p>
    <w:p w14:paraId="5BB98180" w14:textId="77777777" w:rsidR="00861281" w:rsidRDefault="00861281" w:rsidP="00861281">
      <w:pPr>
        <w:jc w:val="both"/>
      </w:pPr>
    </w:p>
    <w:p w14:paraId="76A9FA2B" w14:textId="77777777" w:rsidR="00861281" w:rsidRDefault="00861281" w:rsidP="00861281">
      <w:pPr>
        <w:jc w:val="both"/>
      </w:pPr>
      <w:r>
        <w:t>Vzhľadom na novú povinnosť podávať výkaz – správa s informáciami o dani z príjmov, sa pri výpočte príjmov nepredpokladajú príjmy v sledovanom období horizontu do 2025, nakoľko uvedený výkaz sa najskôr bude ukladať až za účtovné obdobie, ktoré sa začína 22. júna 2024 a neskôr. Prípadné príjmy, ktoré by mohli byť ako výťažok z pokút za neuloženie alebo nezverejnenie správy s informáciami o dani z príjmov, predpokladáme najskôr v rokoch 2026 a neskôr. V súlade so zásadou opatrnosti a vzhľadom na zatiaľ neznámy počet účtovných jednotiek, ktorých by sa prípadné pokuty mohli týkať za nesplnenie si povinností, sa k predpokladaným príjmom nevyjadrujeme.</w:t>
      </w:r>
    </w:p>
    <w:p w14:paraId="71EF2852" w14:textId="77777777" w:rsidR="00861281" w:rsidRDefault="00861281" w:rsidP="00861281">
      <w:pPr>
        <w:tabs>
          <w:tab w:val="num" w:pos="1080"/>
        </w:tabs>
        <w:jc w:val="both"/>
        <w:rPr>
          <w:bCs/>
          <w:szCs w:val="20"/>
        </w:rPr>
      </w:pPr>
    </w:p>
    <w:p w14:paraId="7EEAD6C9" w14:textId="77777777" w:rsidR="00861281" w:rsidRDefault="00861281" w:rsidP="00861281">
      <w:pPr>
        <w:tabs>
          <w:tab w:val="num" w:pos="1080"/>
        </w:tabs>
        <w:jc w:val="both"/>
        <w:rPr>
          <w:bCs/>
          <w:szCs w:val="20"/>
        </w:rPr>
      </w:pPr>
      <w:r>
        <w:rPr>
          <w:bCs/>
          <w:szCs w:val="20"/>
        </w:rPr>
        <w:t xml:space="preserve">Pri výpočte vplyvu na výdavky sa vychádzalo z potrieb zabezpečiť povinnosti transponovať smernicu (EÚ) 2021/2101  najhospodárnejším spôsobom. Úpravy informačných systémov na zabezpečenie  riešenia podávania dokumentov vychádzali z už existujúcich formulárov. Požiadavka na strojovo čitateľný dokument si bude vyžadovať doplnenie štruktúrovaného formulára, ktorý bude ukladaný prostredníctvom elektronickej podateľne Finančnej správy do registra účtovných závierok a následne do Zbierky listín Obchodného registra. Spoločný vzor a elektronické formáty na podávanie správ s informáciami o dani z príjmov Komisia príjme prostredníctvom vykonávacích aktov, pričom ich prijatie sa očakáva v rokoch 2022 – 2023. Slovenská republika preberie tento spoločný vzor opatrením Ministerstva financií SR. Až po prijatí vykonávacieho aktu je možné následne presne vyčísliť finančné vplyvy na zabezpečenie splnenia tejto povinnosti v informačných systémoch verejnej správy. </w:t>
      </w:r>
      <w:r>
        <w:rPr>
          <w:bCs/>
          <w:szCs w:val="20"/>
        </w:rPr>
        <w:br w:type="page"/>
      </w:r>
    </w:p>
    <w:p w14:paraId="123EC6BF" w14:textId="77777777" w:rsidR="00861281" w:rsidRDefault="00861281" w:rsidP="00861281">
      <w:pPr>
        <w:tabs>
          <w:tab w:val="num" w:pos="1080"/>
        </w:tabs>
        <w:jc w:val="both"/>
        <w:rPr>
          <w:bCs/>
          <w:szCs w:val="20"/>
        </w:rPr>
        <w:sectPr w:rsidR="00861281" w:rsidSect="00861281">
          <w:headerReference w:type="even"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pPr>
    </w:p>
    <w:p w14:paraId="0D5B4C41" w14:textId="77777777" w:rsidR="00861281" w:rsidRDefault="00861281" w:rsidP="00861281">
      <w:pPr>
        <w:tabs>
          <w:tab w:val="num" w:pos="1080"/>
        </w:tabs>
        <w:jc w:val="right"/>
        <w:rPr>
          <w:bCs/>
        </w:rPr>
      </w:pPr>
    </w:p>
    <w:p w14:paraId="02891C4E" w14:textId="77777777" w:rsidR="00861281" w:rsidRPr="007D5748" w:rsidRDefault="00861281" w:rsidP="00861281">
      <w:pPr>
        <w:tabs>
          <w:tab w:val="num" w:pos="1080"/>
        </w:tabs>
        <w:jc w:val="right"/>
        <w:rPr>
          <w:bCs/>
        </w:rPr>
      </w:pPr>
      <w:r w:rsidRPr="007D5748">
        <w:rPr>
          <w:bCs/>
        </w:rPr>
        <w:t xml:space="preserve">Tabuľka č. 3 </w:t>
      </w:r>
    </w:p>
    <w:tbl>
      <w:tblPr>
        <w:tblpPr w:leftFromText="141" w:rightFromText="141" w:vertAnchor="page" w:horzAnchor="margin" w:tblpY="2131"/>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861281" w:rsidRPr="007D5748" w14:paraId="71D97FAD" w14:textId="77777777" w:rsidTr="00861281">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0F82C6" w14:textId="77777777" w:rsidR="00861281" w:rsidRPr="007D5748" w:rsidRDefault="00861281" w:rsidP="00861281">
            <w:pPr>
              <w:jc w:val="center"/>
              <w:rPr>
                <w:b/>
                <w:bCs/>
              </w:rPr>
            </w:pPr>
            <w:r w:rsidRPr="007D5748">
              <w:rPr>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2B18C6BE" w14:textId="77777777" w:rsidR="00861281" w:rsidRPr="007D5748" w:rsidRDefault="00861281" w:rsidP="00861281">
            <w:pPr>
              <w:jc w:val="center"/>
              <w:rPr>
                <w:b/>
                <w:bCs/>
              </w:rPr>
            </w:pPr>
            <w:r w:rsidRPr="007D5748">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08D2536" w14:textId="77777777" w:rsidR="00861281" w:rsidRPr="007D5748" w:rsidRDefault="00861281" w:rsidP="00861281">
            <w:pPr>
              <w:jc w:val="center"/>
              <w:rPr>
                <w:b/>
                <w:bCs/>
              </w:rPr>
            </w:pPr>
            <w:r w:rsidRPr="007D5748">
              <w:rPr>
                <w:b/>
                <w:bCs/>
              </w:rPr>
              <w:t>poznámka</w:t>
            </w:r>
          </w:p>
        </w:tc>
      </w:tr>
      <w:tr w:rsidR="00861281" w:rsidRPr="007D5748" w14:paraId="494A38F7" w14:textId="77777777" w:rsidTr="00861281">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14:paraId="400401D0" w14:textId="77777777" w:rsidR="00861281" w:rsidRPr="007D5748" w:rsidRDefault="00861281" w:rsidP="00861281">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14:paraId="74C66D0A" w14:textId="77777777" w:rsidR="00861281" w:rsidRPr="007D5748" w:rsidRDefault="00861281" w:rsidP="00861281">
            <w:pPr>
              <w:jc w:val="center"/>
              <w:rPr>
                <w:b/>
                <w:bCs/>
              </w:rPr>
            </w:pPr>
            <w:r>
              <w:rPr>
                <w:b/>
                <w:bCs/>
              </w:rPr>
              <w:t>2022</w:t>
            </w:r>
          </w:p>
        </w:tc>
        <w:tc>
          <w:tcPr>
            <w:tcW w:w="1500" w:type="dxa"/>
            <w:tcBorders>
              <w:top w:val="nil"/>
              <w:left w:val="nil"/>
              <w:bottom w:val="single" w:sz="4" w:space="0" w:color="auto"/>
              <w:right w:val="single" w:sz="4" w:space="0" w:color="auto"/>
            </w:tcBorders>
            <w:shd w:val="clear" w:color="auto" w:fill="BFBFBF" w:themeFill="background1" w:themeFillShade="BF"/>
          </w:tcPr>
          <w:p w14:paraId="7B5208B9" w14:textId="77777777" w:rsidR="00861281" w:rsidRPr="007D5748" w:rsidRDefault="00861281" w:rsidP="00861281">
            <w:pPr>
              <w:jc w:val="center"/>
              <w:rPr>
                <w:b/>
                <w:bCs/>
              </w:rPr>
            </w:pPr>
            <w:r>
              <w:rPr>
                <w:b/>
                <w:bCs/>
              </w:rPr>
              <w:t>2023</w:t>
            </w:r>
          </w:p>
        </w:tc>
        <w:tc>
          <w:tcPr>
            <w:tcW w:w="1500" w:type="dxa"/>
            <w:tcBorders>
              <w:top w:val="nil"/>
              <w:left w:val="nil"/>
              <w:bottom w:val="single" w:sz="4" w:space="0" w:color="auto"/>
              <w:right w:val="single" w:sz="4" w:space="0" w:color="auto"/>
            </w:tcBorders>
            <w:shd w:val="clear" w:color="auto" w:fill="BFBFBF" w:themeFill="background1" w:themeFillShade="BF"/>
          </w:tcPr>
          <w:p w14:paraId="15259739" w14:textId="77777777" w:rsidR="00861281" w:rsidRPr="007D5748" w:rsidRDefault="00861281" w:rsidP="00861281">
            <w:pPr>
              <w:jc w:val="center"/>
              <w:rPr>
                <w:b/>
                <w:bCs/>
              </w:rPr>
            </w:pPr>
            <w:r>
              <w:rPr>
                <w:b/>
                <w:bCs/>
              </w:rPr>
              <w:t>2024</w:t>
            </w:r>
          </w:p>
        </w:tc>
        <w:tc>
          <w:tcPr>
            <w:tcW w:w="1500" w:type="dxa"/>
            <w:tcBorders>
              <w:top w:val="nil"/>
              <w:left w:val="nil"/>
              <w:bottom w:val="single" w:sz="4" w:space="0" w:color="auto"/>
              <w:right w:val="single" w:sz="4" w:space="0" w:color="auto"/>
            </w:tcBorders>
            <w:shd w:val="clear" w:color="auto" w:fill="BFBFBF" w:themeFill="background1" w:themeFillShade="BF"/>
          </w:tcPr>
          <w:p w14:paraId="5E271C7A" w14:textId="77777777" w:rsidR="00861281" w:rsidRPr="007D5748" w:rsidRDefault="00861281" w:rsidP="00861281">
            <w:pPr>
              <w:jc w:val="center"/>
              <w:rPr>
                <w:b/>
                <w:bCs/>
              </w:rPr>
            </w:pPr>
            <w:r>
              <w:rPr>
                <w:b/>
                <w:bCs/>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14:paraId="1D7C6C0F" w14:textId="77777777" w:rsidR="00861281" w:rsidRPr="007D5748" w:rsidRDefault="00861281" w:rsidP="00861281">
            <w:pPr>
              <w:rPr>
                <w:b/>
                <w:bCs/>
                <w:color w:val="FFFFFF"/>
              </w:rPr>
            </w:pPr>
          </w:p>
        </w:tc>
      </w:tr>
      <w:tr w:rsidR="00861281" w:rsidRPr="007D5748" w14:paraId="35A6A9FA" w14:textId="77777777" w:rsidTr="00861281">
        <w:trPr>
          <w:trHeight w:val="255"/>
        </w:trPr>
        <w:tc>
          <w:tcPr>
            <w:tcW w:w="4950" w:type="dxa"/>
            <w:tcBorders>
              <w:top w:val="nil"/>
              <w:left w:val="single" w:sz="4" w:space="0" w:color="auto"/>
              <w:bottom w:val="single" w:sz="4" w:space="0" w:color="auto"/>
              <w:right w:val="single" w:sz="4" w:space="0" w:color="auto"/>
            </w:tcBorders>
          </w:tcPr>
          <w:p w14:paraId="3F783A71" w14:textId="77777777" w:rsidR="00861281" w:rsidRPr="007D5748" w:rsidRDefault="00861281" w:rsidP="00861281">
            <w:pPr>
              <w:rPr>
                <w:b/>
                <w:bCs/>
                <w:vertAlign w:val="superscript"/>
              </w:rPr>
            </w:pPr>
            <w:r w:rsidRPr="007D5748">
              <w:rPr>
                <w:b/>
                <w:bCs/>
              </w:rPr>
              <w:t>Daňové príjmy (100)</w:t>
            </w:r>
            <w:r w:rsidRPr="007D5748">
              <w:rPr>
                <w:b/>
                <w:bCs/>
                <w:vertAlign w:val="superscript"/>
              </w:rPr>
              <w:t>1</w:t>
            </w:r>
          </w:p>
        </w:tc>
        <w:tc>
          <w:tcPr>
            <w:tcW w:w="1500" w:type="dxa"/>
            <w:tcBorders>
              <w:top w:val="nil"/>
              <w:left w:val="nil"/>
              <w:bottom w:val="single" w:sz="4" w:space="0" w:color="auto"/>
              <w:right w:val="single" w:sz="4" w:space="0" w:color="auto"/>
            </w:tcBorders>
          </w:tcPr>
          <w:p w14:paraId="0266CB4F" w14:textId="77777777" w:rsidR="00861281" w:rsidRPr="007D5748" w:rsidRDefault="00861281" w:rsidP="00861281">
            <w:pPr>
              <w:jc w:val="center"/>
              <w:rPr>
                <w:b/>
                <w:bCs/>
              </w:rPr>
            </w:pPr>
          </w:p>
        </w:tc>
        <w:tc>
          <w:tcPr>
            <w:tcW w:w="1500" w:type="dxa"/>
            <w:tcBorders>
              <w:top w:val="nil"/>
              <w:left w:val="nil"/>
              <w:bottom w:val="single" w:sz="4" w:space="0" w:color="auto"/>
              <w:right w:val="single" w:sz="4" w:space="0" w:color="auto"/>
            </w:tcBorders>
          </w:tcPr>
          <w:p w14:paraId="3C924966" w14:textId="77777777" w:rsidR="00861281" w:rsidRPr="007D5748" w:rsidRDefault="00861281" w:rsidP="00861281">
            <w:pPr>
              <w:jc w:val="center"/>
              <w:rPr>
                <w:b/>
                <w:bCs/>
              </w:rPr>
            </w:pPr>
          </w:p>
        </w:tc>
        <w:tc>
          <w:tcPr>
            <w:tcW w:w="1500" w:type="dxa"/>
            <w:tcBorders>
              <w:top w:val="nil"/>
              <w:left w:val="nil"/>
              <w:bottom w:val="single" w:sz="4" w:space="0" w:color="auto"/>
              <w:right w:val="single" w:sz="4" w:space="0" w:color="auto"/>
            </w:tcBorders>
          </w:tcPr>
          <w:p w14:paraId="5316B4A2" w14:textId="77777777" w:rsidR="00861281" w:rsidRPr="007D5748" w:rsidRDefault="00861281" w:rsidP="00861281">
            <w:pPr>
              <w:jc w:val="center"/>
              <w:rPr>
                <w:b/>
                <w:bCs/>
              </w:rPr>
            </w:pPr>
          </w:p>
        </w:tc>
        <w:tc>
          <w:tcPr>
            <w:tcW w:w="1500" w:type="dxa"/>
            <w:tcBorders>
              <w:top w:val="nil"/>
              <w:left w:val="nil"/>
              <w:bottom w:val="single" w:sz="4" w:space="0" w:color="auto"/>
              <w:right w:val="single" w:sz="4" w:space="0" w:color="auto"/>
            </w:tcBorders>
          </w:tcPr>
          <w:p w14:paraId="291C8EE2" w14:textId="77777777" w:rsidR="00861281" w:rsidRPr="007D5748" w:rsidRDefault="00861281" w:rsidP="00861281">
            <w:pPr>
              <w:jc w:val="center"/>
              <w:rPr>
                <w:b/>
                <w:bCs/>
              </w:rPr>
            </w:pPr>
          </w:p>
        </w:tc>
        <w:tc>
          <w:tcPr>
            <w:tcW w:w="3000" w:type="dxa"/>
            <w:tcBorders>
              <w:top w:val="nil"/>
              <w:left w:val="nil"/>
              <w:bottom w:val="single" w:sz="4" w:space="0" w:color="auto"/>
              <w:right w:val="single" w:sz="4" w:space="0" w:color="auto"/>
            </w:tcBorders>
            <w:noWrap/>
            <w:vAlign w:val="bottom"/>
          </w:tcPr>
          <w:p w14:paraId="47A23A62" w14:textId="77777777" w:rsidR="00861281" w:rsidRPr="007D5748" w:rsidRDefault="00861281" w:rsidP="00861281">
            <w:r w:rsidRPr="007D5748">
              <w:t> </w:t>
            </w:r>
          </w:p>
        </w:tc>
      </w:tr>
      <w:tr w:rsidR="00861281" w:rsidRPr="007D5748" w14:paraId="4C3A41A6" w14:textId="77777777" w:rsidTr="00861281">
        <w:trPr>
          <w:trHeight w:val="255"/>
        </w:trPr>
        <w:tc>
          <w:tcPr>
            <w:tcW w:w="4950" w:type="dxa"/>
            <w:tcBorders>
              <w:top w:val="nil"/>
              <w:left w:val="single" w:sz="4" w:space="0" w:color="auto"/>
              <w:bottom w:val="single" w:sz="4" w:space="0" w:color="auto"/>
              <w:right w:val="single" w:sz="4" w:space="0" w:color="auto"/>
            </w:tcBorders>
          </w:tcPr>
          <w:p w14:paraId="55D3B6A2" w14:textId="77777777" w:rsidR="00861281" w:rsidRPr="007D5748" w:rsidRDefault="00861281" w:rsidP="00861281">
            <w:pPr>
              <w:rPr>
                <w:b/>
                <w:bCs/>
              </w:rPr>
            </w:pPr>
            <w:r w:rsidRPr="007D5748">
              <w:rPr>
                <w:b/>
                <w:bCs/>
              </w:rPr>
              <w:t>Nedaňové príjmy (200)</w:t>
            </w:r>
            <w:r w:rsidRPr="007D5748">
              <w:rPr>
                <w:b/>
                <w:bCs/>
                <w:vertAlign w:val="superscript"/>
              </w:rPr>
              <w:t>1</w:t>
            </w:r>
          </w:p>
        </w:tc>
        <w:tc>
          <w:tcPr>
            <w:tcW w:w="1500" w:type="dxa"/>
            <w:tcBorders>
              <w:top w:val="nil"/>
              <w:left w:val="nil"/>
              <w:bottom w:val="single" w:sz="4" w:space="0" w:color="auto"/>
              <w:right w:val="single" w:sz="4" w:space="0" w:color="auto"/>
            </w:tcBorders>
            <w:shd w:val="clear" w:color="auto" w:fill="auto"/>
          </w:tcPr>
          <w:p w14:paraId="36124463" w14:textId="77777777" w:rsidR="00861281" w:rsidRPr="007D5748" w:rsidRDefault="00861281" w:rsidP="00861281">
            <w:pPr>
              <w:jc w:val="center"/>
              <w:rPr>
                <w:b/>
                <w:bCs/>
              </w:rPr>
            </w:pPr>
          </w:p>
        </w:tc>
        <w:tc>
          <w:tcPr>
            <w:tcW w:w="1500" w:type="dxa"/>
            <w:tcBorders>
              <w:top w:val="nil"/>
              <w:left w:val="nil"/>
              <w:bottom w:val="single" w:sz="4" w:space="0" w:color="auto"/>
              <w:right w:val="single" w:sz="4" w:space="0" w:color="auto"/>
            </w:tcBorders>
            <w:shd w:val="clear" w:color="auto" w:fill="auto"/>
          </w:tcPr>
          <w:p w14:paraId="75D65424" w14:textId="77777777" w:rsidR="00861281" w:rsidRPr="007D5748" w:rsidRDefault="00861281" w:rsidP="00861281">
            <w:pPr>
              <w:jc w:val="center"/>
              <w:rPr>
                <w:b/>
                <w:bCs/>
              </w:rPr>
            </w:pPr>
          </w:p>
        </w:tc>
        <w:tc>
          <w:tcPr>
            <w:tcW w:w="1500" w:type="dxa"/>
            <w:tcBorders>
              <w:top w:val="nil"/>
              <w:left w:val="nil"/>
              <w:bottom w:val="single" w:sz="4" w:space="0" w:color="auto"/>
              <w:right w:val="single" w:sz="4" w:space="0" w:color="auto"/>
            </w:tcBorders>
            <w:shd w:val="clear" w:color="auto" w:fill="auto"/>
          </w:tcPr>
          <w:p w14:paraId="3A66E28A" w14:textId="77777777" w:rsidR="00861281" w:rsidRPr="007D5748" w:rsidRDefault="00861281" w:rsidP="00861281">
            <w:pPr>
              <w:jc w:val="center"/>
              <w:rPr>
                <w:b/>
                <w:bCs/>
              </w:rPr>
            </w:pPr>
          </w:p>
        </w:tc>
        <w:tc>
          <w:tcPr>
            <w:tcW w:w="1500" w:type="dxa"/>
            <w:tcBorders>
              <w:top w:val="nil"/>
              <w:left w:val="nil"/>
              <w:bottom w:val="single" w:sz="4" w:space="0" w:color="auto"/>
              <w:right w:val="single" w:sz="4" w:space="0" w:color="auto"/>
            </w:tcBorders>
            <w:shd w:val="clear" w:color="auto" w:fill="auto"/>
          </w:tcPr>
          <w:p w14:paraId="180D8C8C" w14:textId="77777777" w:rsidR="00861281" w:rsidRPr="007D5748" w:rsidRDefault="00861281" w:rsidP="00861281">
            <w:pPr>
              <w:jc w:val="center"/>
              <w:rPr>
                <w:b/>
                <w:bCs/>
              </w:rPr>
            </w:pPr>
          </w:p>
        </w:tc>
        <w:tc>
          <w:tcPr>
            <w:tcW w:w="3000" w:type="dxa"/>
            <w:tcBorders>
              <w:top w:val="nil"/>
              <w:left w:val="nil"/>
              <w:bottom w:val="single" w:sz="4" w:space="0" w:color="auto"/>
              <w:right w:val="single" w:sz="4" w:space="0" w:color="auto"/>
            </w:tcBorders>
            <w:noWrap/>
            <w:vAlign w:val="bottom"/>
          </w:tcPr>
          <w:p w14:paraId="5AD5841D" w14:textId="77777777" w:rsidR="00861281" w:rsidRPr="007D5748" w:rsidRDefault="00861281" w:rsidP="00861281">
            <w:r w:rsidRPr="007D5748">
              <w:t> </w:t>
            </w:r>
          </w:p>
        </w:tc>
      </w:tr>
      <w:tr w:rsidR="00861281" w:rsidRPr="007D5748" w14:paraId="60C3FAEF" w14:textId="77777777" w:rsidTr="00861281">
        <w:trPr>
          <w:trHeight w:val="255"/>
        </w:trPr>
        <w:tc>
          <w:tcPr>
            <w:tcW w:w="4950" w:type="dxa"/>
            <w:tcBorders>
              <w:top w:val="nil"/>
              <w:left w:val="single" w:sz="4" w:space="0" w:color="auto"/>
              <w:bottom w:val="single" w:sz="4" w:space="0" w:color="auto"/>
              <w:right w:val="single" w:sz="4" w:space="0" w:color="auto"/>
            </w:tcBorders>
          </w:tcPr>
          <w:p w14:paraId="71F55378" w14:textId="77777777" w:rsidR="00861281" w:rsidRPr="007D5748" w:rsidRDefault="00861281" w:rsidP="00861281">
            <w:pPr>
              <w:rPr>
                <w:b/>
                <w:bCs/>
              </w:rPr>
            </w:pPr>
            <w:r w:rsidRPr="007D5748">
              <w:rPr>
                <w:b/>
                <w:bCs/>
              </w:rPr>
              <w:t>Granty a transfery (300)</w:t>
            </w:r>
            <w:r w:rsidRPr="007D5748">
              <w:rPr>
                <w:b/>
                <w:bCs/>
                <w:vertAlign w:val="superscript"/>
              </w:rPr>
              <w:t>1</w:t>
            </w:r>
          </w:p>
        </w:tc>
        <w:tc>
          <w:tcPr>
            <w:tcW w:w="1500" w:type="dxa"/>
            <w:tcBorders>
              <w:top w:val="nil"/>
              <w:left w:val="nil"/>
              <w:bottom w:val="single" w:sz="4" w:space="0" w:color="auto"/>
              <w:right w:val="single" w:sz="4" w:space="0" w:color="auto"/>
            </w:tcBorders>
          </w:tcPr>
          <w:p w14:paraId="6B901E73" w14:textId="77777777" w:rsidR="00861281" w:rsidRPr="007D5748" w:rsidRDefault="00861281" w:rsidP="00861281">
            <w:pPr>
              <w:jc w:val="center"/>
              <w:rPr>
                <w:b/>
                <w:bCs/>
              </w:rPr>
            </w:pPr>
          </w:p>
        </w:tc>
        <w:tc>
          <w:tcPr>
            <w:tcW w:w="1500" w:type="dxa"/>
            <w:tcBorders>
              <w:top w:val="nil"/>
              <w:left w:val="nil"/>
              <w:bottom w:val="single" w:sz="4" w:space="0" w:color="auto"/>
              <w:right w:val="single" w:sz="4" w:space="0" w:color="auto"/>
            </w:tcBorders>
          </w:tcPr>
          <w:p w14:paraId="12ED055C" w14:textId="77777777" w:rsidR="00861281" w:rsidRPr="007D5748" w:rsidRDefault="00861281" w:rsidP="00861281">
            <w:pPr>
              <w:jc w:val="center"/>
              <w:rPr>
                <w:b/>
                <w:bCs/>
              </w:rPr>
            </w:pPr>
          </w:p>
        </w:tc>
        <w:tc>
          <w:tcPr>
            <w:tcW w:w="1500" w:type="dxa"/>
            <w:tcBorders>
              <w:top w:val="nil"/>
              <w:left w:val="nil"/>
              <w:bottom w:val="single" w:sz="4" w:space="0" w:color="auto"/>
              <w:right w:val="single" w:sz="4" w:space="0" w:color="auto"/>
            </w:tcBorders>
          </w:tcPr>
          <w:p w14:paraId="29F35D56" w14:textId="77777777" w:rsidR="00861281" w:rsidRPr="007D5748" w:rsidRDefault="00861281" w:rsidP="00861281">
            <w:pPr>
              <w:jc w:val="center"/>
              <w:rPr>
                <w:b/>
                <w:bCs/>
              </w:rPr>
            </w:pPr>
          </w:p>
        </w:tc>
        <w:tc>
          <w:tcPr>
            <w:tcW w:w="1500" w:type="dxa"/>
            <w:tcBorders>
              <w:top w:val="nil"/>
              <w:left w:val="nil"/>
              <w:bottom w:val="single" w:sz="4" w:space="0" w:color="auto"/>
              <w:right w:val="single" w:sz="4" w:space="0" w:color="auto"/>
            </w:tcBorders>
          </w:tcPr>
          <w:p w14:paraId="78506795" w14:textId="77777777" w:rsidR="00861281" w:rsidRPr="007D5748" w:rsidRDefault="00861281" w:rsidP="00861281">
            <w:pPr>
              <w:jc w:val="center"/>
              <w:rPr>
                <w:b/>
                <w:bCs/>
              </w:rPr>
            </w:pPr>
          </w:p>
        </w:tc>
        <w:tc>
          <w:tcPr>
            <w:tcW w:w="3000" w:type="dxa"/>
            <w:tcBorders>
              <w:top w:val="nil"/>
              <w:left w:val="nil"/>
              <w:bottom w:val="single" w:sz="4" w:space="0" w:color="auto"/>
              <w:right w:val="single" w:sz="4" w:space="0" w:color="auto"/>
            </w:tcBorders>
            <w:noWrap/>
            <w:vAlign w:val="bottom"/>
          </w:tcPr>
          <w:p w14:paraId="3FA2B9F0" w14:textId="77777777" w:rsidR="00861281" w:rsidRPr="007D5748" w:rsidRDefault="00861281" w:rsidP="00861281">
            <w:r w:rsidRPr="007D5748">
              <w:t> </w:t>
            </w:r>
          </w:p>
        </w:tc>
      </w:tr>
      <w:tr w:rsidR="00861281" w:rsidRPr="007D5748" w14:paraId="0550DC71" w14:textId="77777777" w:rsidTr="00861281">
        <w:trPr>
          <w:trHeight w:val="255"/>
        </w:trPr>
        <w:tc>
          <w:tcPr>
            <w:tcW w:w="4950" w:type="dxa"/>
            <w:tcBorders>
              <w:top w:val="nil"/>
              <w:left w:val="single" w:sz="4" w:space="0" w:color="auto"/>
              <w:bottom w:val="single" w:sz="4" w:space="0" w:color="auto"/>
              <w:right w:val="single" w:sz="4" w:space="0" w:color="auto"/>
            </w:tcBorders>
          </w:tcPr>
          <w:p w14:paraId="597E9F5B" w14:textId="77777777" w:rsidR="00861281" w:rsidRPr="007D5748" w:rsidRDefault="00861281" w:rsidP="00861281">
            <w:pPr>
              <w:rPr>
                <w:b/>
                <w:bCs/>
              </w:rPr>
            </w:pPr>
            <w:r w:rsidRPr="007D5748">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14:paraId="69B43B8D" w14:textId="77777777" w:rsidR="00861281" w:rsidRPr="007D5748" w:rsidRDefault="00861281" w:rsidP="00861281">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14:paraId="425D73BA" w14:textId="77777777" w:rsidR="00861281" w:rsidRPr="007D5748" w:rsidRDefault="00861281" w:rsidP="00861281">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14:paraId="162D88CE" w14:textId="77777777" w:rsidR="00861281" w:rsidRPr="007D5748" w:rsidRDefault="00861281" w:rsidP="00861281">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14:paraId="6BE5FF54" w14:textId="77777777" w:rsidR="00861281" w:rsidRPr="007D5748" w:rsidRDefault="00861281" w:rsidP="00861281">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14:paraId="71813811" w14:textId="77777777" w:rsidR="00861281" w:rsidRPr="007D5748" w:rsidRDefault="00861281" w:rsidP="00861281">
            <w:r w:rsidRPr="007D5748">
              <w:t> </w:t>
            </w:r>
          </w:p>
        </w:tc>
      </w:tr>
      <w:tr w:rsidR="00861281" w:rsidRPr="007D5748" w14:paraId="3CB0D273" w14:textId="77777777" w:rsidTr="00861281">
        <w:trPr>
          <w:trHeight w:val="255"/>
        </w:trPr>
        <w:tc>
          <w:tcPr>
            <w:tcW w:w="4950" w:type="dxa"/>
            <w:tcBorders>
              <w:top w:val="nil"/>
              <w:left w:val="single" w:sz="4" w:space="0" w:color="auto"/>
              <w:bottom w:val="single" w:sz="4" w:space="0" w:color="auto"/>
              <w:right w:val="single" w:sz="4" w:space="0" w:color="auto"/>
            </w:tcBorders>
          </w:tcPr>
          <w:p w14:paraId="0A257CB2" w14:textId="77777777" w:rsidR="00861281" w:rsidRPr="007D5748" w:rsidRDefault="00861281" w:rsidP="00861281">
            <w:pPr>
              <w:rPr>
                <w:b/>
                <w:bCs/>
              </w:rPr>
            </w:pPr>
            <w:r w:rsidRPr="007D5748">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14:paraId="5B2D817E" w14:textId="77777777" w:rsidR="00861281" w:rsidRPr="007D5748" w:rsidRDefault="00861281" w:rsidP="00861281">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14:paraId="7BCDADE4" w14:textId="77777777" w:rsidR="00861281" w:rsidRPr="007D5748" w:rsidRDefault="00861281" w:rsidP="00861281">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14:paraId="1C94EBFB" w14:textId="77777777" w:rsidR="00861281" w:rsidRPr="007D5748" w:rsidRDefault="00861281" w:rsidP="00861281">
            <w:pPr>
              <w:jc w:val="center"/>
              <w:rPr>
                <w:b/>
                <w:bCs/>
              </w:rPr>
            </w:pPr>
            <w:r w:rsidRPr="007D5748">
              <w:rPr>
                <w:b/>
                <w:bCs/>
              </w:rPr>
              <w:t> </w:t>
            </w:r>
          </w:p>
        </w:tc>
        <w:tc>
          <w:tcPr>
            <w:tcW w:w="1500" w:type="dxa"/>
            <w:tcBorders>
              <w:top w:val="nil"/>
              <w:left w:val="nil"/>
              <w:bottom w:val="single" w:sz="4" w:space="0" w:color="auto"/>
              <w:right w:val="single" w:sz="4" w:space="0" w:color="auto"/>
            </w:tcBorders>
            <w:shd w:val="clear" w:color="auto" w:fill="FFFF99"/>
          </w:tcPr>
          <w:p w14:paraId="182DC23F" w14:textId="77777777" w:rsidR="00861281" w:rsidRPr="007D5748" w:rsidRDefault="00861281" w:rsidP="00861281">
            <w:pPr>
              <w:jc w:val="center"/>
              <w:rPr>
                <w:b/>
                <w:bCs/>
              </w:rPr>
            </w:pPr>
            <w:r w:rsidRPr="007D5748">
              <w:rPr>
                <w:b/>
                <w:bCs/>
              </w:rPr>
              <w:t> </w:t>
            </w:r>
          </w:p>
        </w:tc>
        <w:tc>
          <w:tcPr>
            <w:tcW w:w="3000" w:type="dxa"/>
            <w:tcBorders>
              <w:top w:val="nil"/>
              <w:left w:val="nil"/>
              <w:bottom w:val="single" w:sz="4" w:space="0" w:color="auto"/>
              <w:right w:val="single" w:sz="4" w:space="0" w:color="auto"/>
            </w:tcBorders>
            <w:noWrap/>
            <w:vAlign w:val="bottom"/>
          </w:tcPr>
          <w:p w14:paraId="2E8197FF" w14:textId="77777777" w:rsidR="00861281" w:rsidRPr="007D5748" w:rsidRDefault="00861281" w:rsidP="00861281">
            <w:r w:rsidRPr="007D5748">
              <w:t> </w:t>
            </w:r>
          </w:p>
        </w:tc>
      </w:tr>
      <w:tr w:rsidR="00861281" w:rsidRPr="007D5748" w14:paraId="45AA8819" w14:textId="77777777" w:rsidTr="00861281">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14:paraId="6686642F" w14:textId="77777777" w:rsidR="00861281" w:rsidRPr="007D5748" w:rsidRDefault="00861281" w:rsidP="00861281">
            <w:pPr>
              <w:rPr>
                <w:b/>
                <w:bCs/>
              </w:rPr>
            </w:pPr>
            <w:r w:rsidRPr="007D5748">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14:paraId="4CBE5A2E" w14:textId="77777777" w:rsidR="00861281" w:rsidRPr="007D5748" w:rsidRDefault="00861281" w:rsidP="00861281">
            <w:pPr>
              <w:jc w:val="center"/>
              <w:rPr>
                <w:b/>
                <w:bCs/>
              </w:rPr>
            </w:pPr>
            <w:r w:rsidRPr="007D5748">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3D968142" w14:textId="77777777" w:rsidR="00861281" w:rsidRPr="007D5748" w:rsidRDefault="00861281" w:rsidP="00861281">
            <w:pPr>
              <w:jc w:val="center"/>
              <w:rPr>
                <w:b/>
                <w:bCs/>
              </w:rPr>
            </w:pPr>
            <w:r w:rsidRPr="004F5649">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51E9A60E" w14:textId="77777777" w:rsidR="00861281" w:rsidRPr="007D5748" w:rsidRDefault="00861281" w:rsidP="00861281">
            <w:pPr>
              <w:jc w:val="center"/>
              <w:rPr>
                <w:b/>
                <w:bCs/>
              </w:rPr>
            </w:pPr>
            <w:r w:rsidRPr="004F5649">
              <w:rPr>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14:paraId="0B944234" w14:textId="77777777" w:rsidR="00861281" w:rsidRPr="007D5748" w:rsidRDefault="00861281" w:rsidP="00861281">
            <w:pPr>
              <w:jc w:val="center"/>
              <w:rPr>
                <w:b/>
                <w:bCs/>
              </w:rPr>
            </w:pPr>
            <w:r w:rsidRPr="004F5649">
              <w:rPr>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14:paraId="51BC7392" w14:textId="77777777" w:rsidR="00861281" w:rsidRPr="007D5748" w:rsidRDefault="00861281" w:rsidP="00861281">
            <w:r w:rsidRPr="007D5748">
              <w:t> </w:t>
            </w:r>
          </w:p>
        </w:tc>
      </w:tr>
    </w:tbl>
    <w:p w14:paraId="3A33FBAD" w14:textId="77777777" w:rsidR="00861281" w:rsidRPr="007D5748" w:rsidRDefault="00861281" w:rsidP="00861281">
      <w:pPr>
        <w:tabs>
          <w:tab w:val="num" w:pos="1080"/>
        </w:tabs>
        <w:jc w:val="both"/>
        <w:rPr>
          <w:bCs/>
          <w:szCs w:val="20"/>
        </w:rPr>
      </w:pPr>
    </w:p>
    <w:p w14:paraId="774AF875" w14:textId="77777777" w:rsidR="00861281" w:rsidRDefault="00861281" w:rsidP="00861281">
      <w:pPr>
        <w:tabs>
          <w:tab w:val="num" w:pos="1080"/>
        </w:tabs>
        <w:jc w:val="right"/>
        <w:rPr>
          <w:bCs/>
        </w:rPr>
      </w:pPr>
    </w:p>
    <w:p w14:paraId="122A8DD4" w14:textId="77777777" w:rsidR="00861281" w:rsidRPr="007D5748" w:rsidRDefault="00861281" w:rsidP="00861281">
      <w:pPr>
        <w:tabs>
          <w:tab w:val="num" w:pos="1080"/>
        </w:tabs>
        <w:jc w:val="both"/>
        <w:rPr>
          <w:bCs/>
          <w:szCs w:val="20"/>
        </w:rPr>
      </w:pPr>
    </w:p>
    <w:p w14:paraId="058FB218" w14:textId="77777777" w:rsidR="00861281" w:rsidRPr="007D5748" w:rsidRDefault="00861281" w:rsidP="00861281">
      <w:pPr>
        <w:tabs>
          <w:tab w:val="num" w:pos="1080"/>
        </w:tabs>
        <w:jc w:val="both"/>
        <w:rPr>
          <w:bCs/>
          <w:sz w:val="20"/>
          <w:szCs w:val="20"/>
        </w:rPr>
      </w:pPr>
      <w:r w:rsidRPr="007D5748">
        <w:rPr>
          <w:bCs/>
          <w:sz w:val="20"/>
          <w:szCs w:val="20"/>
        </w:rPr>
        <w:t>1 –  príjmy rozpísať až do položiek platnej ekonomickej klasifikácie</w:t>
      </w:r>
    </w:p>
    <w:p w14:paraId="74AFFF68" w14:textId="77777777" w:rsidR="00861281" w:rsidRPr="007D5748" w:rsidRDefault="00861281" w:rsidP="00861281">
      <w:pPr>
        <w:tabs>
          <w:tab w:val="num" w:pos="1080"/>
        </w:tabs>
        <w:jc w:val="both"/>
        <w:rPr>
          <w:bCs/>
          <w:szCs w:val="20"/>
        </w:rPr>
      </w:pPr>
    </w:p>
    <w:p w14:paraId="1EE63DEE" w14:textId="77777777" w:rsidR="00861281" w:rsidRPr="007D5748" w:rsidRDefault="00861281" w:rsidP="00861281">
      <w:pPr>
        <w:tabs>
          <w:tab w:val="num" w:pos="1080"/>
        </w:tabs>
        <w:jc w:val="both"/>
        <w:rPr>
          <w:b/>
          <w:bCs/>
          <w:szCs w:val="20"/>
        </w:rPr>
      </w:pPr>
      <w:r w:rsidRPr="007D5748">
        <w:rPr>
          <w:b/>
          <w:bCs/>
          <w:szCs w:val="20"/>
        </w:rPr>
        <w:t>Poznámka:</w:t>
      </w:r>
    </w:p>
    <w:p w14:paraId="01E2A4C3" w14:textId="77777777" w:rsidR="00861281" w:rsidRPr="007D5748" w:rsidRDefault="00861281" w:rsidP="00861281">
      <w:pPr>
        <w:tabs>
          <w:tab w:val="num" w:pos="1080"/>
        </w:tabs>
        <w:jc w:val="both"/>
        <w:rPr>
          <w:bCs/>
          <w:szCs w:val="20"/>
        </w:rPr>
      </w:pPr>
      <w:r w:rsidRPr="007D5748">
        <w:rPr>
          <w:bCs/>
          <w:szCs w:val="20"/>
        </w:rPr>
        <w:t>Ak sa vplyv týka viacerých subjektov verejnej správy, vypĺňa sa samostatná tabuľka za každý subjekt.</w:t>
      </w:r>
    </w:p>
    <w:p w14:paraId="6ED78363" w14:textId="77777777" w:rsidR="00861281" w:rsidRPr="007D5748" w:rsidRDefault="00861281" w:rsidP="00861281">
      <w:pPr>
        <w:tabs>
          <w:tab w:val="num" w:pos="1080"/>
        </w:tabs>
        <w:ind w:right="-578"/>
        <w:jc w:val="right"/>
        <w:rPr>
          <w:bCs/>
        </w:rPr>
      </w:pPr>
    </w:p>
    <w:p w14:paraId="5CD84FCC" w14:textId="77777777" w:rsidR="00861281" w:rsidRPr="007D5748" w:rsidRDefault="00861281" w:rsidP="00861281">
      <w:pPr>
        <w:tabs>
          <w:tab w:val="num" w:pos="1080"/>
        </w:tabs>
        <w:ind w:right="-578"/>
        <w:jc w:val="right"/>
        <w:rPr>
          <w:bCs/>
        </w:rPr>
      </w:pPr>
    </w:p>
    <w:p w14:paraId="717A25FD" w14:textId="77777777" w:rsidR="00861281" w:rsidRPr="007D5748" w:rsidRDefault="00861281" w:rsidP="00861281">
      <w:pPr>
        <w:tabs>
          <w:tab w:val="num" w:pos="1080"/>
        </w:tabs>
        <w:ind w:right="-578"/>
        <w:jc w:val="right"/>
        <w:rPr>
          <w:bCs/>
        </w:rPr>
      </w:pPr>
    </w:p>
    <w:p w14:paraId="761055CA" w14:textId="77777777" w:rsidR="00861281" w:rsidRPr="007D5748" w:rsidRDefault="00861281" w:rsidP="00861281">
      <w:pPr>
        <w:tabs>
          <w:tab w:val="num" w:pos="1080"/>
        </w:tabs>
        <w:ind w:right="-578"/>
        <w:jc w:val="right"/>
        <w:rPr>
          <w:bCs/>
        </w:rPr>
      </w:pPr>
    </w:p>
    <w:p w14:paraId="6BB82263" w14:textId="77777777" w:rsidR="00861281" w:rsidRPr="007D5748" w:rsidRDefault="00861281" w:rsidP="00861281">
      <w:pPr>
        <w:tabs>
          <w:tab w:val="num" w:pos="1080"/>
        </w:tabs>
        <w:ind w:right="-578"/>
        <w:jc w:val="right"/>
        <w:rPr>
          <w:bCs/>
        </w:rPr>
      </w:pPr>
    </w:p>
    <w:p w14:paraId="120C217C" w14:textId="77777777" w:rsidR="00861281" w:rsidRPr="007D5748" w:rsidRDefault="00861281" w:rsidP="00861281">
      <w:pPr>
        <w:tabs>
          <w:tab w:val="num" w:pos="1080"/>
        </w:tabs>
        <w:ind w:right="-578"/>
        <w:jc w:val="right"/>
        <w:rPr>
          <w:bCs/>
        </w:rPr>
      </w:pPr>
    </w:p>
    <w:p w14:paraId="766D4CB6" w14:textId="77777777" w:rsidR="00861281" w:rsidRPr="007D5748" w:rsidRDefault="00861281" w:rsidP="00861281">
      <w:pPr>
        <w:tabs>
          <w:tab w:val="num" w:pos="1080"/>
        </w:tabs>
        <w:ind w:right="-578"/>
        <w:jc w:val="right"/>
        <w:rPr>
          <w:bCs/>
        </w:rPr>
      </w:pPr>
    </w:p>
    <w:p w14:paraId="5A24EAEF" w14:textId="77777777" w:rsidR="00861281" w:rsidRDefault="00861281" w:rsidP="00861281">
      <w:pPr>
        <w:tabs>
          <w:tab w:val="num" w:pos="1080"/>
        </w:tabs>
        <w:ind w:right="-32"/>
        <w:jc w:val="right"/>
        <w:rPr>
          <w:bCs/>
        </w:rPr>
      </w:pPr>
    </w:p>
    <w:p w14:paraId="5555C6BD" w14:textId="77777777" w:rsidR="00861281" w:rsidRDefault="00861281" w:rsidP="00861281">
      <w:pPr>
        <w:tabs>
          <w:tab w:val="num" w:pos="1080"/>
        </w:tabs>
        <w:ind w:right="-32"/>
        <w:jc w:val="right"/>
        <w:rPr>
          <w:bCs/>
        </w:rPr>
      </w:pPr>
    </w:p>
    <w:p w14:paraId="56B61A6C" w14:textId="77777777" w:rsidR="00861281" w:rsidRDefault="00861281" w:rsidP="00861281">
      <w:pPr>
        <w:tabs>
          <w:tab w:val="num" w:pos="1080"/>
        </w:tabs>
        <w:ind w:right="-32"/>
        <w:jc w:val="right"/>
        <w:rPr>
          <w:bCs/>
        </w:rPr>
      </w:pPr>
    </w:p>
    <w:p w14:paraId="6697CEE1" w14:textId="77777777" w:rsidR="00861281" w:rsidRDefault="00861281" w:rsidP="00861281">
      <w:pPr>
        <w:tabs>
          <w:tab w:val="num" w:pos="1080"/>
        </w:tabs>
        <w:ind w:right="-32"/>
        <w:jc w:val="right"/>
        <w:rPr>
          <w:bCs/>
        </w:rPr>
      </w:pPr>
    </w:p>
    <w:p w14:paraId="2320924E" w14:textId="77777777" w:rsidR="00861281" w:rsidRDefault="00861281" w:rsidP="00861281">
      <w:pPr>
        <w:tabs>
          <w:tab w:val="num" w:pos="1080"/>
        </w:tabs>
        <w:ind w:right="-32"/>
        <w:jc w:val="right"/>
        <w:rPr>
          <w:bCs/>
        </w:rPr>
      </w:pPr>
    </w:p>
    <w:p w14:paraId="3399717C" w14:textId="77777777" w:rsidR="00861281" w:rsidRDefault="00861281" w:rsidP="00861281">
      <w:pPr>
        <w:tabs>
          <w:tab w:val="num" w:pos="1080"/>
        </w:tabs>
        <w:ind w:right="-32"/>
        <w:jc w:val="right"/>
        <w:rPr>
          <w:bCs/>
        </w:rPr>
      </w:pPr>
    </w:p>
    <w:p w14:paraId="20A36FE6" w14:textId="77777777" w:rsidR="00861281" w:rsidRDefault="00861281" w:rsidP="00861281">
      <w:pPr>
        <w:tabs>
          <w:tab w:val="num" w:pos="1080"/>
        </w:tabs>
        <w:ind w:right="-32"/>
        <w:jc w:val="right"/>
        <w:rPr>
          <w:bCs/>
        </w:rPr>
      </w:pPr>
    </w:p>
    <w:p w14:paraId="390899D4" w14:textId="77777777" w:rsidR="00861281" w:rsidRPr="007D5748" w:rsidRDefault="00861281" w:rsidP="00861281">
      <w:pPr>
        <w:tabs>
          <w:tab w:val="num" w:pos="1080"/>
        </w:tabs>
        <w:ind w:right="-32"/>
        <w:jc w:val="right"/>
        <w:rPr>
          <w:bCs/>
        </w:rPr>
      </w:pPr>
      <w:r w:rsidRPr="007D5748">
        <w:rPr>
          <w:bCs/>
        </w:rPr>
        <w:lastRenderedPageBreak/>
        <w:t xml:space="preserve">Tabuľka č. 4 </w:t>
      </w:r>
    </w:p>
    <w:p w14:paraId="1A023A9A" w14:textId="77777777" w:rsidR="00861281" w:rsidRPr="007D5748" w:rsidRDefault="00861281" w:rsidP="00861281">
      <w:pPr>
        <w:tabs>
          <w:tab w:val="num" w:pos="1080"/>
        </w:tabs>
        <w:jc w:val="both"/>
        <w:rPr>
          <w:bCs/>
          <w:szCs w:val="20"/>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861281" w:rsidRPr="007D5748" w14:paraId="046978B4" w14:textId="77777777" w:rsidTr="00861281">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628EDE97" w14:textId="77777777" w:rsidR="00861281" w:rsidRPr="007D5748" w:rsidRDefault="00861281" w:rsidP="00861281">
            <w:pPr>
              <w:jc w:val="center"/>
              <w:rPr>
                <w:b/>
                <w:bCs/>
                <w:sz w:val="20"/>
                <w:szCs w:val="20"/>
              </w:rPr>
            </w:pPr>
            <w:r w:rsidRPr="007D5748">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14:paraId="1DFE2CFC" w14:textId="77777777" w:rsidR="00861281" w:rsidRPr="007D5748" w:rsidRDefault="00861281" w:rsidP="00861281">
            <w:pPr>
              <w:jc w:val="center"/>
              <w:rPr>
                <w:b/>
                <w:bCs/>
                <w:sz w:val="20"/>
                <w:szCs w:val="20"/>
              </w:rPr>
            </w:pPr>
            <w:r w:rsidRPr="007D5748">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B108921" w14:textId="77777777" w:rsidR="00861281" w:rsidRPr="007D5748" w:rsidRDefault="00861281" w:rsidP="00861281">
            <w:pPr>
              <w:jc w:val="center"/>
              <w:rPr>
                <w:b/>
                <w:bCs/>
              </w:rPr>
            </w:pPr>
            <w:r w:rsidRPr="007D5748">
              <w:rPr>
                <w:b/>
                <w:bCs/>
              </w:rPr>
              <w:t>poznámka</w:t>
            </w:r>
          </w:p>
        </w:tc>
      </w:tr>
      <w:tr w:rsidR="00861281" w:rsidRPr="007D5748" w14:paraId="3E92F98F" w14:textId="77777777" w:rsidTr="00861281">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14:paraId="5D485054" w14:textId="77777777" w:rsidR="00861281" w:rsidRPr="007D5748" w:rsidRDefault="00861281" w:rsidP="00861281">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14:paraId="3A3E9689" w14:textId="77777777" w:rsidR="00861281" w:rsidRPr="007D5748" w:rsidRDefault="00861281" w:rsidP="00861281">
            <w:pPr>
              <w:jc w:val="center"/>
              <w:rPr>
                <w:b/>
                <w:bCs/>
                <w:sz w:val="20"/>
                <w:szCs w:val="20"/>
              </w:rPr>
            </w:pPr>
            <w:r>
              <w:rPr>
                <w:b/>
                <w:bCs/>
                <w:sz w:val="20"/>
                <w:szCs w:val="20"/>
              </w:rPr>
              <w:t>2022</w:t>
            </w:r>
          </w:p>
        </w:tc>
        <w:tc>
          <w:tcPr>
            <w:tcW w:w="1540" w:type="dxa"/>
            <w:tcBorders>
              <w:top w:val="nil"/>
              <w:left w:val="nil"/>
              <w:bottom w:val="single" w:sz="4" w:space="0" w:color="auto"/>
              <w:right w:val="single" w:sz="4" w:space="0" w:color="auto"/>
            </w:tcBorders>
            <w:shd w:val="clear" w:color="auto" w:fill="BFBFBF" w:themeFill="background1" w:themeFillShade="BF"/>
          </w:tcPr>
          <w:p w14:paraId="0E21CE74" w14:textId="77777777" w:rsidR="00861281" w:rsidRPr="007D5748" w:rsidRDefault="00861281" w:rsidP="00861281">
            <w:pPr>
              <w:jc w:val="center"/>
              <w:rPr>
                <w:b/>
                <w:bCs/>
                <w:sz w:val="20"/>
                <w:szCs w:val="20"/>
              </w:rPr>
            </w:pPr>
            <w:r>
              <w:rPr>
                <w:b/>
                <w:bCs/>
                <w:sz w:val="20"/>
                <w:szCs w:val="20"/>
              </w:rPr>
              <w:t>2023</w:t>
            </w:r>
          </w:p>
        </w:tc>
        <w:tc>
          <w:tcPr>
            <w:tcW w:w="1540" w:type="dxa"/>
            <w:tcBorders>
              <w:top w:val="nil"/>
              <w:left w:val="nil"/>
              <w:bottom w:val="single" w:sz="4" w:space="0" w:color="auto"/>
              <w:right w:val="single" w:sz="4" w:space="0" w:color="auto"/>
            </w:tcBorders>
            <w:shd w:val="clear" w:color="auto" w:fill="BFBFBF" w:themeFill="background1" w:themeFillShade="BF"/>
          </w:tcPr>
          <w:p w14:paraId="41F9F2F6" w14:textId="77777777" w:rsidR="00861281" w:rsidRPr="007D5748" w:rsidRDefault="00861281" w:rsidP="00861281">
            <w:pPr>
              <w:jc w:val="center"/>
              <w:rPr>
                <w:b/>
                <w:bCs/>
                <w:sz w:val="20"/>
                <w:szCs w:val="20"/>
              </w:rPr>
            </w:pPr>
            <w:r>
              <w:rPr>
                <w:b/>
                <w:bCs/>
                <w:sz w:val="20"/>
                <w:szCs w:val="20"/>
              </w:rPr>
              <w:t>2024</w:t>
            </w:r>
          </w:p>
        </w:tc>
        <w:tc>
          <w:tcPr>
            <w:tcW w:w="1540" w:type="dxa"/>
            <w:tcBorders>
              <w:top w:val="nil"/>
              <w:left w:val="nil"/>
              <w:bottom w:val="single" w:sz="4" w:space="0" w:color="auto"/>
              <w:right w:val="single" w:sz="4" w:space="0" w:color="auto"/>
            </w:tcBorders>
            <w:shd w:val="clear" w:color="auto" w:fill="BFBFBF" w:themeFill="background1" w:themeFillShade="BF"/>
          </w:tcPr>
          <w:p w14:paraId="2CEA9166" w14:textId="77777777" w:rsidR="00861281" w:rsidRPr="003130D2" w:rsidRDefault="00861281" w:rsidP="00861281">
            <w:pPr>
              <w:jc w:val="center"/>
              <w:rPr>
                <w:b/>
                <w:bCs/>
                <w:sz w:val="20"/>
                <w:szCs w:val="20"/>
              </w:rPr>
            </w:pPr>
            <w:r>
              <w:rPr>
                <w:b/>
                <w:bCs/>
                <w:sz w:val="20"/>
                <w:szCs w:val="20"/>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14:paraId="3DD8BB37" w14:textId="77777777" w:rsidR="00861281" w:rsidRPr="007D5748" w:rsidRDefault="00861281" w:rsidP="00861281">
            <w:pPr>
              <w:rPr>
                <w:b/>
                <w:bCs/>
                <w:color w:val="FFFFFF"/>
              </w:rPr>
            </w:pPr>
          </w:p>
        </w:tc>
      </w:tr>
      <w:tr w:rsidR="00861281" w:rsidRPr="007D5748" w14:paraId="03904B73" w14:textId="77777777" w:rsidTr="00861281">
        <w:trPr>
          <w:trHeight w:val="255"/>
        </w:trPr>
        <w:tc>
          <w:tcPr>
            <w:tcW w:w="7070" w:type="dxa"/>
            <w:tcBorders>
              <w:top w:val="nil"/>
              <w:left w:val="single" w:sz="4" w:space="0" w:color="auto"/>
              <w:bottom w:val="single" w:sz="4" w:space="0" w:color="auto"/>
              <w:right w:val="single" w:sz="4" w:space="0" w:color="auto"/>
            </w:tcBorders>
          </w:tcPr>
          <w:p w14:paraId="277CAEDA" w14:textId="77777777" w:rsidR="00861281" w:rsidRPr="007D5748" w:rsidRDefault="00861281" w:rsidP="00861281">
            <w:pPr>
              <w:rPr>
                <w:b/>
                <w:bCs/>
                <w:sz w:val="20"/>
                <w:szCs w:val="20"/>
              </w:rPr>
            </w:pPr>
            <w:r w:rsidRPr="007D5748">
              <w:rPr>
                <w:b/>
                <w:bCs/>
                <w:sz w:val="20"/>
                <w:szCs w:val="20"/>
              </w:rPr>
              <w:t>Bežné výdavky (600)</w:t>
            </w:r>
          </w:p>
        </w:tc>
        <w:tc>
          <w:tcPr>
            <w:tcW w:w="1540" w:type="dxa"/>
            <w:tcBorders>
              <w:top w:val="nil"/>
              <w:left w:val="nil"/>
              <w:bottom w:val="single" w:sz="4" w:space="0" w:color="auto"/>
              <w:right w:val="single" w:sz="4" w:space="0" w:color="auto"/>
            </w:tcBorders>
          </w:tcPr>
          <w:p w14:paraId="754CBB1B" w14:textId="77777777" w:rsidR="00861281" w:rsidRPr="007D5748" w:rsidRDefault="00861281" w:rsidP="00861281">
            <w:pPr>
              <w:jc w:val="right"/>
              <w:rPr>
                <w:b/>
                <w:bCs/>
                <w:sz w:val="20"/>
                <w:szCs w:val="20"/>
              </w:rPr>
            </w:pPr>
            <w:r>
              <w:rPr>
                <w:b/>
                <w:bCs/>
                <w:sz w:val="20"/>
                <w:szCs w:val="20"/>
              </w:rPr>
              <w:t>770,98</w:t>
            </w:r>
          </w:p>
        </w:tc>
        <w:tc>
          <w:tcPr>
            <w:tcW w:w="1540" w:type="dxa"/>
            <w:tcBorders>
              <w:top w:val="nil"/>
              <w:left w:val="nil"/>
              <w:bottom w:val="single" w:sz="4" w:space="0" w:color="auto"/>
              <w:right w:val="single" w:sz="4" w:space="0" w:color="auto"/>
            </w:tcBorders>
          </w:tcPr>
          <w:p w14:paraId="1BB2F9D1" w14:textId="77777777" w:rsidR="00861281" w:rsidRPr="007D5748" w:rsidRDefault="00861281" w:rsidP="00861281">
            <w:pPr>
              <w:jc w:val="right"/>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3C2675E8" w14:textId="77777777" w:rsidR="00861281" w:rsidRPr="007D5748" w:rsidRDefault="00861281" w:rsidP="00861281">
            <w:pPr>
              <w:jc w:val="right"/>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2A861ADA" w14:textId="77777777" w:rsidR="00861281" w:rsidRPr="003130D2" w:rsidRDefault="00861281" w:rsidP="00861281">
            <w:pPr>
              <w:jc w:val="right"/>
              <w:rPr>
                <w:b/>
                <w:bCs/>
                <w:sz w:val="20"/>
                <w:szCs w:val="20"/>
              </w:rPr>
            </w:pPr>
            <w:r>
              <w:rPr>
                <w:b/>
                <w:bCs/>
                <w:sz w:val="20"/>
                <w:szCs w:val="20"/>
              </w:rPr>
              <w:t>0</w:t>
            </w:r>
          </w:p>
        </w:tc>
        <w:tc>
          <w:tcPr>
            <w:tcW w:w="2220" w:type="dxa"/>
            <w:tcBorders>
              <w:top w:val="nil"/>
              <w:left w:val="nil"/>
              <w:bottom w:val="single" w:sz="4" w:space="0" w:color="auto"/>
              <w:right w:val="single" w:sz="4" w:space="0" w:color="auto"/>
            </w:tcBorders>
            <w:noWrap/>
            <w:vAlign w:val="bottom"/>
          </w:tcPr>
          <w:p w14:paraId="75C0E14D" w14:textId="77777777" w:rsidR="00861281" w:rsidRPr="007D5748" w:rsidRDefault="00861281" w:rsidP="00861281">
            <w:r w:rsidRPr="007D5748">
              <w:t> </w:t>
            </w:r>
          </w:p>
        </w:tc>
      </w:tr>
      <w:tr w:rsidR="00861281" w:rsidRPr="007D5748" w14:paraId="2CBA67B7" w14:textId="77777777" w:rsidTr="00861281">
        <w:trPr>
          <w:trHeight w:val="255"/>
        </w:trPr>
        <w:tc>
          <w:tcPr>
            <w:tcW w:w="7070" w:type="dxa"/>
            <w:tcBorders>
              <w:top w:val="nil"/>
              <w:left w:val="single" w:sz="4" w:space="0" w:color="auto"/>
              <w:bottom w:val="single" w:sz="4" w:space="0" w:color="auto"/>
              <w:right w:val="single" w:sz="4" w:space="0" w:color="auto"/>
            </w:tcBorders>
          </w:tcPr>
          <w:p w14:paraId="51AB33A6" w14:textId="77777777" w:rsidR="00861281" w:rsidRPr="007D5748" w:rsidRDefault="00861281" w:rsidP="00861281">
            <w:pPr>
              <w:rPr>
                <w:sz w:val="20"/>
                <w:szCs w:val="20"/>
              </w:rPr>
            </w:pPr>
            <w:r w:rsidRPr="007D5748">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14:paraId="2FE93BFA"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21AEA30A"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43B17978"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0A8DCB56" w14:textId="77777777" w:rsidR="00861281" w:rsidRPr="003130D2" w:rsidRDefault="00861281" w:rsidP="00861281">
            <w:pPr>
              <w:jc w:val="right"/>
              <w:rPr>
                <w:sz w:val="20"/>
                <w:szCs w:val="20"/>
              </w:rPr>
            </w:pPr>
          </w:p>
        </w:tc>
        <w:tc>
          <w:tcPr>
            <w:tcW w:w="2220" w:type="dxa"/>
            <w:tcBorders>
              <w:top w:val="nil"/>
              <w:left w:val="nil"/>
              <w:bottom w:val="single" w:sz="4" w:space="0" w:color="auto"/>
              <w:right w:val="single" w:sz="4" w:space="0" w:color="auto"/>
            </w:tcBorders>
            <w:noWrap/>
            <w:vAlign w:val="bottom"/>
          </w:tcPr>
          <w:p w14:paraId="7CBE5471" w14:textId="77777777" w:rsidR="00861281" w:rsidRPr="007D5748" w:rsidRDefault="00861281" w:rsidP="00861281">
            <w:r w:rsidRPr="007D5748">
              <w:t> </w:t>
            </w:r>
          </w:p>
        </w:tc>
      </w:tr>
      <w:tr w:rsidR="00861281" w:rsidRPr="007D5748" w14:paraId="6BF36ABC" w14:textId="77777777" w:rsidTr="00861281">
        <w:trPr>
          <w:trHeight w:val="255"/>
        </w:trPr>
        <w:tc>
          <w:tcPr>
            <w:tcW w:w="7070" w:type="dxa"/>
            <w:tcBorders>
              <w:top w:val="nil"/>
              <w:left w:val="single" w:sz="4" w:space="0" w:color="auto"/>
              <w:bottom w:val="single" w:sz="4" w:space="0" w:color="auto"/>
              <w:right w:val="single" w:sz="4" w:space="0" w:color="auto"/>
            </w:tcBorders>
          </w:tcPr>
          <w:p w14:paraId="0629AA48" w14:textId="77777777" w:rsidR="00861281" w:rsidRPr="007D5748" w:rsidRDefault="00861281" w:rsidP="00861281">
            <w:pPr>
              <w:rPr>
                <w:sz w:val="20"/>
                <w:szCs w:val="20"/>
                <w:vertAlign w:val="superscript"/>
              </w:rPr>
            </w:pPr>
            <w:r w:rsidRPr="007D5748">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14:paraId="0776349F"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5CCD6E88"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50164F24"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02E6FBF6" w14:textId="77777777" w:rsidR="00861281" w:rsidRPr="003130D2" w:rsidRDefault="00861281" w:rsidP="00861281">
            <w:pPr>
              <w:jc w:val="right"/>
              <w:rPr>
                <w:sz w:val="20"/>
                <w:szCs w:val="20"/>
              </w:rPr>
            </w:pPr>
          </w:p>
        </w:tc>
        <w:tc>
          <w:tcPr>
            <w:tcW w:w="2220" w:type="dxa"/>
            <w:tcBorders>
              <w:top w:val="nil"/>
              <w:left w:val="nil"/>
              <w:bottom w:val="single" w:sz="4" w:space="0" w:color="auto"/>
              <w:right w:val="single" w:sz="4" w:space="0" w:color="auto"/>
            </w:tcBorders>
            <w:noWrap/>
            <w:vAlign w:val="bottom"/>
          </w:tcPr>
          <w:p w14:paraId="725CC4B6" w14:textId="77777777" w:rsidR="00861281" w:rsidRPr="007D5748" w:rsidRDefault="00861281" w:rsidP="00861281">
            <w:r w:rsidRPr="007D5748">
              <w:t> </w:t>
            </w:r>
          </w:p>
        </w:tc>
      </w:tr>
      <w:tr w:rsidR="00861281" w:rsidRPr="007D5748" w14:paraId="0ED58DD3" w14:textId="77777777" w:rsidTr="00861281">
        <w:trPr>
          <w:trHeight w:val="255"/>
        </w:trPr>
        <w:tc>
          <w:tcPr>
            <w:tcW w:w="7070" w:type="dxa"/>
            <w:tcBorders>
              <w:top w:val="nil"/>
              <w:left w:val="single" w:sz="4" w:space="0" w:color="auto"/>
              <w:bottom w:val="single" w:sz="4" w:space="0" w:color="auto"/>
              <w:right w:val="single" w:sz="4" w:space="0" w:color="auto"/>
            </w:tcBorders>
          </w:tcPr>
          <w:p w14:paraId="74529F5C" w14:textId="77777777" w:rsidR="00861281" w:rsidRPr="007D5748" w:rsidRDefault="00861281" w:rsidP="00861281">
            <w:pPr>
              <w:rPr>
                <w:sz w:val="20"/>
                <w:szCs w:val="20"/>
                <w:vertAlign w:val="superscript"/>
              </w:rPr>
            </w:pPr>
            <w:r w:rsidRPr="007D5748">
              <w:rPr>
                <w:sz w:val="20"/>
                <w:szCs w:val="20"/>
              </w:rPr>
              <w:t xml:space="preserve">  Tovary a služby (630)</w:t>
            </w:r>
            <w:r w:rsidRPr="007D5748">
              <w:rPr>
                <w:sz w:val="20"/>
                <w:szCs w:val="20"/>
                <w:vertAlign w:val="superscript"/>
              </w:rPr>
              <w:t>2</w:t>
            </w:r>
          </w:p>
        </w:tc>
        <w:tc>
          <w:tcPr>
            <w:tcW w:w="1540" w:type="dxa"/>
            <w:tcBorders>
              <w:top w:val="nil"/>
              <w:left w:val="nil"/>
              <w:bottom w:val="single" w:sz="4" w:space="0" w:color="auto"/>
              <w:right w:val="single" w:sz="4" w:space="0" w:color="auto"/>
            </w:tcBorders>
          </w:tcPr>
          <w:p w14:paraId="20B8905F" w14:textId="77777777" w:rsidR="00861281" w:rsidRPr="007D5748" w:rsidRDefault="00861281" w:rsidP="00861281">
            <w:pPr>
              <w:jc w:val="right"/>
              <w:rPr>
                <w:sz w:val="20"/>
                <w:szCs w:val="20"/>
              </w:rPr>
            </w:pPr>
            <w:r>
              <w:rPr>
                <w:sz w:val="20"/>
                <w:szCs w:val="20"/>
              </w:rPr>
              <w:t>770,98</w:t>
            </w:r>
          </w:p>
        </w:tc>
        <w:tc>
          <w:tcPr>
            <w:tcW w:w="1540" w:type="dxa"/>
            <w:tcBorders>
              <w:top w:val="nil"/>
              <w:left w:val="nil"/>
              <w:bottom w:val="single" w:sz="4" w:space="0" w:color="auto"/>
              <w:right w:val="single" w:sz="4" w:space="0" w:color="auto"/>
            </w:tcBorders>
          </w:tcPr>
          <w:p w14:paraId="63876167"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5BB0A4E7"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22B30EC2" w14:textId="77777777" w:rsidR="00861281" w:rsidRPr="003130D2" w:rsidRDefault="00861281" w:rsidP="00861281">
            <w:pPr>
              <w:jc w:val="right"/>
              <w:rPr>
                <w:sz w:val="20"/>
                <w:szCs w:val="20"/>
              </w:rPr>
            </w:pPr>
          </w:p>
        </w:tc>
        <w:tc>
          <w:tcPr>
            <w:tcW w:w="2220" w:type="dxa"/>
            <w:tcBorders>
              <w:top w:val="nil"/>
              <w:left w:val="nil"/>
              <w:bottom w:val="single" w:sz="4" w:space="0" w:color="auto"/>
              <w:right w:val="single" w:sz="4" w:space="0" w:color="auto"/>
            </w:tcBorders>
            <w:noWrap/>
            <w:vAlign w:val="bottom"/>
          </w:tcPr>
          <w:p w14:paraId="4A49DDFA" w14:textId="77777777" w:rsidR="00861281" w:rsidRPr="007D5748" w:rsidRDefault="00861281" w:rsidP="00861281">
            <w:r w:rsidRPr="007D5748">
              <w:t> </w:t>
            </w:r>
          </w:p>
        </w:tc>
      </w:tr>
      <w:tr w:rsidR="00861281" w:rsidRPr="007D5748" w14:paraId="0DB4356C" w14:textId="77777777" w:rsidTr="00861281">
        <w:trPr>
          <w:trHeight w:val="255"/>
        </w:trPr>
        <w:tc>
          <w:tcPr>
            <w:tcW w:w="7070" w:type="dxa"/>
            <w:tcBorders>
              <w:top w:val="nil"/>
              <w:left w:val="single" w:sz="4" w:space="0" w:color="auto"/>
              <w:bottom w:val="single" w:sz="4" w:space="0" w:color="auto"/>
              <w:right w:val="single" w:sz="4" w:space="0" w:color="auto"/>
            </w:tcBorders>
          </w:tcPr>
          <w:p w14:paraId="31AE8E80" w14:textId="77777777" w:rsidR="00861281" w:rsidRPr="007D5748" w:rsidRDefault="00861281" w:rsidP="00861281">
            <w:pPr>
              <w:rPr>
                <w:sz w:val="20"/>
                <w:szCs w:val="20"/>
              </w:rPr>
            </w:pPr>
            <w:r w:rsidRPr="007D5748">
              <w:rPr>
                <w:sz w:val="20"/>
                <w:szCs w:val="20"/>
              </w:rPr>
              <w:t>Bežné transfery (640)</w:t>
            </w:r>
            <w:r w:rsidRPr="007D5748">
              <w:rPr>
                <w:sz w:val="20"/>
                <w:szCs w:val="20"/>
                <w:vertAlign w:val="superscript"/>
              </w:rPr>
              <w:t>2</w:t>
            </w:r>
          </w:p>
        </w:tc>
        <w:tc>
          <w:tcPr>
            <w:tcW w:w="1540" w:type="dxa"/>
            <w:tcBorders>
              <w:top w:val="nil"/>
              <w:left w:val="nil"/>
              <w:bottom w:val="single" w:sz="4" w:space="0" w:color="auto"/>
              <w:right w:val="single" w:sz="4" w:space="0" w:color="auto"/>
            </w:tcBorders>
          </w:tcPr>
          <w:p w14:paraId="109D9CD8"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0996C3DE"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77E4D45E"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20B4073F" w14:textId="77777777" w:rsidR="00861281" w:rsidRPr="003130D2" w:rsidRDefault="00861281" w:rsidP="00861281">
            <w:pPr>
              <w:jc w:val="right"/>
              <w:rPr>
                <w:sz w:val="20"/>
                <w:szCs w:val="20"/>
              </w:rPr>
            </w:pPr>
          </w:p>
        </w:tc>
        <w:tc>
          <w:tcPr>
            <w:tcW w:w="2220" w:type="dxa"/>
            <w:tcBorders>
              <w:top w:val="nil"/>
              <w:left w:val="nil"/>
              <w:bottom w:val="single" w:sz="4" w:space="0" w:color="auto"/>
              <w:right w:val="single" w:sz="4" w:space="0" w:color="auto"/>
            </w:tcBorders>
            <w:noWrap/>
            <w:vAlign w:val="bottom"/>
          </w:tcPr>
          <w:p w14:paraId="3586C159" w14:textId="77777777" w:rsidR="00861281" w:rsidRPr="007D5748" w:rsidRDefault="00861281" w:rsidP="00861281">
            <w:r w:rsidRPr="007D5748">
              <w:t> </w:t>
            </w:r>
          </w:p>
        </w:tc>
      </w:tr>
      <w:tr w:rsidR="00861281" w:rsidRPr="007D5748" w14:paraId="4D220C78" w14:textId="77777777" w:rsidTr="00861281">
        <w:trPr>
          <w:trHeight w:val="255"/>
        </w:trPr>
        <w:tc>
          <w:tcPr>
            <w:tcW w:w="7070" w:type="dxa"/>
            <w:tcBorders>
              <w:top w:val="nil"/>
              <w:left w:val="single" w:sz="4" w:space="0" w:color="auto"/>
              <w:bottom w:val="single" w:sz="4" w:space="0" w:color="auto"/>
              <w:right w:val="single" w:sz="4" w:space="0" w:color="auto"/>
            </w:tcBorders>
            <w:vAlign w:val="center"/>
          </w:tcPr>
          <w:p w14:paraId="55722BA7" w14:textId="77777777" w:rsidR="00861281" w:rsidRPr="007D5748" w:rsidRDefault="00861281" w:rsidP="00861281">
            <w:pPr>
              <w:rPr>
                <w:sz w:val="20"/>
                <w:szCs w:val="20"/>
              </w:rPr>
            </w:pPr>
            <w:r w:rsidRPr="007D5748">
              <w:rPr>
                <w:sz w:val="20"/>
                <w:szCs w:val="20"/>
              </w:rPr>
              <w:t xml:space="preserve">  Splácanie úrokov a ostatné platby súvisiace s </w:t>
            </w:r>
            <w:r>
              <w:t xml:space="preserve"> </w:t>
            </w:r>
            <w:r w:rsidRPr="008D339D">
              <w:rPr>
                <w:sz w:val="20"/>
                <w:szCs w:val="20"/>
              </w:rPr>
              <w:t>úverom, pôžičkou, návratnou finančnou výpomocou a finančným prenájmom</w:t>
            </w:r>
            <w:r w:rsidRPr="007D5748">
              <w:rPr>
                <w:sz w:val="20"/>
                <w:szCs w:val="20"/>
              </w:rPr>
              <w:t xml:space="preserve"> (650)</w:t>
            </w:r>
            <w:r w:rsidRPr="007D5748">
              <w:rPr>
                <w:sz w:val="20"/>
                <w:szCs w:val="20"/>
                <w:vertAlign w:val="superscript"/>
              </w:rPr>
              <w:t>2</w:t>
            </w:r>
          </w:p>
        </w:tc>
        <w:tc>
          <w:tcPr>
            <w:tcW w:w="1540" w:type="dxa"/>
            <w:tcBorders>
              <w:top w:val="nil"/>
              <w:left w:val="nil"/>
              <w:bottom w:val="single" w:sz="4" w:space="0" w:color="auto"/>
              <w:right w:val="single" w:sz="4" w:space="0" w:color="auto"/>
            </w:tcBorders>
          </w:tcPr>
          <w:p w14:paraId="18018115"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0CC1CD30"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01E953A7"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6F3ADD65" w14:textId="77777777" w:rsidR="00861281" w:rsidRPr="003130D2" w:rsidRDefault="00861281" w:rsidP="00861281">
            <w:pPr>
              <w:jc w:val="right"/>
              <w:rPr>
                <w:sz w:val="20"/>
                <w:szCs w:val="20"/>
              </w:rPr>
            </w:pPr>
          </w:p>
        </w:tc>
        <w:tc>
          <w:tcPr>
            <w:tcW w:w="2220" w:type="dxa"/>
            <w:tcBorders>
              <w:top w:val="nil"/>
              <w:left w:val="nil"/>
              <w:bottom w:val="single" w:sz="4" w:space="0" w:color="auto"/>
              <w:right w:val="single" w:sz="4" w:space="0" w:color="auto"/>
            </w:tcBorders>
            <w:noWrap/>
            <w:vAlign w:val="bottom"/>
          </w:tcPr>
          <w:p w14:paraId="404C6095" w14:textId="77777777" w:rsidR="00861281" w:rsidRPr="007D5748" w:rsidRDefault="00861281" w:rsidP="00861281"/>
        </w:tc>
      </w:tr>
      <w:tr w:rsidR="00861281" w:rsidRPr="007D5748" w14:paraId="06D1584B" w14:textId="77777777" w:rsidTr="00861281">
        <w:trPr>
          <w:trHeight w:val="255"/>
        </w:trPr>
        <w:tc>
          <w:tcPr>
            <w:tcW w:w="7070" w:type="dxa"/>
            <w:tcBorders>
              <w:top w:val="nil"/>
              <w:left w:val="single" w:sz="4" w:space="0" w:color="auto"/>
              <w:bottom w:val="single" w:sz="4" w:space="0" w:color="auto"/>
              <w:right w:val="single" w:sz="4" w:space="0" w:color="auto"/>
            </w:tcBorders>
          </w:tcPr>
          <w:p w14:paraId="2E45375A" w14:textId="77777777" w:rsidR="00861281" w:rsidRPr="007D5748" w:rsidRDefault="00861281" w:rsidP="00861281">
            <w:pPr>
              <w:rPr>
                <w:b/>
                <w:bCs/>
                <w:sz w:val="20"/>
                <w:szCs w:val="20"/>
              </w:rPr>
            </w:pPr>
            <w:r w:rsidRPr="007D5748">
              <w:rPr>
                <w:b/>
                <w:bCs/>
                <w:sz w:val="20"/>
                <w:szCs w:val="20"/>
              </w:rPr>
              <w:t>Kapitálové výdavky (700)</w:t>
            </w:r>
          </w:p>
        </w:tc>
        <w:tc>
          <w:tcPr>
            <w:tcW w:w="1540" w:type="dxa"/>
            <w:tcBorders>
              <w:top w:val="nil"/>
              <w:left w:val="nil"/>
              <w:bottom w:val="single" w:sz="4" w:space="0" w:color="auto"/>
              <w:right w:val="single" w:sz="4" w:space="0" w:color="auto"/>
            </w:tcBorders>
          </w:tcPr>
          <w:p w14:paraId="306956C8" w14:textId="77777777" w:rsidR="00861281" w:rsidRPr="007D5748" w:rsidRDefault="00861281" w:rsidP="00861281">
            <w:pPr>
              <w:jc w:val="right"/>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5432FD63" w14:textId="77777777" w:rsidR="00861281" w:rsidRPr="007D5748" w:rsidRDefault="00861281" w:rsidP="00861281">
            <w:pPr>
              <w:jc w:val="right"/>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14:paraId="432FAAC9" w14:textId="77777777" w:rsidR="00861281" w:rsidRPr="007D5748" w:rsidRDefault="00861281" w:rsidP="00861281">
            <w:pPr>
              <w:jc w:val="right"/>
              <w:rPr>
                <w:b/>
                <w:bCs/>
                <w:sz w:val="20"/>
                <w:szCs w:val="20"/>
              </w:rPr>
            </w:pPr>
            <w:r>
              <w:rPr>
                <w:b/>
                <w:bCs/>
              </w:rPr>
              <w:t>173 467,20</w:t>
            </w:r>
          </w:p>
        </w:tc>
        <w:tc>
          <w:tcPr>
            <w:tcW w:w="1540" w:type="dxa"/>
            <w:tcBorders>
              <w:top w:val="nil"/>
              <w:left w:val="nil"/>
              <w:bottom w:val="single" w:sz="4" w:space="0" w:color="auto"/>
              <w:right w:val="single" w:sz="4" w:space="0" w:color="auto"/>
            </w:tcBorders>
          </w:tcPr>
          <w:p w14:paraId="16B7C979" w14:textId="77777777" w:rsidR="00861281" w:rsidRPr="003130D2" w:rsidRDefault="00861281" w:rsidP="00861281">
            <w:pPr>
              <w:jc w:val="right"/>
              <w:rPr>
                <w:b/>
                <w:bCs/>
                <w:sz w:val="20"/>
                <w:szCs w:val="20"/>
              </w:rPr>
            </w:pPr>
            <w:r>
              <w:rPr>
                <w:b/>
                <w:bCs/>
                <w:sz w:val="20"/>
                <w:szCs w:val="20"/>
              </w:rPr>
              <w:t>0</w:t>
            </w:r>
          </w:p>
        </w:tc>
        <w:tc>
          <w:tcPr>
            <w:tcW w:w="2220" w:type="dxa"/>
            <w:tcBorders>
              <w:top w:val="nil"/>
              <w:left w:val="nil"/>
              <w:bottom w:val="single" w:sz="4" w:space="0" w:color="auto"/>
              <w:right w:val="single" w:sz="4" w:space="0" w:color="auto"/>
            </w:tcBorders>
            <w:noWrap/>
            <w:vAlign w:val="bottom"/>
          </w:tcPr>
          <w:p w14:paraId="23B8E261" w14:textId="77777777" w:rsidR="00861281" w:rsidRPr="007D5748" w:rsidRDefault="00861281" w:rsidP="00861281">
            <w:r w:rsidRPr="007D5748">
              <w:t> </w:t>
            </w:r>
          </w:p>
        </w:tc>
      </w:tr>
      <w:tr w:rsidR="00861281" w:rsidRPr="007D5748" w14:paraId="55A7F2CD" w14:textId="77777777" w:rsidTr="00861281">
        <w:trPr>
          <w:trHeight w:val="255"/>
        </w:trPr>
        <w:tc>
          <w:tcPr>
            <w:tcW w:w="7070" w:type="dxa"/>
            <w:tcBorders>
              <w:top w:val="nil"/>
              <w:left w:val="single" w:sz="4" w:space="0" w:color="auto"/>
              <w:bottom w:val="single" w:sz="4" w:space="0" w:color="auto"/>
              <w:right w:val="single" w:sz="4" w:space="0" w:color="auto"/>
            </w:tcBorders>
          </w:tcPr>
          <w:p w14:paraId="2834D970" w14:textId="77777777" w:rsidR="00861281" w:rsidRPr="007D5748" w:rsidRDefault="00861281" w:rsidP="00861281">
            <w:pPr>
              <w:rPr>
                <w:sz w:val="20"/>
                <w:szCs w:val="20"/>
              </w:rPr>
            </w:pPr>
            <w:r w:rsidRPr="007D5748">
              <w:rPr>
                <w:sz w:val="20"/>
                <w:szCs w:val="20"/>
              </w:rPr>
              <w:t xml:space="preserve">  Obstarávanie kapitálových aktív (710)</w:t>
            </w:r>
            <w:r w:rsidRPr="007D5748">
              <w:rPr>
                <w:sz w:val="20"/>
                <w:szCs w:val="20"/>
                <w:vertAlign w:val="superscript"/>
              </w:rPr>
              <w:t>2</w:t>
            </w:r>
          </w:p>
        </w:tc>
        <w:tc>
          <w:tcPr>
            <w:tcW w:w="1540" w:type="dxa"/>
            <w:tcBorders>
              <w:top w:val="nil"/>
              <w:left w:val="nil"/>
              <w:bottom w:val="single" w:sz="4" w:space="0" w:color="auto"/>
              <w:right w:val="single" w:sz="4" w:space="0" w:color="auto"/>
            </w:tcBorders>
          </w:tcPr>
          <w:p w14:paraId="0E866D44" w14:textId="77777777" w:rsidR="00861281" w:rsidRPr="007D5748" w:rsidRDefault="00861281" w:rsidP="00861281">
            <w:pPr>
              <w:jc w:val="right"/>
              <w:rPr>
                <w:sz w:val="20"/>
                <w:szCs w:val="20"/>
              </w:rPr>
            </w:pPr>
            <w:r>
              <w:rPr>
                <w:sz w:val="20"/>
                <w:szCs w:val="20"/>
              </w:rPr>
              <w:t>0</w:t>
            </w:r>
          </w:p>
        </w:tc>
        <w:tc>
          <w:tcPr>
            <w:tcW w:w="1540" w:type="dxa"/>
            <w:tcBorders>
              <w:top w:val="nil"/>
              <w:left w:val="nil"/>
              <w:bottom w:val="single" w:sz="4" w:space="0" w:color="auto"/>
              <w:right w:val="single" w:sz="4" w:space="0" w:color="auto"/>
            </w:tcBorders>
          </w:tcPr>
          <w:p w14:paraId="561A796E" w14:textId="77777777" w:rsidR="00861281" w:rsidRPr="007D5748" w:rsidRDefault="00861281" w:rsidP="00861281">
            <w:pPr>
              <w:jc w:val="right"/>
              <w:rPr>
                <w:sz w:val="20"/>
                <w:szCs w:val="20"/>
              </w:rPr>
            </w:pPr>
            <w:r>
              <w:rPr>
                <w:sz w:val="20"/>
                <w:szCs w:val="20"/>
              </w:rPr>
              <w:t xml:space="preserve">0 </w:t>
            </w:r>
          </w:p>
        </w:tc>
        <w:tc>
          <w:tcPr>
            <w:tcW w:w="1540" w:type="dxa"/>
            <w:tcBorders>
              <w:top w:val="nil"/>
              <w:left w:val="nil"/>
              <w:bottom w:val="single" w:sz="4" w:space="0" w:color="auto"/>
              <w:right w:val="single" w:sz="4" w:space="0" w:color="auto"/>
            </w:tcBorders>
          </w:tcPr>
          <w:p w14:paraId="50B165D9" w14:textId="77777777" w:rsidR="00861281" w:rsidRPr="007D5748" w:rsidRDefault="00861281" w:rsidP="00861281">
            <w:pPr>
              <w:jc w:val="right"/>
              <w:rPr>
                <w:sz w:val="20"/>
                <w:szCs w:val="20"/>
              </w:rPr>
            </w:pPr>
            <w:r>
              <w:rPr>
                <w:b/>
                <w:bCs/>
              </w:rPr>
              <w:t>173 467,20</w:t>
            </w:r>
            <w:r>
              <w:rPr>
                <w:sz w:val="20"/>
                <w:szCs w:val="20"/>
              </w:rPr>
              <w:t xml:space="preserve"> </w:t>
            </w:r>
          </w:p>
        </w:tc>
        <w:tc>
          <w:tcPr>
            <w:tcW w:w="1540" w:type="dxa"/>
            <w:tcBorders>
              <w:top w:val="nil"/>
              <w:left w:val="nil"/>
              <w:bottom w:val="single" w:sz="4" w:space="0" w:color="auto"/>
              <w:right w:val="single" w:sz="4" w:space="0" w:color="auto"/>
            </w:tcBorders>
          </w:tcPr>
          <w:p w14:paraId="409D1D75" w14:textId="77777777" w:rsidR="00861281" w:rsidRPr="003130D2" w:rsidRDefault="00861281" w:rsidP="00861281">
            <w:pPr>
              <w:jc w:val="right"/>
              <w:rPr>
                <w:sz w:val="20"/>
                <w:szCs w:val="20"/>
              </w:rPr>
            </w:pPr>
            <w:r>
              <w:rPr>
                <w:sz w:val="20"/>
                <w:szCs w:val="20"/>
              </w:rPr>
              <w:t>0</w:t>
            </w:r>
          </w:p>
        </w:tc>
        <w:tc>
          <w:tcPr>
            <w:tcW w:w="2220" w:type="dxa"/>
            <w:tcBorders>
              <w:top w:val="nil"/>
              <w:left w:val="nil"/>
              <w:bottom w:val="single" w:sz="4" w:space="0" w:color="auto"/>
              <w:right w:val="single" w:sz="4" w:space="0" w:color="auto"/>
            </w:tcBorders>
            <w:noWrap/>
            <w:vAlign w:val="bottom"/>
          </w:tcPr>
          <w:p w14:paraId="667FF35C" w14:textId="77777777" w:rsidR="00861281" w:rsidRPr="007D5748" w:rsidRDefault="00861281" w:rsidP="00861281">
            <w:r w:rsidRPr="007D5748">
              <w:t> </w:t>
            </w:r>
          </w:p>
        </w:tc>
      </w:tr>
      <w:tr w:rsidR="00861281" w:rsidRPr="007D5748" w14:paraId="7B7C1335" w14:textId="77777777" w:rsidTr="00861281">
        <w:trPr>
          <w:trHeight w:val="255"/>
        </w:trPr>
        <w:tc>
          <w:tcPr>
            <w:tcW w:w="7070" w:type="dxa"/>
            <w:tcBorders>
              <w:top w:val="nil"/>
              <w:left w:val="single" w:sz="4" w:space="0" w:color="auto"/>
              <w:bottom w:val="single" w:sz="4" w:space="0" w:color="auto"/>
              <w:right w:val="single" w:sz="4" w:space="0" w:color="auto"/>
            </w:tcBorders>
          </w:tcPr>
          <w:p w14:paraId="271A8F45" w14:textId="77777777" w:rsidR="00861281" w:rsidRPr="007D5748" w:rsidRDefault="00861281" w:rsidP="00861281">
            <w:pPr>
              <w:rPr>
                <w:sz w:val="20"/>
                <w:szCs w:val="20"/>
              </w:rPr>
            </w:pPr>
            <w:r w:rsidRPr="007D5748">
              <w:rPr>
                <w:sz w:val="20"/>
                <w:szCs w:val="20"/>
              </w:rPr>
              <w:t xml:space="preserve">  Kapitálové transfery (720)</w:t>
            </w:r>
            <w:r w:rsidRPr="007D5748">
              <w:rPr>
                <w:sz w:val="20"/>
                <w:szCs w:val="20"/>
                <w:vertAlign w:val="superscript"/>
              </w:rPr>
              <w:t>2</w:t>
            </w:r>
          </w:p>
        </w:tc>
        <w:tc>
          <w:tcPr>
            <w:tcW w:w="1540" w:type="dxa"/>
            <w:tcBorders>
              <w:top w:val="nil"/>
              <w:left w:val="nil"/>
              <w:bottom w:val="single" w:sz="4" w:space="0" w:color="auto"/>
              <w:right w:val="single" w:sz="4" w:space="0" w:color="auto"/>
            </w:tcBorders>
          </w:tcPr>
          <w:p w14:paraId="40F71A04"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62ADDE06"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432B6C76" w14:textId="77777777" w:rsidR="00861281" w:rsidRPr="007D5748" w:rsidRDefault="00861281" w:rsidP="00861281">
            <w:pPr>
              <w:jc w:val="right"/>
              <w:rPr>
                <w:sz w:val="20"/>
                <w:szCs w:val="20"/>
              </w:rPr>
            </w:pPr>
          </w:p>
        </w:tc>
        <w:tc>
          <w:tcPr>
            <w:tcW w:w="1540" w:type="dxa"/>
            <w:tcBorders>
              <w:top w:val="nil"/>
              <w:left w:val="nil"/>
              <w:bottom w:val="single" w:sz="4" w:space="0" w:color="auto"/>
              <w:right w:val="single" w:sz="4" w:space="0" w:color="auto"/>
            </w:tcBorders>
          </w:tcPr>
          <w:p w14:paraId="73ECD45D" w14:textId="77777777" w:rsidR="00861281" w:rsidRPr="003130D2" w:rsidRDefault="00861281" w:rsidP="00861281">
            <w:pPr>
              <w:jc w:val="right"/>
              <w:rPr>
                <w:sz w:val="20"/>
                <w:szCs w:val="20"/>
              </w:rPr>
            </w:pPr>
          </w:p>
        </w:tc>
        <w:tc>
          <w:tcPr>
            <w:tcW w:w="2220" w:type="dxa"/>
            <w:tcBorders>
              <w:top w:val="nil"/>
              <w:left w:val="nil"/>
              <w:bottom w:val="single" w:sz="4" w:space="0" w:color="auto"/>
              <w:right w:val="single" w:sz="4" w:space="0" w:color="auto"/>
            </w:tcBorders>
            <w:noWrap/>
            <w:vAlign w:val="bottom"/>
          </w:tcPr>
          <w:p w14:paraId="5F9BEA65" w14:textId="77777777" w:rsidR="00861281" w:rsidRPr="007D5748" w:rsidRDefault="00861281" w:rsidP="00861281">
            <w:r w:rsidRPr="007D5748">
              <w:t> </w:t>
            </w:r>
          </w:p>
        </w:tc>
      </w:tr>
      <w:tr w:rsidR="00861281" w:rsidRPr="007D5748" w14:paraId="485AFB27" w14:textId="77777777" w:rsidTr="00861281">
        <w:trPr>
          <w:trHeight w:val="255"/>
        </w:trPr>
        <w:tc>
          <w:tcPr>
            <w:tcW w:w="7070" w:type="dxa"/>
            <w:tcBorders>
              <w:top w:val="nil"/>
              <w:left w:val="single" w:sz="4" w:space="0" w:color="auto"/>
              <w:bottom w:val="single" w:sz="4" w:space="0" w:color="auto"/>
              <w:right w:val="single" w:sz="4" w:space="0" w:color="auto"/>
            </w:tcBorders>
          </w:tcPr>
          <w:p w14:paraId="61F9D562" w14:textId="77777777" w:rsidR="00861281" w:rsidRPr="007D5748" w:rsidRDefault="00861281" w:rsidP="00861281">
            <w:pPr>
              <w:rPr>
                <w:b/>
                <w:bCs/>
                <w:sz w:val="20"/>
                <w:szCs w:val="20"/>
              </w:rPr>
            </w:pPr>
            <w:r w:rsidRPr="007D5748">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14:paraId="487BF7A1" w14:textId="77777777" w:rsidR="00861281" w:rsidRPr="007D5748" w:rsidRDefault="00861281" w:rsidP="00861281">
            <w:pPr>
              <w:jc w:val="right"/>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14:paraId="56D7ABF6" w14:textId="77777777" w:rsidR="00861281" w:rsidRPr="007D5748" w:rsidRDefault="00861281" w:rsidP="00861281">
            <w:pPr>
              <w:jc w:val="right"/>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14:paraId="2AECD95B" w14:textId="77777777" w:rsidR="00861281" w:rsidRPr="007D5748" w:rsidRDefault="00861281" w:rsidP="00861281">
            <w:pPr>
              <w:jc w:val="right"/>
              <w:rPr>
                <w:b/>
                <w:bCs/>
                <w:sz w:val="20"/>
                <w:szCs w:val="20"/>
              </w:rPr>
            </w:pPr>
            <w:r w:rsidRPr="007D5748">
              <w:rPr>
                <w:b/>
                <w:bCs/>
                <w:sz w:val="20"/>
                <w:szCs w:val="20"/>
              </w:rPr>
              <w:t> </w:t>
            </w:r>
          </w:p>
        </w:tc>
        <w:tc>
          <w:tcPr>
            <w:tcW w:w="1540" w:type="dxa"/>
            <w:tcBorders>
              <w:top w:val="nil"/>
              <w:left w:val="nil"/>
              <w:bottom w:val="single" w:sz="4" w:space="0" w:color="auto"/>
              <w:right w:val="single" w:sz="4" w:space="0" w:color="auto"/>
            </w:tcBorders>
            <w:shd w:val="clear" w:color="auto" w:fill="FFFF99"/>
          </w:tcPr>
          <w:p w14:paraId="5B5B3B7E" w14:textId="77777777" w:rsidR="00861281" w:rsidRPr="003130D2" w:rsidRDefault="00861281" w:rsidP="00861281">
            <w:pPr>
              <w:jc w:val="right"/>
              <w:rPr>
                <w:b/>
                <w:bCs/>
                <w:sz w:val="20"/>
                <w:szCs w:val="20"/>
              </w:rPr>
            </w:pPr>
            <w:r w:rsidRPr="003130D2">
              <w:rPr>
                <w:b/>
                <w:bCs/>
                <w:sz w:val="20"/>
                <w:szCs w:val="20"/>
              </w:rPr>
              <w:t> </w:t>
            </w:r>
          </w:p>
        </w:tc>
        <w:tc>
          <w:tcPr>
            <w:tcW w:w="2220" w:type="dxa"/>
            <w:tcBorders>
              <w:top w:val="nil"/>
              <w:left w:val="nil"/>
              <w:bottom w:val="single" w:sz="4" w:space="0" w:color="auto"/>
              <w:right w:val="single" w:sz="4" w:space="0" w:color="auto"/>
            </w:tcBorders>
            <w:noWrap/>
            <w:vAlign w:val="bottom"/>
          </w:tcPr>
          <w:p w14:paraId="56063CE5" w14:textId="77777777" w:rsidR="00861281" w:rsidRPr="007D5748" w:rsidRDefault="00861281" w:rsidP="00861281">
            <w:r w:rsidRPr="007D5748">
              <w:t> </w:t>
            </w:r>
          </w:p>
        </w:tc>
      </w:tr>
      <w:tr w:rsidR="00861281" w:rsidRPr="007D5748" w14:paraId="4EBED855" w14:textId="77777777" w:rsidTr="00861281">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61D877" w14:textId="77777777" w:rsidR="00861281" w:rsidRPr="007D5748" w:rsidRDefault="00861281" w:rsidP="00861281">
            <w:pPr>
              <w:rPr>
                <w:b/>
                <w:bCs/>
                <w:sz w:val="20"/>
                <w:szCs w:val="20"/>
              </w:rPr>
            </w:pPr>
            <w:r w:rsidRPr="007D5748">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75BA2A23" w14:textId="77777777" w:rsidR="00861281" w:rsidRPr="007D5748" w:rsidRDefault="00861281" w:rsidP="00861281">
            <w:pPr>
              <w:jc w:val="right"/>
              <w:rPr>
                <w:b/>
                <w:bCs/>
                <w:sz w:val="20"/>
                <w:szCs w:val="20"/>
              </w:rPr>
            </w:pPr>
            <w:r>
              <w:rPr>
                <w:b/>
                <w:bCs/>
                <w:sz w:val="20"/>
                <w:szCs w:val="20"/>
              </w:rPr>
              <w:t>770,98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01EF89EA" w14:textId="77777777" w:rsidR="00861281" w:rsidRPr="007D5748" w:rsidRDefault="00861281" w:rsidP="00861281">
            <w:pPr>
              <w:jc w:val="right"/>
              <w:rPr>
                <w:b/>
                <w:bCs/>
                <w:sz w:val="20"/>
                <w:szCs w:val="20"/>
              </w:rPr>
            </w:pPr>
            <w:r>
              <w:rPr>
                <w:b/>
                <w:bCs/>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5D8A7999" w14:textId="77777777" w:rsidR="00861281" w:rsidRPr="007D5748" w:rsidRDefault="00861281" w:rsidP="00861281">
            <w:pPr>
              <w:jc w:val="right"/>
              <w:rPr>
                <w:b/>
                <w:bCs/>
                <w:sz w:val="20"/>
                <w:szCs w:val="20"/>
              </w:rPr>
            </w:pPr>
            <w:r>
              <w:rPr>
                <w:b/>
                <w:bCs/>
              </w:rPr>
              <w:t>173 467,20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14:paraId="2467C724" w14:textId="77777777" w:rsidR="00861281" w:rsidRPr="003130D2" w:rsidRDefault="00861281" w:rsidP="00861281">
            <w:pPr>
              <w:jc w:val="right"/>
              <w:rPr>
                <w:b/>
                <w:bCs/>
                <w:sz w:val="20"/>
                <w:szCs w:val="20"/>
              </w:rPr>
            </w:pPr>
            <w:r>
              <w:rPr>
                <w:b/>
                <w:bCs/>
                <w:sz w:val="20"/>
                <w:szCs w:val="2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C4F716B" w14:textId="77777777" w:rsidR="00861281" w:rsidRPr="007D5748" w:rsidRDefault="00861281" w:rsidP="00861281">
            <w:r w:rsidRPr="007D5748">
              <w:t> </w:t>
            </w:r>
          </w:p>
        </w:tc>
      </w:tr>
    </w:tbl>
    <w:p w14:paraId="0A7E1324" w14:textId="77777777" w:rsidR="00861281" w:rsidRPr="007D5748" w:rsidRDefault="00861281" w:rsidP="00861281">
      <w:pPr>
        <w:tabs>
          <w:tab w:val="num" w:pos="1080"/>
        </w:tabs>
        <w:ind w:left="-900"/>
        <w:jc w:val="both"/>
        <w:rPr>
          <w:bCs/>
          <w:sz w:val="20"/>
          <w:szCs w:val="20"/>
        </w:rPr>
      </w:pPr>
      <w:r w:rsidRPr="007D5748">
        <w:rPr>
          <w:bCs/>
          <w:sz w:val="20"/>
          <w:szCs w:val="20"/>
        </w:rPr>
        <w:t>2 –  výdavky rozpísať až do položiek platnej ekonomickej klasifikácie</w:t>
      </w:r>
    </w:p>
    <w:p w14:paraId="21B112E3" w14:textId="77777777" w:rsidR="00861281" w:rsidRPr="007D5748" w:rsidRDefault="00861281" w:rsidP="00861281">
      <w:pPr>
        <w:tabs>
          <w:tab w:val="num" w:pos="1080"/>
        </w:tabs>
        <w:ind w:left="-900"/>
        <w:jc w:val="both"/>
        <w:rPr>
          <w:bCs/>
          <w:szCs w:val="20"/>
        </w:rPr>
      </w:pPr>
    </w:p>
    <w:p w14:paraId="212E5AE5" w14:textId="77777777" w:rsidR="00861281" w:rsidRPr="007D5748" w:rsidRDefault="00861281" w:rsidP="00861281">
      <w:pPr>
        <w:tabs>
          <w:tab w:val="num" w:pos="1080"/>
        </w:tabs>
        <w:ind w:left="-900"/>
        <w:jc w:val="both"/>
        <w:rPr>
          <w:b/>
          <w:bCs/>
          <w:sz w:val="20"/>
          <w:szCs w:val="20"/>
        </w:rPr>
      </w:pPr>
      <w:r w:rsidRPr="007D5748">
        <w:rPr>
          <w:b/>
          <w:bCs/>
          <w:szCs w:val="20"/>
        </w:rPr>
        <w:t>Poznámka:</w:t>
      </w:r>
    </w:p>
    <w:p w14:paraId="0A61C129" w14:textId="77777777" w:rsidR="00861281" w:rsidRPr="007D5748" w:rsidRDefault="00861281" w:rsidP="00861281">
      <w:pPr>
        <w:tabs>
          <w:tab w:val="num" w:pos="1080"/>
        </w:tabs>
        <w:ind w:left="-900"/>
        <w:jc w:val="both"/>
        <w:rPr>
          <w:bCs/>
          <w:sz w:val="20"/>
          <w:szCs w:val="20"/>
        </w:rPr>
      </w:pPr>
      <w:r w:rsidRPr="007D5748">
        <w:rPr>
          <w:bCs/>
          <w:szCs w:val="20"/>
        </w:rPr>
        <w:t>Ak sa vplyv týka viacerých subjektov verejnej správy, vypĺňa sa samostatná tabuľka za každý subjekt.</w:t>
      </w:r>
    </w:p>
    <w:p w14:paraId="633BFDAF" w14:textId="77777777" w:rsidR="00861281" w:rsidRPr="007D5748" w:rsidRDefault="00861281" w:rsidP="00861281">
      <w:pPr>
        <w:tabs>
          <w:tab w:val="num" w:pos="1080"/>
        </w:tabs>
        <w:ind w:left="-900"/>
        <w:jc w:val="both"/>
        <w:rPr>
          <w:bCs/>
          <w:sz w:val="20"/>
          <w:szCs w:val="20"/>
        </w:rPr>
      </w:pPr>
    </w:p>
    <w:p w14:paraId="0F8020D5" w14:textId="77777777" w:rsidR="00861281" w:rsidRPr="007D5748" w:rsidRDefault="00861281" w:rsidP="00861281">
      <w:pPr>
        <w:tabs>
          <w:tab w:val="num" w:pos="1080"/>
        </w:tabs>
        <w:ind w:left="-900"/>
        <w:jc w:val="both"/>
        <w:rPr>
          <w:bCs/>
          <w:sz w:val="20"/>
          <w:szCs w:val="20"/>
        </w:rPr>
      </w:pPr>
    </w:p>
    <w:p w14:paraId="41784154" w14:textId="77777777" w:rsidR="00861281" w:rsidRPr="007D5748" w:rsidRDefault="00861281" w:rsidP="00861281">
      <w:pPr>
        <w:tabs>
          <w:tab w:val="num" w:pos="1080"/>
        </w:tabs>
        <w:ind w:left="-900"/>
        <w:jc w:val="both"/>
        <w:rPr>
          <w:bCs/>
          <w:sz w:val="20"/>
          <w:szCs w:val="20"/>
        </w:rPr>
      </w:pPr>
    </w:p>
    <w:p w14:paraId="3D6F04F7" w14:textId="77777777" w:rsidR="00861281" w:rsidRPr="007D5748" w:rsidRDefault="00861281" w:rsidP="00861281">
      <w:pPr>
        <w:tabs>
          <w:tab w:val="num" w:pos="1080"/>
        </w:tabs>
        <w:ind w:left="-900"/>
        <w:jc w:val="both"/>
        <w:rPr>
          <w:bCs/>
          <w:sz w:val="20"/>
          <w:szCs w:val="20"/>
        </w:rPr>
      </w:pPr>
    </w:p>
    <w:p w14:paraId="671E3C36" w14:textId="77777777" w:rsidR="00861281" w:rsidRPr="007D5748" w:rsidRDefault="00861281" w:rsidP="00861281">
      <w:pPr>
        <w:tabs>
          <w:tab w:val="num" w:pos="1080"/>
        </w:tabs>
        <w:ind w:left="-900"/>
        <w:jc w:val="both"/>
        <w:rPr>
          <w:bCs/>
          <w:sz w:val="20"/>
          <w:szCs w:val="20"/>
        </w:rPr>
      </w:pPr>
    </w:p>
    <w:p w14:paraId="0DF8E492" w14:textId="77777777" w:rsidR="00861281" w:rsidRDefault="00861281" w:rsidP="00861281">
      <w:pPr>
        <w:tabs>
          <w:tab w:val="num" w:pos="1080"/>
        </w:tabs>
        <w:jc w:val="right"/>
        <w:rPr>
          <w:bCs/>
        </w:rPr>
      </w:pPr>
      <w:r w:rsidRPr="007D5748">
        <w:rPr>
          <w:bCs/>
        </w:rPr>
        <w:t xml:space="preserve">             </w:t>
      </w:r>
    </w:p>
    <w:p w14:paraId="20657FAB" w14:textId="77777777" w:rsidR="00861281" w:rsidRDefault="00861281" w:rsidP="00861281">
      <w:pPr>
        <w:tabs>
          <w:tab w:val="num" w:pos="1080"/>
        </w:tabs>
        <w:jc w:val="right"/>
        <w:rPr>
          <w:bCs/>
        </w:rPr>
      </w:pPr>
    </w:p>
    <w:p w14:paraId="70DF99A9" w14:textId="77777777" w:rsidR="00861281" w:rsidRDefault="00861281" w:rsidP="00861281">
      <w:pPr>
        <w:tabs>
          <w:tab w:val="num" w:pos="1080"/>
        </w:tabs>
        <w:jc w:val="right"/>
        <w:rPr>
          <w:bCs/>
        </w:rPr>
      </w:pPr>
    </w:p>
    <w:p w14:paraId="4D16E0BB" w14:textId="77777777" w:rsidR="00861281" w:rsidRDefault="00861281" w:rsidP="00861281">
      <w:pPr>
        <w:tabs>
          <w:tab w:val="num" w:pos="1080"/>
        </w:tabs>
        <w:jc w:val="right"/>
        <w:rPr>
          <w:bCs/>
        </w:rPr>
      </w:pPr>
    </w:p>
    <w:p w14:paraId="01B834FD" w14:textId="77777777" w:rsidR="00861281" w:rsidRDefault="00861281" w:rsidP="00861281">
      <w:pPr>
        <w:tabs>
          <w:tab w:val="num" w:pos="1080"/>
        </w:tabs>
        <w:jc w:val="right"/>
        <w:rPr>
          <w:bCs/>
        </w:rPr>
      </w:pPr>
    </w:p>
    <w:p w14:paraId="12D5733A" w14:textId="77777777" w:rsidR="00861281" w:rsidRDefault="00861281" w:rsidP="00861281">
      <w:pPr>
        <w:tabs>
          <w:tab w:val="num" w:pos="1080"/>
        </w:tabs>
        <w:jc w:val="right"/>
        <w:rPr>
          <w:bCs/>
        </w:rPr>
      </w:pPr>
    </w:p>
    <w:p w14:paraId="386438B8" w14:textId="77777777" w:rsidR="00861281" w:rsidRDefault="00861281" w:rsidP="00861281">
      <w:pPr>
        <w:tabs>
          <w:tab w:val="num" w:pos="1080"/>
        </w:tabs>
        <w:jc w:val="right"/>
        <w:rPr>
          <w:bCs/>
        </w:rPr>
      </w:pPr>
    </w:p>
    <w:p w14:paraId="77E0CF18" w14:textId="77777777" w:rsidR="00861281" w:rsidRDefault="00861281" w:rsidP="00861281">
      <w:pPr>
        <w:tabs>
          <w:tab w:val="num" w:pos="1080"/>
        </w:tabs>
        <w:jc w:val="right"/>
        <w:rPr>
          <w:bCs/>
        </w:rPr>
      </w:pPr>
    </w:p>
    <w:p w14:paraId="21B23D15" w14:textId="77777777" w:rsidR="00861281" w:rsidRDefault="00861281" w:rsidP="00861281">
      <w:pPr>
        <w:tabs>
          <w:tab w:val="num" w:pos="1080"/>
        </w:tabs>
        <w:jc w:val="right"/>
        <w:rPr>
          <w:bCs/>
        </w:rPr>
      </w:pPr>
    </w:p>
    <w:p w14:paraId="4DDE2445" w14:textId="77777777" w:rsidR="00861281" w:rsidRDefault="00861281" w:rsidP="00861281">
      <w:pPr>
        <w:tabs>
          <w:tab w:val="num" w:pos="1080"/>
        </w:tabs>
        <w:jc w:val="right"/>
        <w:rPr>
          <w:bCs/>
        </w:rPr>
      </w:pPr>
    </w:p>
    <w:p w14:paraId="5E225C82" w14:textId="77777777" w:rsidR="00861281" w:rsidRPr="007D5748" w:rsidRDefault="00861281" w:rsidP="00861281">
      <w:pPr>
        <w:tabs>
          <w:tab w:val="num" w:pos="1080"/>
        </w:tabs>
        <w:jc w:val="right"/>
        <w:rPr>
          <w:bCs/>
        </w:rPr>
      </w:pPr>
      <w:r w:rsidRPr="007D5748">
        <w:rPr>
          <w:bCs/>
        </w:rPr>
        <w:lastRenderedPageBreak/>
        <w:t xml:space="preserve">  Tabuľka č. 5 </w:t>
      </w:r>
    </w:p>
    <w:p w14:paraId="6743C137" w14:textId="77777777" w:rsidR="00861281" w:rsidRPr="007D5748" w:rsidRDefault="00861281" w:rsidP="00861281">
      <w:pPr>
        <w:tabs>
          <w:tab w:val="num" w:pos="1080"/>
        </w:tabs>
        <w:jc w:val="both"/>
        <w:rPr>
          <w:bCs/>
          <w:szCs w:val="20"/>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861281" w:rsidRPr="007D5748" w14:paraId="01347352" w14:textId="77777777" w:rsidTr="00861281">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583A97" w14:textId="77777777" w:rsidR="00861281" w:rsidRPr="007D5748" w:rsidRDefault="00861281" w:rsidP="00861281">
            <w:pPr>
              <w:jc w:val="center"/>
              <w:rPr>
                <w:b/>
                <w:bCs/>
              </w:rPr>
            </w:pPr>
            <w:r w:rsidRPr="007D5748">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14:paraId="2CCC8401" w14:textId="77777777" w:rsidR="00861281" w:rsidRPr="007D5748" w:rsidRDefault="00861281" w:rsidP="00861281">
            <w:pPr>
              <w:jc w:val="center"/>
              <w:rPr>
                <w:b/>
                <w:bCs/>
              </w:rPr>
            </w:pPr>
            <w:r w:rsidRPr="007D5748">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CF0E957" w14:textId="77777777" w:rsidR="00861281" w:rsidRPr="007D5748" w:rsidRDefault="00861281" w:rsidP="00861281">
            <w:pPr>
              <w:jc w:val="center"/>
              <w:rPr>
                <w:b/>
                <w:bCs/>
              </w:rPr>
            </w:pPr>
            <w:r w:rsidRPr="007D5748">
              <w:rPr>
                <w:b/>
                <w:bCs/>
              </w:rPr>
              <w:t>poznámka</w:t>
            </w:r>
          </w:p>
        </w:tc>
      </w:tr>
      <w:tr w:rsidR="00861281" w:rsidRPr="007D5748" w14:paraId="6B39A7C4" w14:textId="77777777" w:rsidTr="00861281">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438B38E" w14:textId="77777777" w:rsidR="00861281" w:rsidRPr="007D5748" w:rsidRDefault="00861281" w:rsidP="00861281">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14:paraId="1E4D3338" w14:textId="77777777" w:rsidR="00861281" w:rsidRPr="007D5748" w:rsidRDefault="00861281" w:rsidP="00861281">
            <w:pPr>
              <w:jc w:val="center"/>
              <w:rPr>
                <w:b/>
                <w:bCs/>
              </w:rPr>
            </w:pPr>
            <w:r w:rsidRPr="007D5748">
              <w:rPr>
                <w:b/>
                <w:bCs/>
              </w:rPr>
              <w:t>r</w:t>
            </w:r>
          </w:p>
        </w:tc>
        <w:tc>
          <w:tcPr>
            <w:tcW w:w="1788" w:type="dxa"/>
            <w:tcBorders>
              <w:top w:val="nil"/>
              <w:left w:val="nil"/>
              <w:bottom w:val="single" w:sz="4" w:space="0" w:color="auto"/>
              <w:right w:val="single" w:sz="4" w:space="0" w:color="auto"/>
            </w:tcBorders>
            <w:shd w:val="clear" w:color="auto" w:fill="BFBFBF" w:themeFill="background1" w:themeFillShade="BF"/>
          </w:tcPr>
          <w:p w14:paraId="12B2A81D" w14:textId="77777777" w:rsidR="00861281" w:rsidRPr="007D5748" w:rsidRDefault="00861281" w:rsidP="00861281">
            <w:pPr>
              <w:jc w:val="center"/>
              <w:rPr>
                <w:b/>
                <w:bCs/>
              </w:rPr>
            </w:pPr>
            <w:r w:rsidRPr="007D5748">
              <w:rPr>
                <w:b/>
                <w:bCs/>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6AE81FEC" w14:textId="77777777" w:rsidR="00861281" w:rsidRPr="007D5748" w:rsidRDefault="00861281" w:rsidP="00861281">
            <w:pPr>
              <w:jc w:val="center"/>
              <w:rPr>
                <w:b/>
                <w:bCs/>
              </w:rPr>
            </w:pPr>
            <w:r w:rsidRPr="007D5748">
              <w:rPr>
                <w:b/>
                <w:bCs/>
              </w:rPr>
              <w:t>r + 2</w:t>
            </w:r>
          </w:p>
        </w:tc>
        <w:tc>
          <w:tcPr>
            <w:tcW w:w="1722" w:type="dxa"/>
            <w:tcBorders>
              <w:top w:val="nil"/>
              <w:left w:val="nil"/>
              <w:bottom w:val="single" w:sz="4" w:space="0" w:color="auto"/>
              <w:right w:val="single" w:sz="4" w:space="0" w:color="auto"/>
            </w:tcBorders>
            <w:shd w:val="clear" w:color="auto" w:fill="BFBFBF" w:themeFill="background1" w:themeFillShade="BF"/>
          </w:tcPr>
          <w:p w14:paraId="661D9432" w14:textId="77777777" w:rsidR="00861281" w:rsidRPr="007D5748" w:rsidRDefault="00861281" w:rsidP="00861281">
            <w:pPr>
              <w:jc w:val="center"/>
              <w:rPr>
                <w:b/>
                <w:bCs/>
              </w:rPr>
            </w:pPr>
            <w:r w:rsidRPr="007D5748">
              <w:rPr>
                <w:b/>
                <w:bCs/>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CB3EEC" w14:textId="77777777" w:rsidR="00861281" w:rsidRPr="007D5748" w:rsidRDefault="00861281" w:rsidP="00861281">
            <w:pPr>
              <w:rPr>
                <w:b/>
                <w:bCs/>
                <w:color w:val="FFFFFF"/>
              </w:rPr>
            </w:pPr>
          </w:p>
        </w:tc>
      </w:tr>
      <w:tr w:rsidR="00861281" w:rsidRPr="007D5748" w14:paraId="2F8833A4" w14:textId="77777777" w:rsidTr="00861281">
        <w:trPr>
          <w:trHeight w:val="255"/>
        </w:trPr>
        <w:tc>
          <w:tcPr>
            <w:tcW w:w="6188" w:type="dxa"/>
            <w:tcBorders>
              <w:top w:val="nil"/>
              <w:left w:val="single" w:sz="4" w:space="0" w:color="auto"/>
              <w:bottom w:val="single" w:sz="4" w:space="0" w:color="auto"/>
              <w:right w:val="single" w:sz="4" w:space="0" w:color="auto"/>
            </w:tcBorders>
          </w:tcPr>
          <w:p w14:paraId="1DE607B6" w14:textId="77777777" w:rsidR="00861281" w:rsidRPr="007D5748" w:rsidRDefault="00861281" w:rsidP="00861281">
            <w:pPr>
              <w:rPr>
                <w:b/>
                <w:bCs/>
              </w:rPr>
            </w:pPr>
            <w:r w:rsidRPr="007D5748">
              <w:rPr>
                <w:b/>
                <w:bCs/>
              </w:rPr>
              <w:t>Počet zamestnancov celkom</w:t>
            </w:r>
          </w:p>
        </w:tc>
        <w:tc>
          <w:tcPr>
            <w:tcW w:w="1698" w:type="dxa"/>
            <w:tcBorders>
              <w:top w:val="nil"/>
              <w:left w:val="nil"/>
              <w:bottom w:val="single" w:sz="4" w:space="0" w:color="auto"/>
              <w:right w:val="single" w:sz="4" w:space="0" w:color="auto"/>
            </w:tcBorders>
          </w:tcPr>
          <w:p w14:paraId="1CC28E30" w14:textId="77777777" w:rsidR="00861281" w:rsidRPr="007D5748" w:rsidRDefault="00861281" w:rsidP="00861281">
            <w:pPr>
              <w:jc w:val="center"/>
              <w:rPr>
                <w:b/>
                <w:bCs/>
              </w:rPr>
            </w:pPr>
          </w:p>
        </w:tc>
        <w:tc>
          <w:tcPr>
            <w:tcW w:w="1788" w:type="dxa"/>
            <w:tcBorders>
              <w:top w:val="nil"/>
              <w:left w:val="nil"/>
              <w:bottom w:val="single" w:sz="4" w:space="0" w:color="auto"/>
              <w:right w:val="single" w:sz="4" w:space="0" w:color="auto"/>
            </w:tcBorders>
          </w:tcPr>
          <w:p w14:paraId="6ED57C56" w14:textId="77777777" w:rsidR="00861281" w:rsidRPr="007D5748" w:rsidRDefault="00861281" w:rsidP="00861281">
            <w:pPr>
              <w:jc w:val="center"/>
              <w:rPr>
                <w:b/>
                <w:bCs/>
              </w:rPr>
            </w:pPr>
          </w:p>
        </w:tc>
        <w:tc>
          <w:tcPr>
            <w:tcW w:w="2418" w:type="dxa"/>
            <w:gridSpan w:val="2"/>
            <w:tcBorders>
              <w:top w:val="nil"/>
              <w:left w:val="nil"/>
              <w:bottom w:val="single" w:sz="4" w:space="0" w:color="auto"/>
              <w:right w:val="single" w:sz="4" w:space="0" w:color="auto"/>
            </w:tcBorders>
          </w:tcPr>
          <w:p w14:paraId="0F0FD23A" w14:textId="77777777" w:rsidR="00861281" w:rsidRPr="007D5748" w:rsidRDefault="00861281" w:rsidP="00861281">
            <w:pPr>
              <w:jc w:val="center"/>
              <w:rPr>
                <w:b/>
                <w:bCs/>
              </w:rPr>
            </w:pPr>
          </w:p>
        </w:tc>
        <w:tc>
          <w:tcPr>
            <w:tcW w:w="1722" w:type="dxa"/>
            <w:tcBorders>
              <w:top w:val="nil"/>
              <w:left w:val="nil"/>
              <w:bottom w:val="single" w:sz="4" w:space="0" w:color="auto"/>
              <w:right w:val="single" w:sz="4" w:space="0" w:color="auto"/>
            </w:tcBorders>
          </w:tcPr>
          <w:p w14:paraId="6D00AC98" w14:textId="77777777" w:rsidR="00861281" w:rsidRPr="007D5748" w:rsidRDefault="00861281" w:rsidP="00861281">
            <w:pPr>
              <w:jc w:val="center"/>
              <w:rPr>
                <w:b/>
                <w:bCs/>
              </w:rPr>
            </w:pPr>
          </w:p>
        </w:tc>
        <w:tc>
          <w:tcPr>
            <w:tcW w:w="1620" w:type="dxa"/>
            <w:gridSpan w:val="2"/>
            <w:tcBorders>
              <w:top w:val="nil"/>
              <w:left w:val="nil"/>
              <w:bottom w:val="single" w:sz="4" w:space="0" w:color="auto"/>
              <w:right w:val="single" w:sz="4" w:space="0" w:color="auto"/>
            </w:tcBorders>
            <w:noWrap/>
            <w:vAlign w:val="bottom"/>
          </w:tcPr>
          <w:p w14:paraId="4DEA45E5" w14:textId="77777777" w:rsidR="00861281" w:rsidRPr="007D5748" w:rsidRDefault="00861281" w:rsidP="00861281">
            <w:r w:rsidRPr="007D5748">
              <w:t> </w:t>
            </w:r>
          </w:p>
        </w:tc>
      </w:tr>
      <w:tr w:rsidR="00861281" w:rsidRPr="007D5748" w14:paraId="3FC7EAAD" w14:textId="77777777" w:rsidTr="00861281">
        <w:trPr>
          <w:trHeight w:val="255"/>
        </w:trPr>
        <w:tc>
          <w:tcPr>
            <w:tcW w:w="6188" w:type="dxa"/>
            <w:tcBorders>
              <w:top w:val="nil"/>
              <w:left w:val="single" w:sz="4" w:space="0" w:color="auto"/>
              <w:bottom w:val="single" w:sz="4" w:space="0" w:color="auto"/>
              <w:right w:val="single" w:sz="4" w:space="0" w:color="auto"/>
            </w:tcBorders>
          </w:tcPr>
          <w:p w14:paraId="1731DF11" w14:textId="77777777" w:rsidR="00861281" w:rsidRPr="007D5748" w:rsidRDefault="00861281" w:rsidP="00861281">
            <w:pPr>
              <w:rPr>
                <w:b/>
                <w:bCs/>
              </w:rPr>
            </w:pPr>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14:paraId="6F474366" w14:textId="77777777" w:rsidR="00861281" w:rsidRPr="007D5748" w:rsidRDefault="00861281" w:rsidP="00861281">
            <w:pPr>
              <w:jc w:val="center"/>
              <w:rPr>
                <w:b/>
                <w:bCs/>
              </w:rPr>
            </w:pPr>
          </w:p>
        </w:tc>
        <w:tc>
          <w:tcPr>
            <w:tcW w:w="1788" w:type="dxa"/>
            <w:tcBorders>
              <w:top w:val="single" w:sz="4" w:space="0" w:color="auto"/>
              <w:left w:val="nil"/>
              <w:bottom w:val="single" w:sz="4" w:space="0" w:color="auto"/>
              <w:right w:val="single" w:sz="4" w:space="0" w:color="auto"/>
            </w:tcBorders>
          </w:tcPr>
          <w:p w14:paraId="1BF1910D" w14:textId="77777777" w:rsidR="00861281" w:rsidRPr="007D5748" w:rsidRDefault="00861281" w:rsidP="00861281">
            <w:pPr>
              <w:jc w:val="center"/>
              <w:rPr>
                <w:b/>
                <w:bCs/>
              </w:rPr>
            </w:pPr>
          </w:p>
        </w:tc>
        <w:tc>
          <w:tcPr>
            <w:tcW w:w="2418" w:type="dxa"/>
            <w:gridSpan w:val="2"/>
            <w:tcBorders>
              <w:top w:val="single" w:sz="4" w:space="0" w:color="auto"/>
              <w:left w:val="nil"/>
              <w:bottom w:val="single" w:sz="4" w:space="0" w:color="auto"/>
              <w:right w:val="single" w:sz="4" w:space="0" w:color="auto"/>
            </w:tcBorders>
          </w:tcPr>
          <w:p w14:paraId="1D564FE7" w14:textId="77777777" w:rsidR="00861281" w:rsidRPr="007D5748" w:rsidRDefault="00861281" w:rsidP="00861281">
            <w:pPr>
              <w:jc w:val="center"/>
              <w:rPr>
                <w:b/>
                <w:bCs/>
              </w:rPr>
            </w:pPr>
          </w:p>
        </w:tc>
        <w:tc>
          <w:tcPr>
            <w:tcW w:w="1722" w:type="dxa"/>
            <w:tcBorders>
              <w:top w:val="single" w:sz="4" w:space="0" w:color="auto"/>
              <w:left w:val="nil"/>
              <w:bottom w:val="single" w:sz="4" w:space="0" w:color="auto"/>
              <w:right w:val="single" w:sz="4" w:space="0" w:color="auto"/>
            </w:tcBorders>
          </w:tcPr>
          <w:p w14:paraId="134422E4" w14:textId="77777777" w:rsidR="00861281" w:rsidRPr="007D5748" w:rsidRDefault="00861281" w:rsidP="00861281">
            <w:pPr>
              <w:jc w:val="center"/>
              <w:rPr>
                <w:b/>
                <w:bCs/>
              </w:rPr>
            </w:pPr>
          </w:p>
        </w:tc>
        <w:tc>
          <w:tcPr>
            <w:tcW w:w="1620" w:type="dxa"/>
            <w:gridSpan w:val="2"/>
            <w:tcBorders>
              <w:top w:val="nil"/>
              <w:left w:val="nil"/>
              <w:bottom w:val="single" w:sz="4" w:space="0" w:color="auto"/>
              <w:right w:val="single" w:sz="4" w:space="0" w:color="auto"/>
            </w:tcBorders>
            <w:noWrap/>
            <w:vAlign w:val="bottom"/>
          </w:tcPr>
          <w:p w14:paraId="37FB53BA" w14:textId="77777777" w:rsidR="00861281" w:rsidRPr="007D5748" w:rsidRDefault="00861281" w:rsidP="00861281"/>
        </w:tc>
      </w:tr>
      <w:tr w:rsidR="00861281" w:rsidRPr="007D5748" w14:paraId="05078681" w14:textId="77777777" w:rsidTr="00861281">
        <w:trPr>
          <w:trHeight w:val="255"/>
        </w:trPr>
        <w:tc>
          <w:tcPr>
            <w:tcW w:w="6188" w:type="dxa"/>
            <w:tcBorders>
              <w:top w:val="nil"/>
              <w:left w:val="single" w:sz="4" w:space="0" w:color="auto"/>
              <w:bottom w:val="single" w:sz="4" w:space="0" w:color="auto"/>
              <w:right w:val="single" w:sz="4" w:space="0" w:color="auto"/>
            </w:tcBorders>
          </w:tcPr>
          <w:p w14:paraId="7382BC19" w14:textId="77777777" w:rsidR="00861281" w:rsidRPr="007D5748" w:rsidRDefault="00861281" w:rsidP="00861281">
            <w:pPr>
              <w:rPr>
                <w:b/>
                <w:bCs/>
              </w:rPr>
            </w:pPr>
            <w:r w:rsidRPr="007D5748">
              <w:rPr>
                <w:b/>
                <w:bCs/>
              </w:rPr>
              <w:t>Priemerný mzdový výdavok (v eurách)</w:t>
            </w:r>
          </w:p>
        </w:tc>
        <w:tc>
          <w:tcPr>
            <w:tcW w:w="1698" w:type="dxa"/>
            <w:tcBorders>
              <w:top w:val="single" w:sz="4" w:space="0" w:color="auto"/>
              <w:left w:val="nil"/>
              <w:bottom w:val="single" w:sz="4" w:space="0" w:color="auto"/>
              <w:right w:val="single" w:sz="4" w:space="0" w:color="auto"/>
            </w:tcBorders>
          </w:tcPr>
          <w:p w14:paraId="7976EF55" w14:textId="77777777" w:rsidR="00861281" w:rsidRPr="007D5748" w:rsidRDefault="00861281" w:rsidP="00861281">
            <w:pPr>
              <w:jc w:val="center"/>
              <w:rPr>
                <w:b/>
                <w:bCs/>
              </w:rPr>
            </w:pPr>
          </w:p>
        </w:tc>
        <w:tc>
          <w:tcPr>
            <w:tcW w:w="1788" w:type="dxa"/>
            <w:tcBorders>
              <w:top w:val="single" w:sz="4" w:space="0" w:color="auto"/>
              <w:left w:val="nil"/>
              <w:bottom w:val="single" w:sz="4" w:space="0" w:color="auto"/>
              <w:right w:val="single" w:sz="4" w:space="0" w:color="auto"/>
            </w:tcBorders>
          </w:tcPr>
          <w:p w14:paraId="62C89194" w14:textId="77777777" w:rsidR="00861281" w:rsidRPr="007D5748" w:rsidRDefault="00861281" w:rsidP="00861281">
            <w:pPr>
              <w:jc w:val="center"/>
              <w:rPr>
                <w:b/>
                <w:bCs/>
              </w:rPr>
            </w:pPr>
          </w:p>
        </w:tc>
        <w:tc>
          <w:tcPr>
            <w:tcW w:w="2418" w:type="dxa"/>
            <w:gridSpan w:val="2"/>
            <w:tcBorders>
              <w:top w:val="single" w:sz="4" w:space="0" w:color="auto"/>
              <w:left w:val="nil"/>
              <w:bottom w:val="single" w:sz="4" w:space="0" w:color="auto"/>
              <w:right w:val="single" w:sz="4" w:space="0" w:color="auto"/>
            </w:tcBorders>
          </w:tcPr>
          <w:p w14:paraId="4385C4CA" w14:textId="77777777" w:rsidR="00861281" w:rsidRPr="007D5748" w:rsidRDefault="00861281" w:rsidP="00861281">
            <w:pPr>
              <w:jc w:val="center"/>
              <w:rPr>
                <w:b/>
                <w:bCs/>
              </w:rPr>
            </w:pPr>
          </w:p>
        </w:tc>
        <w:tc>
          <w:tcPr>
            <w:tcW w:w="1722" w:type="dxa"/>
            <w:tcBorders>
              <w:top w:val="single" w:sz="4" w:space="0" w:color="auto"/>
              <w:left w:val="nil"/>
              <w:bottom w:val="single" w:sz="4" w:space="0" w:color="auto"/>
              <w:right w:val="single" w:sz="4" w:space="0" w:color="auto"/>
            </w:tcBorders>
          </w:tcPr>
          <w:p w14:paraId="7DDB540B" w14:textId="77777777" w:rsidR="00861281" w:rsidRPr="007D5748" w:rsidRDefault="00861281" w:rsidP="00861281">
            <w:pPr>
              <w:jc w:val="center"/>
              <w:rPr>
                <w:b/>
                <w:bCs/>
              </w:rPr>
            </w:pPr>
          </w:p>
        </w:tc>
        <w:tc>
          <w:tcPr>
            <w:tcW w:w="1620" w:type="dxa"/>
            <w:gridSpan w:val="2"/>
            <w:tcBorders>
              <w:top w:val="nil"/>
              <w:left w:val="nil"/>
              <w:bottom w:val="single" w:sz="4" w:space="0" w:color="auto"/>
              <w:right w:val="single" w:sz="4" w:space="0" w:color="auto"/>
            </w:tcBorders>
            <w:noWrap/>
            <w:vAlign w:val="bottom"/>
          </w:tcPr>
          <w:p w14:paraId="623421F4" w14:textId="77777777" w:rsidR="00861281" w:rsidRPr="007D5748" w:rsidRDefault="00861281" w:rsidP="00861281">
            <w:r w:rsidRPr="007D5748">
              <w:t> </w:t>
            </w:r>
          </w:p>
        </w:tc>
      </w:tr>
      <w:tr w:rsidR="00861281" w:rsidRPr="007D5748" w14:paraId="605445A9" w14:textId="77777777" w:rsidTr="00861281">
        <w:trPr>
          <w:trHeight w:val="255"/>
        </w:trPr>
        <w:tc>
          <w:tcPr>
            <w:tcW w:w="6188" w:type="dxa"/>
            <w:tcBorders>
              <w:top w:val="nil"/>
              <w:left w:val="single" w:sz="4" w:space="0" w:color="auto"/>
              <w:bottom w:val="single" w:sz="4" w:space="0" w:color="auto"/>
              <w:right w:val="single" w:sz="4" w:space="0" w:color="auto"/>
            </w:tcBorders>
          </w:tcPr>
          <w:p w14:paraId="0CBFB5D1" w14:textId="77777777" w:rsidR="00861281" w:rsidRPr="007D5748" w:rsidRDefault="00861281" w:rsidP="00861281">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14:paraId="31AEDA2F" w14:textId="77777777" w:rsidR="00861281" w:rsidRPr="007D5748" w:rsidRDefault="00861281" w:rsidP="00861281">
            <w:pPr>
              <w:jc w:val="center"/>
            </w:pPr>
            <w:r w:rsidRPr="007D5748">
              <w:t> </w:t>
            </w:r>
          </w:p>
        </w:tc>
        <w:tc>
          <w:tcPr>
            <w:tcW w:w="1788" w:type="dxa"/>
            <w:tcBorders>
              <w:top w:val="single" w:sz="4" w:space="0" w:color="auto"/>
              <w:left w:val="nil"/>
              <w:bottom w:val="single" w:sz="4" w:space="0" w:color="auto"/>
              <w:right w:val="single" w:sz="4" w:space="0" w:color="auto"/>
            </w:tcBorders>
          </w:tcPr>
          <w:p w14:paraId="1BF50CF3" w14:textId="77777777" w:rsidR="00861281" w:rsidRPr="007D5748" w:rsidRDefault="00861281" w:rsidP="00861281">
            <w:pPr>
              <w:jc w:val="center"/>
            </w:pPr>
            <w:r w:rsidRPr="007D5748">
              <w:t> </w:t>
            </w:r>
          </w:p>
        </w:tc>
        <w:tc>
          <w:tcPr>
            <w:tcW w:w="2418" w:type="dxa"/>
            <w:gridSpan w:val="2"/>
            <w:tcBorders>
              <w:top w:val="single" w:sz="4" w:space="0" w:color="auto"/>
              <w:left w:val="nil"/>
              <w:bottom w:val="single" w:sz="4" w:space="0" w:color="auto"/>
              <w:right w:val="single" w:sz="4" w:space="0" w:color="auto"/>
            </w:tcBorders>
          </w:tcPr>
          <w:p w14:paraId="22FE91E2" w14:textId="77777777" w:rsidR="00861281" w:rsidRPr="007D5748" w:rsidRDefault="00861281" w:rsidP="00861281">
            <w:pPr>
              <w:jc w:val="center"/>
            </w:pPr>
            <w:r w:rsidRPr="007D5748">
              <w:t> </w:t>
            </w:r>
          </w:p>
        </w:tc>
        <w:tc>
          <w:tcPr>
            <w:tcW w:w="1722" w:type="dxa"/>
            <w:tcBorders>
              <w:top w:val="single" w:sz="4" w:space="0" w:color="auto"/>
              <w:left w:val="nil"/>
              <w:bottom w:val="single" w:sz="4" w:space="0" w:color="auto"/>
              <w:right w:val="single" w:sz="4" w:space="0" w:color="auto"/>
            </w:tcBorders>
          </w:tcPr>
          <w:p w14:paraId="1B2F4925" w14:textId="77777777" w:rsidR="00861281" w:rsidRPr="007D5748" w:rsidRDefault="00861281" w:rsidP="00861281">
            <w:pPr>
              <w:jc w:val="center"/>
            </w:pPr>
            <w:r w:rsidRPr="007D5748">
              <w:t> </w:t>
            </w:r>
          </w:p>
        </w:tc>
        <w:tc>
          <w:tcPr>
            <w:tcW w:w="1620" w:type="dxa"/>
            <w:gridSpan w:val="2"/>
            <w:tcBorders>
              <w:top w:val="nil"/>
              <w:left w:val="nil"/>
              <w:bottom w:val="single" w:sz="4" w:space="0" w:color="auto"/>
              <w:right w:val="single" w:sz="4" w:space="0" w:color="auto"/>
            </w:tcBorders>
            <w:noWrap/>
            <w:vAlign w:val="bottom"/>
          </w:tcPr>
          <w:p w14:paraId="0015D335" w14:textId="77777777" w:rsidR="00861281" w:rsidRPr="007D5748" w:rsidRDefault="00861281" w:rsidP="00861281">
            <w:r w:rsidRPr="007D5748">
              <w:t> </w:t>
            </w:r>
          </w:p>
        </w:tc>
      </w:tr>
      <w:tr w:rsidR="00861281" w:rsidRPr="007D5748" w14:paraId="50C34326" w14:textId="77777777" w:rsidTr="00861281">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14:paraId="1C014116" w14:textId="77777777" w:rsidR="00861281" w:rsidRPr="007D5748" w:rsidRDefault="00861281" w:rsidP="00861281">
            <w:pPr>
              <w:rPr>
                <w:b/>
                <w:bCs/>
              </w:rPr>
            </w:pPr>
            <w:r w:rsidRPr="007D5748">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14:paraId="772A9E30" w14:textId="77777777" w:rsidR="00861281" w:rsidRPr="007D5748" w:rsidRDefault="00861281" w:rsidP="00861281">
            <w:pPr>
              <w:jc w:val="center"/>
              <w:rPr>
                <w:b/>
                <w:bCs/>
              </w:rPr>
            </w:pPr>
            <w:r w:rsidRPr="007D5748">
              <w:rPr>
                <w:b/>
                <w:bCs/>
              </w:rPr>
              <w:t>0</w:t>
            </w:r>
          </w:p>
        </w:tc>
        <w:tc>
          <w:tcPr>
            <w:tcW w:w="1788" w:type="dxa"/>
            <w:tcBorders>
              <w:top w:val="nil"/>
              <w:left w:val="nil"/>
              <w:bottom w:val="single" w:sz="4" w:space="0" w:color="auto"/>
              <w:right w:val="single" w:sz="4" w:space="0" w:color="auto"/>
            </w:tcBorders>
            <w:shd w:val="clear" w:color="auto" w:fill="BFBFBF" w:themeFill="background1" w:themeFillShade="BF"/>
          </w:tcPr>
          <w:p w14:paraId="3903964B" w14:textId="77777777" w:rsidR="00861281" w:rsidRPr="007D5748" w:rsidRDefault="00861281" w:rsidP="00861281">
            <w:pPr>
              <w:jc w:val="center"/>
              <w:rPr>
                <w:b/>
                <w:bCs/>
              </w:rPr>
            </w:pPr>
            <w:r w:rsidRPr="007D5748">
              <w:rPr>
                <w:b/>
                <w:bCs/>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14:paraId="59A982A7" w14:textId="77777777" w:rsidR="00861281" w:rsidRPr="007D5748" w:rsidRDefault="00861281" w:rsidP="00861281">
            <w:pPr>
              <w:jc w:val="center"/>
              <w:rPr>
                <w:b/>
                <w:bCs/>
              </w:rPr>
            </w:pPr>
            <w:r w:rsidRPr="007D5748">
              <w:rPr>
                <w:b/>
                <w:bCs/>
              </w:rPr>
              <w:t>0</w:t>
            </w:r>
          </w:p>
        </w:tc>
        <w:tc>
          <w:tcPr>
            <w:tcW w:w="1722" w:type="dxa"/>
            <w:tcBorders>
              <w:top w:val="nil"/>
              <w:left w:val="nil"/>
              <w:bottom w:val="single" w:sz="4" w:space="0" w:color="auto"/>
              <w:right w:val="single" w:sz="4" w:space="0" w:color="auto"/>
            </w:tcBorders>
            <w:shd w:val="clear" w:color="auto" w:fill="BFBFBF" w:themeFill="background1" w:themeFillShade="BF"/>
          </w:tcPr>
          <w:p w14:paraId="57061E7A" w14:textId="77777777" w:rsidR="00861281" w:rsidRPr="007D5748" w:rsidRDefault="00861281" w:rsidP="00861281">
            <w:pPr>
              <w:jc w:val="center"/>
              <w:rPr>
                <w:b/>
                <w:bCs/>
              </w:rPr>
            </w:pPr>
            <w:r w:rsidRPr="007D5748">
              <w:rPr>
                <w:b/>
                <w:bCs/>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14:paraId="20CC180C" w14:textId="77777777" w:rsidR="00861281" w:rsidRPr="007D5748" w:rsidRDefault="00861281" w:rsidP="00861281">
            <w:pPr>
              <w:rPr>
                <w:b/>
                <w:bCs/>
              </w:rPr>
            </w:pPr>
            <w:r w:rsidRPr="007D5748">
              <w:rPr>
                <w:b/>
                <w:bCs/>
              </w:rPr>
              <w:t> </w:t>
            </w:r>
          </w:p>
        </w:tc>
      </w:tr>
      <w:tr w:rsidR="00861281" w:rsidRPr="007D5748" w14:paraId="0BFD7F14" w14:textId="77777777" w:rsidTr="00861281">
        <w:trPr>
          <w:trHeight w:val="255"/>
        </w:trPr>
        <w:tc>
          <w:tcPr>
            <w:tcW w:w="6188" w:type="dxa"/>
            <w:tcBorders>
              <w:top w:val="nil"/>
              <w:left w:val="single" w:sz="4" w:space="0" w:color="auto"/>
              <w:bottom w:val="single" w:sz="4" w:space="0" w:color="auto"/>
              <w:right w:val="single" w:sz="4" w:space="0" w:color="auto"/>
            </w:tcBorders>
          </w:tcPr>
          <w:p w14:paraId="6DF3EAE2" w14:textId="77777777" w:rsidR="00861281" w:rsidRPr="007D5748" w:rsidRDefault="00861281" w:rsidP="00861281">
            <w:pPr>
              <w:rPr>
                <w:b/>
                <w:bCs/>
              </w:rPr>
            </w:pPr>
            <w:r w:rsidRPr="007D5748">
              <w:rPr>
                <w:b/>
                <w:bCs/>
              </w:rPr>
              <w:t>Mzdy, platy, služobné príjmy a ostatné osobné vyrovnania (610)</w:t>
            </w:r>
          </w:p>
        </w:tc>
        <w:tc>
          <w:tcPr>
            <w:tcW w:w="1698" w:type="dxa"/>
            <w:tcBorders>
              <w:top w:val="nil"/>
              <w:left w:val="nil"/>
              <w:bottom w:val="single" w:sz="4" w:space="0" w:color="auto"/>
              <w:right w:val="single" w:sz="4" w:space="0" w:color="auto"/>
            </w:tcBorders>
          </w:tcPr>
          <w:p w14:paraId="4186D763" w14:textId="77777777" w:rsidR="00861281" w:rsidRPr="007D5748" w:rsidRDefault="00861281" w:rsidP="00861281">
            <w:pPr>
              <w:jc w:val="center"/>
              <w:rPr>
                <w:b/>
                <w:bCs/>
              </w:rPr>
            </w:pPr>
          </w:p>
        </w:tc>
        <w:tc>
          <w:tcPr>
            <w:tcW w:w="1788" w:type="dxa"/>
            <w:tcBorders>
              <w:top w:val="nil"/>
              <w:left w:val="nil"/>
              <w:bottom w:val="single" w:sz="4" w:space="0" w:color="auto"/>
              <w:right w:val="single" w:sz="4" w:space="0" w:color="auto"/>
            </w:tcBorders>
          </w:tcPr>
          <w:p w14:paraId="6D01D165" w14:textId="77777777" w:rsidR="00861281" w:rsidRPr="007D5748" w:rsidRDefault="00861281" w:rsidP="00861281">
            <w:pPr>
              <w:jc w:val="center"/>
              <w:rPr>
                <w:b/>
                <w:bCs/>
              </w:rPr>
            </w:pPr>
          </w:p>
        </w:tc>
        <w:tc>
          <w:tcPr>
            <w:tcW w:w="2418" w:type="dxa"/>
            <w:gridSpan w:val="2"/>
            <w:tcBorders>
              <w:top w:val="nil"/>
              <w:left w:val="nil"/>
              <w:bottom w:val="single" w:sz="4" w:space="0" w:color="auto"/>
              <w:right w:val="single" w:sz="4" w:space="0" w:color="auto"/>
            </w:tcBorders>
          </w:tcPr>
          <w:p w14:paraId="79CB0720" w14:textId="77777777" w:rsidR="00861281" w:rsidRPr="007D5748" w:rsidRDefault="00861281" w:rsidP="00861281">
            <w:pPr>
              <w:jc w:val="center"/>
              <w:rPr>
                <w:b/>
                <w:bCs/>
              </w:rPr>
            </w:pPr>
          </w:p>
        </w:tc>
        <w:tc>
          <w:tcPr>
            <w:tcW w:w="1722" w:type="dxa"/>
            <w:tcBorders>
              <w:top w:val="nil"/>
              <w:left w:val="nil"/>
              <w:bottom w:val="single" w:sz="4" w:space="0" w:color="auto"/>
              <w:right w:val="single" w:sz="4" w:space="0" w:color="auto"/>
            </w:tcBorders>
          </w:tcPr>
          <w:p w14:paraId="7CDD4524" w14:textId="77777777" w:rsidR="00861281" w:rsidRPr="007D5748" w:rsidRDefault="00861281" w:rsidP="00861281">
            <w:pPr>
              <w:jc w:val="center"/>
              <w:rPr>
                <w:b/>
                <w:bCs/>
              </w:rPr>
            </w:pPr>
          </w:p>
        </w:tc>
        <w:tc>
          <w:tcPr>
            <w:tcW w:w="1620" w:type="dxa"/>
            <w:gridSpan w:val="2"/>
            <w:tcBorders>
              <w:top w:val="nil"/>
              <w:left w:val="nil"/>
              <w:bottom w:val="single" w:sz="4" w:space="0" w:color="auto"/>
              <w:right w:val="single" w:sz="4" w:space="0" w:color="auto"/>
            </w:tcBorders>
            <w:noWrap/>
            <w:vAlign w:val="bottom"/>
          </w:tcPr>
          <w:p w14:paraId="4FB27348" w14:textId="77777777" w:rsidR="00861281" w:rsidRPr="007D5748" w:rsidRDefault="00861281" w:rsidP="00861281">
            <w:pPr>
              <w:rPr>
                <w:b/>
                <w:bCs/>
              </w:rPr>
            </w:pPr>
            <w:r w:rsidRPr="007D5748">
              <w:rPr>
                <w:b/>
                <w:bCs/>
              </w:rPr>
              <w:t> </w:t>
            </w:r>
          </w:p>
        </w:tc>
      </w:tr>
      <w:tr w:rsidR="00861281" w:rsidRPr="007D5748" w14:paraId="74A7ACB6" w14:textId="77777777" w:rsidTr="00861281">
        <w:trPr>
          <w:trHeight w:val="255"/>
        </w:trPr>
        <w:tc>
          <w:tcPr>
            <w:tcW w:w="6188" w:type="dxa"/>
            <w:tcBorders>
              <w:top w:val="nil"/>
              <w:left w:val="single" w:sz="4" w:space="0" w:color="auto"/>
              <w:bottom w:val="single" w:sz="4" w:space="0" w:color="auto"/>
              <w:right w:val="single" w:sz="4" w:space="0" w:color="auto"/>
            </w:tcBorders>
          </w:tcPr>
          <w:p w14:paraId="1700E7A7" w14:textId="77777777" w:rsidR="00861281" w:rsidRPr="007D5748" w:rsidRDefault="00861281" w:rsidP="00861281">
            <w:r w:rsidRPr="007D5748">
              <w:rPr>
                <w:b/>
                <w:bCs/>
              </w:rPr>
              <w:t xml:space="preserve">   z toho vplyv na ŠR</w:t>
            </w:r>
          </w:p>
        </w:tc>
        <w:tc>
          <w:tcPr>
            <w:tcW w:w="1698" w:type="dxa"/>
            <w:tcBorders>
              <w:top w:val="nil"/>
              <w:left w:val="nil"/>
              <w:bottom w:val="single" w:sz="4" w:space="0" w:color="auto"/>
              <w:right w:val="single" w:sz="4" w:space="0" w:color="auto"/>
            </w:tcBorders>
          </w:tcPr>
          <w:p w14:paraId="18C3ACCA" w14:textId="77777777" w:rsidR="00861281" w:rsidRPr="007D5748" w:rsidRDefault="00861281" w:rsidP="00861281">
            <w:pPr>
              <w:jc w:val="center"/>
            </w:pPr>
          </w:p>
        </w:tc>
        <w:tc>
          <w:tcPr>
            <w:tcW w:w="1788" w:type="dxa"/>
            <w:tcBorders>
              <w:top w:val="nil"/>
              <w:left w:val="nil"/>
              <w:bottom w:val="single" w:sz="4" w:space="0" w:color="auto"/>
              <w:right w:val="single" w:sz="4" w:space="0" w:color="auto"/>
            </w:tcBorders>
          </w:tcPr>
          <w:p w14:paraId="25C880ED" w14:textId="77777777" w:rsidR="00861281" w:rsidRPr="007D5748" w:rsidRDefault="00861281" w:rsidP="00861281">
            <w:pPr>
              <w:jc w:val="center"/>
            </w:pPr>
          </w:p>
        </w:tc>
        <w:tc>
          <w:tcPr>
            <w:tcW w:w="2418" w:type="dxa"/>
            <w:gridSpan w:val="2"/>
            <w:tcBorders>
              <w:top w:val="nil"/>
              <w:left w:val="nil"/>
              <w:bottom w:val="single" w:sz="4" w:space="0" w:color="auto"/>
              <w:right w:val="single" w:sz="4" w:space="0" w:color="auto"/>
            </w:tcBorders>
          </w:tcPr>
          <w:p w14:paraId="1806B8C6" w14:textId="77777777" w:rsidR="00861281" w:rsidRPr="007D5748" w:rsidRDefault="00861281" w:rsidP="00861281">
            <w:pPr>
              <w:jc w:val="center"/>
            </w:pPr>
          </w:p>
        </w:tc>
        <w:tc>
          <w:tcPr>
            <w:tcW w:w="1722" w:type="dxa"/>
            <w:tcBorders>
              <w:top w:val="nil"/>
              <w:left w:val="nil"/>
              <w:bottom w:val="single" w:sz="4" w:space="0" w:color="auto"/>
              <w:right w:val="single" w:sz="4" w:space="0" w:color="auto"/>
            </w:tcBorders>
          </w:tcPr>
          <w:p w14:paraId="54EB5201" w14:textId="77777777" w:rsidR="00861281" w:rsidRPr="007D5748" w:rsidRDefault="00861281" w:rsidP="00861281">
            <w:pPr>
              <w:jc w:val="center"/>
            </w:pPr>
          </w:p>
        </w:tc>
        <w:tc>
          <w:tcPr>
            <w:tcW w:w="1620" w:type="dxa"/>
            <w:gridSpan w:val="2"/>
            <w:tcBorders>
              <w:top w:val="nil"/>
              <w:left w:val="nil"/>
              <w:bottom w:val="single" w:sz="4" w:space="0" w:color="auto"/>
              <w:right w:val="single" w:sz="4" w:space="0" w:color="auto"/>
            </w:tcBorders>
            <w:noWrap/>
            <w:vAlign w:val="bottom"/>
          </w:tcPr>
          <w:p w14:paraId="62B5D48A" w14:textId="77777777" w:rsidR="00861281" w:rsidRPr="007D5748" w:rsidRDefault="00861281" w:rsidP="00861281">
            <w:r w:rsidRPr="007D5748">
              <w:t> </w:t>
            </w:r>
          </w:p>
        </w:tc>
      </w:tr>
      <w:tr w:rsidR="00861281" w:rsidRPr="007D5748" w14:paraId="6788F222" w14:textId="77777777" w:rsidTr="00861281">
        <w:trPr>
          <w:trHeight w:val="255"/>
        </w:trPr>
        <w:tc>
          <w:tcPr>
            <w:tcW w:w="6188" w:type="dxa"/>
            <w:tcBorders>
              <w:top w:val="nil"/>
              <w:left w:val="single" w:sz="4" w:space="0" w:color="auto"/>
              <w:bottom w:val="single" w:sz="4" w:space="0" w:color="auto"/>
              <w:right w:val="single" w:sz="4" w:space="0" w:color="auto"/>
            </w:tcBorders>
          </w:tcPr>
          <w:p w14:paraId="5F99C89D" w14:textId="77777777" w:rsidR="00861281" w:rsidRPr="007D5748" w:rsidRDefault="00861281" w:rsidP="00861281">
            <w:pPr>
              <w:rPr>
                <w:b/>
                <w:bCs/>
              </w:rPr>
            </w:pPr>
            <w:r w:rsidRPr="007D5748">
              <w:rPr>
                <w:b/>
                <w:bCs/>
              </w:rPr>
              <w:t>Poistné a príspevok do poisťovní (620)</w:t>
            </w:r>
          </w:p>
        </w:tc>
        <w:tc>
          <w:tcPr>
            <w:tcW w:w="1698" w:type="dxa"/>
            <w:tcBorders>
              <w:top w:val="nil"/>
              <w:left w:val="nil"/>
              <w:bottom w:val="single" w:sz="4" w:space="0" w:color="auto"/>
              <w:right w:val="single" w:sz="4" w:space="0" w:color="auto"/>
            </w:tcBorders>
          </w:tcPr>
          <w:p w14:paraId="29B20AAD" w14:textId="77777777" w:rsidR="00861281" w:rsidRPr="007D5748" w:rsidRDefault="00861281" w:rsidP="00861281">
            <w:pPr>
              <w:jc w:val="center"/>
              <w:rPr>
                <w:b/>
                <w:bCs/>
              </w:rPr>
            </w:pPr>
          </w:p>
        </w:tc>
        <w:tc>
          <w:tcPr>
            <w:tcW w:w="1788" w:type="dxa"/>
            <w:tcBorders>
              <w:top w:val="nil"/>
              <w:left w:val="nil"/>
              <w:bottom w:val="single" w:sz="4" w:space="0" w:color="auto"/>
              <w:right w:val="single" w:sz="4" w:space="0" w:color="auto"/>
            </w:tcBorders>
          </w:tcPr>
          <w:p w14:paraId="2E5047F2" w14:textId="77777777" w:rsidR="00861281" w:rsidRPr="007D5748" w:rsidRDefault="00861281" w:rsidP="00861281">
            <w:pPr>
              <w:jc w:val="center"/>
              <w:rPr>
                <w:b/>
                <w:bCs/>
              </w:rPr>
            </w:pPr>
          </w:p>
        </w:tc>
        <w:tc>
          <w:tcPr>
            <w:tcW w:w="2418" w:type="dxa"/>
            <w:gridSpan w:val="2"/>
            <w:tcBorders>
              <w:top w:val="nil"/>
              <w:left w:val="nil"/>
              <w:bottom w:val="single" w:sz="4" w:space="0" w:color="auto"/>
              <w:right w:val="single" w:sz="4" w:space="0" w:color="auto"/>
            </w:tcBorders>
          </w:tcPr>
          <w:p w14:paraId="58E4D220" w14:textId="77777777" w:rsidR="00861281" w:rsidRPr="007D5748" w:rsidRDefault="00861281" w:rsidP="00861281">
            <w:pPr>
              <w:jc w:val="center"/>
              <w:rPr>
                <w:b/>
                <w:bCs/>
              </w:rPr>
            </w:pPr>
          </w:p>
        </w:tc>
        <w:tc>
          <w:tcPr>
            <w:tcW w:w="1722" w:type="dxa"/>
            <w:tcBorders>
              <w:top w:val="nil"/>
              <w:left w:val="nil"/>
              <w:bottom w:val="single" w:sz="4" w:space="0" w:color="auto"/>
              <w:right w:val="single" w:sz="4" w:space="0" w:color="auto"/>
            </w:tcBorders>
          </w:tcPr>
          <w:p w14:paraId="5D5DECD7" w14:textId="77777777" w:rsidR="00861281" w:rsidRPr="007D5748" w:rsidRDefault="00861281" w:rsidP="00861281">
            <w:pPr>
              <w:jc w:val="center"/>
              <w:rPr>
                <w:b/>
                <w:bCs/>
              </w:rPr>
            </w:pPr>
          </w:p>
        </w:tc>
        <w:tc>
          <w:tcPr>
            <w:tcW w:w="1620" w:type="dxa"/>
            <w:gridSpan w:val="2"/>
            <w:tcBorders>
              <w:top w:val="nil"/>
              <w:left w:val="nil"/>
              <w:bottom w:val="single" w:sz="4" w:space="0" w:color="auto"/>
              <w:right w:val="single" w:sz="4" w:space="0" w:color="auto"/>
            </w:tcBorders>
            <w:noWrap/>
            <w:vAlign w:val="bottom"/>
          </w:tcPr>
          <w:p w14:paraId="7753DE6D" w14:textId="77777777" w:rsidR="00861281" w:rsidRPr="007D5748" w:rsidRDefault="00861281" w:rsidP="00861281">
            <w:pPr>
              <w:rPr>
                <w:b/>
                <w:bCs/>
              </w:rPr>
            </w:pPr>
            <w:r w:rsidRPr="007D5748">
              <w:rPr>
                <w:b/>
                <w:bCs/>
              </w:rPr>
              <w:t> </w:t>
            </w:r>
          </w:p>
        </w:tc>
      </w:tr>
      <w:tr w:rsidR="00861281" w:rsidRPr="007D5748" w14:paraId="7CA47573" w14:textId="77777777" w:rsidTr="00861281">
        <w:trPr>
          <w:trHeight w:val="255"/>
        </w:trPr>
        <w:tc>
          <w:tcPr>
            <w:tcW w:w="6188" w:type="dxa"/>
            <w:tcBorders>
              <w:top w:val="nil"/>
              <w:left w:val="single" w:sz="4" w:space="0" w:color="auto"/>
              <w:bottom w:val="single" w:sz="4" w:space="0" w:color="auto"/>
              <w:right w:val="single" w:sz="4" w:space="0" w:color="auto"/>
            </w:tcBorders>
          </w:tcPr>
          <w:p w14:paraId="0BBDE9FB" w14:textId="77777777" w:rsidR="00861281" w:rsidRPr="007D5748" w:rsidRDefault="00861281" w:rsidP="00861281">
            <w:r w:rsidRPr="007D5748">
              <w:rPr>
                <w:b/>
                <w:bCs/>
              </w:rPr>
              <w:t xml:space="preserve">   z toho vplyv na ŠR</w:t>
            </w:r>
          </w:p>
        </w:tc>
        <w:tc>
          <w:tcPr>
            <w:tcW w:w="1698" w:type="dxa"/>
            <w:tcBorders>
              <w:top w:val="nil"/>
              <w:left w:val="nil"/>
              <w:bottom w:val="single" w:sz="4" w:space="0" w:color="auto"/>
              <w:right w:val="single" w:sz="4" w:space="0" w:color="auto"/>
            </w:tcBorders>
          </w:tcPr>
          <w:p w14:paraId="0FC5FDAE" w14:textId="77777777" w:rsidR="00861281" w:rsidRPr="007D5748" w:rsidRDefault="00861281" w:rsidP="00861281">
            <w:pPr>
              <w:jc w:val="center"/>
            </w:pPr>
          </w:p>
        </w:tc>
        <w:tc>
          <w:tcPr>
            <w:tcW w:w="1788" w:type="dxa"/>
            <w:tcBorders>
              <w:top w:val="nil"/>
              <w:left w:val="nil"/>
              <w:bottom w:val="single" w:sz="4" w:space="0" w:color="auto"/>
              <w:right w:val="single" w:sz="4" w:space="0" w:color="auto"/>
            </w:tcBorders>
          </w:tcPr>
          <w:p w14:paraId="39A1B83B" w14:textId="77777777" w:rsidR="00861281" w:rsidRPr="007D5748" w:rsidRDefault="00861281" w:rsidP="00861281">
            <w:pPr>
              <w:jc w:val="center"/>
            </w:pPr>
          </w:p>
        </w:tc>
        <w:tc>
          <w:tcPr>
            <w:tcW w:w="2418" w:type="dxa"/>
            <w:gridSpan w:val="2"/>
            <w:tcBorders>
              <w:top w:val="nil"/>
              <w:left w:val="nil"/>
              <w:bottom w:val="single" w:sz="4" w:space="0" w:color="auto"/>
              <w:right w:val="single" w:sz="4" w:space="0" w:color="auto"/>
            </w:tcBorders>
          </w:tcPr>
          <w:p w14:paraId="0C2575DF" w14:textId="77777777" w:rsidR="00861281" w:rsidRPr="007D5748" w:rsidRDefault="00861281" w:rsidP="00861281">
            <w:pPr>
              <w:jc w:val="center"/>
            </w:pPr>
          </w:p>
        </w:tc>
        <w:tc>
          <w:tcPr>
            <w:tcW w:w="1722" w:type="dxa"/>
            <w:tcBorders>
              <w:top w:val="nil"/>
              <w:left w:val="nil"/>
              <w:bottom w:val="single" w:sz="4" w:space="0" w:color="auto"/>
              <w:right w:val="single" w:sz="4" w:space="0" w:color="auto"/>
            </w:tcBorders>
          </w:tcPr>
          <w:p w14:paraId="1427959A" w14:textId="77777777" w:rsidR="00861281" w:rsidRPr="007D5748" w:rsidRDefault="00861281" w:rsidP="00861281">
            <w:pPr>
              <w:jc w:val="center"/>
            </w:pPr>
          </w:p>
        </w:tc>
        <w:tc>
          <w:tcPr>
            <w:tcW w:w="1620" w:type="dxa"/>
            <w:gridSpan w:val="2"/>
            <w:tcBorders>
              <w:top w:val="nil"/>
              <w:left w:val="nil"/>
              <w:bottom w:val="single" w:sz="4" w:space="0" w:color="auto"/>
              <w:right w:val="single" w:sz="4" w:space="0" w:color="auto"/>
            </w:tcBorders>
            <w:noWrap/>
            <w:vAlign w:val="bottom"/>
          </w:tcPr>
          <w:p w14:paraId="4DA2E127" w14:textId="77777777" w:rsidR="00861281" w:rsidRPr="007D5748" w:rsidRDefault="00861281" w:rsidP="00861281">
            <w:r w:rsidRPr="007D5748">
              <w:t> </w:t>
            </w:r>
          </w:p>
        </w:tc>
      </w:tr>
      <w:tr w:rsidR="00861281" w:rsidRPr="007D5748" w14:paraId="20951B03" w14:textId="77777777" w:rsidTr="00861281">
        <w:trPr>
          <w:trHeight w:val="255"/>
        </w:trPr>
        <w:tc>
          <w:tcPr>
            <w:tcW w:w="6188" w:type="dxa"/>
            <w:tcBorders>
              <w:top w:val="nil"/>
              <w:left w:val="nil"/>
              <w:bottom w:val="nil"/>
              <w:right w:val="nil"/>
            </w:tcBorders>
            <w:noWrap/>
            <w:vAlign w:val="bottom"/>
          </w:tcPr>
          <w:p w14:paraId="4C3AA647" w14:textId="77777777" w:rsidR="00861281" w:rsidRPr="007D5748" w:rsidRDefault="00861281" w:rsidP="00861281"/>
        </w:tc>
        <w:tc>
          <w:tcPr>
            <w:tcW w:w="1698" w:type="dxa"/>
            <w:tcBorders>
              <w:top w:val="nil"/>
              <w:left w:val="nil"/>
              <w:bottom w:val="nil"/>
              <w:right w:val="nil"/>
            </w:tcBorders>
            <w:noWrap/>
            <w:vAlign w:val="bottom"/>
          </w:tcPr>
          <w:p w14:paraId="0109C20C" w14:textId="77777777" w:rsidR="00861281" w:rsidRPr="007D5748" w:rsidRDefault="00861281" w:rsidP="00861281"/>
        </w:tc>
        <w:tc>
          <w:tcPr>
            <w:tcW w:w="1788" w:type="dxa"/>
            <w:tcBorders>
              <w:top w:val="nil"/>
              <w:left w:val="nil"/>
              <w:bottom w:val="nil"/>
              <w:right w:val="nil"/>
            </w:tcBorders>
            <w:noWrap/>
            <w:vAlign w:val="bottom"/>
          </w:tcPr>
          <w:p w14:paraId="6E65E813" w14:textId="77777777" w:rsidR="00861281" w:rsidRPr="007D5748" w:rsidRDefault="00861281" w:rsidP="00861281"/>
        </w:tc>
        <w:tc>
          <w:tcPr>
            <w:tcW w:w="2418" w:type="dxa"/>
            <w:gridSpan w:val="2"/>
            <w:tcBorders>
              <w:top w:val="nil"/>
              <w:left w:val="nil"/>
              <w:bottom w:val="nil"/>
              <w:right w:val="nil"/>
            </w:tcBorders>
            <w:noWrap/>
            <w:vAlign w:val="bottom"/>
          </w:tcPr>
          <w:p w14:paraId="56851710" w14:textId="77777777" w:rsidR="00861281" w:rsidRPr="007D5748" w:rsidRDefault="00861281" w:rsidP="00861281"/>
        </w:tc>
        <w:tc>
          <w:tcPr>
            <w:tcW w:w="1722" w:type="dxa"/>
            <w:tcBorders>
              <w:top w:val="nil"/>
              <w:left w:val="nil"/>
              <w:bottom w:val="nil"/>
              <w:right w:val="nil"/>
            </w:tcBorders>
            <w:noWrap/>
            <w:vAlign w:val="bottom"/>
          </w:tcPr>
          <w:p w14:paraId="4AD2B76C" w14:textId="77777777" w:rsidR="00861281" w:rsidRPr="007D5748" w:rsidRDefault="00861281" w:rsidP="00861281"/>
        </w:tc>
        <w:tc>
          <w:tcPr>
            <w:tcW w:w="1620" w:type="dxa"/>
            <w:gridSpan w:val="2"/>
            <w:tcBorders>
              <w:top w:val="nil"/>
              <w:left w:val="nil"/>
              <w:bottom w:val="nil"/>
              <w:right w:val="nil"/>
            </w:tcBorders>
            <w:noWrap/>
            <w:vAlign w:val="bottom"/>
          </w:tcPr>
          <w:p w14:paraId="10D398AF" w14:textId="77777777" w:rsidR="00861281" w:rsidRPr="007D5748" w:rsidRDefault="00861281" w:rsidP="00861281"/>
        </w:tc>
      </w:tr>
      <w:tr w:rsidR="00861281" w:rsidRPr="007D5748" w14:paraId="5DE6B6C6" w14:textId="77777777" w:rsidTr="00861281">
        <w:trPr>
          <w:trHeight w:val="255"/>
        </w:trPr>
        <w:tc>
          <w:tcPr>
            <w:tcW w:w="6188" w:type="dxa"/>
            <w:tcBorders>
              <w:top w:val="nil"/>
              <w:left w:val="nil"/>
              <w:bottom w:val="nil"/>
              <w:right w:val="nil"/>
            </w:tcBorders>
          </w:tcPr>
          <w:p w14:paraId="133A06BA" w14:textId="77777777" w:rsidR="00861281" w:rsidRPr="007D5748" w:rsidRDefault="00861281" w:rsidP="00861281">
            <w:pPr>
              <w:rPr>
                <w:b/>
                <w:bCs/>
              </w:rPr>
            </w:pPr>
            <w:r w:rsidRPr="007D5748">
              <w:rPr>
                <w:b/>
                <w:bCs/>
              </w:rPr>
              <w:t>Poznámky:</w:t>
            </w:r>
          </w:p>
        </w:tc>
        <w:tc>
          <w:tcPr>
            <w:tcW w:w="1698" w:type="dxa"/>
            <w:tcBorders>
              <w:top w:val="nil"/>
              <w:left w:val="nil"/>
              <w:bottom w:val="nil"/>
              <w:right w:val="nil"/>
            </w:tcBorders>
            <w:noWrap/>
            <w:vAlign w:val="bottom"/>
          </w:tcPr>
          <w:p w14:paraId="3420CFBC" w14:textId="77777777" w:rsidR="00861281" w:rsidRPr="007D5748" w:rsidRDefault="00861281" w:rsidP="00861281"/>
        </w:tc>
        <w:tc>
          <w:tcPr>
            <w:tcW w:w="1788" w:type="dxa"/>
            <w:tcBorders>
              <w:top w:val="nil"/>
              <w:left w:val="nil"/>
              <w:bottom w:val="nil"/>
              <w:right w:val="nil"/>
            </w:tcBorders>
            <w:noWrap/>
            <w:vAlign w:val="bottom"/>
          </w:tcPr>
          <w:p w14:paraId="69CE21AE" w14:textId="77777777" w:rsidR="00861281" w:rsidRPr="007D5748" w:rsidRDefault="00861281" w:rsidP="00861281"/>
        </w:tc>
        <w:tc>
          <w:tcPr>
            <w:tcW w:w="2418" w:type="dxa"/>
            <w:gridSpan w:val="2"/>
            <w:tcBorders>
              <w:top w:val="nil"/>
              <w:left w:val="nil"/>
              <w:bottom w:val="nil"/>
              <w:right w:val="nil"/>
            </w:tcBorders>
            <w:noWrap/>
            <w:vAlign w:val="bottom"/>
          </w:tcPr>
          <w:p w14:paraId="23EF0DDE" w14:textId="77777777" w:rsidR="00861281" w:rsidRPr="007D5748" w:rsidRDefault="00861281" w:rsidP="00861281"/>
        </w:tc>
        <w:tc>
          <w:tcPr>
            <w:tcW w:w="1722" w:type="dxa"/>
            <w:tcBorders>
              <w:top w:val="nil"/>
              <w:left w:val="nil"/>
              <w:bottom w:val="nil"/>
              <w:right w:val="nil"/>
            </w:tcBorders>
            <w:noWrap/>
            <w:vAlign w:val="bottom"/>
          </w:tcPr>
          <w:p w14:paraId="24F3C894" w14:textId="77777777" w:rsidR="00861281" w:rsidRPr="007D5748" w:rsidRDefault="00861281" w:rsidP="00861281"/>
        </w:tc>
        <w:tc>
          <w:tcPr>
            <w:tcW w:w="1620" w:type="dxa"/>
            <w:gridSpan w:val="2"/>
            <w:tcBorders>
              <w:top w:val="nil"/>
              <w:left w:val="nil"/>
              <w:bottom w:val="nil"/>
              <w:right w:val="nil"/>
            </w:tcBorders>
            <w:noWrap/>
            <w:vAlign w:val="bottom"/>
          </w:tcPr>
          <w:p w14:paraId="3762A1D2" w14:textId="77777777" w:rsidR="00861281" w:rsidRPr="007D5748" w:rsidRDefault="00861281" w:rsidP="00861281"/>
        </w:tc>
      </w:tr>
      <w:tr w:rsidR="00861281" w:rsidRPr="007D5748" w14:paraId="498844B7" w14:textId="77777777" w:rsidTr="00861281">
        <w:trPr>
          <w:trHeight w:val="255"/>
        </w:trPr>
        <w:tc>
          <w:tcPr>
            <w:tcW w:w="13814" w:type="dxa"/>
            <w:gridSpan w:val="6"/>
            <w:tcBorders>
              <w:top w:val="nil"/>
              <w:left w:val="nil"/>
              <w:bottom w:val="nil"/>
              <w:right w:val="nil"/>
            </w:tcBorders>
            <w:noWrap/>
          </w:tcPr>
          <w:p w14:paraId="76FEC0B0" w14:textId="77777777" w:rsidR="00861281" w:rsidRPr="007D5748" w:rsidRDefault="00861281" w:rsidP="00861281">
            <w:pPr>
              <w:tabs>
                <w:tab w:val="num" w:pos="1080"/>
              </w:tabs>
              <w:jc w:val="both"/>
              <w:rPr>
                <w:bCs/>
                <w:szCs w:val="20"/>
              </w:rPr>
            </w:pPr>
            <w:r w:rsidRPr="007D5748">
              <w:rPr>
                <w:bCs/>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14:paraId="26331C52" w14:textId="77777777" w:rsidR="00861281" w:rsidRPr="007D5748" w:rsidRDefault="00861281" w:rsidP="00861281">
            <w:r w:rsidRPr="007D5748">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14:paraId="11D23D59" w14:textId="77777777" w:rsidR="00861281" w:rsidRPr="007D5748" w:rsidRDefault="00861281" w:rsidP="00861281"/>
        </w:tc>
      </w:tr>
      <w:tr w:rsidR="00861281" w:rsidRPr="007D5748" w14:paraId="24ED7948" w14:textId="77777777" w:rsidTr="00861281">
        <w:trPr>
          <w:trHeight w:val="255"/>
        </w:trPr>
        <w:tc>
          <w:tcPr>
            <w:tcW w:w="10394" w:type="dxa"/>
            <w:gridSpan w:val="4"/>
            <w:tcBorders>
              <w:top w:val="nil"/>
              <w:left w:val="nil"/>
              <w:bottom w:val="nil"/>
              <w:right w:val="nil"/>
            </w:tcBorders>
            <w:noWrap/>
            <w:vAlign w:val="bottom"/>
          </w:tcPr>
          <w:p w14:paraId="0BC101F7" w14:textId="77777777" w:rsidR="00861281" w:rsidRPr="007D5748" w:rsidRDefault="00861281" w:rsidP="00861281">
            <w:r w:rsidRPr="007D5748">
              <w:t>Kategórie 610 a 620 sú z tejto prílohy prenášané do príslušných kategórií prílohy „výdavky“.</w:t>
            </w:r>
          </w:p>
        </w:tc>
        <w:tc>
          <w:tcPr>
            <w:tcW w:w="1698" w:type="dxa"/>
            <w:tcBorders>
              <w:top w:val="nil"/>
              <w:left w:val="nil"/>
              <w:bottom w:val="nil"/>
              <w:right w:val="nil"/>
            </w:tcBorders>
            <w:noWrap/>
            <w:vAlign w:val="bottom"/>
          </w:tcPr>
          <w:p w14:paraId="06752046" w14:textId="77777777" w:rsidR="00861281" w:rsidRPr="007D5748" w:rsidRDefault="00861281" w:rsidP="00861281"/>
        </w:tc>
        <w:tc>
          <w:tcPr>
            <w:tcW w:w="2352" w:type="dxa"/>
            <w:gridSpan w:val="2"/>
            <w:tcBorders>
              <w:top w:val="nil"/>
              <w:left w:val="nil"/>
              <w:bottom w:val="nil"/>
              <w:right w:val="nil"/>
            </w:tcBorders>
            <w:noWrap/>
            <w:vAlign w:val="bottom"/>
          </w:tcPr>
          <w:p w14:paraId="5663D21A" w14:textId="77777777" w:rsidR="00861281" w:rsidRPr="007D5748" w:rsidRDefault="00861281" w:rsidP="00861281"/>
        </w:tc>
        <w:tc>
          <w:tcPr>
            <w:tcW w:w="990" w:type="dxa"/>
            <w:tcBorders>
              <w:top w:val="nil"/>
              <w:left w:val="nil"/>
              <w:bottom w:val="nil"/>
              <w:right w:val="nil"/>
            </w:tcBorders>
            <w:noWrap/>
            <w:vAlign w:val="bottom"/>
          </w:tcPr>
          <w:p w14:paraId="4E8023E2" w14:textId="77777777" w:rsidR="00861281" w:rsidRPr="007D5748" w:rsidRDefault="00861281" w:rsidP="00861281"/>
        </w:tc>
      </w:tr>
    </w:tbl>
    <w:p w14:paraId="45529360" w14:textId="77777777" w:rsidR="00861281" w:rsidRDefault="00861281" w:rsidP="00861281"/>
    <w:p w14:paraId="4889ADBD" w14:textId="77777777" w:rsidR="00861281" w:rsidRDefault="00861281"/>
    <w:p w14:paraId="64DAFC82" w14:textId="77777777" w:rsidR="00861281" w:rsidRDefault="00861281"/>
    <w:p w14:paraId="4015E0B1" w14:textId="77777777" w:rsidR="00861281" w:rsidRDefault="00861281"/>
    <w:p w14:paraId="2259BB7F" w14:textId="77777777" w:rsidR="00861281" w:rsidRDefault="00861281"/>
    <w:p w14:paraId="677ABEC4" w14:textId="77777777" w:rsidR="00861281" w:rsidRDefault="00861281"/>
    <w:p w14:paraId="6AF557EB" w14:textId="77777777" w:rsidR="00861281" w:rsidRDefault="00861281"/>
    <w:p w14:paraId="613AAFBB" w14:textId="4E4E730D" w:rsidR="00C145BC" w:rsidRDefault="00C145BC">
      <w:pPr>
        <w:spacing w:after="160" w:line="259" w:lineRule="auto"/>
      </w:pPr>
    </w:p>
    <w:p w14:paraId="1755B6B1" w14:textId="77777777" w:rsidR="00C145BC" w:rsidRDefault="00C145BC" w:rsidP="00C145BC">
      <w:pPr>
        <w:pStyle w:val="Normlnywebov"/>
        <w:autoSpaceDE w:val="0"/>
        <w:autoSpaceDN w:val="0"/>
        <w:jc w:val="center"/>
        <w:rPr>
          <w:b/>
          <w:bCs/>
        </w:rPr>
        <w:sectPr w:rsidR="00C145BC" w:rsidSect="00C145BC">
          <w:footerReference w:type="default" r:id="rId15"/>
          <w:pgSz w:w="16838" w:h="11906" w:orient="landscape"/>
          <w:pgMar w:top="1080" w:right="1418" w:bottom="1080" w:left="1440" w:header="708" w:footer="708" w:gutter="0"/>
          <w:cols w:space="708"/>
          <w:docGrid w:linePitch="360"/>
        </w:sectPr>
      </w:pPr>
    </w:p>
    <w:p w14:paraId="23E20BBA" w14:textId="77777777" w:rsidR="00C145BC" w:rsidRPr="00895898" w:rsidRDefault="00C145BC" w:rsidP="00C145BC">
      <w:pPr>
        <w:jc w:val="center"/>
        <w:rPr>
          <w:rFonts w:eastAsia="Calibri"/>
          <w:b/>
          <w:sz w:val="28"/>
          <w:szCs w:val="28"/>
        </w:rPr>
      </w:pPr>
      <w:r w:rsidRPr="00895898">
        <w:rPr>
          <w:rFonts w:eastAsia="Calibri"/>
          <w:b/>
          <w:sz w:val="28"/>
          <w:szCs w:val="28"/>
        </w:rPr>
        <w:lastRenderedPageBreak/>
        <w:t>Analýza vplyvov na podnikateľské prostredie</w:t>
      </w:r>
    </w:p>
    <w:p w14:paraId="31E8B497" w14:textId="77777777" w:rsidR="00C145BC" w:rsidRPr="00895898" w:rsidRDefault="00C145BC" w:rsidP="00C145BC">
      <w:pPr>
        <w:jc w:val="both"/>
        <w:rPr>
          <w:rFonts w:eastAsia="Calibri"/>
          <w:b/>
        </w:rPr>
      </w:pPr>
    </w:p>
    <w:p w14:paraId="4764CC69" w14:textId="77777777" w:rsidR="00C145BC" w:rsidRPr="001F1B43" w:rsidRDefault="00C145BC" w:rsidP="00C145BC">
      <w:pPr>
        <w:jc w:val="both"/>
        <w:rPr>
          <w:rFonts w:eastAsia="Calibri"/>
          <w:b/>
        </w:rPr>
      </w:pPr>
      <w:r w:rsidRPr="001F1B43">
        <w:rPr>
          <w:rFonts w:eastAsia="Calibri"/>
          <w:b/>
        </w:rPr>
        <w:t>Názov materiálu:</w:t>
      </w:r>
      <w:r>
        <w:rPr>
          <w:rFonts w:eastAsia="Calibri"/>
          <w:b/>
        </w:rPr>
        <w:t xml:space="preserve"> Návrh zákona, ktorým sa mení a dopĺňa zákon č. 431/2002 Z. z. o účtovníctve v znení neskorších predpisov a ktorým sa mení a dopĺňa zákon č. 513/1991 Zb. Obchodný zákonník v znení neskorších predpisov </w:t>
      </w:r>
    </w:p>
    <w:p w14:paraId="27E1EB35" w14:textId="77777777" w:rsidR="00C145BC" w:rsidRDefault="00C145BC" w:rsidP="00C145BC">
      <w:pPr>
        <w:jc w:val="both"/>
        <w:rPr>
          <w:rFonts w:eastAsia="Calibri"/>
          <w:b/>
        </w:rPr>
      </w:pPr>
    </w:p>
    <w:p w14:paraId="0102C3E5" w14:textId="24B719A9" w:rsidR="00C145BC" w:rsidRPr="001F1B43" w:rsidRDefault="00C145BC" w:rsidP="00C145BC">
      <w:pPr>
        <w:jc w:val="both"/>
        <w:rPr>
          <w:rFonts w:eastAsia="Calibri"/>
          <w:b/>
        </w:rPr>
      </w:pPr>
      <w:r w:rsidRPr="001F1B43">
        <w:rPr>
          <w:rFonts w:eastAsia="Calibri"/>
          <w:b/>
        </w:rPr>
        <w:t>Predkladateľ:</w:t>
      </w:r>
      <w:r>
        <w:rPr>
          <w:rFonts w:eastAsia="Calibri"/>
          <w:b/>
        </w:rPr>
        <w:t xml:space="preserve"> Vláda Slovenskej republiky</w:t>
      </w:r>
    </w:p>
    <w:p w14:paraId="6221E34F" w14:textId="77777777" w:rsidR="00C145BC" w:rsidRPr="001F1B43" w:rsidRDefault="00C145BC" w:rsidP="00C145BC">
      <w:pPr>
        <w:jc w:val="both"/>
        <w:rPr>
          <w:rFonts w:eastAsia="Calibri"/>
          <w:b/>
        </w:rPr>
      </w:pPr>
    </w:p>
    <w:p w14:paraId="491A339A" w14:textId="77777777" w:rsidR="00C145BC" w:rsidRPr="001F1B43" w:rsidRDefault="00C145BC" w:rsidP="00C145BC">
      <w:pPr>
        <w:jc w:val="both"/>
        <w:rPr>
          <w:rFonts w:eastAsia="Calibri"/>
          <w:b/>
        </w:rPr>
      </w:pPr>
      <w:r w:rsidRPr="001F1B43">
        <w:rPr>
          <w:rFonts w:eastAsia="Calibri"/>
          <w:b/>
        </w:rPr>
        <w:t>3.1 Náklady regulácie</w:t>
      </w:r>
    </w:p>
    <w:p w14:paraId="0D3A8173" w14:textId="77777777" w:rsidR="00C145BC" w:rsidRPr="001F1B43" w:rsidRDefault="00C145BC" w:rsidP="00C145BC">
      <w:pPr>
        <w:tabs>
          <w:tab w:val="left" w:pos="8025"/>
        </w:tabs>
        <w:rPr>
          <w:rFonts w:eastAsia="Calibri"/>
          <w:bCs/>
          <w:i/>
          <w:iCs/>
        </w:rPr>
      </w:pPr>
      <w:r w:rsidRPr="001F1B43">
        <w:rPr>
          <w:rFonts w:eastAsia="Calibri"/>
          <w:b/>
          <w:i/>
          <w:iCs/>
        </w:rPr>
        <w:t xml:space="preserve">3.1.1 Súhrnná tabuľka nákladov regulácie </w:t>
      </w:r>
      <w:r>
        <w:rPr>
          <w:rFonts w:eastAsia="Calibri"/>
          <w:b/>
          <w:i/>
          <w:iCs/>
        </w:rPr>
        <w:tab/>
      </w:r>
    </w:p>
    <w:p w14:paraId="1884DED7" w14:textId="77777777" w:rsidR="00C145BC" w:rsidRPr="001F1B43" w:rsidRDefault="00C145BC" w:rsidP="00C145BC">
      <w:pPr>
        <w:jc w:val="both"/>
        <w:rPr>
          <w:rFonts w:eastAsia="Calibri"/>
          <w:b/>
        </w:rPr>
      </w:pPr>
    </w:p>
    <w:p w14:paraId="3C658B36" w14:textId="77777777" w:rsidR="00C145BC" w:rsidRPr="00D8247C" w:rsidRDefault="00C145BC" w:rsidP="00C145BC">
      <w:pPr>
        <w:jc w:val="both"/>
        <w:rPr>
          <w:rFonts w:eastAsia="Calibri"/>
          <w:i/>
        </w:rPr>
      </w:pPr>
      <w:r w:rsidRPr="00D8247C">
        <w:rPr>
          <w:rFonts w:eastAsia="Calibri"/>
          <w:i/>
        </w:rPr>
        <w:t xml:space="preserve">Tabuľka č. 1: Zmeny nákladov (ročne) v prepočte na podnikateľské prostredie (PP), vyhodnotenie mechanizmu znižovania byrokracie a nákladov. </w:t>
      </w:r>
    </w:p>
    <w:p w14:paraId="1E9A7DCC" w14:textId="77777777" w:rsidR="00C145BC" w:rsidRPr="00D8247C" w:rsidRDefault="00C145BC" w:rsidP="00C145BC">
      <w:pPr>
        <w:jc w:val="both"/>
        <w:rPr>
          <w:rFonts w:eastAsia="Calibri"/>
          <w:i/>
        </w:rPr>
      </w:pPr>
      <w:r w:rsidRPr="00D8247C">
        <w:rPr>
          <w:rFonts w:eastAsia="Calibri"/>
          <w:i/>
        </w:rPr>
        <w:t xml:space="preserve">Nahraďte rovnakou tabuľkou po vyplnení Kalkulačky nákladov podnikateľského prostredia, ktorá je povinnou prílohou tejto analýzy a nájdete ju na </w:t>
      </w:r>
      <w:hyperlink r:id="rId16" w:history="1">
        <w:r w:rsidRPr="00D8247C">
          <w:rPr>
            <w:rFonts w:eastAsia="Calibri"/>
            <w:i/>
            <w:color w:val="0563C1"/>
            <w:u w:val="single"/>
          </w:rPr>
          <w:t>webovom sídle MH SR</w:t>
        </w:r>
      </w:hyperlink>
      <w:r w:rsidRPr="00D8247C">
        <w:rPr>
          <w:rFonts w:eastAsia="Calibri"/>
          <w:i/>
        </w:rPr>
        <w:t xml:space="preserve">, (ďalej len </w:t>
      </w:r>
      <w:r>
        <w:rPr>
          <w:rFonts w:eastAsia="Calibri"/>
          <w:i/>
        </w:rPr>
        <w:t>„</w:t>
      </w:r>
      <w:r w:rsidRPr="00D8247C">
        <w:rPr>
          <w:rFonts w:eastAsia="Calibri"/>
          <w:i/>
        </w:rPr>
        <w:t>Kalkulačka nákladov</w:t>
      </w:r>
      <w:r>
        <w:rPr>
          <w:rFonts w:eastAsia="Calibri"/>
          <w:i/>
        </w:rPr>
        <w:t>“</w:t>
      </w:r>
      <w:r w:rsidRPr="00D8247C">
        <w:rPr>
          <w:rFonts w:eastAsia="Calibri"/>
          <w:i/>
        </w:rPr>
        <w:t>):</w:t>
      </w:r>
    </w:p>
    <w:p w14:paraId="27D8B328" w14:textId="77777777" w:rsidR="00C145BC" w:rsidRPr="00895898" w:rsidRDefault="00C145BC" w:rsidP="00C145BC">
      <w:pPr>
        <w:rPr>
          <w:rFonts w:eastAsia="Calibri"/>
          <w:i/>
        </w:rPr>
      </w:pPr>
    </w:p>
    <w:tbl>
      <w:tblPr>
        <w:tblStyle w:val="Mriekatabuky2"/>
        <w:tblW w:w="9067" w:type="dxa"/>
        <w:tblLook w:val="04A0" w:firstRow="1" w:lastRow="0" w:firstColumn="1" w:lastColumn="0" w:noHBand="0" w:noVBand="1"/>
      </w:tblPr>
      <w:tblGrid>
        <w:gridCol w:w="3681"/>
        <w:gridCol w:w="2693"/>
        <w:gridCol w:w="2693"/>
      </w:tblGrid>
      <w:tr w:rsidR="00C145BC" w:rsidRPr="00895898" w14:paraId="188C82AC" w14:textId="77777777" w:rsidTr="00607CBE">
        <w:tc>
          <w:tcPr>
            <w:tcW w:w="3681" w:type="dxa"/>
          </w:tcPr>
          <w:p w14:paraId="3F5DDA47" w14:textId="77777777" w:rsidR="00C145BC" w:rsidRPr="00895898" w:rsidRDefault="00C145BC" w:rsidP="00607CBE">
            <w:pPr>
              <w:rPr>
                <w:rFonts w:eastAsia="Calibri"/>
                <w:b/>
                <w:bCs/>
                <w:i/>
                <w:sz w:val="20"/>
              </w:rPr>
            </w:pPr>
            <w:r w:rsidRPr="00895898">
              <w:rPr>
                <w:rFonts w:eastAsia="Calibri"/>
                <w:b/>
                <w:bCs/>
                <w:i/>
                <w:sz w:val="20"/>
              </w:rPr>
              <w:t>TYP NÁKLADOV</w:t>
            </w:r>
          </w:p>
        </w:tc>
        <w:tc>
          <w:tcPr>
            <w:tcW w:w="2693" w:type="dxa"/>
            <w:shd w:val="clear" w:color="auto" w:fill="FFC000"/>
          </w:tcPr>
          <w:p w14:paraId="0E8B99FB" w14:textId="77777777" w:rsidR="00C145BC" w:rsidRPr="00895898" w:rsidRDefault="00C145BC" w:rsidP="00607CBE">
            <w:pPr>
              <w:jc w:val="center"/>
              <w:rPr>
                <w:rFonts w:eastAsia="Calibri"/>
                <w:i/>
                <w:sz w:val="20"/>
              </w:rPr>
            </w:pPr>
            <w:r w:rsidRPr="00895898">
              <w:rPr>
                <w:rFonts w:eastAsia="Calibri"/>
                <w:b/>
                <w:bCs/>
                <w:color w:val="000000"/>
                <w:sz w:val="20"/>
              </w:rPr>
              <w:t>Zvýšenie nákladov v € na PP</w:t>
            </w:r>
          </w:p>
        </w:tc>
        <w:tc>
          <w:tcPr>
            <w:tcW w:w="2693" w:type="dxa"/>
            <w:shd w:val="clear" w:color="auto" w:fill="92D050"/>
          </w:tcPr>
          <w:p w14:paraId="1C9EF0E7" w14:textId="77777777" w:rsidR="00C145BC" w:rsidRPr="00895898" w:rsidRDefault="00C145BC" w:rsidP="00607CBE">
            <w:pPr>
              <w:jc w:val="center"/>
              <w:rPr>
                <w:rFonts w:eastAsia="Calibri"/>
                <w:b/>
                <w:bCs/>
                <w:color w:val="000000"/>
                <w:sz w:val="20"/>
              </w:rPr>
            </w:pPr>
            <w:r w:rsidRPr="00895898">
              <w:rPr>
                <w:rFonts w:eastAsia="Calibri"/>
                <w:b/>
                <w:bCs/>
                <w:color w:val="000000"/>
                <w:sz w:val="20"/>
              </w:rPr>
              <w:t>Zníženie nákladov v € na PP</w:t>
            </w:r>
          </w:p>
        </w:tc>
      </w:tr>
      <w:tr w:rsidR="00C145BC" w:rsidRPr="00895898" w14:paraId="7AE7E26D" w14:textId="77777777" w:rsidTr="00607CBE">
        <w:trPr>
          <w:trHeight w:val="227"/>
        </w:trPr>
        <w:tc>
          <w:tcPr>
            <w:tcW w:w="3681" w:type="dxa"/>
          </w:tcPr>
          <w:p w14:paraId="617DAF2A" w14:textId="77777777" w:rsidR="00C145BC" w:rsidRPr="00895898" w:rsidRDefault="00C145BC" w:rsidP="00607CBE">
            <w:pPr>
              <w:rPr>
                <w:rFonts w:eastAsia="Calibri"/>
                <w:i/>
                <w:iCs/>
                <w:sz w:val="20"/>
              </w:rPr>
            </w:pPr>
            <w:r w:rsidRPr="00895898">
              <w:rPr>
                <w:rFonts w:eastAsia="Calibri"/>
                <w:i/>
                <w:iCs/>
                <w:color w:val="000000"/>
                <w:sz w:val="20"/>
              </w:rPr>
              <w:t>A. Dane, odvody, clá</w:t>
            </w:r>
            <w:r>
              <w:rPr>
                <w:rFonts w:eastAsia="Calibri"/>
                <w:i/>
                <w:iCs/>
                <w:color w:val="000000"/>
                <w:sz w:val="20"/>
              </w:rPr>
              <w:t xml:space="preserve"> a poplatk</w:t>
            </w:r>
            <w:r w:rsidRPr="00A000DA">
              <w:rPr>
                <w:rFonts w:eastAsia="Calibri"/>
                <w:i/>
                <w:iCs/>
                <w:color w:val="000000"/>
                <w:sz w:val="20"/>
              </w:rPr>
              <w:t>y</w:t>
            </w:r>
            <w:r w:rsidRPr="00A000DA">
              <w:t>,</w:t>
            </w:r>
            <w:r>
              <w:rPr>
                <w:b/>
                <w:bCs/>
              </w:rPr>
              <w:t xml:space="preserve"> </w:t>
            </w:r>
            <w:r w:rsidRPr="00A000DA">
              <w:rPr>
                <w:rFonts w:eastAsia="Calibri"/>
                <w:i/>
                <w:iCs/>
                <w:color w:val="000000"/>
                <w:sz w:val="20"/>
              </w:rPr>
              <w:t xml:space="preserve">ktorých cieľom je znižovať negatívne </w:t>
            </w:r>
            <w:proofErr w:type="spellStart"/>
            <w:r w:rsidRPr="00A000DA">
              <w:rPr>
                <w:rFonts w:eastAsia="Calibri"/>
                <w:i/>
                <w:iCs/>
                <w:color w:val="000000"/>
                <w:sz w:val="20"/>
              </w:rPr>
              <w:t>externality</w:t>
            </w:r>
            <w:proofErr w:type="spellEnd"/>
          </w:p>
        </w:tc>
        <w:tc>
          <w:tcPr>
            <w:tcW w:w="2693" w:type="dxa"/>
            <w:shd w:val="clear" w:color="auto" w:fill="FFC000"/>
          </w:tcPr>
          <w:p w14:paraId="2DB5BE51" w14:textId="77777777" w:rsidR="00C145BC" w:rsidRPr="00C655E3" w:rsidRDefault="00C145BC" w:rsidP="00607CBE">
            <w:pPr>
              <w:jc w:val="center"/>
              <w:rPr>
                <w:rFonts w:eastAsia="Calibri"/>
                <w:b/>
                <w:i/>
                <w:sz w:val="20"/>
              </w:rPr>
            </w:pPr>
            <w:r>
              <w:rPr>
                <w:b/>
              </w:rPr>
              <w:t>0</w:t>
            </w:r>
          </w:p>
        </w:tc>
        <w:tc>
          <w:tcPr>
            <w:tcW w:w="2693" w:type="dxa"/>
            <w:shd w:val="clear" w:color="auto" w:fill="92D050"/>
          </w:tcPr>
          <w:p w14:paraId="3052FE05" w14:textId="77777777" w:rsidR="00C145BC" w:rsidRPr="00C655E3" w:rsidRDefault="00C145BC" w:rsidP="00607CBE">
            <w:pPr>
              <w:jc w:val="center"/>
              <w:rPr>
                <w:rFonts w:eastAsia="Calibri"/>
                <w:b/>
                <w:i/>
                <w:sz w:val="20"/>
              </w:rPr>
            </w:pPr>
            <w:r w:rsidRPr="00C655E3">
              <w:rPr>
                <w:b/>
              </w:rPr>
              <w:t>0,00</w:t>
            </w:r>
          </w:p>
        </w:tc>
      </w:tr>
      <w:tr w:rsidR="00C145BC" w:rsidRPr="00895898" w14:paraId="2F240966" w14:textId="77777777" w:rsidTr="00607CBE">
        <w:tc>
          <w:tcPr>
            <w:tcW w:w="3681" w:type="dxa"/>
          </w:tcPr>
          <w:p w14:paraId="2CE65CEB" w14:textId="77777777" w:rsidR="00C145BC" w:rsidRPr="00895898" w:rsidRDefault="00C145BC" w:rsidP="00607CBE">
            <w:pPr>
              <w:rPr>
                <w:rFonts w:eastAsia="Calibri"/>
                <w:i/>
                <w:sz w:val="20"/>
              </w:rPr>
            </w:pPr>
            <w:r w:rsidRPr="00895898">
              <w:rPr>
                <w:rFonts w:eastAsia="Calibri"/>
                <w:i/>
                <w:sz w:val="20"/>
              </w:rPr>
              <w:t xml:space="preserve">B. </w:t>
            </w:r>
            <w:r>
              <w:rPr>
                <w:rFonts w:eastAsia="Calibri"/>
                <w:i/>
                <w:sz w:val="20"/>
              </w:rPr>
              <w:t>Iné p</w:t>
            </w:r>
            <w:r w:rsidRPr="00895898">
              <w:rPr>
                <w:rFonts w:eastAsia="Calibri"/>
                <w:i/>
                <w:sz w:val="20"/>
              </w:rPr>
              <w:t>oplatky</w:t>
            </w:r>
          </w:p>
        </w:tc>
        <w:tc>
          <w:tcPr>
            <w:tcW w:w="2693" w:type="dxa"/>
            <w:shd w:val="clear" w:color="auto" w:fill="FFC000"/>
          </w:tcPr>
          <w:p w14:paraId="1C877DD0" w14:textId="77777777" w:rsidR="00C145BC" w:rsidRPr="00C655E3" w:rsidRDefault="00C145BC" w:rsidP="00607CBE">
            <w:pPr>
              <w:jc w:val="center"/>
              <w:rPr>
                <w:rFonts w:eastAsia="Calibri"/>
                <w:b/>
                <w:i/>
                <w:sz w:val="20"/>
              </w:rPr>
            </w:pPr>
            <w:r>
              <w:rPr>
                <w:b/>
              </w:rPr>
              <w:t>0</w:t>
            </w:r>
          </w:p>
        </w:tc>
        <w:tc>
          <w:tcPr>
            <w:tcW w:w="2693" w:type="dxa"/>
            <w:shd w:val="clear" w:color="auto" w:fill="92D050"/>
          </w:tcPr>
          <w:p w14:paraId="14F25142" w14:textId="77777777" w:rsidR="00C145BC" w:rsidRPr="00C655E3" w:rsidRDefault="00C145BC" w:rsidP="00607CBE">
            <w:pPr>
              <w:jc w:val="center"/>
              <w:rPr>
                <w:rFonts w:eastAsia="Calibri"/>
                <w:b/>
                <w:i/>
                <w:sz w:val="20"/>
              </w:rPr>
            </w:pPr>
            <w:r w:rsidRPr="00C655E3">
              <w:rPr>
                <w:b/>
              </w:rPr>
              <w:t>0,00</w:t>
            </w:r>
          </w:p>
        </w:tc>
      </w:tr>
      <w:tr w:rsidR="00C145BC" w:rsidRPr="00895898" w14:paraId="787E23E7" w14:textId="77777777" w:rsidTr="00607CBE">
        <w:tc>
          <w:tcPr>
            <w:tcW w:w="3681" w:type="dxa"/>
          </w:tcPr>
          <w:p w14:paraId="14895F48" w14:textId="77777777" w:rsidR="00C145BC" w:rsidRPr="00895898" w:rsidRDefault="00C145BC" w:rsidP="00607CBE">
            <w:pPr>
              <w:rPr>
                <w:rFonts w:eastAsia="Calibri"/>
                <w:i/>
                <w:sz w:val="20"/>
              </w:rPr>
            </w:pPr>
            <w:r w:rsidRPr="00895898">
              <w:rPr>
                <w:rFonts w:eastAsia="Calibri"/>
                <w:i/>
                <w:sz w:val="20"/>
              </w:rPr>
              <w:t>C. Nepriame finančné náklady</w:t>
            </w:r>
          </w:p>
        </w:tc>
        <w:tc>
          <w:tcPr>
            <w:tcW w:w="2693" w:type="dxa"/>
            <w:shd w:val="clear" w:color="auto" w:fill="FFC000"/>
          </w:tcPr>
          <w:p w14:paraId="7518FCBC" w14:textId="77777777" w:rsidR="00C145BC" w:rsidRPr="00C655E3" w:rsidRDefault="00C145BC" w:rsidP="00607CBE">
            <w:pPr>
              <w:jc w:val="center"/>
              <w:rPr>
                <w:rFonts w:eastAsia="Calibri"/>
                <w:b/>
                <w:i/>
                <w:sz w:val="20"/>
              </w:rPr>
            </w:pPr>
            <w:r>
              <w:rPr>
                <w:b/>
              </w:rPr>
              <w:t>150 00</w:t>
            </w:r>
          </w:p>
        </w:tc>
        <w:tc>
          <w:tcPr>
            <w:tcW w:w="2693" w:type="dxa"/>
            <w:shd w:val="clear" w:color="auto" w:fill="92D050"/>
          </w:tcPr>
          <w:p w14:paraId="5AA49F3F" w14:textId="77777777" w:rsidR="00C145BC" w:rsidRPr="00C655E3" w:rsidRDefault="00C145BC" w:rsidP="00607CBE">
            <w:pPr>
              <w:jc w:val="center"/>
              <w:rPr>
                <w:rFonts w:eastAsia="Calibri"/>
                <w:b/>
                <w:i/>
                <w:sz w:val="20"/>
              </w:rPr>
            </w:pPr>
            <w:r w:rsidRPr="00C655E3">
              <w:rPr>
                <w:b/>
              </w:rPr>
              <w:t>0,00</w:t>
            </w:r>
          </w:p>
        </w:tc>
      </w:tr>
      <w:tr w:rsidR="00C145BC" w:rsidRPr="00895898" w14:paraId="4189328E" w14:textId="77777777" w:rsidTr="00607CBE">
        <w:tc>
          <w:tcPr>
            <w:tcW w:w="3681" w:type="dxa"/>
          </w:tcPr>
          <w:p w14:paraId="1A3443F7" w14:textId="77777777" w:rsidR="00C145BC" w:rsidRPr="00895898" w:rsidRDefault="00C145BC" w:rsidP="00607CBE">
            <w:pPr>
              <w:rPr>
                <w:rFonts w:eastAsia="Calibri"/>
                <w:i/>
                <w:sz w:val="20"/>
              </w:rPr>
            </w:pPr>
            <w:r w:rsidRPr="00895898">
              <w:rPr>
                <w:rFonts w:eastAsia="Calibri"/>
                <w:i/>
                <w:sz w:val="20"/>
              </w:rPr>
              <w:t>D. Administratívne náklady</w:t>
            </w:r>
          </w:p>
        </w:tc>
        <w:tc>
          <w:tcPr>
            <w:tcW w:w="2693" w:type="dxa"/>
            <w:shd w:val="clear" w:color="auto" w:fill="FFC000"/>
          </w:tcPr>
          <w:p w14:paraId="622015B3" w14:textId="77777777" w:rsidR="00C145BC" w:rsidRPr="00C655E3" w:rsidRDefault="00C145BC" w:rsidP="00607CBE">
            <w:pPr>
              <w:jc w:val="center"/>
              <w:rPr>
                <w:rFonts w:eastAsia="Calibri"/>
                <w:b/>
                <w:i/>
                <w:sz w:val="20"/>
              </w:rPr>
            </w:pPr>
            <w:r>
              <w:rPr>
                <w:b/>
              </w:rPr>
              <w:t>2 319</w:t>
            </w:r>
          </w:p>
        </w:tc>
        <w:tc>
          <w:tcPr>
            <w:tcW w:w="2693" w:type="dxa"/>
            <w:shd w:val="clear" w:color="auto" w:fill="92D050"/>
          </w:tcPr>
          <w:p w14:paraId="03ED4BFF" w14:textId="77777777" w:rsidR="00C145BC" w:rsidRPr="00C655E3" w:rsidRDefault="00C145BC" w:rsidP="00607CBE">
            <w:pPr>
              <w:jc w:val="center"/>
              <w:rPr>
                <w:rFonts w:eastAsia="Calibri"/>
                <w:b/>
                <w:i/>
                <w:sz w:val="20"/>
              </w:rPr>
            </w:pPr>
            <w:r w:rsidRPr="00C655E3">
              <w:rPr>
                <w:b/>
              </w:rPr>
              <w:t>0,00</w:t>
            </w:r>
          </w:p>
        </w:tc>
      </w:tr>
      <w:tr w:rsidR="00C145BC" w:rsidRPr="00895898" w14:paraId="7E238ADD" w14:textId="77777777" w:rsidTr="00607CBE">
        <w:tc>
          <w:tcPr>
            <w:tcW w:w="3681" w:type="dxa"/>
          </w:tcPr>
          <w:p w14:paraId="47653EE9" w14:textId="77777777" w:rsidR="00C145BC" w:rsidRPr="00895898" w:rsidRDefault="00C145BC" w:rsidP="00607CBE">
            <w:pPr>
              <w:rPr>
                <w:rFonts w:eastAsia="Calibri"/>
                <w:b/>
                <w:i/>
                <w:sz w:val="20"/>
              </w:rPr>
            </w:pPr>
            <w:r w:rsidRPr="00895898">
              <w:rPr>
                <w:rFonts w:eastAsia="Calibri"/>
                <w:b/>
                <w:i/>
                <w:sz w:val="20"/>
              </w:rPr>
              <w:t>Spolu = A+B+C+D</w:t>
            </w:r>
          </w:p>
        </w:tc>
        <w:tc>
          <w:tcPr>
            <w:tcW w:w="2693" w:type="dxa"/>
            <w:shd w:val="clear" w:color="auto" w:fill="FFC000"/>
          </w:tcPr>
          <w:p w14:paraId="122B5BDF" w14:textId="77777777" w:rsidR="00C145BC" w:rsidRPr="00C655E3" w:rsidRDefault="00C145BC" w:rsidP="00607CBE">
            <w:pPr>
              <w:jc w:val="center"/>
              <w:rPr>
                <w:rFonts w:eastAsia="Calibri"/>
                <w:b/>
                <w:i/>
                <w:sz w:val="20"/>
              </w:rPr>
            </w:pPr>
            <w:r>
              <w:rPr>
                <w:b/>
              </w:rPr>
              <w:t>152 319</w:t>
            </w:r>
          </w:p>
        </w:tc>
        <w:tc>
          <w:tcPr>
            <w:tcW w:w="2693" w:type="dxa"/>
            <w:shd w:val="clear" w:color="auto" w:fill="92D050"/>
          </w:tcPr>
          <w:p w14:paraId="24702AB8" w14:textId="77777777" w:rsidR="00C145BC" w:rsidRPr="00C655E3" w:rsidRDefault="00C145BC" w:rsidP="00607CBE">
            <w:pPr>
              <w:jc w:val="center"/>
              <w:rPr>
                <w:rFonts w:eastAsia="Calibri"/>
                <w:b/>
                <w:i/>
                <w:sz w:val="20"/>
              </w:rPr>
            </w:pPr>
            <w:r w:rsidRPr="00C655E3">
              <w:rPr>
                <w:b/>
              </w:rPr>
              <w:t>0,00</w:t>
            </w:r>
          </w:p>
        </w:tc>
      </w:tr>
      <w:tr w:rsidR="00C145BC" w:rsidRPr="00895898" w14:paraId="2BCC3231" w14:textId="77777777" w:rsidTr="00607CBE">
        <w:tc>
          <w:tcPr>
            <w:tcW w:w="3681" w:type="dxa"/>
          </w:tcPr>
          <w:p w14:paraId="34933F11" w14:textId="77777777" w:rsidR="00C145BC" w:rsidRPr="00895898" w:rsidRDefault="00C145BC" w:rsidP="00607CBE">
            <w:pPr>
              <w:rPr>
                <w:rFonts w:eastAsia="Calibri"/>
                <w:b/>
                <w:i/>
                <w:sz w:val="20"/>
              </w:rPr>
            </w:pPr>
            <w:r w:rsidRPr="00895898">
              <w:rPr>
                <w:rFonts w:eastAsia="Calibri"/>
                <w:b/>
                <w:i/>
                <w:sz w:val="20"/>
              </w:rPr>
              <w:t xml:space="preserve"> z</w:t>
            </w:r>
            <w:r>
              <w:rPr>
                <w:rFonts w:eastAsia="Calibri"/>
                <w:b/>
                <w:i/>
                <w:sz w:val="20"/>
              </w:rPr>
              <w:t> </w:t>
            </w:r>
            <w:r w:rsidRPr="00895898">
              <w:rPr>
                <w:rFonts w:eastAsia="Calibri"/>
                <w:b/>
                <w:i/>
                <w:sz w:val="20"/>
              </w:rPr>
              <w:t>toho</w:t>
            </w:r>
          </w:p>
        </w:tc>
        <w:tc>
          <w:tcPr>
            <w:tcW w:w="2693" w:type="dxa"/>
            <w:shd w:val="clear" w:color="auto" w:fill="FFC000"/>
          </w:tcPr>
          <w:p w14:paraId="0FE72F8B" w14:textId="77777777" w:rsidR="00C145BC" w:rsidRPr="00C655E3" w:rsidRDefault="00C145BC" w:rsidP="00607CBE">
            <w:pPr>
              <w:jc w:val="center"/>
              <w:rPr>
                <w:rFonts w:eastAsia="Calibri"/>
                <w:b/>
                <w:i/>
                <w:sz w:val="20"/>
              </w:rPr>
            </w:pPr>
            <w:r w:rsidRPr="00C655E3">
              <w:rPr>
                <w:b/>
              </w:rPr>
              <w:t xml:space="preserve"> </w:t>
            </w:r>
          </w:p>
        </w:tc>
        <w:tc>
          <w:tcPr>
            <w:tcW w:w="2693" w:type="dxa"/>
            <w:shd w:val="clear" w:color="auto" w:fill="92D050"/>
          </w:tcPr>
          <w:p w14:paraId="33179C19" w14:textId="77777777" w:rsidR="00C145BC" w:rsidRPr="00C655E3" w:rsidRDefault="00C145BC" w:rsidP="00607CBE">
            <w:pPr>
              <w:jc w:val="center"/>
              <w:rPr>
                <w:rFonts w:eastAsia="Calibri"/>
                <w:b/>
                <w:i/>
                <w:sz w:val="20"/>
              </w:rPr>
            </w:pPr>
            <w:r w:rsidRPr="00C655E3">
              <w:rPr>
                <w:b/>
              </w:rPr>
              <w:t xml:space="preserve"> </w:t>
            </w:r>
          </w:p>
        </w:tc>
      </w:tr>
      <w:tr w:rsidR="00C145BC" w:rsidRPr="00895898" w14:paraId="4C41351F" w14:textId="77777777" w:rsidTr="00607CBE">
        <w:tc>
          <w:tcPr>
            <w:tcW w:w="3681" w:type="dxa"/>
          </w:tcPr>
          <w:p w14:paraId="53AE43BD" w14:textId="77777777" w:rsidR="00C145BC" w:rsidRPr="00895898" w:rsidRDefault="00C145BC" w:rsidP="00607CBE">
            <w:pPr>
              <w:rPr>
                <w:rFonts w:eastAsia="Calibri"/>
                <w:i/>
                <w:sz w:val="20"/>
              </w:rPr>
            </w:pPr>
            <w:r w:rsidRPr="00895898">
              <w:rPr>
                <w:rFonts w:eastAsia="Calibri"/>
                <w:i/>
                <w:sz w:val="20"/>
              </w:rPr>
              <w:t xml:space="preserve">E. Vplyv na </w:t>
            </w:r>
            <w:proofErr w:type="spellStart"/>
            <w:r w:rsidRPr="00895898">
              <w:rPr>
                <w:rFonts w:eastAsia="Calibri"/>
                <w:i/>
                <w:sz w:val="20"/>
              </w:rPr>
              <w:t>mikro</w:t>
            </w:r>
            <w:proofErr w:type="spellEnd"/>
            <w:r w:rsidRPr="00895898">
              <w:rPr>
                <w:rFonts w:eastAsia="Calibri"/>
                <w:i/>
                <w:sz w:val="20"/>
              </w:rPr>
              <w:t>, malé a stredné podniky</w:t>
            </w:r>
          </w:p>
        </w:tc>
        <w:tc>
          <w:tcPr>
            <w:tcW w:w="2693" w:type="dxa"/>
            <w:shd w:val="clear" w:color="auto" w:fill="FFC000"/>
          </w:tcPr>
          <w:p w14:paraId="5F697D81" w14:textId="77777777" w:rsidR="00C145BC" w:rsidRPr="00C655E3" w:rsidRDefault="00C145BC" w:rsidP="00607CBE">
            <w:pPr>
              <w:jc w:val="center"/>
              <w:rPr>
                <w:rFonts w:eastAsia="Calibri"/>
                <w:b/>
                <w:i/>
                <w:sz w:val="20"/>
              </w:rPr>
            </w:pPr>
            <w:r>
              <w:rPr>
                <w:b/>
              </w:rPr>
              <w:t>0</w:t>
            </w:r>
          </w:p>
        </w:tc>
        <w:tc>
          <w:tcPr>
            <w:tcW w:w="2693" w:type="dxa"/>
            <w:shd w:val="clear" w:color="auto" w:fill="92D050"/>
          </w:tcPr>
          <w:p w14:paraId="6D00A184" w14:textId="77777777" w:rsidR="00C145BC" w:rsidRPr="00C655E3" w:rsidRDefault="00C145BC" w:rsidP="00607CBE">
            <w:pPr>
              <w:jc w:val="center"/>
              <w:rPr>
                <w:rFonts w:eastAsia="Calibri"/>
                <w:b/>
                <w:i/>
                <w:sz w:val="20"/>
              </w:rPr>
            </w:pPr>
            <w:r w:rsidRPr="00C655E3">
              <w:rPr>
                <w:b/>
              </w:rPr>
              <w:t>0,00</w:t>
            </w:r>
          </w:p>
        </w:tc>
      </w:tr>
      <w:tr w:rsidR="00C145BC" w:rsidRPr="00895898" w14:paraId="16492398" w14:textId="77777777" w:rsidTr="00607CBE">
        <w:tc>
          <w:tcPr>
            <w:tcW w:w="3681" w:type="dxa"/>
          </w:tcPr>
          <w:p w14:paraId="7C9FBCF3" w14:textId="77777777" w:rsidR="00C145BC" w:rsidRPr="00895898" w:rsidRDefault="00C145BC" w:rsidP="00607CBE">
            <w:pPr>
              <w:rPr>
                <w:rFonts w:eastAsia="Calibri"/>
                <w:i/>
                <w:sz w:val="20"/>
              </w:rPr>
            </w:pPr>
            <w:r w:rsidRPr="00895898">
              <w:rPr>
                <w:rFonts w:eastAsia="Calibri"/>
                <w:i/>
                <w:sz w:val="20"/>
              </w:rPr>
              <w:t>F. Úplná harmonizácia práva EÚ</w:t>
            </w:r>
          </w:p>
        </w:tc>
        <w:tc>
          <w:tcPr>
            <w:tcW w:w="2693" w:type="dxa"/>
            <w:shd w:val="clear" w:color="auto" w:fill="FFC000"/>
          </w:tcPr>
          <w:p w14:paraId="1720BC8D" w14:textId="77777777" w:rsidR="00C145BC" w:rsidRPr="00C655E3" w:rsidRDefault="00C145BC" w:rsidP="00607CBE">
            <w:pPr>
              <w:jc w:val="center"/>
              <w:rPr>
                <w:rFonts w:eastAsia="Calibri"/>
                <w:b/>
                <w:i/>
                <w:sz w:val="20"/>
              </w:rPr>
            </w:pPr>
            <w:r>
              <w:rPr>
                <w:b/>
              </w:rPr>
              <w:t>152 319</w:t>
            </w:r>
          </w:p>
        </w:tc>
        <w:tc>
          <w:tcPr>
            <w:tcW w:w="2693" w:type="dxa"/>
            <w:shd w:val="clear" w:color="auto" w:fill="92D050"/>
          </w:tcPr>
          <w:p w14:paraId="5DEE33E1" w14:textId="77777777" w:rsidR="00C145BC" w:rsidRPr="00C655E3" w:rsidRDefault="00C145BC" w:rsidP="00607CBE">
            <w:pPr>
              <w:jc w:val="center"/>
              <w:rPr>
                <w:rFonts w:eastAsia="Calibri"/>
                <w:b/>
                <w:i/>
                <w:sz w:val="20"/>
              </w:rPr>
            </w:pPr>
            <w:r w:rsidRPr="00C655E3">
              <w:rPr>
                <w:b/>
              </w:rPr>
              <w:t>0,00</w:t>
            </w:r>
          </w:p>
        </w:tc>
      </w:tr>
      <w:tr w:rsidR="00C145BC" w:rsidRPr="00895898" w14:paraId="5938EB01" w14:textId="77777777" w:rsidTr="00607CBE">
        <w:tc>
          <w:tcPr>
            <w:tcW w:w="9067" w:type="dxa"/>
            <w:gridSpan w:val="3"/>
            <w:shd w:val="clear" w:color="auto" w:fill="auto"/>
          </w:tcPr>
          <w:p w14:paraId="0EE7446E" w14:textId="77777777" w:rsidR="00C145BC" w:rsidRPr="00895898" w:rsidRDefault="00C145BC" w:rsidP="00607CBE">
            <w:pPr>
              <w:jc w:val="center"/>
              <w:rPr>
                <w:rFonts w:eastAsia="Calibri"/>
                <w:b/>
                <w:bCs/>
                <w:i/>
                <w:sz w:val="20"/>
              </w:rPr>
            </w:pPr>
          </w:p>
        </w:tc>
      </w:tr>
      <w:tr w:rsidR="00C145BC" w:rsidRPr="00895898" w14:paraId="1EC2C526" w14:textId="77777777" w:rsidTr="00607CBE">
        <w:tc>
          <w:tcPr>
            <w:tcW w:w="3681" w:type="dxa"/>
          </w:tcPr>
          <w:p w14:paraId="779C644B" w14:textId="77777777" w:rsidR="00C145BC" w:rsidRPr="00895898" w:rsidRDefault="00C145BC" w:rsidP="00607CBE">
            <w:pPr>
              <w:rPr>
                <w:rFonts w:eastAsia="Calibri"/>
                <w:b/>
                <w:i/>
                <w:sz w:val="20"/>
              </w:rPr>
            </w:pPr>
            <w:r w:rsidRPr="00895898">
              <w:rPr>
                <w:rFonts w:eastAsia="Calibri"/>
                <w:b/>
                <w:bCs/>
                <w:i/>
                <w:sz w:val="20"/>
              </w:rPr>
              <w:t>VÝPOČET mechanizmu znižovania byrokracie a</w:t>
            </w:r>
            <w:r>
              <w:rPr>
                <w:rFonts w:eastAsia="Calibri"/>
                <w:b/>
                <w:bCs/>
                <w:i/>
                <w:sz w:val="20"/>
              </w:rPr>
              <w:t> </w:t>
            </w:r>
            <w:r w:rsidRPr="00895898">
              <w:rPr>
                <w:rFonts w:eastAsia="Calibri"/>
                <w:b/>
                <w:bCs/>
                <w:i/>
                <w:sz w:val="20"/>
              </w:rPr>
              <w:t>nákladov</w:t>
            </w:r>
          </w:p>
        </w:tc>
        <w:tc>
          <w:tcPr>
            <w:tcW w:w="2693" w:type="dxa"/>
            <w:shd w:val="clear" w:color="auto" w:fill="FFC000"/>
          </w:tcPr>
          <w:p w14:paraId="45C096C5" w14:textId="77777777" w:rsidR="00C145BC" w:rsidRPr="00895898" w:rsidRDefault="00C145BC" w:rsidP="00607CBE">
            <w:pPr>
              <w:jc w:val="center"/>
              <w:rPr>
                <w:rFonts w:eastAsia="Calibri"/>
                <w:b/>
                <w:bCs/>
                <w:i/>
                <w:sz w:val="20"/>
              </w:rPr>
            </w:pPr>
            <w:r w:rsidRPr="00895898">
              <w:rPr>
                <w:rFonts w:eastAsia="Calibri"/>
                <w:b/>
                <w:bCs/>
                <w:i/>
                <w:sz w:val="20"/>
              </w:rPr>
              <w:t>IN</w:t>
            </w:r>
          </w:p>
        </w:tc>
        <w:tc>
          <w:tcPr>
            <w:tcW w:w="2693" w:type="dxa"/>
            <w:shd w:val="clear" w:color="auto" w:fill="92D050"/>
          </w:tcPr>
          <w:p w14:paraId="0864D16C" w14:textId="77777777" w:rsidR="00C145BC" w:rsidRPr="00895898" w:rsidRDefault="00C145BC" w:rsidP="00607CBE">
            <w:pPr>
              <w:jc w:val="center"/>
              <w:rPr>
                <w:rFonts w:eastAsia="Calibri"/>
                <w:b/>
                <w:bCs/>
                <w:i/>
                <w:sz w:val="20"/>
              </w:rPr>
            </w:pPr>
            <w:r w:rsidRPr="00895898">
              <w:rPr>
                <w:rFonts w:eastAsia="Calibri"/>
                <w:b/>
                <w:bCs/>
                <w:i/>
                <w:sz w:val="20"/>
              </w:rPr>
              <w:t>OUT</w:t>
            </w:r>
          </w:p>
        </w:tc>
      </w:tr>
      <w:tr w:rsidR="00C145BC" w:rsidRPr="00895898" w14:paraId="5A1B7D41" w14:textId="77777777" w:rsidTr="00607CBE">
        <w:tc>
          <w:tcPr>
            <w:tcW w:w="3681" w:type="dxa"/>
          </w:tcPr>
          <w:p w14:paraId="3111FD06" w14:textId="77777777" w:rsidR="00C145BC" w:rsidRPr="00895898" w:rsidRDefault="00C145BC" w:rsidP="00607CBE">
            <w:pPr>
              <w:rPr>
                <w:rFonts w:eastAsia="Calibri"/>
                <w:b/>
                <w:i/>
                <w:sz w:val="20"/>
              </w:rPr>
            </w:pPr>
            <w:r w:rsidRPr="00895898">
              <w:rPr>
                <w:rFonts w:eastAsia="Calibri"/>
                <w:b/>
                <w:i/>
                <w:sz w:val="20"/>
              </w:rPr>
              <w:t>G. Náklady okrem výnimiek = B+C+D-F</w:t>
            </w:r>
          </w:p>
        </w:tc>
        <w:tc>
          <w:tcPr>
            <w:tcW w:w="2693" w:type="dxa"/>
            <w:shd w:val="clear" w:color="auto" w:fill="FFC000"/>
          </w:tcPr>
          <w:p w14:paraId="1A24AE31" w14:textId="77777777" w:rsidR="00C145BC" w:rsidRPr="00895898" w:rsidRDefault="00C145BC" w:rsidP="00607CBE">
            <w:pPr>
              <w:jc w:val="center"/>
              <w:rPr>
                <w:rFonts w:eastAsia="Calibri"/>
                <w:b/>
                <w:bCs/>
                <w:i/>
                <w:sz w:val="20"/>
              </w:rPr>
            </w:pPr>
            <w:r w:rsidRPr="00895898">
              <w:rPr>
                <w:rFonts w:eastAsia="Calibri"/>
                <w:b/>
                <w:bCs/>
                <w:i/>
                <w:sz w:val="20"/>
              </w:rPr>
              <w:t>0</w:t>
            </w:r>
          </w:p>
        </w:tc>
        <w:tc>
          <w:tcPr>
            <w:tcW w:w="2693" w:type="dxa"/>
            <w:shd w:val="clear" w:color="auto" w:fill="92D050"/>
          </w:tcPr>
          <w:p w14:paraId="0C3B4D91" w14:textId="77777777" w:rsidR="00C145BC" w:rsidRPr="00895898" w:rsidRDefault="00C145BC" w:rsidP="00607CBE">
            <w:pPr>
              <w:jc w:val="center"/>
              <w:rPr>
                <w:rFonts w:eastAsia="Calibri"/>
                <w:b/>
                <w:bCs/>
                <w:i/>
                <w:sz w:val="20"/>
              </w:rPr>
            </w:pPr>
            <w:r w:rsidRPr="00895898">
              <w:rPr>
                <w:rFonts w:eastAsia="Calibri"/>
                <w:b/>
                <w:bCs/>
                <w:i/>
                <w:sz w:val="20"/>
              </w:rPr>
              <w:t>0</w:t>
            </w:r>
          </w:p>
        </w:tc>
      </w:tr>
    </w:tbl>
    <w:p w14:paraId="6BA10EB0" w14:textId="77777777" w:rsidR="00C145BC" w:rsidRPr="00895898" w:rsidRDefault="00C145BC" w:rsidP="00C145BC">
      <w:pPr>
        <w:rPr>
          <w:rFonts w:eastAsia="Calibri"/>
          <w:i/>
        </w:rPr>
      </w:pPr>
    </w:p>
    <w:p w14:paraId="1CBD5B3E" w14:textId="77777777" w:rsidR="00C145BC" w:rsidRPr="00895898" w:rsidRDefault="00C145BC" w:rsidP="00C145BC">
      <w:pPr>
        <w:rPr>
          <w:rFonts w:eastAsia="Calibri"/>
          <w:b/>
        </w:rPr>
      </w:pPr>
    </w:p>
    <w:p w14:paraId="2762232E" w14:textId="77777777" w:rsidR="00C145BC" w:rsidRPr="00895898" w:rsidRDefault="00C145BC" w:rsidP="00C145BC">
      <w:pPr>
        <w:rPr>
          <w:rFonts w:eastAsia="Calibri"/>
          <w:b/>
        </w:rPr>
        <w:sectPr w:rsidR="00C145BC" w:rsidRPr="00895898" w:rsidSect="00C145BC">
          <w:headerReference w:type="default" r:id="rId17"/>
          <w:footerReference w:type="default" r:id="rId18"/>
          <w:pgSz w:w="11906" w:h="16838"/>
          <w:pgMar w:top="993" w:right="1417" w:bottom="1417" w:left="1417" w:header="708" w:footer="708" w:gutter="0"/>
          <w:pgNumType w:start="15"/>
          <w:cols w:space="708"/>
          <w:docGrid w:linePitch="360"/>
        </w:sectPr>
      </w:pPr>
    </w:p>
    <w:p w14:paraId="7AEC6463" w14:textId="77777777" w:rsidR="00C145BC" w:rsidRPr="001F1B43" w:rsidRDefault="00C145BC" w:rsidP="00C145BC">
      <w:pPr>
        <w:rPr>
          <w:rFonts w:eastAsia="Calibri"/>
          <w:b/>
          <w:i/>
          <w:iCs/>
        </w:rPr>
      </w:pPr>
      <w:r w:rsidRPr="001F1B43">
        <w:rPr>
          <w:rFonts w:eastAsia="Calibri"/>
          <w:b/>
          <w:i/>
          <w:iCs/>
        </w:rPr>
        <w:lastRenderedPageBreak/>
        <w:t>3.1.2 Výpočty vplyvov jednotlivých regulácií na zmeny v nákladoch podnikateľov</w:t>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r w:rsidRPr="00D8247C">
        <w:rPr>
          <w:rFonts w:eastAsia="Calibri"/>
          <w:i/>
        </w:rPr>
        <w:tab/>
      </w:r>
    </w:p>
    <w:p w14:paraId="59D43182" w14:textId="77777777" w:rsidR="00C145BC" w:rsidRPr="00D8247C" w:rsidRDefault="00C145BC" w:rsidP="00C145BC">
      <w:pPr>
        <w:jc w:val="both"/>
        <w:rPr>
          <w:rFonts w:eastAsia="Calibri"/>
          <w:i/>
        </w:rPr>
      </w:pPr>
      <w:r w:rsidRPr="00D8247C">
        <w:rPr>
          <w:rFonts w:eastAsia="Calibri"/>
          <w:i/>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42"/>
        <w:gridCol w:w="1043"/>
        <w:gridCol w:w="1129"/>
        <w:gridCol w:w="1302"/>
        <w:gridCol w:w="934"/>
        <w:gridCol w:w="1356"/>
        <w:gridCol w:w="974"/>
        <w:gridCol w:w="974"/>
        <w:gridCol w:w="982"/>
        <w:gridCol w:w="992"/>
        <w:gridCol w:w="1132"/>
      </w:tblGrid>
      <w:tr w:rsidR="00C145BC" w:rsidRPr="00895898" w14:paraId="43B90398" w14:textId="77777777" w:rsidTr="00607CBE">
        <w:trPr>
          <w:trHeight w:val="1885"/>
        </w:trPr>
        <w:tc>
          <w:tcPr>
            <w:tcW w:w="501" w:type="dxa"/>
            <w:shd w:val="clear" w:color="auto" w:fill="BFBFBF"/>
            <w:vAlign w:val="center"/>
          </w:tcPr>
          <w:p w14:paraId="3C7C38B2" w14:textId="77777777" w:rsidR="00C145BC" w:rsidRPr="00895898" w:rsidRDefault="00C145BC" w:rsidP="00607CBE">
            <w:pPr>
              <w:jc w:val="center"/>
              <w:rPr>
                <w:b/>
                <w:bCs/>
                <w:color w:val="000000"/>
                <w:sz w:val="20"/>
                <w:szCs w:val="20"/>
              </w:rPr>
            </w:pPr>
            <w:proofErr w:type="spellStart"/>
            <w:r w:rsidRPr="00895898">
              <w:rPr>
                <w:b/>
                <w:bCs/>
                <w:color w:val="000000"/>
                <w:sz w:val="20"/>
                <w:szCs w:val="20"/>
              </w:rPr>
              <w:t>P.č</w:t>
            </w:r>
            <w:proofErr w:type="spellEnd"/>
            <w:r w:rsidRPr="00895898">
              <w:rPr>
                <w:b/>
                <w:bCs/>
                <w:color w:val="000000"/>
                <w:sz w:val="20"/>
                <w:szCs w:val="20"/>
              </w:rPr>
              <w:t>.</w:t>
            </w:r>
          </w:p>
        </w:tc>
        <w:tc>
          <w:tcPr>
            <w:tcW w:w="3542" w:type="dxa"/>
            <w:shd w:val="clear" w:color="auto" w:fill="BFBFBF"/>
            <w:vAlign w:val="center"/>
            <w:hideMark/>
          </w:tcPr>
          <w:p w14:paraId="0497D0CC" w14:textId="77777777" w:rsidR="00C145BC" w:rsidRPr="00895898" w:rsidRDefault="00C145BC" w:rsidP="00607CBE">
            <w:pPr>
              <w:jc w:val="center"/>
              <w:rPr>
                <w:b/>
                <w:bCs/>
                <w:color w:val="000000"/>
                <w:sz w:val="20"/>
                <w:szCs w:val="20"/>
              </w:rPr>
            </w:pPr>
            <w:r w:rsidRPr="00895898">
              <w:rPr>
                <w:b/>
                <w:bCs/>
                <w:color w:val="000000"/>
                <w:sz w:val="20"/>
                <w:szCs w:val="20"/>
              </w:rPr>
              <w:t>Zrozumiteľný a stručný opis regulácie vyjadrujúci dôvod zvýšenia/zníženia nákladov na PP</w:t>
            </w:r>
          </w:p>
        </w:tc>
        <w:tc>
          <w:tcPr>
            <w:tcW w:w="1043" w:type="dxa"/>
            <w:shd w:val="clear" w:color="auto" w:fill="BFBFBF"/>
          </w:tcPr>
          <w:p w14:paraId="4F31C433" w14:textId="77777777" w:rsidR="00C145BC" w:rsidRPr="00895898" w:rsidRDefault="00C145BC" w:rsidP="00607CBE">
            <w:pPr>
              <w:jc w:val="center"/>
              <w:rPr>
                <w:b/>
                <w:bCs/>
                <w:color w:val="000000"/>
                <w:sz w:val="20"/>
                <w:szCs w:val="20"/>
              </w:rPr>
            </w:pPr>
          </w:p>
          <w:p w14:paraId="4340CB2B" w14:textId="77777777" w:rsidR="00C145BC" w:rsidRPr="00895898" w:rsidRDefault="00C145BC" w:rsidP="00607CBE">
            <w:pPr>
              <w:jc w:val="center"/>
              <w:rPr>
                <w:b/>
                <w:bCs/>
                <w:color w:val="000000"/>
                <w:sz w:val="20"/>
                <w:szCs w:val="20"/>
              </w:rPr>
            </w:pPr>
            <w:r w:rsidRPr="00895898">
              <w:rPr>
                <w:b/>
                <w:bCs/>
                <w:color w:val="000000"/>
                <w:sz w:val="20"/>
                <w:szCs w:val="20"/>
              </w:rPr>
              <w:t>Číslo normy</w:t>
            </w:r>
          </w:p>
          <w:p w14:paraId="27BF0704" w14:textId="77777777" w:rsidR="00C145BC" w:rsidRPr="00895898" w:rsidRDefault="00C145BC" w:rsidP="00607CBE">
            <w:pPr>
              <w:jc w:val="center"/>
              <w:rPr>
                <w:bCs/>
                <w:color w:val="000000"/>
                <w:sz w:val="20"/>
                <w:szCs w:val="20"/>
              </w:rPr>
            </w:pPr>
            <w:r w:rsidRPr="00895898">
              <w:rPr>
                <w:bCs/>
                <w:color w:val="000000"/>
                <w:sz w:val="20"/>
                <w:szCs w:val="20"/>
              </w:rPr>
              <w:t>(zákona, vyhlášky a pod.)</w:t>
            </w:r>
          </w:p>
        </w:tc>
        <w:tc>
          <w:tcPr>
            <w:tcW w:w="1129" w:type="dxa"/>
            <w:shd w:val="clear" w:color="auto" w:fill="BFBFBF"/>
            <w:vAlign w:val="center"/>
            <w:hideMark/>
          </w:tcPr>
          <w:p w14:paraId="667CE87C" w14:textId="77777777" w:rsidR="00C145BC" w:rsidRPr="00895898" w:rsidRDefault="00C145BC" w:rsidP="00607CBE">
            <w:pPr>
              <w:jc w:val="center"/>
              <w:rPr>
                <w:b/>
                <w:bCs/>
                <w:color w:val="000000"/>
                <w:sz w:val="20"/>
                <w:szCs w:val="20"/>
              </w:rPr>
            </w:pPr>
            <w:r w:rsidRPr="00895898">
              <w:rPr>
                <w:b/>
                <w:bCs/>
                <w:color w:val="000000"/>
                <w:sz w:val="20"/>
                <w:szCs w:val="20"/>
              </w:rPr>
              <w:t xml:space="preserve">Lokalizácia </w:t>
            </w:r>
            <w:r w:rsidRPr="00895898">
              <w:rPr>
                <w:bCs/>
                <w:color w:val="000000"/>
                <w:sz w:val="20"/>
                <w:szCs w:val="20"/>
              </w:rPr>
              <w:t>(§, ods.)</w:t>
            </w:r>
          </w:p>
        </w:tc>
        <w:tc>
          <w:tcPr>
            <w:tcW w:w="1302" w:type="dxa"/>
            <w:shd w:val="clear" w:color="auto" w:fill="BFBFBF"/>
            <w:vAlign w:val="center"/>
          </w:tcPr>
          <w:p w14:paraId="60EFDA8D" w14:textId="77777777" w:rsidR="00C145BC" w:rsidRPr="00895898" w:rsidRDefault="00C145BC" w:rsidP="00607CBE">
            <w:pPr>
              <w:jc w:val="center"/>
              <w:rPr>
                <w:b/>
                <w:bCs/>
                <w:color w:val="000000"/>
                <w:sz w:val="20"/>
                <w:szCs w:val="20"/>
              </w:rPr>
            </w:pPr>
            <w:r w:rsidRPr="00895898">
              <w:rPr>
                <w:b/>
                <w:bCs/>
                <w:color w:val="000000"/>
                <w:sz w:val="20"/>
                <w:szCs w:val="20"/>
              </w:rPr>
              <w:t>Pôvod regulácie:</w:t>
            </w:r>
          </w:p>
          <w:p w14:paraId="6CA03693" w14:textId="77777777" w:rsidR="00C145BC" w:rsidRPr="00895898" w:rsidRDefault="00C145BC" w:rsidP="00607CBE">
            <w:pPr>
              <w:jc w:val="center"/>
              <w:rPr>
                <w:color w:val="000000"/>
                <w:sz w:val="20"/>
                <w:szCs w:val="20"/>
              </w:rPr>
            </w:pPr>
            <w:r w:rsidRPr="00895898">
              <w:rPr>
                <w:color w:val="000000"/>
                <w:sz w:val="20"/>
                <w:szCs w:val="20"/>
              </w:rPr>
              <w:t xml:space="preserve">SK/EÚ úplná </w:t>
            </w:r>
            <w:proofErr w:type="spellStart"/>
            <w:r w:rsidRPr="00895898">
              <w:rPr>
                <w:color w:val="000000"/>
                <w:sz w:val="20"/>
                <w:szCs w:val="20"/>
              </w:rPr>
              <w:t>harm</w:t>
            </w:r>
            <w:proofErr w:type="spellEnd"/>
            <w:r w:rsidRPr="00895898">
              <w:rPr>
                <w:color w:val="000000"/>
                <w:sz w:val="20"/>
                <w:szCs w:val="20"/>
              </w:rPr>
              <w:t xml:space="preserve">./EÚ </w:t>
            </w:r>
            <w:proofErr w:type="spellStart"/>
            <w:r w:rsidRPr="00895898">
              <w:rPr>
                <w:color w:val="000000"/>
                <w:sz w:val="20"/>
                <w:szCs w:val="20"/>
              </w:rPr>
              <w:t>harm</w:t>
            </w:r>
            <w:proofErr w:type="spellEnd"/>
            <w:r w:rsidRPr="00895898">
              <w:rPr>
                <w:color w:val="000000"/>
                <w:sz w:val="20"/>
                <w:szCs w:val="20"/>
              </w:rPr>
              <w:t>. s možnosťou voľby</w:t>
            </w:r>
          </w:p>
        </w:tc>
        <w:tc>
          <w:tcPr>
            <w:tcW w:w="934" w:type="dxa"/>
            <w:shd w:val="clear" w:color="auto" w:fill="BFBFBF"/>
            <w:vAlign w:val="center"/>
            <w:hideMark/>
          </w:tcPr>
          <w:p w14:paraId="595AA00F" w14:textId="77777777" w:rsidR="00C145BC" w:rsidRPr="00895898" w:rsidRDefault="00C145BC" w:rsidP="00607CBE">
            <w:pPr>
              <w:jc w:val="center"/>
              <w:rPr>
                <w:b/>
                <w:bCs/>
                <w:color w:val="000000"/>
                <w:sz w:val="20"/>
                <w:szCs w:val="20"/>
              </w:rPr>
            </w:pPr>
            <w:r w:rsidRPr="00895898">
              <w:rPr>
                <w:b/>
                <w:bCs/>
                <w:color w:val="000000"/>
                <w:sz w:val="20"/>
                <w:szCs w:val="20"/>
              </w:rPr>
              <w:t>Účinnosť</w:t>
            </w:r>
          </w:p>
          <w:p w14:paraId="04BB46A1" w14:textId="77777777" w:rsidR="00C145BC" w:rsidRPr="00895898" w:rsidRDefault="00C145BC" w:rsidP="00607CBE">
            <w:pPr>
              <w:jc w:val="center"/>
              <w:rPr>
                <w:b/>
                <w:bCs/>
                <w:color w:val="000000"/>
                <w:sz w:val="20"/>
                <w:szCs w:val="20"/>
              </w:rPr>
            </w:pPr>
            <w:r w:rsidRPr="00895898">
              <w:rPr>
                <w:b/>
                <w:bCs/>
                <w:color w:val="000000"/>
                <w:sz w:val="20"/>
                <w:szCs w:val="20"/>
              </w:rPr>
              <w:t>regulácie</w:t>
            </w:r>
          </w:p>
          <w:p w14:paraId="1F914689" w14:textId="77777777" w:rsidR="00C145BC" w:rsidRPr="00895898" w:rsidRDefault="00C145BC" w:rsidP="00607CBE">
            <w:pPr>
              <w:jc w:val="center"/>
              <w:rPr>
                <w:bCs/>
                <w:color w:val="000000"/>
                <w:sz w:val="20"/>
                <w:szCs w:val="20"/>
              </w:rPr>
            </w:pPr>
          </w:p>
        </w:tc>
        <w:tc>
          <w:tcPr>
            <w:tcW w:w="1356" w:type="dxa"/>
            <w:shd w:val="clear" w:color="auto" w:fill="BFBFBF"/>
            <w:vAlign w:val="center"/>
          </w:tcPr>
          <w:p w14:paraId="234BCA84" w14:textId="77777777" w:rsidR="00C145BC" w:rsidRPr="00895898" w:rsidRDefault="00C145BC" w:rsidP="00607CBE">
            <w:pPr>
              <w:jc w:val="center"/>
              <w:rPr>
                <w:b/>
                <w:bCs/>
                <w:color w:val="000000"/>
                <w:sz w:val="20"/>
                <w:szCs w:val="20"/>
              </w:rPr>
            </w:pPr>
            <w:r w:rsidRPr="00895898">
              <w:rPr>
                <w:b/>
                <w:bCs/>
                <w:color w:val="000000"/>
                <w:sz w:val="20"/>
                <w:szCs w:val="20"/>
              </w:rPr>
              <w:t xml:space="preserve">Kategória </w:t>
            </w:r>
            <w:proofErr w:type="spellStart"/>
            <w:r w:rsidRPr="00895898">
              <w:rPr>
                <w:b/>
                <w:bCs/>
                <w:color w:val="000000"/>
                <w:sz w:val="20"/>
                <w:szCs w:val="20"/>
              </w:rPr>
              <w:t>dotk</w:t>
            </w:r>
            <w:proofErr w:type="spellEnd"/>
            <w:r w:rsidRPr="00895898">
              <w:rPr>
                <w:b/>
                <w:bCs/>
                <w:color w:val="000000"/>
                <w:sz w:val="20"/>
                <w:szCs w:val="20"/>
              </w:rPr>
              <w:t>. subjektov</w:t>
            </w:r>
          </w:p>
        </w:tc>
        <w:tc>
          <w:tcPr>
            <w:tcW w:w="974" w:type="dxa"/>
            <w:shd w:val="clear" w:color="auto" w:fill="BFBFBF"/>
            <w:vAlign w:val="center"/>
          </w:tcPr>
          <w:p w14:paraId="2DA4EE24" w14:textId="77777777" w:rsidR="00C145BC" w:rsidRPr="00895898" w:rsidRDefault="00C145BC" w:rsidP="00607CBE">
            <w:pPr>
              <w:jc w:val="center"/>
              <w:rPr>
                <w:b/>
                <w:bCs/>
                <w:color w:val="000000"/>
                <w:sz w:val="20"/>
                <w:szCs w:val="20"/>
              </w:rPr>
            </w:pPr>
            <w:r w:rsidRPr="00895898">
              <w:rPr>
                <w:b/>
                <w:bCs/>
                <w:color w:val="000000"/>
                <w:sz w:val="20"/>
                <w:szCs w:val="20"/>
              </w:rPr>
              <w:t>Počet  subjektov v </w:t>
            </w:r>
            <w:proofErr w:type="spellStart"/>
            <w:r w:rsidRPr="00895898">
              <w:rPr>
                <w:b/>
                <w:bCs/>
                <w:color w:val="000000"/>
                <w:sz w:val="20"/>
                <w:szCs w:val="20"/>
              </w:rPr>
              <w:t>dotk</w:t>
            </w:r>
            <w:proofErr w:type="spellEnd"/>
            <w:r w:rsidRPr="00895898">
              <w:rPr>
                <w:b/>
                <w:bCs/>
                <w:color w:val="000000"/>
                <w:sz w:val="20"/>
                <w:szCs w:val="20"/>
              </w:rPr>
              <w:t xml:space="preserve">. kategórii </w:t>
            </w:r>
          </w:p>
        </w:tc>
        <w:tc>
          <w:tcPr>
            <w:tcW w:w="974" w:type="dxa"/>
            <w:shd w:val="clear" w:color="auto" w:fill="BFBFBF"/>
            <w:vAlign w:val="center"/>
            <w:hideMark/>
          </w:tcPr>
          <w:p w14:paraId="2B5099CB" w14:textId="77777777" w:rsidR="00C145BC" w:rsidRPr="00895898" w:rsidRDefault="00C145BC" w:rsidP="00607CBE">
            <w:pPr>
              <w:jc w:val="center"/>
              <w:rPr>
                <w:b/>
                <w:bCs/>
                <w:color w:val="000000"/>
                <w:sz w:val="20"/>
                <w:szCs w:val="20"/>
              </w:rPr>
            </w:pPr>
            <w:r w:rsidRPr="00895898">
              <w:rPr>
                <w:b/>
                <w:bCs/>
                <w:color w:val="000000"/>
                <w:sz w:val="20"/>
                <w:szCs w:val="20"/>
              </w:rPr>
              <w:t>Počet subjektov MSP v </w:t>
            </w:r>
            <w:proofErr w:type="spellStart"/>
            <w:r w:rsidRPr="00895898">
              <w:rPr>
                <w:b/>
                <w:bCs/>
                <w:color w:val="000000"/>
                <w:sz w:val="20"/>
                <w:szCs w:val="20"/>
              </w:rPr>
              <w:t>dotk</w:t>
            </w:r>
            <w:proofErr w:type="spellEnd"/>
            <w:r w:rsidRPr="00895898">
              <w:rPr>
                <w:b/>
                <w:bCs/>
                <w:color w:val="000000"/>
                <w:sz w:val="20"/>
                <w:szCs w:val="20"/>
              </w:rPr>
              <w:t xml:space="preserve">. kategórii </w:t>
            </w:r>
          </w:p>
        </w:tc>
        <w:tc>
          <w:tcPr>
            <w:tcW w:w="982" w:type="dxa"/>
            <w:shd w:val="clear" w:color="auto" w:fill="BFBFBF"/>
            <w:vAlign w:val="center"/>
            <w:hideMark/>
          </w:tcPr>
          <w:p w14:paraId="4E28DBDC" w14:textId="77777777" w:rsidR="00C145BC" w:rsidRPr="00895898" w:rsidRDefault="00C145BC" w:rsidP="00607CBE">
            <w:pPr>
              <w:jc w:val="center"/>
              <w:rPr>
                <w:b/>
                <w:bCs/>
                <w:color w:val="000000"/>
                <w:sz w:val="20"/>
                <w:szCs w:val="20"/>
              </w:rPr>
            </w:pPr>
            <w:r w:rsidRPr="00895898">
              <w:rPr>
                <w:b/>
                <w:bCs/>
                <w:color w:val="000000"/>
                <w:sz w:val="20"/>
                <w:szCs w:val="20"/>
              </w:rPr>
              <w:t>Vplyv na 1 podnik. v €</w:t>
            </w:r>
          </w:p>
        </w:tc>
        <w:tc>
          <w:tcPr>
            <w:tcW w:w="992" w:type="dxa"/>
            <w:shd w:val="clear" w:color="auto" w:fill="BFBFBF"/>
            <w:vAlign w:val="center"/>
            <w:hideMark/>
          </w:tcPr>
          <w:p w14:paraId="10875BF8" w14:textId="77777777" w:rsidR="00C145BC" w:rsidRPr="00895898" w:rsidRDefault="00C145BC" w:rsidP="00607CBE">
            <w:pPr>
              <w:jc w:val="center"/>
              <w:rPr>
                <w:b/>
                <w:bCs/>
                <w:color w:val="000000"/>
                <w:sz w:val="20"/>
                <w:szCs w:val="20"/>
              </w:rPr>
            </w:pPr>
            <w:r w:rsidRPr="00895898">
              <w:rPr>
                <w:b/>
                <w:bCs/>
                <w:color w:val="000000"/>
                <w:sz w:val="20"/>
                <w:szCs w:val="20"/>
              </w:rPr>
              <w:t xml:space="preserve">Vplyv na kategóriu </w:t>
            </w:r>
            <w:proofErr w:type="spellStart"/>
            <w:r w:rsidRPr="00895898">
              <w:rPr>
                <w:b/>
                <w:bCs/>
                <w:color w:val="000000"/>
                <w:sz w:val="20"/>
                <w:szCs w:val="20"/>
              </w:rPr>
              <w:t>dotk</w:t>
            </w:r>
            <w:proofErr w:type="spellEnd"/>
            <w:r w:rsidRPr="00895898">
              <w:rPr>
                <w:b/>
                <w:bCs/>
                <w:color w:val="000000"/>
                <w:sz w:val="20"/>
                <w:szCs w:val="20"/>
              </w:rPr>
              <w:t>. subjektov v €</w:t>
            </w:r>
          </w:p>
        </w:tc>
        <w:tc>
          <w:tcPr>
            <w:tcW w:w="1132" w:type="dxa"/>
            <w:shd w:val="clear" w:color="auto" w:fill="BFBFBF"/>
            <w:vAlign w:val="center"/>
          </w:tcPr>
          <w:p w14:paraId="33DFF2CA" w14:textId="77777777" w:rsidR="00C145BC" w:rsidRPr="00895898" w:rsidRDefault="00C145BC" w:rsidP="00607CBE">
            <w:pPr>
              <w:jc w:val="center"/>
              <w:rPr>
                <w:b/>
                <w:bCs/>
                <w:color w:val="000000"/>
                <w:sz w:val="20"/>
                <w:szCs w:val="20"/>
              </w:rPr>
            </w:pPr>
            <w:r w:rsidRPr="00895898">
              <w:rPr>
                <w:b/>
                <w:bCs/>
                <w:color w:val="000000"/>
                <w:sz w:val="20"/>
                <w:szCs w:val="20"/>
              </w:rPr>
              <w:t>Druh vplyvu</w:t>
            </w:r>
          </w:p>
          <w:p w14:paraId="317203FA" w14:textId="77777777" w:rsidR="00C145BC" w:rsidRPr="00895898" w:rsidRDefault="00C145BC" w:rsidP="00607CBE">
            <w:pPr>
              <w:jc w:val="center"/>
              <w:rPr>
                <w:bCs/>
                <w:color w:val="000000"/>
                <w:sz w:val="20"/>
                <w:szCs w:val="20"/>
              </w:rPr>
            </w:pPr>
            <w:r w:rsidRPr="00895898">
              <w:rPr>
                <w:bCs/>
                <w:color w:val="000000"/>
                <w:sz w:val="20"/>
                <w:szCs w:val="20"/>
              </w:rPr>
              <w:t xml:space="preserve">In (zvyšuje náklady) / </w:t>
            </w:r>
          </w:p>
          <w:p w14:paraId="7E0F6A6E" w14:textId="77777777" w:rsidR="00C145BC" w:rsidRPr="00895898" w:rsidRDefault="00C145BC" w:rsidP="00607CBE">
            <w:pPr>
              <w:jc w:val="center"/>
              <w:rPr>
                <w:b/>
                <w:bCs/>
                <w:color w:val="000000"/>
                <w:sz w:val="20"/>
                <w:szCs w:val="20"/>
              </w:rPr>
            </w:pPr>
            <w:proofErr w:type="spellStart"/>
            <w:r w:rsidRPr="00895898">
              <w:rPr>
                <w:bCs/>
                <w:color w:val="000000"/>
                <w:sz w:val="20"/>
                <w:szCs w:val="20"/>
              </w:rPr>
              <w:t>Out</w:t>
            </w:r>
            <w:proofErr w:type="spellEnd"/>
            <w:r w:rsidRPr="00895898">
              <w:rPr>
                <w:bCs/>
                <w:color w:val="000000"/>
                <w:sz w:val="20"/>
                <w:szCs w:val="20"/>
              </w:rPr>
              <w:t xml:space="preserve"> (znižuje náklady</w:t>
            </w:r>
            <w:r w:rsidRPr="00895898">
              <w:rPr>
                <w:b/>
                <w:bCs/>
                <w:color w:val="000000"/>
                <w:sz w:val="20"/>
                <w:szCs w:val="20"/>
              </w:rPr>
              <w:t>)</w:t>
            </w:r>
          </w:p>
          <w:p w14:paraId="3072EB48" w14:textId="77777777" w:rsidR="00C145BC" w:rsidRPr="00895898" w:rsidRDefault="00C145BC" w:rsidP="00607CBE">
            <w:pPr>
              <w:jc w:val="center"/>
              <w:rPr>
                <w:b/>
                <w:bCs/>
                <w:color w:val="000000"/>
                <w:sz w:val="20"/>
                <w:szCs w:val="20"/>
              </w:rPr>
            </w:pPr>
          </w:p>
        </w:tc>
      </w:tr>
      <w:tr w:rsidR="00C145BC" w:rsidRPr="00895898" w14:paraId="2F20A76B" w14:textId="77777777" w:rsidTr="00607CBE">
        <w:trPr>
          <w:trHeight w:val="612"/>
        </w:trPr>
        <w:tc>
          <w:tcPr>
            <w:tcW w:w="501" w:type="dxa"/>
            <w:vAlign w:val="center"/>
          </w:tcPr>
          <w:p w14:paraId="2BCBC147" w14:textId="77777777" w:rsidR="00C145BC" w:rsidRPr="00895898" w:rsidRDefault="00C145BC" w:rsidP="00607CBE">
            <w:pPr>
              <w:rPr>
                <w:sz w:val="20"/>
                <w:szCs w:val="20"/>
              </w:rPr>
            </w:pPr>
            <w:r>
              <w:rPr>
                <w:color w:val="000000"/>
                <w:sz w:val="20"/>
                <w:szCs w:val="20"/>
              </w:rPr>
              <w:t>1</w:t>
            </w:r>
          </w:p>
        </w:tc>
        <w:tc>
          <w:tcPr>
            <w:tcW w:w="3542" w:type="dxa"/>
            <w:shd w:val="clear" w:color="auto" w:fill="auto"/>
            <w:vAlign w:val="center"/>
          </w:tcPr>
          <w:p w14:paraId="42C27937" w14:textId="77777777" w:rsidR="00C145BC" w:rsidRPr="00895898" w:rsidRDefault="00C145BC" w:rsidP="00607CBE">
            <w:pPr>
              <w:rPr>
                <w:sz w:val="20"/>
                <w:szCs w:val="20"/>
              </w:rPr>
            </w:pPr>
            <w:r>
              <w:rPr>
                <w:color w:val="000000"/>
                <w:sz w:val="20"/>
                <w:szCs w:val="20"/>
              </w:rPr>
              <w:t>zavedenie nového výkazu - správa s informáciami o dani z príjmov</w:t>
            </w:r>
          </w:p>
        </w:tc>
        <w:tc>
          <w:tcPr>
            <w:tcW w:w="1043" w:type="dxa"/>
            <w:vAlign w:val="center"/>
          </w:tcPr>
          <w:p w14:paraId="39B10434" w14:textId="77777777" w:rsidR="00C145BC" w:rsidRPr="00895898" w:rsidRDefault="00C145BC" w:rsidP="00607CBE">
            <w:pPr>
              <w:rPr>
                <w:sz w:val="20"/>
                <w:szCs w:val="20"/>
              </w:rPr>
            </w:pPr>
            <w:r>
              <w:rPr>
                <w:color w:val="000000"/>
                <w:sz w:val="20"/>
                <w:szCs w:val="20"/>
              </w:rPr>
              <w:t>431/2002 Z. z.</w:t>
            </w:r>
          </w:p>
        </w:tc>
        <w:tc>
          <w:tcPr>
            <w:tcW w:w="1129" w:type="dxa"/>
            <w:shd w:val="clear" w:color="auto" w:fill="auto"/>
            <w:vAlign w:val="center"/>
          </w:tcPr>
          <w:p w14:paraId="56FB14D5" w14:textId="77777777" w:rsidR="00C145BC" w:rsidRPr="00895898" w:rsidRDefault="00C145BC" w:rsidP="00607CBE">
            <w:pPr>
              <w:rPr>
                <w:sz w:val="20"/>
                <w:szCs w:val="20"/>
              </w:rPr>
            </w:pPr>
            <w:r>
              <w:rPr>
                <w:color w:val="000000"/>
                <w:sz w:val="20"/>
                <w:szCs w:val="20"/>
              </w:rPr>
              <w:t xml:space="preserve">§ 21 a </w:t>
            </w:r>
            <w:proofErr w:type="spellStart"/>
            <w:r>
              <w:rPr>
                <w:color w:val="000000"/>
                <w:sz w:val="20"/>
                <w:szCs w:val="20"/>
              </w:rPr>
              <w:t>nasl</w:t>
            </w:r>
            <w:proofErr w:type="spellEnd"/>
            <w:r>
              <w:rPr>
                <w:color w:val="000000"/>
                <w:sz w:val="20"/>
                <w:szCs w:val="20"/>
              </w:rPr>
              <w:t>.</w:t>
            </w:r>
          </w:p>
        </w:tc>
        <w:tc>
          <w:tcPr>
            <w:tcW w:w="1302" w:type="dxa"/>
            <w:vAlign w:val="center"/>
          </w:tcPr>
          <w:p w14:paraId="795B1654" w14:textId="77777777" w:rsidR="00C145BC" w:rsidRPr="00895898" w:rsidRDefault="00C145BC" w:rsidP="00607CBE">
            <w:pPr>
              <w:rPr>
                <w:color w:val="000000"/>
                <w:sz w:val="20"/>
                <w:szCs w:val="20"/>
              </w:rPr>
            </w:pPr>
            <w:r>
              <w:rPr>
                <w:color w:val="000000"/>
                <w:sz w:val="20"/>
                <w:szCs w:val="20"/>
              </w:rPr>
              <w:t>EÚ úplná harmonizácia</w:t>
            </w:r>
          </w:p>
        </w:tc>
        <w:tc>
          <w:tcPr>
            <w:tcW w:w="934" w:type="dxa"/>
            <w:shd w:val="clear" w:color="auto" w:fill="auto"/>
            <w:noWrap/>
            <w:vAlign w:val="center"/>
          </w:tcPr>
          <w:p w14:paraId="36748462" w14:textId="77777777" w:rsidR="00C145BC" w:rsidRPr="00895898" w:rsidRDefault="00C145BC" w:rsidP="00607CBE">
            <w:pPr>
              <w:rPr>
                <w:color w:val="000000"/>
                <w:sz w:val="20"/>
                <w:szCs w:val="20"/>
              </w:rPr>
            </w:pPr>
            <w:r>
              <w:rPr>
                <w:color w:val="000000"/>
                <w:sz w:val="20"/>
                <w:szCs w:val="20"/>
              </w:rPr>
              <w:t>22.06.23</w:t>
            </w:r>
          </w:p>
        </w:tc>
        <w:tc>
          <w:tcPr>
            <w:tcW w:w="1356" w:type="dxa"/>
            <w:vAlign w:val="center"/>
          </w:tcPr>
          <w:p w14:paraId="2F0784C9" w14:textId="77777777" w:rsidR="00C145BC" w:rsidRPr="00895898" w:rsidRDefault="00C145BC" w:rsidP="00607CBE">
            <w:pPr>
              <w:rPr>
                <w:sz w:val="20"/>
                <w:szCs w:val="20"/>
              </w:rPr>
            </w:pPr>
            <w:r>
              <w:rPr>
                <w:color w:val="000000"/>
                <w:sz w:val="20"/>
                <w:szCs w:val="20"/>
              </w:rPr>
              <w:t xml:space="preserve">veľké </w:t>
            </w:r>
            <w:proofErr w:type="spellStart"/>
            <w:r>
              <w:rPr>
                <w:color w:val="000000"/>
                <w:sz w:val="20"/>
                <w:szCs w:val="20"/>
              </w:rPr>
              <w:t>účt</w:t>
            </w:r>
            <w:proofErr w:type="spellEnd"/>
            <w:r>
              <w:rPr>
                <w:color w:val="000000"/>
                <w:sz w:val="20"/>
                <w:szCs w:val="20"/>
              </w:rPr>
              <w:t>. jednotky s čistým obratom/</w:t>
            </w:r>
            <w:proofErr w:type="spellStart"/>
            <w:r>
              <w:rPr>
                <w:color w:val="000000"/>
                <w:sz w:val="20"/>
                <w:szCs w:val="20"/>
              </w:rPr>
              <w:t>kons</w:t>
            </w:r>
            <w:proofErr w:type="spellEnd"/>
            <w:r>
              <w:rPr>
                <w:color w:val="000000"/>
                <w:sz w:val="20"/>
                <w:szCs w:val="20"/>
              </w:rPr>
              <w:t>. výnosmi nad 750mil.€</w:t>
            </w:r>
          </w:p>
        </w:tc>
        <w:tc>
          <w:tcPr>
            <w:tcW w:w="974" w:type="dxa"/>
            <w:shd w:val="clear" w:color="auto" w:fill="auto"/>
            <w:noWrap/>
            <w:vAlign w:val="center"/>
          </w:tcPr>
          <w:p w14:paraId="4E7DDD0C" w14:textId="77777777" w:rsidR="00C145BC" w:rsidRPr="00895898" w:rsidRDefault="00C145BC" w:rsidP="00607CBE">
            <w:pPr>
              <w:rPr>
                <w:sz w:val="20"/>
                <w:szCs w:val="20"/>
              </w:rPr>
            </w:pPr>
            <w:r>
              <w:rPr>
                <w:color w:val="000000"/>
                <w:sz w:val="20"/>
                <w:szCs w:val="20"/>
              </w:rPr>
              <w:t xml:space="preserve">                 20 </w:t>
            </w:r>
          </w:p>
        </w:tc>
        <w:tc>
          <w:tcPr>
            <w:tcW w:w="974" w:type="dxa"/>
            <w:shd w:val="clear" w:color="auto" w:fill="auto"/>
            <w:noWrap/>
            <w:vAlign w:val="center"/>
          </w:tcPr>
          <w:p w14:paraId="4D9600E2" w14:textId="77777777" w:rsidR="00C145BC" w:rsidRPr="00895898" w:rsidRDefault="00C145BC" w:rsidP="00607CBE">
            <w:pPr>
              <w:rPr>
                <w:color w:val="000000"/>
                <w:sz w:val="20"/>
                <w:szCs w:val="20"/>
              </w:rPr>
            </w:pPr>
            <w:r>
              <w:rPr>
                <w:color w:val="000000"/>
                <w:sz w:val="20"/>
                <w:szCs w:val="20"/>
              </w:rPr>
              <w:t xml:space="preserve">                        -   </w:t>
            </w:r>
          </w:p>
        </w:tc>
        <w:tc>
          <w:tcPr>
            <w:tcW w:w="982" w:type="dxa"/>
            <w:shd w:val="clear" w:color="auto" w:fill="auto"/>
            <w:noWrap/>
            <w:vAlign w:val="center"/>
          </w:tcPr>
          <w:p w14:paraId="0EACAAAE" w14:textId="77777777" w:rsidR="00C145BC" w:rsidRPr="00895898" w:rsidRDefault="00C145BC" w:rsidP="00607CBE">
            <w:pPr>
              <w:rPr>
                <w:sz w:val="20"/>
                <w:szCs w:val="20"/>
              </w:rPr>
            </w:pPr>
            <w:r>
              <w:rPr>
                <w:color w:val="000000"/>
                <w:sz w:val="20"/>
                <w:szCs w:val="20"/>
              </w:rPr>
              <w:t>116</w:t>
            </w:r>
          </w:p>
        </w:tc>
        <w:tc>
          <w:tcPr>
            <w:tcW w:w="992" w:type="dxa"/>
            <w:shd w:val="clear" w:color="auto" w:fill="auto"/>
            <w:noWrap/>
            <w:vAlign w:val="center"/>
          </w:tcPr>
          <w:p w14:paraId="111CA11E" w14:textId="77777777" w:rsidR="00C145BC" w:rsidRPr="00895898" w:rsidRDefault="00C145BC" w:rsidP="00607CBE">
            <w:pPr>
              <w:rPr>
                <w:color w:val="000000"/>
                <w:sz w:val="20"/>
                <w:szCs w:val="20"/>
              </w:rPr>
            </w:pPr>
            <w:r>
              <w:rPr>
                <w:color w:val="000000"/>
                <w:sz w:val="20"/>
                <w:szCs w:val="20"/>
              </w:rPr>
              <w:t>2 319</w:t>
            </w:r>
          </w:p>
        </w:tc>
        <w:tc>
          <w:tcPr>
            <w:tcW w:w="1132" w:type="dxa"/>
            <w:vAlign w:val="center"/>
          </w:tcPr>
          <w:p w14:paraId="125DAF74" w14:textId="77777777" w:rsidR="00C145BC" w:rsidRPr="00895898" w:rsidRDefault="00C145BC" w:rsidP="00607CBE">
            <w:pPr>
              <w:rPr>
                <w:sz w:val="20"/>
                <w:szCs w:val="20"/>
              </w:rPr>
            </w:pPr>
            <w:r>
              <w:rPr>
                <w:color w:val="000000"/>
                <w:sz w:val="20"/>
                <w:szCs w:val="20"/>
              </w:rPr>
              <w:t>In (zvyšuje náklady)</w:t>
            </w:r>
          </w:p>
        </w:tc>
      </w:tr>
      <w:tr w:rsidR="00C145BC" w:rsidRPr="00895898" w14:paraId="66CBE585" w14:textId="77777777" w:rsidTr="00607CBE">
        <w:trPr>
          <w:trHeight w:val="600"/>
        </w:trPr>
        <w:tc>
          <w:tcPr>
            <w:tcW w:w="501" w:type="dxa"/>
            <w:vAlign w:val="center"/>
          </w:tcPr>
          <w:p w14:paraId="12C38924" w14:textId="77777777" w:rsidR="00C145BC" w:rsidRPr="00895898" w:rsidRDefault="00C145BC" w:rsidP="00607CBE">
            <w:pPr>
              <w:rPr>
                <w:sz w:val="20"/>
                <w:szCs w:val="20"/>
              </w:rPr>
            </w:pPr>
            <w:r>
              <w:rPr>
                <w:color w:val="000000"/>
                <w:sz w:val="20"/>
                <w:szCs w:val="20"/>
              </w:rPr>
              <w:t>2</w:t>
            </w:r>
          </w:p>
        </w:tc>
        <w:tc>
          <w:tcPr>
            <w:tcW w:w="3542" w:type="dxa"/>
            <w:shd w:val="clear" w:color="auto" w:fill="auto"/>
            <w:vAlign w:val="center"/>
          </w:tcPr>
          <w:p w14:paraId="7270F8AD" w14:textId="77777777" w:rsidR="00C145BC" w:rsidRPr="00895898" w:rsidRDefault="00C145BC" w:rsidP="00607CBE">
            <w:pPr>
              <w:rPr>
                <w:sz w:val="20"/>
                <w:szCs w:val="20"/>
              </w:rPr>
            </w:pPr>
            <w:r>
              <w:rPr>
                <w:color w:val="000000"/>
                <w:sz w:val="20"/>
                <w:szCs w:val="20"/>
              </w:rPr>
              <w:t xml:space="preserve">kontrola vzniku povinnosti a uloženia výkazu - správa s informáciami o dani z príjmov  </w:t>
            </w:r>
          </w:p>
        </w:tc>
        <w:tc>
          <w:tcPr>
            <w:tcW w:w="1043" w:type="dxa"/>
            <w:vAlign w:val="center"/>
          </w:tcPr>
          <w:p w14:paraId="7300F370" w14:textId="77777777" w:rsidR="00C145BC" w:rsidRPr="00895898" w:rsidRDefault="00C145BC" w:rsidP="00607CBE">
            <w:pPr>
              <w:rPr>
                <w:sz w:val="20"/>
                <w:szCs w:val="20"/>
              </w:rPr>
            </w:pPr>
            <w:r>
              <w:rPr>
                <w:color w:val="000000"/>
                <w:sz w:val="20"/>
                <w:szCs w:val="20"/>
              </w:rPr>
              <w:t>431/2002 Z. z.</w:t>
            </w:r>
          </w:p>
        </w:tc>
        <w:tc>
          <w:tcPr>
            <w:tcW w:w="1129" w:type="dxa"/>
            <w:shd w:val="clear" w:color="auto" w:fill="auto"/>
            <w:vAlign w:val="center"/>
          </w:tcPr>
          <w:p w14:paraId="068813CA" w14:textId="77777777" w:rsidR="00C145BC" w:rsidRPr="00895898" w:rsidRDefault="00C145BC" w:rsidP="00607CBE">
            <w:pPr>
              <w:rPr>
                <w:sz w:val="20"/>
                <w:szCs w:val="20"/>
              </w:rPr>
            </w:pPr>
            <w:r>
              <w:rPr>
                <w:color w:val="000000"/>
                <w:sz w:val="20"/>
                <w:szCs w:val="20"/>
              </w:rPr>
              <w:t>§ 19 ods. 4</w:t>
            </w:r>
          </w:p>
        </w:tc>
        <w:tc>
          <w:tcPr>
            <w:tcW w:w="1302" w:type="dxa"/>
            <w:vAlign w:val="center"/>
          </w:tcPr>
          <w:p w14:paraId="2D6BE8DA" w14:textId="77777777" w:rsidR="00C145BC" w:rsidRPr="00895898" w:rsidRDefault="00C145BC" w:rsidP="00607CBE">
            <w:pPr>
              <w:rPr>
                <w:color w:val="000000"/>
                <w:sz w:val="20"/>
                <w:szCs w:val="20"/>
              </w:rPr>
            </w:pPr>
            <w:r>
              <w:rPr>
                <w:color w:val="000000"/>
                <w:sz w:val="20"/>
                <w:szCs w:val="20"/>
              </w:rPr>
              <w:t>EÚ úplná harmonizácia</w:t>
            </w:r>
          </w:p>
        </w:tc>
        <w:tc>
          <w:tcPr>
            <w:tcW w:w="934" w:type="dxa"/>
            <w:shd w:val="clear" w:color="auto" w:fill="auto"/>
            <w:noWrap/>
            <w:vAlign w:val="center"/>
          </w:tcPr>
          <w:p w14:paraId="1FD0BD14" w14:textId="77777777" w:rsidR="00C145BC" w:rsidRPr="00895898" w:rsidRDefault="00C145BC" w:rsidP="00607CBE">
            <w:pPr>
              <w:rPr>
                <w:color w:val="000000"/>
                <w:sz w:val="20"/>
                <w:szCs w:val="20"/>
              </w:rPr>
            </w:pPr>
            <w:r>
              <w:rPr>
                <w:color w:val="000000"/>
                <w:sz w:val="20"/>
                <w:szCs w:val="20"/>
              </w:rPr>
              <w:t>22.06.23</w:t>
            </w:r>
          </w:p>
        </w:tc>
        <w:tc>
          <w:tcPr>
            <w:tcW w:w="1356" w:type="dxa"/>
            <w:vAlign w:val="center"/>
          </w:tcPr>
          <w:p w14:paraId="25F25F7D" w14:textId="77777777" w:rsidR="00C145BC" w:rsidRPr="00895898" w:rsidRDefault="00C145BC" w:rsidP="00607CBE">
            <w:pPr>
              <w:rPr>
                <w:sz w:val="20"/>
                <w:szCs w:val="20"/>
              </w:rPr>
            </w:pPr>
            <w:r>
              <w:rPr>
                <w:color w:val="000000"/>
                <w:sz w:val="20"/>
                <w:szCs w:val="20"/>
              </w:rPr>
              <w:t xml:space="preserve">obchodné spoločnosti s povinnosťou podľa § 19 ods. 1 písm. a), b) a d) alebo § 22 ods.2 </w:t>
            </w:r>
          </w:p>
        </w:tc>
        <w:tc>
          <w:tcPr>
            <w:tcW w:w="974" w:type="dxa"/>
            <w:shd w:val="clear" w:color="auto" w:fill="auto"/>
            <w:noWrap/>
            <w:vAlign w:val="center"/>
          </w:tcPr>
          <w:p w14:paraId="5E46133A" w14:textId="77777777" w:rsidR="00C145BC" w:rsidRPr="00895898" w:rsidRDefault="00C145BC" w:rsidP="00607CBE">
            <w:pPr>
              <w:rPr>
                <w:sz w:val="20"/>
                <w:szCs w:val="20"/>
              </w:rPr>
            </w:pPr>
            <w:r>
              <w:rPr>
                <w:color w:val="000000"/>
                <w:sz w:val="20"/>
                <w:szCs w:val="20"/>
              </w:rPr>
              <w:t xml:space="preserve"> 3 000 </w:t>
            </w:r>
          </w:p>
        </w:tc>
        <w:tc>
          <w:tcPr>
            <w:tcW w:w="974" w:type="dxa"/>
            <w:shd w:val="clear" w:color="auto" w:fill="auto"/>
            <w:noWrap/>
            <w:vAlign w:val="center"/>
          </w:tcPr>
          <w:p w14:paraId="415C8996" w14:textId="77777777" w:rsidR="00C145BC" w:rsidRPr="00895898" w:rsidRDefault="00C145BC" w:rsidP="00607CBE">
            <w:pPr>
              <w:rPr>
                <w:color w:val="000000"/>
                <w:sz w:val="20"/>
                <w:szCs w:val="20"/>
              </w:rPr>
            </w:pPr>
            <w:r>
              <w:rPr>
                <w:color w:val="000000"/>
                <w:sz w:val="20"/>
                <w:szCs w:val="20"/>
              </w:rPr>
              <w:t xml:space="preserve">                        -   </w:t>
            </w:r>
          </w:p>
        </w:tc>
        <w:tc>
          <w:tcPr>
            <w:tcW w:w="982" w:type="dxa"/>
            <w:shd w:val="clear" w:color="auto" w:fill="auto"/>
            <w:noWrap/>
            <w:vAlign w:val="center"/>
          </w:tcPr>
          <w:p w14:paraId="16172074" w14:textId="77777777" w:rsidR="00C145BC" w:rsidRPr="00895898" w:rsidRDefault="00C145BC" w:rsidP="00607CBE">
            <w:pPr>
              <w:rPr>
                <w:color w:val="000000"/>
                <w:sz w:val="20"/>
                <w:szCs w:val="20"/>
              </w:rPr>
            </w:pPr>
            <w:r>
              <w:rPr>
                <w:color w:val="000000"/>
                <w:sz w:val="20"/>
                <w:szCs w:val="20"/>
              </w:rPr>
              <w:t>50</w:t>
            </w:r>
          </w:p>
        </w:tc>
        <w:tc>
          <w:tcPr>
            <w:tcW w:w="992" w:type="dxa"/>
            <w:shd w:val="clear" w:color="auto" w:fill="auto"/>
            <w:noWrap/>
            <w:vAlign w:val="center"/>
          </w:tcPr>
          <w:p w14:paraId="1044B745" w14:textId="77777777" w:rsidR="00C145BC" w:rsidRPr="00895898" w:rsidRDefault="00C145BC" w:rsidP="00607CBE">
            <w:pPr>
              <w:rPr>
                <w:color w:val="000000"/>
                <w:sz w:val="20"/>
                <w:szCs w:val="20"/>
              </w:rPr>
            </w:pPr>
            <w:r>
              <w:rPr>
                <w:color w:val="000000"/>
                <w:sz w:val="20"/>
                <w:szCs w:val="20"/>
              </w:rPr>
              <w:t>150 000</w:t>
            </w:r>
          </w:p>
        </w:tc>
        <w:tc>
          <w:tcPr>
            <w:tcW w:w="1132" w:type="dxa"/>
            <w:vAlign w:val="center"/>
          </w:tcPr>
          <w:p w14:paraId="37377D3A" w14:textId="77777777" w:rsidR="00C145BC" w:rsidRPr="00895898" w:rsidRDefault="00C145BC" w:rsidP="00607CBE">
            <w:pPr>
              <w:rPr>
                <w:sz w:val="20"/>
                <w:szCs w:val="20"/>
              </w:rPr>
            </w:pPr>
            <w:r>
              <w:rPr>
                <w:color w:val="000000"/>
                <w:sz w:val="20"/>
                <w:szCs w:val="20"/>
              </w:rPr>
              <w:t>In (zvyšuje náklady)</w:t>
            </w:r>
          </w:p>
        </w:tc>
      </w:tr>
      <w:tr w:rsidR="00C145BC" w:rsidRPr="00895898" w14:paraId="5662893A" w14:textId="77777777" w:rsidTr="00607CBE">
        <w:trPr>
          <w:trHeight w:val="600"/>
        </w:trPr>
        <w:tc>
          <w:tcPr>
            <w:tcW w:w="501" w:type="dxa"/>
            <w:vAlign w:val="center"/>
          </w:tcPr>
          <w:p w14:paraId="37311C26" w14:textId="77777777" w:rsidR="00C145BC" w:rsidRPr="00895898" w:rsidRDefault="00C145BC" w:rsidP="00607CBE">
            <w:pPr>
              <w:rPr>
                <w:sz w:val="20"/>
                <w:szCs w:val="20"/>
              </w:rPr>
            </w:pPr>
          </w:p>
        </w:tc>
        <w:tc>
          <w:tcPr>
            <w:tcW w:w="3542" w:type="dxa"/>
            <w:shd w:val="clear" w:color="auto" w:fill="auto"/>
            <w:vAlign w:val="center"/>
          </w:tcPr>
          <w:p w14:paraId="7211A8CE" w14:textId="77777777" w:rsidR="00C145BC" w:rsidRPr="00895898" w:rsidRDefault="00C145BC" w:rsidP="00607CBE">
            <w:pPr>
              <w:rPr>
                <w:sz w:val="20"/>
                <w:szCs w:val="20"/>
              </w:rPr>
            </w:pPr>
          </w:p>
        </w:tc>
        <w:tc>
          <w:tcPr>
            <w:tcW w:w="1043" w:type="dxa"/>
          </w:tcPr>
          <w:p w14:paraId="2A85E039" w14:textId="77777777" w:rsidR="00C145BC" w:rsidRPr="00895898" w:rsidRDefault="00C145BC" w:rsidP="00607CBE">
            <w:pPr>
              <w:rPr>
                <w:sz w:val="20"/>
                <w:szCs w:val="20"/>
              </w:rPr>
            </w:pPr>
          </w:p>
        </w:tc>
        <w:tc>
          <w:tcPr>
            <w:tcW w:w="1129" w:type="dxa"/>
            <w:shd w:val="clear" w:color="auto" w:fill="auto"/>
            <w:vAlign w:val="center"/>
          </w:tcPr>
          <w:p w14:paraId="6CF7A812" w14:textId="77777777" w:rsidR="00C145BC" w:rsidRPr="00895898" w:rsidRDefault="00C145BC" w:rsidP="00607CBE">
            <w:pPr>
              <w:rPr>
                <w:sz w:val="20"/>
                <w:szCs w:val="20"/>
              </w:rPr>
            </w:pPr>
          </w:p>
        </w:tc>
        <w:tc>
          <w:tcPr>
            <w:tcW w:w="1302" w:type="dxa"/>
            <w:vAlign w:val="center"/>
          </w:tcPr>
          <w:p w14:paraId="73F7B1AC" w14:textId="77777777" w:rsidR="00C145BC" w:rsidRPr="00895898" w:rsidRDefault="00C145BC" w:rsidP="00607CBE">
            <w:pPr>
              <w:rPr>
                <w:color w:val="000000"/>
                <w:sz w:val="20"/>
                <w:szCs w:val="20"/>
              </w:rPr>
            </w:pPr>
          </w:p>
        </w:tc>
        <w:tc>
          <w:tcPr>
            <w:tcW w:w="934" w:type="dxa"/>
            <w:shd w:val="clear" w:color="auto" w:fill="auto"/>
            <w:noWrap/>
            <w:vAlign w:val="center"/>
          </w:tcPr>
          <w:p w14:paraId="00680C7F" w14:textId="77777777" w:rsidR="00C145BC" w:rsidRPr="00895898" w:rsidRDefault="00C145BC" w:rsidP="00607CBE">
            <w:pPr>
              <w:rPr>
                <w:color w:val="000000"/>
                <w:sz w:val="20"/>
                <w:szCs w:val="20"/>
              </w:rPr>
            </w:pPr>
          </w:p>
        </w:tc>
        <w:tc>
          <w:tcPr>
            <w:tcW w:w="1356" w:type="dxa"/>
            <w:vAlign w:val="center"/>
          </w:tcPr>
          <w:p w14:paraId="32B4251A" w14:textId="77777777" w:rsidR="00C145BC" w:rsidRPr="00895898" w:rsidRDefault="00C145BC" w:rsidP="00607CBE">
            <w:pPr>
              <w:rPr>
                <w:sz w:val="20"/>
                <w:szCs w:val="20"/>
              </w:rPr>
            </w:pPr>
          </w:p>
        </w:tc>
        <w:tc>
          <w:tcPr>
            <w:tcW w:w="974" w:type="dxa"/>
            <w:shd w:val="clear" w:color="auto" w:fill="auto"/>
            <w:noWrap/>
            <w:vAlign w:val="center"/>
          </w:tcPr>
          <w:p w14:paraId="44001C6E" w14:textId="77777777" w:rsidR="00C145BC" w:rsidRPr="00895898" w:rsidRDefault="00C145BC" w:rsidP="00607CBE">
            <w:pPr>
              <w:rPr>
                <w:sz w:val="20"/>
                <w:szCs w:val="20"/>
              </w:rPr>
            </w:pPr>
          </w:p>
        </w:tc>
        <w:tc>
          <w:tcPr>
            <w:tcW w:w="974" w:type="dxa"/>
            <w:shd w:val="clear" w:color="auto" w:fill="auto"/>
            <w:noWrap/>
            <w:vAlign w:val="center"/>
          </w:tcPr>
          <w:p w14:paraId="534F82D9" w14:textId="77777777" w:rsidR="00C145BC" w:rsidRPr="00895898" w:rsidRDefault="00C145BC" w:rsidP="00607CBE">
            <w:pPr>
              <w:rPr>
                <w:color w:val="000000"/>
                <w:sz w:val="20"/>
                <w:szCs w:val="20"/>
              </w:rPr>
            </w:pPr>
          </w:p>
        </w:tc>
        <w:tc>
          <w:tcPr>
            <w:tcW w:w="982" w:type="dxa"/>
            <w:shd w:val="clear" w:color="auto" w:fill="auto"/>
            <w:noWrap/>
            <w:vAlign w:val="center"/>
          </w:tcPr>
          <w:p w14:paraId="2C5BA556" w14:textId="77777777" w:rsidR="00C145BC" w:rsidRPr="00895898" w:rsidRDefault="00C145BC" w:rsidP="00607CBE">
            <w:pPr>
              <w:rPr>
                <w:color w:val="000000"/>
                <w:sz w:val="20"/>
                <w:szCs w:val="20"/>
              </w:rPr>
            </w:pPr>
          </w:p>
        </w:tc>
        <w:tc>
          <w:tcPr>
            <w:tcW w:w="992" w:type="dxa"/>
            <w:shd w:val="clear" w:color="auto" w:fill="auto"/>
            <w:noWrap/>
            <w:vAlign w:val="center"/>
          </w:tcPr>
          <w:p w14:paraId="52E29A4D" w14:textId="77777777" w:rsidR="00C145BC" w:rsidRPr="00895898" w:rsidRDefault="00C145BC" w:rsidP="00607CBE">
            <w:pPr>
              <w:rPr>
                <w:color w:val="000000"/>
                <w:sz w:val="20"/>
                <w:szCs w:val="20"/>
              </w:rPr>
            </w:pPr>
          </w:p>
        </w:tc>
        <w:tc>
          <w:tcPr>
            <w:tcW w:w="1132" w:type="dxa"/>
            <w:vAlign w:val="center"/>
          </w:tcPr>
          <w:p w14:paraId="5A464F71" w14:textId="77777777" w:rsidR="00C145BC" w:rsidRPr="00895898" w:rsidRDefault="00C145BC" w:rsidP="00607CBE">
            <w:pPr>
              <w:rPr>
                <w:sz w:val="20"/>
                <w:szCs w:val="20"/>
              </w:rPr>
            </w:pPr>
          </w:p>
        </w:tc>
      </w:tr>
      <w:tr w:rsidR="00C145BC" w:rsidRPr="00895898" w14:paraId="4237309C" w14:textId="77777777" w:rsidTr="00607CBE">
        <w:trPr>
          <w:trHeight w:val="578"/>
        </w:trPr>
        <w:tc>
          <w:tcPr>
            <w:tcW w:w="501" w:type="dxa"/>
            <w:vAlign w:val="center"/>
          </w:tcPr>
          <w:p w14:paraId="1D37547B" w14:textId="77777777" w:rsidR="00C145BC" w:rsidRPr="00895898" w:rsidRDefault="00C145BC" w:rsidP="00607CBE">
            <w:pPr>
              <w:rPr>
                <w:sz w:val="20"/>
                <w:szCs w:val="20"/>
              </w:rPr>
            </w:pPr>
          </w:p>
        </w:tc>
        <w:tc>
          <w:tcPr>
            <w:tcW w:w="3542" w:type="dxa"/>
            <w:shd w:val="clear" w:color="auto" w:fill="auto"/>
            <w:vAlign w:val="center"/>
          </w:tcPr>
          <w:p w14:paraId="6EB0C76D" w14:textId="77777777" w:rsidR="00C145BC" w:rsidRPr="00895898" w:rsidRDefault="00C145BC" w:rsidP="00607CBE">
            <w:pPr>
              <w:rPr>
                <w:sz w:val="20"/>
                <w:szCs w:val="20"/>
              </w:rPr>
            </w:pPr>
          </w:p>
        </w:tc>
        <w:tc>
          <w:tcPr>
            <w:tcW w:w="1043" w:type="dxa"/>
          </w:tcPr>
          <w:p w14:paraId="0EDF8B26" w14:textId="77777777" w:rsidR="00C145BC" w:rsidRPr="00895898" w:rsidRDefault="00C145BC" w:rsidP="00607CBE">
            <w:pPr>
              <w:rPr>
                <w:sz w:val="20"/>
                <w:szCs w:val="20"/>
              </w:rPr>
            </w:pPr>
          </w:p>
        </w:tc>
        <w:tc>
          <w:tcPr>
            <w:tcW w:w="1129" w:type="dxa"/>
            <w:shd w:val="clear" w:color="auto" w:fill="auto"/>
            <w:vAlign w:val="center"/>
          </w:tcPr>
          <w:p w14:paraId="30E9EFAC" w14:textId="77777777" w:rsidR="00C145BC" w:rsidRPr="00895898" w:rsidRDefault="00C145BC" w:rsidP="00607CBE">
            <w:pPr>
              <w:rPr>
                <w:sz w:val="20"/>
                <w:szCs w:val="20"/>
              </w:rPr>
            </w:pPr>
          </w:p>
        </w:tc>
        <w:tc>
          <w:tcPr>
            <w:tcW w:w="1302" w:type="dxa"/>
            <w:vAlign w:val="center"/>
          </w:tcPr>
          <w:p w14:paraId="199C5C2C" w14:textId="77777777" w:rsidR="00C145BC" w:rsidRPr="00895898" w:rsidRDefault="00C145BC" w:rsidP="00607CBE">
            <w:pPr>
              <w:rPr>
                <w:color w:val="000000"/>
                <w:sz w:val="20"/>
                <w:szCs w:val="20"/>
              </w:rPr>
            </w:pPr>
          </w:p>
        </w:tc>
        <w:tc>
          <w:tcPr>
            <w:tcW w:w="934" w:type="dxa"/>
            <w:shd w:val="clear" w:color="auto" w:fill="auto"/>
            <w:noWrap/>
            <w:vAlign w:val="center"/>
          </w:tcPr>
          <w:p w14:paraId="1E88D0CA" w14:textId="77777777" w:rsidR="00C145BC" w:rsidRPr="00895898" w:rsidRDefault="00C145BC" w:rsidP="00607CBE">
            <w:pPr>
              <w:rPr>
                <w:color w:val="000000"/>
                <w:sz w:val="20"/>
                <w:szCs w:val="20"/>
              </w:rPr>
            </w:pPr>
          </w:p>
        </w:tc>
        <w:tc>
          <w:tcPr>
            <w:tcW w:w="1356" w:type="dxa"/>
            <w:vAlign w:val="center"/>
          </w:tcPr>
          <w:p w14:paraId="01BE8FD5" w14:textId="77777777" w:rsidR="00C145BC" w:rsidRPr="00895898" w:rsidRDefault="00C145BC" w:rsidP="00607CBE">
            <w:pPr>
              <w:rPr>
                <w:sz w:val="20"/>
                <w:szCs w:val="20"/>
              </w:rPr>
            </w:pPr>
          </w:p>
        </w:tc>
        <w:tc>
          <w:tcPr>
            <w:tcW w:w="974" w:type="dxa"/>
            <w:shd w:val="clear" w:color="auto" w:fill="auto"/>
            <w:noWrap/>
            <w:vAlign w:val="center"/>
          </w:tcPr>
          <w:p w14:paraId="06A08592" w14:textId="77777777" w:rsidR="00C145BC" w:rsidRPr="00895898" w:rsidRDefault="00C145BC" w:rsidP="00607CBE">
            <w:pPr>
              <w:rPr>
                <w:sz w:val="20"/>
                <w:szCs w:val="20"/>
              </w:rPr>
            </w:pPr>
          </w:p>
        </w:tc>
        <w:tc>
          <w:tcPr>
            <w:tcW w:w="974" w:type="dxa"/>
            <w:shd w:val="clear" w:color="auto" w:fill="auto"/>
            <w:noWrap/>
            <w:vAlign w:val="center"/>
          </w:tcPr>
          <w:p w14:paraId="5730E571" w14:textId="77777777" w:rsidR="00C145BC" w:rsidRPr="00895898" w:rsidRDefault="00C145BC" w:rsidP="00607CBE">
            <w:pPr>
              <w:rPr>
                <w:color w:val="000000"/>
                <w:sz w:val="20"/>
                <w:szCs w:val="20"/>
              </w:rPr>
            </w:pPr>
          </w:p>
        </w:tc>
        <w:tc>
          <w:tcPr>
            <w:tcW w:w="982" w:type="dxa"/>
            <w:shd w:val="clear" w:color="auto" w:fill="auto"/>
            <w:noWrap/>
            <w:vAlign w:val="center"/>
          </w:tcPr>
          <w:p w14:paraId="09DF01C0" w14:textId="77777777" w:rsidR="00C145BC" w:rsidRPr="00895898" w:rsidRDefault="00C145BC" w:rsidP="00607CBE">
            <w:pPr>
              <w:rPr>
                <w:color w:val="000000"/>
                <w:sz w:val="20"/>
                <w:szCs w:val="20"/>
              </w:rPr>
            </w:pPr>
          </w:p>
        </w:tc>
        <w:tc>
          <w:tcPr>
            <w:tcW w:w="992" w:type="dxa"/>
            <w:shd w:val="clear" w:color="auto" w:fill="auto"/>
            <w:noWrap/>
            <w:vAlign w:val="center"/>
          </w:tcPr>
          <w:p w14:paraId="4B52E7E9" w14:textId="77777777" w:rsidR="00C145BC" w:rsidRPr="00895898" w:rsidRDefault="00C145BC" w:rsidP="00607CBE">
            <w:pPr>
              <w:rPr>
                <w:color w:val="000000"/>
                <w:sz w:val="20"/>
                <w:szCs w:val="20"/>
              </w:rPr>
            </w:pPr>
          </w:p>
        </w:tc>
        <w:tc>
          <w:tcPr>
            <w:tcW w:w="1132" w:type="dxa"/>
            <w:vAlign w:val="center"/>
          </w:tcPr>
          <w:p w14:paraId="4697A239" w14:textId="77777777" w:rsidR="00C145BC" w:rsidRPr="00895898" w:rsidRDefault="00C145BC" w:rsidP="00607CBE">
            <w:pPr>
              <w:rPr>
                <w:sz w:val="20"/>
                <w:szCs w:val="20"/>
              </w:rPr>
            </w:pPr>
          </w:p>
        </w:tc>
      </w:tr>
      <w:tr w:rsidR="00C145BC" w:rsidRPr="00895898" w14:paraId="774A5045" w14:textId="77777777" w:rsidTr="00607CBE">
        <w:trPr>
          <w:trHeight w:val="578"/>
        </w:trPr>
        <w:tc>
          <w:tcPr>
            <w:tcW w:w="501" w:type="dxa"/>
            <w:vAlign w:val="center"/>
          </w:tcPr>
          <w:p w14:paraId="5A50AA96" w14:textId="77777777" w:rsidR="00C145BC" w:rsidRPr="00895898" w:rsidRDefault="00C145BC" w:rsidP="00607CBE">
            <w:pPr>
              <w:rPr>
                <w:sz w:val="20"/>
                <w:szCs w:val="20"/>
              </w:rPr>
            </w:pPr>
          </w:p>
        </w:tc>
        <w:tc>
          <w:tcPr>
            <w:tcW w:w="3542" w:type="dxa"/>
            <w:shd w:val="clear" w:color="auto" w:fill="auto"/>
            <w:vAlign w:val="center"/>
          </w:tcPr>
          <w:p w14:paraId="63AD1521" w14:textId="77777777" w:rsidR="00C145BC" w:rsidRPr="00895898" w:rsidRDefault="00C145BC" w:rsidP="00607CBE">
            <w:pPr>
              <w:rPr>
                <w:sz w:val="20"/>
                <w:szCs w:val="20"/>
              </w:rPr>
            </w:pPr>
          </w:p>
        </w:tc>
        <w:tc>
          <w:tcPr>
            <w:tcW w:w="1043" w:type="dxa"/>
          </w:tcPr>
          <w:p w14:paraId="02108EA0" w14:textId="77777777" w:rsidR="00C145BC" w:rsidRPr="00895898" w:rsidRDefault="00C145BC" w:rsidP="00607CBE">
            <w:pPr>
              <w:rPr>
                <w:sz w:val="20"/>
                <w:szCs w:val="20"/>
              </w:rPr>
            </w:pPr>
          </w:p>
        </w:tc>
        <w:tc>
          <w:tcPr>
            <w:tcW w:w="1129" w:type="dxa"/>
            <w:shd w:val="clear" w:color="auto" w:fill="auto"/>
            <w:vAlign w:val="center"/>
          </w:tcPr>
          <w:p w14:paraId="503C385C" w14:textId="77777777" w:rsidR="00C145BC" w:rsidRPr="00895898" w:rsidRDefault="00C145BC" w:rsidP="00607CBE">
            <w:pPr>
              <w:rPr>
                <w:sz w:val="20"/>
                <w:szCs w:val="20"/>
              </w:rPr>
            </w:pPr>
          </w:p>
        </w:tc>
        <w:tc>
          <w:tcPr>
            <w:tcW w:w="1302" w:type="dxa"/>
            <w:vAlign w:val="center"/>
          </w:tcPr>
          <w:p w14:paraId="314B1005" w14:textId="77777777" w:rsidR="00C145BC" w:rsidRPr="00895898" w:rsidRDefault="00C145BC" w:rsidP="00607CBE">
            <w:pPr>
              <w:rPr>
                <w:color w:val="000000"/>
                <w:sz w:val="20"/>
                <w:szCs w:val="20"/>
              </w:rPr>
            </w:pPr>
          </w:p>
        </w:tc>
        <w:tc>
          <w:tcPr>
            <w:tcW w:w="934" w:type="dxa"/>
            <w:shd w:val="clear" w:color="auto" w:fill="auto"/>
            <w:noWrap/>
            <w:vAlign w:val="center"/>
          </w:tcPr>
          <w:p w14:paraId="27B25E31" w14:textId="77777777" w:rsidR="00C145BC" w:rsidRPr="00895898" w:rsidRDefault="00C145BC" w:rsidP="00607CBE">
            <w:pPr>
              <w:rPr>
                <w:color w:val="000000"/>
                <w:sz w:val="20"/>
                <w:szCs w:val="20"/>
              </w:rPr>
            </w:pPr>
          </w:p>
        </w:tc>
        <w:tc>
          <w:tcPr>
            <w:tcW w:w="1356" w:type="dxa"/>
            <w:vAlign w:val="center"/>
          </w:tcPr>
          <w:p w14:paraId="00D4577E" w14:textId="77777777" w:rsidR="00C145BC" w:rsidRPr="00895898" w:rsidRDefault="00C145BC" w:rsidP="00607CBE">
            <w:pPr>
              <w:rPr>
                <w:sz w:val="20"/>
                <w:szCs w:val="20"/>
              </w:rPr>
            </w:pPr>
          </w:p>
        </w:tc>
        <w:tc>
          <w:tcPr>
            <w:tcW w:w="974" w:type="dxa"/>
            <w:shd w:val="clear" w:color="auto" w:fill="auto"/>
            <w:noWrap/>
            <w:vAlign w:val="center"/>
          </w:tcPr>
          <w:p w14:paraId="6D2D4082" w14:textId="77777777" w:rsidR="00C145BC" w:rsidRPr="00895898" w:rsidRDefault="00C145BC" w:rsidP="00607CBE">
            <w:pPr>
              <w:rPr>
                <w:sz w:val="20"/>
                <w:szCs w:val="20"/>
              </w:rPr>
            </w:pPr>
          </w:p>
        </w:tc>
        <w:tc>
          <w:tcPr>
            <w:tcW w:w="974" w:type="dxa"/>
            <w:shd w:val="clear" w:color="auto" w:fill="auto"/>
            <w:noWrap/>
            <w:vAlign w:val="center"/>
          </w:tcPr>
          <w:p w14:paraId="7C109CDB" w14:textId="77777777" w:rsidR="00C145BC" w:rsidRPr="00895898" w:rsidRDefault="00C145BC" w:rsidP="00607CBE">
            <w:pPr>
              <w:rPr>
                <w:color w:val="000000"/>
                <w:sz w:val="20"/>
                <w:szCs w:val="20"/>
              </w:rPr>
            </w:pPr>
          </w:p>
        </w:tc>
        <w:tc>
          <w:tcPr>
            <w:tcW w:w="982" w:type="dxa"/>
            <w:shd w:val="clear" w:color="auto" w:fill="auto"/>
            <w:noWrap/>
            <w:vAlign w:val="center"/>
          </w:tcPr>
          <w:p w14:paraId="245E7D03" w14:textId="77777777" w:rsidR="00C145BC" w:rsidRPr="00895898" w:rsidRDefault="00C145BC" w:rsidP="00607CBE">
            <w:pPr>
              <w:rPr>
                <w:color w:val="000000"/>
                <w:sz w:val="20"/>
                <w:szCs w:val="20"/>
              </w:rPr>
            </w:pPr>
          </w:p>
        </w:tc>
        <w:tc>
          <w:tcPr>
            <w:tcW w:w="992" w:type="dxa"/>
            <w:shd w:val="clear" w:color="auto" w:fill="auto"/>
            <w:noWrap/>
            <w:vAlign w:val="center"/>
          </w:tcPr>
          <w:p w14:paraId="57EEB4E1" w14:textId="77777777" w:rsidR="00C145BC" w:rsidRPr="00895898" w:rsidRDefault="00C145BC" w:rsidP="00607CBE">
            <w:pPr>
              <w:rPr>
                <w:color w:val="000000"/>
                <w:sz w:val="20"/>
                <w:szCs w:val="20"/>
              </w:rPr>
            </w:pPr>
          </w:p>
        </w:tc>
        <w:tc>
          <w:tcPr>
            <w:tcW w:w="1132" w:type="dxa"/>
            <w:vAlign w:val="center"/>
          </w:tcPr>
          <w:p w14:paraId="7B9DFEF1" w14:textId="77777777" w:rsidR="00C145BC" w:rsidRPr="00895898" w:rsidRDefault="00C145BC" w:rsidP="00607CBE">
            <w:pPr>
              <w:rPr>
                <w:sz w:val="20"/>
                <w:szCs w:val="20"/>
              </w:rPr>
            </w:pPr>
          </w:p>
        </w:tc>
      </w:tr>
    </w:tbl>
    <w:p w14:paraId="78F6567B" w14:textId="77777777" w:rsidR="00C145BC" w:rsidRPr="00895898" w:rsidRDefault="00C145BC" w:rsidP="00C145BC">
      <w:pPr>
        <w:jc w:val="both"/>
        <w:rPr>
          <w:rFonts w:eastAsia="Calibri"/>
          <w:i/>
        </w:rPr>
      </w:pPr>
    </w:p>
    <w:p w14:paraId="1D60B0C9" w14:textId="77777777" w:rsidR="00C145BC" w:rsidRPr="00895898" w:rsidRDefault="00C145BC" w:rsidP="00C145BC">
      <w:pPr>
        <w:jc w:val="both"/>
        <w:rPr>
          <w:rFonts w:eastAsia="Calibri"/>
          <w:b/>
          <w:bCs/>
          <w:i/>
        </w:rPr>
        <w:sectPr w:rsidR="00C145BC" w:rsidRPr="00895898" w:rsidSect="00607CBE">
          <w:pgSz w:w="16838" w:h="11906" w:orient="landscape"/>
          <w:pgMar w:top="1417" w:right="1417" w:bottom="1417" w:left="1417" w:header="708" w:footer="708" w:gutter="0"/>
          <w:cols w:space="708"/>
          <w:docGrid w:linePitch="360"/>
        </w:sectPr>
      </w:pPr>
    </w:p>
    <w:p w14:paraId="216ACB7D" w14:textId="77777777" w:rsidR="00C145BC" w:rsidRPr="001F1B43" w:rsidRDefault="00C145BC" w:rsidP="00C145BC">
      <w:pPr>
        <w:jc w:val="both"/>
        <w:rPr>
          <w:rFonts w:eastAsia="Calibri"/>
          <w:b/>
          <w:bCs/>
          <w:i/>
          <w:u w:val="single"/>
        </w:rPr>
      </w:pPr>
      <w:r w:rsidRPr="001F1B43">
        <w:rPr>
          <w:rFonts w:eastAsia="Calibri"/>
          <w:b/>
          <w:bCs/>
          <w:i/>
          <w:u w:val="single"/>
        </w:rPr>
        <w:lastRenderedPageBreak/>
        <w:t xml:space="preserve">Doplňujúce informácie k spôsobu výpočtu vplyvov jednotlivých regulácií na zmenu nákladov </w:t>
      </w:r>
    </w:p>
    <w:p w14:paraId="190D444B" w14:textId="77777777" w:rsidR="00C145BC" w:rsidRPr="00D8247C" w:rsidRDefault="00C145BC" w:rsidP="00C145BC">
      <w:pPr>
        <w:jc w:val="both"/>
        <w:rPr>
          <w:rFonts w:eastAsia="Calibri"/>
          <w:bCs/>
          <w:i/>
          <w:iCs/>
          <w:color w:val="000000"/>
        </w:rPr>
      </w:pPr>
      <w:r w:rsidRPr="00D8247C">
        <w:rPr>
          <w:rFonts w:eastAsia="Calibri"/>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eastAsia="Calibri"/>
          <w:bCs/>
          <w:i/>
          <w:iCs/>
          <w:color w:val="000000"/>
        </w:rPr>
        <w:t>link</w:t>
      </w:r>
      <w:proofErr w:type="spellEnd"/>
      <w:r w:rsidRPr="00D8247C">
        <w:rPr>
          <w:rFonts w:eastAsia="Calibri"/>
          <w:bCs/>
          <w:i/>
          <w:iCs/>
          <w:color w:val="000000"/>
        </w:rPr>
        <w:t xml:space="preserve"> na konkrétne štatistiky, ak sú dostupné na internete). Jednotlivé regulácie môžu mať jeden alebo viac typov nákladov (A. Dane, odvody, clá</w:t>
      </w:r>
      <w:r>
        <w:rPr>
          <w:rFonts w:eastAsia="Calibri"/>
          <w:bCs/>
          <w:i/>
          <w:iCs/>
          <w:color w:val="000000"/>
        </w:rPr>
        <w:t xml:space="preserve"> </w:t>
      </w:r>
      <w:r w:rsidRPr="00A000DA">
        <w:rPr>
          <w:rFonts w:eastAsia="Calibri"/>
          <w:bCs/>
          <w:i/>
          <w:iCs/>
          <w:color w:val="000000"/>
        </w:rPr>
        <w:t xml:space="preserve">a poplatky, ktorých cieľom je znižovať negatívne </w:t>
      </w:r>
      <w:proofErr w:type="spellStart"/>
      <w:r w:rsidRPr="00A000DA">
        <w:rPr>
          <w:rFonts w:eastAsia="Calibri"/>
          <w:bCs/>
          <w:i/>
          <w:iCs/>
          <w:color w:val="000000"/>
        </w:rPr>
        <w:t>externality</w:t>
      </w:r>
      <w:proofErr w:type="spellEnd"/>
      <w:r w:rsidRPr="00D8247C">
        <w:rPr>
          <w:rFonts w:eastAsia="Calibri"/>
          <w:bCs/>
          <w:i/>
          <w:iCs/>
          <w:color w:val="000000"/>
        </w:rPr>
        <w:t xml:space="preserve">, B. </w:t>
      </w:r>
      <w:r>
        <w:rPr>
          <w:rFonts w:eastAsia="Calibri"/>
          <w:bCs/>
          <w:i/>
          <w:iCs/>
          <w:color w:val="000000"/>
        </w:rPr>
        <w:t>Iné p</w:t>
      </w:r>
      <w:r w:rsidRPr="00D8247C">
        <w:rPr>
          <w:rFonts w:eastAsia="Calibri"/>
          <w:bCs/>
          <w:i/>
          <w:iCs/>
          <w:color w:val="000000"/>
        </w:rPr>
        <w:t xml:space="preserve">oplatky, C. Nepriame finančné náklady, D. Administratívne náklady). Rozčleňte ich a vypočítajte v súlade s metodickým postupom. </w:t>
      </w:r>
    </w:p>
    <w:p w14:paraId="2D01A878" w14:textId="77777777" w:rsidR="00C145BC" w:rsidRPr="003315C1" w:rsidRDefault="00C145BC" w:rsidP="00C145BC">
      <w:pPr>
        <w:jc w:val="both"/>
      </w:pPr>
      <w:r w:rsidRPr="003315C1">
        <w:t xml:space="preserve">Návrhom sú dotknuté veľké účtovné jednotky, ktoré v dvoch po sebe nasledujúcich účtovných obdobiach za každé z nich dosiahli čistý obrat viac ako 750 mil. eur a účtovné jednotky, ktoré zostavujú konsolidovanú účtovnú závierku najväčšej skupiny podnikov a dosiahli konsolidované výnosy viac ako 750 mil. eur za každé z dvoch po sebe nasledujúcich účtovných obdobiach, ak majú stále miesto podnikania alebo trvalú podnikateľskú činnosť na území viacerých členských štátoch alebo viac ako jednu daňovú jurisdikciu. Tiež dcérske účtovné jednotky, ktoré spĺňajú aspoň 2 kritériá (majetok viac ako 4 mil. €, obrat vyšší ako 8 mil.€ a 50 zamestnancov za 2 po sebe idúce účtovné obdobia), ktorých zahraničný konečný materský subjekt má sídlo mimo Európskej únie a prekračuje konsolidované výnosy 750 mil. € v každom z 2 bezprostredne po sebe idúcich účtovných obdobiach a veľké organizačné zložky podniku zahraničnej právnickej osoby so sídlom mimo územia členských štátov, ktorej  výnosy resp. konsolidované výnosy prekročili v každom z dvoch bezprostredne po sebe nasledujúcich účtovných obdobiach sumu 750 mil. €, ak sa na </w:t>
      </w:r>
      <w:proofErr w:type="spellStart"/>
      <w:r w:rsidRPr="003315C1">
        <w:t>ne</w:t>
      </w:r>
      <w:proofErr w:type="spellEnd"/>
      <w:r w:rsidRPr="003315C1">
        <w:t xml:space="preserve"> nevzťahuje oslobodenie z povinnosti uložiť správu s informáciami o dani z príjmov.</w:t>
      </w:r>
    </w:p>
    <w:p w14:paraId="33A8D86A" w14:textId="77777777" w:rsidR="00C145BC" w:rsidRPr="003315C1" w:rsidRDefault="00C145BC" w:rsidP="00C145BC">
      <w:pPr>
        <w:jc w:val="both"/>
      </w:pPr>
      <w:r w:rsidRPr="003315C1">
        <w:t>Zároveň sa upravuje povinnosť pre subjekty verejného záujmu s počtom zamestnancov nad 500, ktoré doteraz uvádzali vo výročnej správe aj nefinančné informácie, aby sa na nich táto povinnosť vzťahovala len v prípade ak ku dňu, ku ktorému sa zostavuje účtovná závierka a za bezprostredne predchádzajúce účtovné obdobie, splnia zároveň aspoň jednu z týchto podmienok:</w:t>
      </w:r>
    </w:p>
    <w:p w14:paraId="6F8325A9" w14:textId="77777777" w:rsidR="00C145BC" w:rsidRPr="003315C1" w:rsidRDefault="00C145BC" w:rsidP="00C145BC">
      <w:pPr>
        <w:jc w:val="both"/>
      </w:pPr>
      <w:r w:rsidRPr="003315C1">
        <w:t>a) celková suma majetku presiahla sumu 20 000 000 eur, pričom sumou majetku na tento účel sa rozumie suma zistená zo súvahy v ocenení upravenom o položky podľa § 26 ods. 3,</w:t>
      </w:r>
    </w:p>
    <w:p w14:paraId="1548A55B" w14:textId="77777777" w:rsidR="00C145BC" w:rsidRPr="003315C1" w:rsidRDefault="00C145BC" w:rsidP="00C145BC">
      <w:pPr>
        <w:jc w:val="both"/>
      </w:pPr>
      <w:r w:rsidRPr="003315C1">
        <w:t>b) čistý obrat presiahol 40 000 000 eur.</w:t>
      </w:r>
    </w:p>
    <w:p w14:paraId="1EFC4956" w14:textId="77777777" w:rsidR="00C145BC" w:rsidRDefault="00C145BC" w:rsidP="00C145BC">
      <w:pPr>
        <w:jc w:val="both"/>
      </w:pPr>
      <w:r w:rsidRPr="003315C1">
        <w:t>Neboli identifikované a následne ani vyčíslené priame finančné náklady</w:t>
      </w:r>
      <w:r>
        <w:t xml:space="preserve"> regulácie.</w:t>
      </w:r>
      <w:r w:rsidRPr="003315C1">
        <w:t xml:space="preserve"> </w:t>
      </w:r>
    </w:p>
    <w:p w14:paraId="4F962156" w14:textId="77777777" w:rsidR="00C145BC" w:rsidRDefault="00C145BC" w:rsidP="00C145BC">
      <w:pPr>
        <w:jc w:val="both"/>
      </w:pPr>
      <w:r>
        <w:t>N</w:t>
      </w:r>
      <w:r w:rsidRPr="003315C1">
        <w:t>epriame finančné náklady regulácie</w:t>
      </w:r>
      <w:r>
        <w:t xml:space="preserve"> vznikajú v súvislosti s povinnosťou audítora uvádzať v správe audítora informáciu o tom, či </w:t>
      </w:r>
      <w:r w:rsidRPr="009A65D9">
        <w:t>za účtovné obdobie bezprostredne predchádzajúce účtovnému obdobiu, za ktoré je overovaná účtovná závierka zostavená, vznikla účtovnej jednotke povinnosť uloženia správy s informáciami o dani z</w:t>
      </w:r>
      <w:r>
        <w:t> </w:t>
      </w:r>
      <w:r w:rsidRPr="009A65D9">
        <w:t>príjmov</w:t>
      </w:r>
      <w:r>
        <w:t xml:space="preserve"> a či bola správa s informáciami uložená do jedného roka od skončenia účtovného obdobia, za ktoré sa správa s informáciami o dani z príjmov vyhotovila.</w:t>
      </w:r>
      <w:r w:rsidRPr="003315C1">
        <w:t xml:space="preserve"> </w:t>
      </w:r>
      <w:r>
        <w:t xml:space="preserve">V obchodných spoločnostiach, ktoré majú povinnosť overenia účtovnej závierky audítorom, sa činnosť audítora rozšíri o úkony, ktoré v praxi predstavujú skontrolovanie výšky výnosov a splnenia zverejnenia dokumentu. Pri priemerných hodinových sadzbách a odhadovaného časového rámca týchto činností, bola pri výpočte vyčíslená hodnota uvedených aktivít na 50 eur na audit. Tieto úkony sa prvýkrát vykonajú pri správe audítora k účtovnej závierke, ktorá sa zostavuje za účtovné obdobie začínajúce 22. júna 2025. </w:t>
      </w:r>
    </w:p>
    <w:p w14:paraId="4D89C9D1" w14:textId="77777777" w:rsidR="00C145BC" w:rsidRPr="003315C1" w:rsidRDefault="00C145BC" w:rsidP="00C145BC">
      <w:pPr>
        <w:jc w:val="both"/>
      </w:pPr>
      <w:r w:rsidRPr="003315C1">
        <w:t xml:space="preserve">Dochádza k zavedeniu novej informačnej povinnosti pre samostatnú účtovnú jednotku a konečnú materskú účtovnú jednotku, ktorých čistý obrat resp. konsolidované výnosy prekročil sumu 750 000 000 € v každom z dvoch bezprostredne po sebe nasledujúcich účtovných obdobiach. Zároveň sa uvedená povinnosť vypracovania správy s informáciami o dani z príjmov a jej uloženia do registra účtovných závierok a následne do Zbierky listín Obchodného registra bude vzťahovať aj na veľké dcérske účtovné jednotky a organizačné zložky podnikov zahraničných právnických osôb so sídlom mimo územia členských štátov spĺňajúcich veľkostnú podmienku 750 mil. eur, ak im správa vyhotovená ich zahraničným </w:t>
      </w:r>
      <w:r w:rsidRPr="003315C1">
        <w:lastRenderedPageBreak/>
        <w:t>konečným materským podnikom nebude na účely jej uloženia do registra účtovných závierok  sprístupnená.</w:t>
      </w:r>
    </w:p>
    <w:p w14:paraId="3A102E25" w14:textId="77777777" w:rsidR="00C145BC" w:rsidRPr="003315C1" w:rsidRDefault="00C145BC" w:rsidP="00C145BC">
      <w:pPr>
        <w:jc w:val="both"/>
      </w:pPr>
      <w:r w:rsidRPr="003315C1">
        <w:t xml:space="preserve">Administratívne náklady na splnenie povinnosti predstavujú hodnotu pri cca 20 veľkých účtovných jednotkách,  prípadne organizačných zložkách na 1 účtovnú jednotku hodnotu </w:t>
      </w:r>
      <w:r>
        <w:t>116 </w:t>
      </w:r>
      <w:r w:rsidRPr="003315C1">
        <w:t>€. Na celé podnikateľské prostredie predpokladáme, pripadne zvýšenie nákladov</w:t>
      </w:r>
      <w:r>
        <w:t xml:space="preserve"> vrátane nepriamych nákladov</w:t>
      </w:r>
      <w:r w:rsidRPr="003315C1">
        <w:t xml:space="preserve"> v celkovej hodnote </w:t>
      </w:r>
      <w:r>
        <w:t>152 319</w:t>
      </w:r>
      <w:r w:rsidRPr="003315C1">
        <w:t xml:space="preserve"> €. Takéto náklady predpokladáme, budú mať pri splnení si tejto povinnosti podnikatelia podľa kalkulačky nákladov spojené s časovou náročnosťou prípravy dokumentu a jeho zaslaním prostredníctvom portálu FS. Následne bude správa s informáciami zverejnená v registri účtovných závierok a Zbierke listín Obchodného registra.</w:t>
      </w:r>
    </w:p>
    <w:p w14:paraId="19C70567" w14:textId="77777777" w:rsidR="00C145BC" w:rsidRPr="003315C1" w:rsidRDefault="00C145BC" w:rsidP="00C145BC">
      <w:pPr>
        <w:rPr>
          <w:rFonts w:eastAsia="Calibri"/>
          <w:i/>
        </w:rPr>
      </w:pPr>
      <w:r w:rsidRPr="003315C1">
        <w:t>Navrhovaná úprava sa nebude týkať malých a stredných podnikov.</w:t>
      </w:r>
    </w:p>
    <w:p w14:paraId="14599B86" w14:textId="77777777" w:rsidR="00C145BC" w:rsidRDefault="00C145BC" w:rsidP="00C145BC">
      <w:pPr>
        <w:jc w:val="both"/>
        <w:rPr>
          <w:rFonts w:eastAsia="Calibri"/>
          <w:b/>
        </w:rPr>
      </w:pPr>
    </w:p>
    <w:p w14:paraId="03271098" w14:textId="77777777" w:rsidR="00C145BC" w:rsidRPr="001F1B43" w:rsidRDefault="00C145BC" w:rsidP="00C145BC">
      <w:pPr>
        <w:jc w:val="both"/>
        <w:rPr>
          <w:rFonts w:eastAsia="Calibri"/>
          <w:b/>
        </w:rPr>
      </w:pPr>
      <w:r w:rsidRPr="001F1B43">
        <w:rPr>
          <w:rFonts w:eastAsia="Calibri"/>
          <w:b/>
        </w:rPr>
        <w:t>3.2 Vyhodnotenie konzultácií s podnikateľskými subjektmi pred predbežným pripomienkovým konaním</w:t>
      </w:r>
    </w:p>
    <w:p w14:paraId="0CB45856" w14:textId="77777777" w:rsidR="00C145BC" w:rsidRPr="00D8247C" w:rsidRDefault="00C145BC" w:rsidP="00C145BC">
      <w:pPr>
        <w:jc w:val="both"/>
        <w:rPr>
          <w:rFonts w:eastAsia="Calibri"/>
          <w:i/>
        </w:rPr>
      </w:pPr>
      <w:r w:rsidRPr="00D8247C">
        <w:rPr>
          <w:rFonts w:eastAsia="Calibri"/>
          <w:i/>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eastAsia="Calibri"/>
          <w:i/>
        </w:rPr>
        <w:t>link</w:t>
      </w:r>
      <w:proofErr w:type="spellEnd"/>
      <w:r w:rsidRPr="00D8247C">
        <w:rPr>
          <w:rFonts w:eastAsia="Calibri"/>
          <w:i/>
        </w:rPr>
        <w:t xml:space="preserve"> na webovú stránku, na ktorej boli konzultácie zverejnené. </w:t>
      </w:r>
    </w:p>
    <w:p w14:paraId="7DAD88CC" w14:textId="77777777" w:rsidR="00C145BC" w:rsidRPr="00D8247C" w:rsidRDefault="00C145BC" w:rsidP="00C145BC">
      <w:pPr>
        <w:jc w:val="both"/>
        <w:rPr>
          <w:rFonts w:eastAsia="Calibri"/>
          <w:i/>
        </w:rPr>
      </w:pPr>
      <w:r w:rsidRPr="00D8247C">
        <w:rPr>
          <w:rFonts w:eastAsia="Calibri"/>
          <w:i/>
        </w:rPr>
        <w:t xml:space="preserve">Uveďte hlavné body konzultácií a ich závery. </w:t>
      </w:r>
    </w:p>
    <w:p w14:paraId="0565FBBB" w14:textId="77777777" w:rsidR="00C145BC" w:rsidRPr="00D8247C" w:rsidRDefault="00C145BC" w:rsidP="00C145BC">
      <w:pPr>
        <w:jc w:val="both"/>
        <w:rPr>
          <w:rFonts w:eastAsia="Calibri"/>
          <w:i/>
        </w:rPr>
      </w:pPr>
      <w:r w:rsidRPr="00D8247C">
        <w:rPr>
          <w:rFonts w:eastAsia="Calibri"/>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3476E26B" w14:textId="77777777" w:rsidR="00C145BC" w:rsidRPr="00D8247C" w:rsidRDefault="00C145BC" w:rsidP="00C145BC">
      <w:pPr>
        <w:jc w:val="both"/>
        <w:rPr>
          <w:rFonts w:eastAsia="Calibri"/>
          <w:i/>
        </w:rPr>
      </w:pPr>
      <w:r w:rsidRPr="00D8247C">
        <w:rPr>
          <w:rFonts w:eastAsia="Calibri"/>
          <w:i/>
        </w:rPr>
        <w:t xml:space="preserve">Alternatívne namiesto vypĺňania bodu 3.2 môžete uviesť ako samostatnú prílohu tejto analýzy Záznam z konzultácií obsahujúci požadované informácie. </w:t>
      </w:r>
    </w:p>
    <w:p w14:paraId="4FD8E029" w14:textId="77777777" w:rsidR="00C145BC" w:rsidRDefault="00C145BC" w:rsidP="00C145BC"/>
    <w:p w14:paraId="4E1C7510" w14:textId="77777777" w:rsidR="00C145BC" w:rsidRPr="003315C1" w:rsidRDefault="00C145BC" w:rsidP="00C145BC">
      <w:pPr>
        <w:jc w:val="both"/>
      </w:pPr>
      <w:r w:rsidRPr="003315C1">
        <w:t>MF SR uskutočnilo vo februári 2022 konzultácie k predbežnej informácii PI/2022/10, o ktoré prejavili záujem Zväz automobilového priemyslu Slovenskej republiky, Klub 500, Slovenská asociácia finančníkov a Slovenská komora daňových poradcov.</w:t>
      </w:r>
    </w:p>
    <w:p w14:paraId="34C3BD6E" w14:textId="77777777" w:rsidR="00C145BC" w:rsidRPr="003315C1" w:rsidRDefault="00C145BC" w:rsidP="00C145BC">
      <w:pPr>
        <w:jc w:val="both"/>
        <w:rPr>
          <w:rFonts w:eastAsia="Calibri"/>
          <w:i/>
        </w:rPr>
      </w:pPr>
      <w:r w:rsidRPr="003315C1">
        <w:t>Hlavným bodom konzultácie bolo predstavenie požiadaviek smernice</w:t>
      </w:r>
      <w:r>
        <w:t xml:space="preserve"> (EÚ) </w:t>
      </w:r>
      <w:r w:rsidRPr="003315C1">
        <w:t xml:space="preserve"> 2021/2101 na zavedenie predkladania správy s informáciami o dani z príjmov, ktoré budú transponované do návrhu zákona. Konzultujúci boli informovaní koho sa nová povinnosť dotkne, približný obsah správy s informáciami o dani z príjmov a o spôsobe ukladania tejto správy prostredníctvom portálu Finančnej správy.   </w:t>
      </w:r>
    </w:p>
    <w:p w14:paraId="5446FDE6" w14:textId="77777777" w:rsidR="00C145BC" w:rsidRPr="00D8247C" w:rsidRDefault="00C145BC" w:rsidP="00C145BC">
      <w:pPr>
        <w:jc w:val="both"/>
        <w:rPr>
          <w:rFonts w:eastAsia="Calibri"/>
          <w:i/>
        </w:rPr>
      </w:pPr>
    </w:p>
    <w:p w14:paraId="428751B2" w14:textId="77777777" w:rsidR="00C145BC" w:rsidRPr="001F1B43" w:rsidRDefault="00C145BC" w:rsidP="00C145BC">
      <w:pPr>
        <w:jc w:val="both"/>
        <w:rPr>
          <w:rFonts w:eastAsia="Calibri"/>
          <w:b/>
        </w:rPr>
      </w:pPr>
      <w:bookmarkStart w:id="1" w:name="_Hlk47698091"/>
      <w:r w:rsidRPr="001F1B43">
        <w:rPr>
          <w:rFonts w:eastAsia="Calibri"/>
          <w:b/>
        </w:rPr>
        <w:t>3.3 Vplyvy na konkurencieschopnosť a produktivitu</w:t>
      </w:r>
    </w:p>
    <w:bookmarkEnd w:id="1"/>
    <w:p w14:paraId="5C55FE24" w14:textId="77777777" w:rsidR="00C145BC" w:rsidRPr="00D8247C" w:rsidRDefault="00C145BC" w:rsidP="00C145BC">
      <w:pPr>
        <w:jc w:val="both"/>
        <w:rPr>
          <w:rFonts w:eastAsia="Calibri"/>
          <w:i/>
        </w:rPr>
      </w:pPr>
      <w:r w:rsidRPr="00D8247C">
        <w:rPr>
          <w:rFonts w:eastAsia="Calibri"/>
          <w:i/>
        </w:rPr>
        <w:t xml:space="preserve">Dochádza k vytvoreniu resp. k zmene bariér na trhu? </w:t>
      </w:r>
    </w:p>
    <w:p w14:paraId="6A039B2B" w14:textId="77777777" w:rsidR="00C145BC" w:rsidRPr="00D8247C" w:rsidRDefault="00C145BC" w:rsidP="00C145BC">
      <w:pPr>
        <w:jc w:val="both"/>
        <w:rPr>
          <w:rFonts w:eastAsia="Calibri"/>
          <w:i/>
        </w:rPr>
      </w:pPr>
      <w:r w:rsidRPr="00D8247C">
        <w:rPr>
          <w:rFonts w:eastAsia="Calibri"/>
          <w:i/>
        </w:rPr>
        <w:t xml:space="preserve">Bude sa s niektorými podnikmi alebo produktmi zaobchádzať v porovnateľnej situácii rôzne (napr. špeciálne režimy pre </w:t>
      </w:r>
      <w:proofErr w:type="spellStart"/>
      <w:r w:rsidRPr="00D8247C">
        <w:rPr>
          <w:rFonts w:eastAsia="Calibri"/>
          <w:i/>
        </w:rPr>
        <w:t>mikro</w:t>
      </w:r>
      <w:proofErr w:type="spellEnd"/>
      <w:r w:rsidRPr="00D8247C">
        <w:rPr>
          <w:rFonts w:eastAsia="Calibri"/>
          <w:i/>
        </w:rPr>
        <w:t xml:space="preserve">, malé a stredné podniky tzv. MSP)? </w:t>
      </w:r>
    </w:p>
    <w:p w14:paraId="2764B6A3" w14:textId="77777777" w:rsidR="00C145BC" w:rsidRPr="00D8247C" w:rsidRDefault="00C145BC" w:rsidP="00C145BC">
      <w:pPr>
        <w:jc w:val="both"/>
        <w:rPr>
          <w:rFonts w:eastAsia="Calibri"/>
          <w:i/>
        </w:rPr>
      </w:pPr>
      <w:r w:rsidRPr="00D8247C">
        <w:rPr>
          <w:rFonts w:eastAsia="Calibri"/>
          <w:i/>
        </w:rPr>
        <w:t xml:space="preserve">Ovplyvňuje zmena regulácie cezhraničné investície (príliv/odliv zahraničných investícií resp. uplatnenie slovenských podnikov na zahraničných trhoch)? </w:t>
      </w:r>
    </w:p>
    <w:p w14:paraId="5DBF41E9" w14:textId="77777777" w:rsidR="00C145BC" w:rsidRDefault="00C145BC" w:rsidP="00C145BC">
      <w:pPr>
        <w:jc w:val="both"/>
        <w:rPr>
          <w:rFonts w:eastAsia="Calibri"/>
          <w:i/>
        </w:rPr>
      </w:pPr>
      <w:r w:rsidRPr="00D8247C">
        <w:rPr>
          <w:rFonts w:eastAsia="Calibri"/>
          <w:i/>
        </w:rPr>
        <w:t xml:space="preserve">Ovplyvní dostupnosť základných zdrojov (financie, pracovná sila, suroviny, mechanizmy, energie atď.)? </w:t>
      </w:r>
    </w:p>
    <w:p w14:paraId="0D50786A" w14:textId="77777777" w:rsidR="00C145BC" w:rsidRPr="00D8247C" w:rsidRDefault="00C145BC" w:rsidP="00C145BC">
      <w:pPr>
        <w:jc w:val="both"/>
        <w:rPr>
          <w:rFonts w:eastAsia="Calibri"/>
          <w:i/>
        </w:rPr>
      </w:pPr>
      <w:r>
        <w:rPr>
          <w:rFonts w:eastAsia="Calibri"/>
          <w:i/>
        </w:rPr>
        <w:t>Ovplyvňuje zmena regulácie inovácie, vedu a výskum?</w:t>
      </w:r>
    </w:p>
    <w:p w14:paraId="63283C25" w14:textId="77777777" w:rsidR="00C145BC" w:rsidRPr="00D8247C" w:rsidRDefault="00C145BC" w:rsidP="00C145BC">
      <w:pPr>
        <w:jc w:val="both"/>
        <w:rPr>
          <w:rFonts w:eastAsia="Calibri"/>
          <w:i/>
        </w:rPr>
      </w:pPr>
      <w:r w:rsidRPr="00D8247C">
        <w:rPr>
          <w:rFonts w:eastAsia="Calibri"/>
          <w:i/>
          <w:iCs/>
        </w:rPr>
        <w:t>Ako prispieva zmena regulácie k cieľu Slovenska mať najlepšie podnikateľské prostredie spomedzi susediacich krajín EÚ?</w:t>
      </w:r>
    </w:p>
    <w:p w14:paraId="199835C7" w14:textId="77777777" w:rsidR="00C145BC" w:rsidRDefault="00C145BC" w:rsidP="00C145BC">
      <w:pPr>
        <w:jc w:val="both"/>
        <w:rPr>
          <w:rFonts w:ascii="Arial Narrow" w:hAnsi="Arial Narrow"/>
        </w:rPr>
      </w:pPr>
    </w:p>
    <w:p w14:paraId="7F53E111" w14:textId="77777777" w:rsidR="00C145BC" w:rsidRPr="003315C1" w:rsidRDefault="00C145BC" w:rsidP="00C145BC">
      <w:pPr>
        <w:jc w:val="both"/>
      </w:pPr>
      <w:r w:rsidRPr="003315C1">
        <w:t xml:space="preserve">Nie, nedochádza k vytvoreniu bariér pre vstup na trh pre nových dodávateľov alebo poskytovateľov služieb, ani nebude mať vplyv na vyvolanie cezhraničných investícií. </w:t>
      </w:r>
    </w:p>
    <w:p w14:paraId="4FEE37D8" w14:textId="77777777" w:rsidR="00C145BC" w:rsidRPr="003315C1" w:rsidRDefault="00C145BC" w:rsidP="00C145BC">
      <w:pPr>
        <w:jc w:val="both"/>
        <w:rPr>
          <w:i/>
        </w:rPr>
      </w:pPr>
      <w:r w:rsidRPr="003315C1">
        <w:t>Návrh zákona sa netýka oblasti inovácií, nových výrobných metód ani technológií.</w:t>
      </w:r>
    </w:p>
    <w:p w14:paraId="00E13E40" w14:textId="77777777" w:rsidR="00C145BC" w:rsidRPr="00D8247C" w:rsidRDefault="00C145BC" w:rsidP="00C145BC">
      <w:pPr>
        <w:jc w:val="both"/>
        <w:rPr>
          <w:rFonts w:eastAsia="Calibri"/>
          <w:i/>
        </w:rPr>
      </w:pPr>
    </w:p>
    <w:p w14:paraId="5C1DDC7D" w14:textId="77777777" w:rsidR="00C145BC" w:rsidRPr="00D8247C" w:rsidRDefault="00C145BC" w:rsidP="00C145BC">
      <w:pPr>
        <w:jc w:val="both"/>
        <w:rPr>
          <w:rFonts w:eastAsia="Calibri"/>
          <w:b/>
          <w:i/>
        </w:rPr>
      </w:pPr>
      <w:r w:rsidRPr="00D8247C">
        <w:rPr>
          <w:rFonts w:eastAsia="Calibri"/>
          <w:b/>
          <w:i/>
        </w:rPr>
        <w:t>Konkurencieschopnosť:</w:t>
      </w:r>
    </w:p>
    <w:p w14:paraId="00A08CF1" w14:textId="77777777" w:rsidR="00C145BC" w:rsidRPr="00D8247C" w:rsidRDefault="00C145BC" w:rsidP="00C145BC">
      <w:pPr>
        <w:jc w:val="both"/>
        <w:rPr>
          <w:rFonts w:eastAsia="Calibri"/>
          <w:i/>
        </w:rPr>
      </w:pPr>
      <w:r w:rsidRPr="00D8247C">
        <w:rPr>
          <w:rFonts w:eastAsia="Calibri"/>
          <w:i/>
        </w:rPr>
        <w:t>Na základe uvedených odpovedí zaškrtnite a popíšte, či materiál konkurencieschopnosť:</w:t>
      </w:r>
    </w:p>
    <w:p w14:paraId="2A4BBD36" w14:textId="77777777" w:rsidR="00C145BC" w:rsidRPr="00D8247C" w:rsidRDefault="003A73D9" w:rsidP="00C145BC">
      <w:pPr>
        <w:jc w:val="both"/>
        <w:rPr>
          <w:rFonts w:eastAsia="Calibri"/>
          <w:i/>
        </w:rPr>
      </w:pPr>
      <w:sdt>
        <w:sdtPr>
          <w:rPr>
            <w:rFonts w:eastAsia="Calibri"/>
            <w:i/>
          </w:rPr>
          <w:id w:val="798576880"/>
        </w:sdtPr>
        <w:sdtEndPr/>
        <w:sdtContent>
          <w:sdt>
            <w:sdtPr>
              <w:rPr>
                <w:rFonts w:eastAsia="Calibri"/>
                <w:i/>
              </w:rPr>
              <w:id w:val="1729873660"/>
            </w:sdtPr>
            <w:sdtEndPr/>
            <w:sdtContent>
              <w:r w:rsidR="00C145BC" w:rsidRPr="00D8247C">
                <w:rPr>
                  <w:rFonts w:ascii="Segoe UI Symbol" w:eastAsia="Calibri" w:hAnsi="Segoe UI Symbol" w:cs="Segoe UI Symbol"/>
                  <w:i/>
                </w:rPr>
                <w:t>☐</w:t>
              </w:r>
            </w:sdtContent>
          </w:sdt>
        </w:sdtContent>
      </w:sdt>
      <w:r w:rsidR="00C145BC" w:rsidRPr="00D8247C">
        <w:rPr>
          <w:rFonts w:eastAsia="Calibri"/>
          <w:i/>
        </w:rPr>
        <w:t xml:space="preserve"> zvyšuje  </w:t>
      </w:r>
      <w:r w:rsidR="00C145BC" w:rsidRPr="00D8247C">
        <w:rPr>
          <w:rFonts w:eastAsia="Calibri"/>
          <w:i/>
        </w:rPr>
        <w:tab/>
      </w:r>
      <w:sdt>
        <w:sdtPr>
          <w:rPr>
            <w:rFonts w:eastAsia="Calibri"/>
            <w:i/>
          </w:rPr>
          <w:id w:val="410579887"/>
        </w:sdtPr>
        <w:sdtEndPr/>
        <w:sdtContent>
          <w:sdt>
            <w:sdtPr>
              <w:rPr>
                <w:rFonts w:eastAsia="Calibri"/>
                <w:i/>
              </w:rPr>
              <w:id w:val="-80300261"/>
            </w:sdtPr>
            <w:sdtEndPr/>
            <w:sdtContent>
              <w:r w:rsidR="00C145BC">
                <w:rPr>
                  <w:rFonts w:ascii="Segoe UI Symbol" w:eastAsia="Calibri" w:hAnsi="Segoe UI Symbol" w:cs="Segoe UI Symbol"/>
                  <w:i/>
                </w:rPr>
                <w:t>x</w:t>
              </w:r>
            </w:sdtContent>
          </w:sdt>
        </w:sdtContent>
      </w:sdt>
      <w:r w:rsidR="00C145BC" w:rsidRPr="00D8247C">
        <w:rPr>
          <w:rFonts w:eastAsia="Calibri"/>
          <w:i/>
        </w:rPr>
        <w:t xml:space="preserve"> nemení</w:t>
      </w:r>
      <w:r w:rsidR="00C145BC" w:rsidRPr="00D8247C">
        <w:rPr>
          <w:rFonts w:eastAsia="Calibri"/>
          <w:i/>
        </w:rPr>
        <w:tab/>
      </w:r>
      <w:sdt>
        <w:sdtPr>
          <w:rPr>
            <w:rFonts w:eastAsia="Calibri"/>
            <w:i/>
          </w:rPr>
          <w:id w:val="-474604883"/>
        </w:sdtPr>
        <w:sdtEndPr/>
        <w:sdtContent>
          <w:sdt>
            <w:sdtPr>
              <w:rPr>
                <w:rFonts w:eastAsia="Calibri"/>
                <w:i/>
              </w:rPr>
              <w:id w:val="-1706551548"/>
            </w:sdtPr>
            <w:sdtEndPr/>
            <w:sdtContent>
              <w:r w:rsidR="00C145BC" w:rsidRPr="00D8247C">
                <w:rPr>
                  <w:rFonts w:ascii="Segoe UI Symbol" w:eastAsia="Calibri" w:hAnsi="Segoe UI Symbol" w:cs="Segoe UI Symbol"/>
                  <w:i/>
                </w:rPr>
                <w:t>☐</w:t>
              </w:r>
            </w:sdtContent>
          </w:sdt>
        </w:sdtContent>
      </w:sdt>
      <w:r w:rsidR="00C145BC" w:rsidRPr="00D8247C">
        <w:rPr>
          <w:rFonts w:eastAsia="Calibri"/>
          <w:i/>
        </w:rPr>
        <w:t xml:space="preserve"> znižuje</w:t>
      </w:r>
    </w:p>
    <w:p w14:paraId="36A69B48" w14:textId="77777777" w:rsidR="00C145BC" w:rsidRPr="00D8247C" w:rsidRDefault="00C145BC" w:rsidP="00C145BC">
      <w:pPr>
        <w:jc w:val="both"/>
        <w:rPr>
          <w:rFonts w:eastAsia="Calibri"/>
          <w:i/>
        </w:rPr>
      </w:pPr>
    </w:p>
    <w:p w14:paraId="4CB02E3C" w14:textId="77777777" w:rsidR="00C145BC" w:rsidRDefault="00C145BC" w:rsidP="00C145BC">
      <w:pPr>
        <w:jc w:val="both"/>
        <w:rPr>
          <w:rFonts w:eastAsia="Calibri"/>
          <w:b/>
          <w:i/>
        </w:rPr>
      </w:pPr>
    </w:p>
    <w:p w14:paraId="309FF642" w14:textId="77777777" w:rsidR="00C145BC" w:rsidRPr="00D8247C" w:rsidRDefault="00C145BC" w:rsidP="00C145BC">
      <w:pPr>
        <w:jc w:val="both"/>
        <w:rPr>
          <w:rFonts w:eastAsia="Calibri"/>
          <w:b/>
          <w:i/>
        </w:rPr>
      </w:pPr>
      <w:r w:rsidRPr="00D8247C">
        <w:rPr>
          <w:rFonts w:eastAsia="Calibri"/>
          <w:b/>
          <w:i/>
        </w:rPr>
        <w:t>Produktivita:</w:t>
      </w:r>
    </w:p>
    <w:p w14:paraId="03B6FCB9" w14:textId="77777777" w:rsidR="00C145BC" w:rsidRPr="00D8247C" w:rsidRDefault="00C145BC" w:rsidP="00C145BC">
      <w:pPr>
        <w:jc w:val="both"/>
        <w:rPr>
          <w:rFonts w:eastAsia="Calibri"/>
          <w:i/>
        </w:rPr>
      </w:pPr>
      <w:r w:rsidRPr="00D8247C">
        <w:rPr>
          <w:rFonts w:eastAsia="Calibri"/>
          <w:i/>
        </w:rPr>
        <w:t xml:space="preserve">Aký má materiál vplyv na zmenu pomeru medzi produkciou podnikov a ich nákladmi? </w:t>
      </w:r>
    </w:p>
    <w:p w14:paraId="1E0A0845" w14:textId="77777777" w:rsidR="00C145BC" w:rsidRPr="00D8247C" w:rsidRDefault="00C145BC" w:rsidP="00C145BC">
      <w:pPr>
        <w:jc w:val="both"/>
        <w:rPr>
          <w:rFonts w:eastAsia="Calibri"/>
          <w:i/>
        </w:rPr>
      </w:pPr>
    </w:p>
    <w:p w14:paraId="01EC085A" w14:textId="77777777" w:rsidR="00C145BC" w:rsidRPr="00D8247C" w:rsidRDefault="00C145BC" w:rsidP="00C145BC">
      <w:pPr>
        <w:jc w:val="both"/>
        <w:rPr>
          <w:rFonts w:eastAsia="Calibri"/>
          <w:i/>
        </w:rPr>
      </w:pPr>
      <w:r w:rsidRPr="00D8247C">
        <w:rPr>
          <w:rFonts w:eastAsia="Calibri"/>
          <w:i/>
        </w:rPr>
        <w:t>Na základe uvedenej odpovede zaškrtnite a popíšte, či materiál produktivitu:</w:t>
      </w:r>
    </w:p>
    <w:p w14:paraId="57090A88" w14:textId="77777777" w:rsidR="00C145BC" w:rsidRPr="00D8247C" w:rsidRDefault="003A73D9" w:rsidP="00C145BC">
      <w:pPr>
        <w:jc w:val="both"/>
        <w:rPr>
          <w:rFonts w:eastAsia="Calibri"/>
          <w:i/>
        </w:rPr>
      </w:pPr>
      <w:sdt>
        <w:sdtPr>
          <w:rPr>
            <w:rFonts w:eastAsia="Calibri"/>
            <w:i/>
          </w:rPr>
          <w:id w:val="-1545903528"/>
        </w:sdtPr>
        <w:sdtEndPr/>
        <w:sdtContent>
          <w:sdt>
            <w:sdtPr>
              <w:rPr>
                <w:rFonts w:eastAsia="Calibri"/>
                <w:i/>
              </w:rPr>
              <w:id w:val="825715010"/>
            </w:sdtPr>
            <w:sdtEndPr/>
            <w:sdtContent>
              <w:r w:rsidR="00C145BC" w:rsidRPr="00D8247C">
                <w:rPr>
                  <w:rFonts w:ascii="Segoe UI Symbol" w:eastAsia="Calibri" w:hAnsi="Segoe UI Symbol" w:cs="Segoe UI Symbol"/>
                  <w:i/>
                </w:rPr>
                <w:t>☐</w:t>
              </w:r>
            </w:sdtContent>
          </w:sdt>
        </w:sdtContent>
      </w:sdt>
      <w:r w:rsidR="00C145BC" w:rsidRPr="00D8247C">
        <w:rPr>
          <w:rFonts w:eastAsia="Calibri"/>
          <w:i/>
        </w:rPr>
        <w:t xml:space="preserve"> zvyšuje  </w:t>
      </w:r>
      <w:r w:rsidR="00C145BC" w:rsidRPr="00D8247C">
        <w:rPr>
          <w:rFonts w:eastAsia="Calibri"/>
          <w:i/>
        </w:rPr>
        <w:tab/>
      </w:r>
      <w:sdt>
        <w:sdtPr>
          <w:rPr>
            <w:rFonts w:eastAsia="Calibri"/>
            <w:i/>
          </w:rPr>
          <w:id w:val="-353966921"/>
        </w:sdtPr>
        <w:sdtEndPr/>
        <w:sdtContent>
          <w:sdt>
            <w:sdtPr>
              <w:rPr>
                <w:rFonts w:eastAsia="Calibri"/>
                <w:i/>
              </w:rPr>
              <w:id w:val="-1222205104"/>
            </w:sdtPr>
            <w:sdtEndPr/>
            <w:sdtContent>
              <w:r w:rsidR="00C145BC">
                <w:rPr>
                  <w:rFonts w:ascii="Segoe UI Symbol" w:eastAsia="Calibri" w:hAnsi="Segoe UI Symbol" w:cs="Segoe UI Symbol"/>
                  <w:i/>
                </w:rPr>
                <w:t>x</w:t>
              </w:r>
            </w:sdtContent>
          </w:sdt>
        </w:sdtContent>
      </w:sdt>
      <w:r w:rsidR="00C145BC" w:rsidRPr="00D8247C">
        <w:rPr>
          <w:rFonts w:eastAsia="Calibri"/>
          <w:i/>
        </w:rPr>
        <w:t xml:space="preserve"> nemení</w:t>
      </w:r>
      <w:r w:rsidR="00C145BC" w:rsidRPr="00D8247C">
        <w:rPr>
          <w:rFonts w:eastAsia="Calibri"/>
          <w:i/>
        </w:rPr>
        <w:tab/>
      </w:r>
      <w:sdt>
        <w:sdtPr>
          <w:rPr>
            <w:rFonts w:eastAsia="Calibri"/>
            <w:i/>
          </w:rPr>
          <w:id w:val="-1457723544"/>
        </w:sdtPr>
        <w:sdtEndPr/>
        <w:sdtContent>
          <w:sdt>
            <w:sdtPr>
              <w:rPr>
                <w:rFonts w:eastAsia="Calibri"/>
                <w:i/>
              </w:rPr>
              <w:id w:val="-623767955"/>
            </w:sdtPr>
            <w:sdtEndPr/>
            <w:sdtContent>
              <w:r w:rsidR="00C145BC" w:rsidRPr="00D8247C">
                <w:rPr>
                  <w:rFonts w:ascii="Segoe UI Symbol" w:eastAsia="Calibri" w:hAnsi="Segoe UI Symbol" w:cs="Segoe UI Symbol"/>
                  <w:i/>
                </w:rPr>
                <w:t>☐</w:t>
              </w:r>
            </w:sdtContent>
          </w:sdt>
        </w:sdtContent>
      </w:sdt>
      <w:r w:rsidR="00C145BC" w:rsidRPr="00D8247C">
        <w:rPr>
          <w:rFonts w:eastAsia="Calibri"/>
          <w:i/>
        </w:rPr>
        <w:t xml:space="preserve"> znižuje</w:t>
      </w:r>
    </w:p>
    <w:p w14:paraId="10E5F933" w14:textId="77777777" w:rsidR="00C145BC" w:rsidRPr="00D8247C" w:rsidRDefault="00C145BC" w:rsidP="00C145BC">
      <w:pPr>
        <w:jc w:val="both"/>
        <w:rPr>
          <w:rFonts w:eastAsia="Calibri"/>
          <w:i/>
        </w:rPr>
      </w:pPr>
    </w:p>
    <w:p w14:paraId="6195D252" w14:textId="77777777" w:rsidR="00C145BC" w:rsidRPr="001F1B43" w:rsidRDefault="00C145BC" w:rsidP="00C145BC">
      <w:pPr>
        <w:jc w:val="both"/>
        <w:rPr>
          <w:rFonts w:eastAsia="Calibri"/>
          <w:b/>
        </w:rPr>
      </w:pPr>
      <w:r w:rsidRPr="001F1B43">
        <w:rPr>
          <w:rFonts w:eastAsia="Calibri"/>
          <w:b/>
        </w:rPr>
        <w:t xml:space="preserve">3.4  Iné vplyvy na podnikateľské prostredie </w:t>
      </w:r>
    </w:p>
    <w:p w14:paraId="4BB287DA" w14:textId="77777777" w:rsidR="00C145BC" w:rsidRDefault="00C145BC" w:rsidP="00C145BC">
      <w:pPr>
        <w:jc w:val="both"/>
        <w:rPr>
          <w:rFonts w:eastAsia="Calibri"/>
          <w:i/>
        </w:rPr>
      </w:pPr>
      <w:r>
        <w:rPr>
          <w:rFonts w:eastAsia="Calibri"/>
          <w:i/>
        </w:rPr>
        <w:t xml:space="preserve">Ak má materiál vplyvy na PP, ktoré nemožno zaradiť do predchádzajúcich častí, či už pozitívne alebo negatívne, tu ich uveďte.  Patria sem: </w:t>
      </w:r>
    </w:p>
    <w:p w14:paraId="1B129DE6" w14:textId="77777777" w:rsidR="00C145BC" w:rsidRDefault="00C145BC" w:rsidP="00C145BC">
      <w:pPr>
        <w:pStyle w:val="Odsekzoznamu"/>
        <w:numPr>
          <w:ilvl w:val="0"/>
          <w:numId w:val="17"/>
        </w:numPr>
        <w:spacing w:line="254" w:lineRule="auto"/>
        <w:jc w:val="both"/>
        <w:rPr>
          <w:rFonts w:eastAsia="Calibri"/>
          <w:i/>
        </w:rPr>
      </w:pPr>
      <w:r>
        <w:rPr>
          <w:rFonts w:eastAsia="Calibri"/>
          <w:i/>
        </w:rPr>
        <w:t>sankcie alebo pokuty, ako dôsledok porušenia právne záväzných ustanovení;</w:t>
      </w:r>
    </w:p>
    <w:p w14:paraId="34404304" w14:textId="77777777" w:rsidR="00C145BC" w:rsidRDefault="00C145BC" w:rsidP="00C145BC">
      <w:pPr>
        <w:pStyle w:val="Odsekzoznamu"/>
        <w:numPr>
          <w:ilvl w:val="0"/>
          <w:numId w:val="17"/>
        </w:numPr>
        <w:spacing w:line="254" w:lineRule="auto"/>
        <w:jc w:val="both"/>
        <w:rPr>
          <w:rFonts w:eastAsia="Calibri"/>
          <w:i/>
        </w:rPr>
      </w:pPr>
      <w:r>
        <w:rPr>
          <w:rFonts w:eastAsia="Calibri"/>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2057CEB7" w14:textId="77777777" w:rsidR="00C145BC" w:rsidRDefault="00C145BC" w:rsidP="00C145BC">
      <w:pPr>
        <w:pStyle w:val="Odsekzoznamu"/>
        <w:numPr>
          <w:ilvl w:val="0"/>
          <w:numId w:val="17"/>
        </w:numPr>
        <w:spacing w:line="254" w:lineRule="auto"/>
        <w:jc w:val="both"/>
        <w:rPr>
          <w:rFonts w:eastAsia="Calibri"/>
          <w:i/>
        </w:rPr>
      </w:pPr>
      <w:r>
        <w:rPr>
          <w:rFonts w:eastAsia="Calibri"/>
          <w:i/>
        </w:rPr>
        <w:t>regulované ceny podľa zákona č. 18/1996 Z. z. o cenách;</w:t>
      </w:r>
    </w:p>
    <w:p w14:paraId="63A20949" w14:textId="77777777" w:rsidR="00C145BC" w:rsidRDefault="00C145BC" w:rsidP="00C145BC">
      <w:pPr>
        <w:pStyle w:val="Odsekzoznamu"/>
        <w:numPr>
          <w:ilvl w:val="0"/>
          <w:numId w:val="17"/>
        </w:numPr>
        <w:spacing w:after="160" w:line="254" w:lineRule="auto"/>
        <w:ind w:left="714" w:hanging="357"/>
        <w:jc w:val="both"/>
        <w:rPr>
          <w:rFonts w:eastAsia="Calibri"/>
          <w:i/>
        </w:rPr>
      </w:pPr>
      <w:r>
        <w:rPr>
          <w:rFonts w:eastAsia="Calibri"/>
          <w:i/>
        </w:rPr>
        <w:t xml:space="preserve">iné vplyvy, ktoré predpokladá materiál, ale nemožno ich zaradiť do častí 3.1 a 3.3. </w:t>
      </w:r>
    </w:p>
    <w:p w14:paraId="5A4B284F" w14:textId="77777777" w:rsidR="00C145BC" w:rsidRPr="00F72438" w:rsidRDefault="00C145BC" w:rsidP="00C145BC">
      <w:pPr>
        <w:jc w:val="both"/>
        <w:rPr>
          <w:rFonts w:eastAsia="Calibri"/>
        </w:rPr>
      </w:pPr>
      <w:r w:rsidRPr="00F72438">
        <w:rPr>
          <w:rFonts w:eastAsia="Calibri"/>
        </w:rPr>
        <w:t xml:space="preserve">Ako dôsledok porušenia navrhovaných právne záväzných ustanovení, </w:t>
      </w:r>
      <w:proofErr w:type="spellStart"/>
      <w:r w:rsidRPr="00F72438">
        <w:rPr>
          <w:rFonts w:eastAsia="Calibri"/>
        </w:rPr>
        <w:t>t.j</w:t>
      </w:r>
      <w:proofErr w:type="spellEnd"/>
      <w:r w:rsidRPr="00F72438">
        <w:rPr>
          <w:rFonts w:eastAsia="Calibri"/>
        </w:rPr>
        <w:t>.</w:t>
      </w:r>
      <w:r w:rsidRPr="00F72438">
        <w:t xml:space="preserve"> § 38 ods. 2 písm. g),</w:t>
      </w:r>
      <w:r w:rsidRPr="00F72438">
        <w:rPr>
          <w:rFonts w:eastAsia="Calibri"/>
        </w:rPr>
        <w:t xml:space="preserve"> ak podnikateľský subjekt, na ktorého sa vzťahuje povinnosť podať správu s informáciami o dani z príjmov</w:t>
      </w:r>
      <w:r w:rsidRPr="00F72438">
        <w:t>, sa ustanovuje</w:t>
      </w:r>
      <w:r w:rsidRPr="00F72438">
        <w:rPr>
          <w:rFonts w:eastAsia="Calibri"/>
        </w:rPr>
        <w:t xml:space="preserve"> pokuta za nedodržanie náležitostí správy s informáciami o dani z príjmov vrátane jej vzoru, neuloženie alebo nezverejnenie správy s informáciami o dani z príjmov. Ministerstvo financií Slovenskej republiky predpokladá, že udeľovanie pokuty za toto porušenie môže nastať najskôr v roku 2026. V súlade so zásadou opatrnosti a vzhľadom na zatiaľ neznámy počet účtovných jednotiek, ktorých by sa prípadné pokuty za nesplnenie si povinností mohli týkať, sa k predpokladaným negatívnym vplyvom na podnikateľské prostredie finančne nevyjadrujeme. </w:t>
      </w:r>
    </w:p>
    <w:p w14:paraId="6FCF744B" w14:textId="3ED9E36B" w:rsidR="00607CBE" w:rsidRDefault="00607CBE">
      <w:pPr>
        <w:spacing w:after="160" w:line="259" w:lineRule="auto"/>
        <w:rPr>
          <w:b/>
          <w:bCs/>
        </w:rPr>
      </w:pPr>
      <w:r>
        <w:rPr>
          <w:b/>
          <w:bCs/>
        </w:rPr>
        <w:br w:type="page"/>
      </w:r>
    </w:p>
    <w:tbl>
      <w:tblPr>
        <w:tblW w:w="943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92"/>
        <w:gridCol w:w="1559"/>
      </w:tblGrid>
      <w:tr w:rsidR="00607CBE" w:rsidRPr="00607CBE" w14:paraId="773AF1C1" w14:textId="77777777" w:rsidTr="00607CBE">
        <w:trPr>
          <w:trHeight w:val="20"/>
        </w:trPr>
        <w:tc>
          <w:tcPr>
            <w:tcW w:w="9437" w:type="dxa"/>
            <w:gridSpan w:val="6"/>
            <w:shd w:val="clear" w:color="auto" w:fill="BFBFBF"/>
            <w:vAlign w:val="center"/>
          </w:tcPr>
          <w:p w14:paraId="4DA09209" w14:textId="77777777" w:rsidR="00607CBE" w:rsidRPr="00607CBE" w:rsidRDefault="00607CBE" w:rsidP="00607CBE">
            <w:pPr>
              <w:jc w:val="center"/>
              <w:rPr>
                <w:b/>
                <w:bCs/>
                <w:sz w:val="28"/>
                <w:szCs w:val="28"/>
              </w:rPr>
            </w:pPr>
            <w:r w:rsidRPr="00607CBE">
              <w:rPr>
                <w:b/>
                <w:bCs/>
                <w:sz w:val="28"/>
                <w:szCs w:val="28"/>
              </w:rPr>
              <w:lastRenderedPageBreak/>
              <w:t>Analýza vplyvov na informatizáciu spoločnosti</w:t>
            </w:r>
          </w:p>
          <w:p w14:paraId="240F3A43" w14:textId="77777777" w:rsidR="00607CBE" w:rsidRPr="00607CBE" w:rsidRDefault="00607CBE" w:rsidP="00607CBE">
            <w:pPr>
              <w:jc w:val="center"/>
              <w:rPr>
                <w:b/>
                <w:i/>
                <w:iCs/>
                <w:sz w:val="2"/>
                <w:szCs w:val="22"/>
              </w:rPr>
            </w:pPr>
          </w:p>
        </w:tc>
      </w:tr>
      <w:tr w:rsidR="00607CBE" w:rsidRPr="00607CBE" w14:paraId="22F76585" w14:textId="77777777" w:rsidTr="00607CBE">
        <w:trPr>
          <w:trHeight w:val="20"/>
        </w:trPr>
        <w:tc>
          <w:tcPr>
            <w:tcW w:w="9437" w:type="dxa"/>
            <w:gridSpan w:val="6"/>
            <w:shd w:val="clear" w:color="auto" w:fill="BFBFBF"/>
            <w:vAlign w:val="center"/>
          </w:tcPr>
          <w:p w14:paraId="2B597C04" w14:textId="77777777" w:rsidR="00607CBE" w:rsidRPr="00607CBE" w:rsidRDefault="00607CBE" w:rsidP="00607CBE">
            <w:pPr>
              <w:jc w:val="center"/>
              <w:rPr>
                <w:b/>
                <w:bCs/>
              </w:rPr>
            </w:pPr>
            <w:r w:rsidRPr="00607CBE">
              <w:rPr>
                <w:b/>
                <w:bCs/>
              </w:rPr>
              <w:t>Budovanie základných pilierov informatizácie</w:t>
            </w:r>
          </w:p>
        </w:tc>
      </w:tr>
      <w:tr w:rsidR="00607CBE" w:rsidRPr="00607CBE" w14:paraId="63FB25C0" w14:textId="77777777" w:rsidTr="00607CBE">
        <w:trPr>
          <w:trHeight w:val="681"/>
        </w:trPr>
        <w:tc>
          <w:tcPr>
            <w:tcW w:w="3956" w:type="dxa"/>
            <w:shd w:val="clear" w:color="auto" w:fill="C0C0C0"/>
            <w:vAlign w:val="center"/>
          </w:tcPr>
          <w:p w14:paraId="07FE5E69" w14:textId="77777777" w:rsidR="00607CBE" w:rsidRPr="00607CBE" w:rsidRDefault="00607CBE" w:rsidP="00607CBE">
            <w:pPr>
              <w:jc w:val="center"/>
              <w:rPr>
                <w:b/>
                <w:sz w:val="20"/>
                <w:szCs w:val="20"/>
              </w:rPr>
            </w:pPr>
            <w:r w:rsidRPr="00607CBE">
              <w:rPr>
                <w:b/>
                <w:sz w:val="20"/>
                <w:szCs w:val="20"/>
              </w:rPr>
              <w:t>Biznis vrstva</w:t>
            </w:r>
          </w:p>
        </w:tc>
        <w:tc>
          <w:tcPr>
            <w:tcW w:w="1446" w:type="dxa"/>
            <w:shd w:val="clear" w:color="auto" w:fill="C0C0C0"/>
            <w:vAlign w:val="center"/>
          </w:tcPr>
          <w:p w14:paraId="4478935F" w14:textId="77777777" w:rsidR="00607CBE" w:rsidRPr="00607CBE" w:rsidRDefault="00607CBE" w:rsidP="00607CBE">
            <w:pPr>
              <w:jc w:val="center"/>
              <w:rPr>
                <w:b/>
                <w:sz w:val="20"/>
                <w:szCs w:val="20"/>
              </w:rPr>
            </w:pPr>
            <w:r w:rsidRPr="00607CBE">
              <w:rPr>
                <w:b/>
                <w:sz w:val="20"/>
                <w:szCs w:val="20"/>
              </w:rPr>
              <w:t>A – nová služba</w:t>
            </w:r>
          </w:p>
          <w:p w14:paraId="60BA8A50" w14:textId="77777777" w:rsidR="00607CBE" w:rsidRPr="00607CBE" w:rsidRDefault="00607CBE" w:rsidP="00607CBE">
            <w:pPr>
              <w:jc w:val="center"/>
              <w:rPr>
                <w:i/>
                <w:iCs/>
                <w:sz w:val="20"/>
                <w:szCs w:val="20"/>
              </w:rPr>
            </w:pPr>
            <w:r w:rsidRPr="00607CBE">
              <w:rPr>
                <w:b/>
                <w:sz w:val="20"/>
                <w:szCs w:val="20"/>
              </w:rPr>
              <w:t>B – zmena služby</w:t>
            </w:r>
          </w:p>
        </w:tc>
        <w:tc>
          <w:tcPr>
            <w:tcW w:w="1134" w:type="dxa"/>
            <w:shd w:val="clear" w:color="auto" w:fill="C0C0C0"/>
            <w:vAlign w:val="center"/>
          </w:tcPr>
          <w:p w14:paraId="6F5900FE" w14:textId="77777777" w:rsidR="00607CBE" w:rsidRPr="00607CBE" w:rsidRDefault="00607CBE" w:rsidP="00607CBE">
            <w:pPr>
              <w:rPr>
                <w:sz w:val="20"/>
                <w:szCs w:val="20"/>
              </w:rPr>
            </w:pPr>
            <w:r w:rsidRPr="00607CBE">
              <w:rPr>
                <w:b/>
                <w:sz w:val="20"/>
                <w:szCs w:val="20"/>
              </w:rPr>
              <w:t>Kód koncovej služby</w:t>
            </w:r>
          </w:p>
        </w:tc>
        <w:tc>
          <w:tcPr>
            <w:tcW w:w="1342" w:type="dxa"/>
            <w:gridSpan w:val="2"/>
            <w:shd w:val="clear" w:color="auto" w:fill="C0C0C0"/>
            <w:vAlign w:val="center"/>
          </w:tcPr>
          <w:p w14:paraId="4487F99F" w14:textId="77777777" w:rsidR="00607CBE" w:rsidRPr="00607CBE" w:rsidRDefault="00607CBE" w:rsidP="00607CBE">
            <w:pPr>
              <w:rPr>
                <w:i/>
                <w:iCs/>
                <w:sz w:val="20"/>
                <w:szCs w:val="20"/>
              </w:rPr>
            </w:pPr>
            <w:r w:rsidRPr="00607CBE">
              <w:rPr>
                <w:b/>
                <w:sz w:val="20"/>
                <w:szCs w:val="20"/>
              </w:rPr>
              <w:t>Názov koncovej služby</w:t>
            </w:r>
          </w:p>
        </w:tc>
        <w:tc>
          <w:tcPr>
            <w:tcW w:w="1559" w:type="dxa"/>
            <w:shd w:val="clear" w:color="auto" w:fill="C0C0C0"/>
          </w:tcPr>
          <w:p w14:paraId="2F803196" w14:textId="77777777" w:rsidR="00607CBE" w:rsidRPr="00607CBE" w:rsidRDefault="00607CBE" w:rsidP="00607CBE">
            <w:pPr>
              <w:rPr>
                <w:b/>
                <w:sz w:val="20"/>
                <w:szCs w:val="20"/>
              </w:rPr>
            </w:pPr>
            <w:r w:rsidRPr="00607CBE">
              <w:rPr>
                <w:b/>
                <w:sz w:val="20"/>
                <w:szCs w:val="20"/>
              </w:rPr>
              <w:t>Úroveň elektronizácie</w:t>
            </w:r>
          </w:p>
        </w:tc>
      </w:tr>
      <w:tr w:rsidR="00607CBE" w:rsidRPr="00607CBE" w14:paraId="5655215B" w14:textId="77777777" w:rsidTr="00607CBE">
        <w:trPr>
          <w:trHeight w:val="20"/>
        </w:trPr>
        <w:tc>
          <w:tcPr>
            <w:tcW w:w="3956" w:type="dxa"/>
          </w:tcPr>
          <w:p w14:paraId="34E423EC" w14:textId="77777777" w:rsidR="00607CBE" w:rsidRPr="00607CBE" w:rsidRDefault="00607CBE" w:rsidP="00607CBE">
            <w:pPr>
              <w:rPr>
                <w:sz w:val="20"/>
                <w:szCs w:val="22"/>
              </w:rPr>
            </w:pPr>
            <w:r w:rsidRPr="00607CBE">
              <w:rPr>
                <w:b/>
                <w:sz w:val="20"/>
                <w:szCs w:val="22"/>
              </w:rPr>
              <w:t>6.1.</w:t>
            </w:r>
            <w:r w:rsidRPr="00607CBE">
              <w:rPr>
                <w:sz w:val="20"/>
                <w:szCs w:val="22"/>
              </w:rPr>
              <w:t xml:space="preserve"> Predpokladá predložený návrh zmenu existujúcich koncových služieb verejnej správy alebo vytvorenie nových služieb pre občana alebo podnikateľa?</w:t>
            </w:r>
          </w:p>
        </w:tc>
        <w:tc>
          <w:tcPr>
            <w:tcW w:w="1446" w:type="dxa"/>
          </w:tcPr>
          <w:p w14:paraId="2F42E12A" w14:textId="77777777" w:rsidR="00607CBE" w:rsidRPr="00607CBE" w:rsidRDefault="00607CBE" w:rsidP="00607CBE">
            <w:pPr>
              <w:jc w:val="center"/>
              <w:rPr>
                <w:b/>
                <w:sz w:val="22"/>
                <w:szCs w:val="22"/>
              </w:rPr>
            </w:pPr>
            <w:r w:rsidRPr="00607CBE">
              <w:rPr>
                <w:b/>
                <w:sz w:val="22"/>
                <w:szCs w:val="22"/>
              </w:rPr>
              <w:t>B</w:t>
            </w:r>
          </w:p>
        </w:tc>
        <w:tc>
          <w:tcPr>
            <w:tcW w:w="1134" w:type="dxa"/>
          </w:tcPr>
          <w:p w14:paraId="33C4C639" w14:textId="77777777" w:rsidR="00607CBE" w:rsidRPr="00607CBE" w:rsidRDefault="00607CBE" w:rsidP="00607CBE">
            <w:pPr>
              <w:jc w:val="center"/>
              <w:rPr>
                <w:b/>
                <w:sz w:val="22"/>
                <w:szCs w:val="22"/>
              </w:rPr>
            </w:pPr>
            <w:r w:rsidRPr="00607CBE">
              <w:rPr>
                <w:b/>
                <w:sz w:val="22"/>
                <w:szCs w:val="22"/>
              </w:rPr>
              <w:t>As_56737</w:t>
            </w:r>
          </w:p>
          <w:p w14:paraId="1EF55ADE" w14:textId="77777777" w:rsidR="00607CBE" w:rsidRPr="00607CBE" w:rsidRDefault="00607CBE" w:rsidP="00607CBE">
            <w:pPr>
              <w:jc w:val="center"/>
              <w:rPr>
                <w:i/>
                <w:iCs/>
              </w:rPr>
            </w:pPr>
          </w:p>
          <w:p w14:paraId="45ABA82D" w14:textId="77777777" w:rsidR="00607CBE" w:rsidRPr="00607CBE" w:rsidRDefault="00607CBE" w:rsidP="00607CBE">
            <w:pPr>
              <w:jc w:val="center"/>
              <w:rPr>
                <w:i/>
                <w:iCs/>
              </w:rPr>
            </w:pPr>
          </w:p>
          <w:p w14:paraId="655FA2A8" w14:textId="77777777" w:rsidR="00607CBE" w:rsidRPr="00607CBE" w:rsidRDefault="00607CBE" w:rsidP="00607CBE">
            <w:pPr>
              <w:jc w:val="center"/>
              <w:rPr>
                <w:b/>
                <w:sz w:val="22"/>
                <w:szCs w:val="22"/>
              </w:rPr>
            </w:pPr>
          </w:p>
        </w:tc>
        <w:tc>
          <w:tcPr>
            <w:tcW w:w="1342" w:type="dxa"/>
            <w:gridSpan w:val="2"/>
          </w:tcPr>
          <w:p w14:paraId="20EFFED8" w14:textId="77777777" w:rsidR="00607CBE" w:rsidRPr="00607CBE" w:rsidRDefault="00607CBE" w:rsidP="00607CBE">
            <w:pPr>
              <w:jc w:val="both"/>
              <w:rPr>
                <w:b/>
                <w:sz w:val="22"/>
                <w:szCs w:val="22"/>
              </w:rPr>
            </w:pPr>
            <w:r w:rsidRPr="00607CBE">
              <w:rPr>
                <w:b/>
                <w:sz w:val="22"/>
                <w:szCs w:val="22"/>
              </w:rPr>
              <w:t>Sprístupnenie údajov účtovnej závierky účtovnej jednotky (cez verejné API)</w:t>
            </w:r>
          </w:p>
        </w:tc>
        <w:tc>
          <w:tcPr>
            <w:tcW w:w="1559" w:type="dxa"/>
          </w:tcPr>
          <w:p w14:paraId="321068F4" w14:textId="77777777" w:rsidR="00607CBE" w:rsidRPr="00607CBE" w:rsidRDefault="00607CBE" w:rsidP="00607CBE">
            <w:pPr>
              <w:rPr>
                <w:b/>
                <w:i/>
                <w:sz w:val="22"/>
                <w:szCs w:val="22"/>
              </w:rPr>
            </w:pPr>
          </w:p>
          <w:p w14:paraId="3A97333B" w14:textId="77777777" w:rsidR="00607CBE" w:rsidRPr="00607CBE" w:rsidRDefault="00607CBE" w:rsidP="00607CBE">
            <w:pPr>
              <w:jc w:val="center"/>
              <w:rPr>
                <w:b/>
                <w:sz w:val="22"/>
                <w:szCs w:val="22"/>
              </w:rPr>
            </w:pPr>
          </w:p>
          <w:p w14:paraId="55952910" w14:textId="77777777" w:rsidR="00607CBE" w:rsidRPr="00607CBE" w:rsidRDefault="00607CBE" w:rsidP="00607CBE">
            <w:pPr>
              <w:jc w:val="center"/>
              <w:rPr>
                <w:b/>
                <w:sz w:val="22"/>
                <w:szCs w:val="22"/>
              </w:rPr>
            </w:pPr>
            <w:r w:rsidRPr="00607CBE">
              <w:rPr>
                <w:b/>
                <w:sz w:val="22"/>
                <w:szCs w:val="22"/>
              </w:rPr>
              <w:t>4</w:t>
            </w:r>
          </w:p>
        </w:tc>
      </w:tr>
      <w:tr w:rsidR="00607CBE" w:rsidRPr="00607CBE" w14:paraId="3F1D5CC3" w14:textId="77777777" w:rsidTr="00607CBE">
        <w:trPr>
          <w:trHeight w:val="20"/>
        </w:trPr>
        <w:tc>
          <w:tcPr>
            <w:tcW w:w="3956" w:type="dxa"/>
          </w:tcPr>
          <w:p w14:paraId="1AED7208" w14:textId="77777777" w:rsidR="00607CBE" w:rsidRPr="00607CBE" w:rsidRDefault="00607CBE" w:rsidP="00607CBE">
            <w:pPr>
              <w:rPr>
                <w:b/>
                <w:sz w:val="20"/>
                <w:szCs w:val="22"/>
              </w:rPr>
            </w:pPr>
          </w:p>
        </w:tc>
        <w:tc>
          <w:tcPr>
            <w:tcW w:w="1446" w:type="dxa"/>
          </w:tcPr>
          <w:p w14:paraId="223C6BCF" w14:textId="77777777" w:rsidR="00607CBE" w:rsidRPr="00607CBE" w:rsidRDefault="00607CBE" w:rsidP="00607CBE">
            <w:pPr>
              <w:jc w:val="center"/>
              <w:rPr>
                <w:b/>
                <w:sz w:val="22"/>
                <w:szCs w:val="22"/>
              </w:rPr>
            </w:pPr>
            <w:r w:rsidRPr="00607CBE">
              <w:rPr>
                <w:b/>
                <w:sz w:val="22"/>
                <w:szCs w:val="22"/>
              </w:rPr>
              <w:t>B</w:t>
            </w:r>
          </w:p>
        </w:tc>
        <w:tc>
          <w:tcPr>
            <w:tcW w:w="1134" w:type="dxa"/>
          </w:tcPr>
          <w:p w14:paraId="0300A1F2" w14:textId="77777777" w:rsidR="00607CBE" w:rsidRPr="00607CBE" w:rsidRDefault="00607CBE" w:rsidP="00607CBE">
            <w:pPr>
              <w:jc w:val="center"/>
              <w:rPr>
                <w:b/>
                <w:sz w:val="22"/>
                <w:szCs w:val="22"/>
              </w:rPr>
            </w:pPr>
            <w:r w:rsidRPr="00607CBE">
              <w:rPr>
                <w:i/>
                <w:iCs/>
              </w:rPr>
              <w:t>As_56216</w:t>
            </w:r>
          </w:p>
        </w:tc>
        <w:tc>
          <w:tcPr>
            <w:tcW w:w="1342" w:type="dxa"/>
            <w:gridSpan w:val="2"/>
          </w:tcPr>
          <w:p w14:paraId="4A5167CD" w14:textId="77777777" w:rsidR="00607CBE" w:rsidRPr="00607CBE" w:rsidRDefault="00607CBE" w:rsidP="00607CBE">
            <w:pPr>
              <w:jc w:val="both"/>
              <w:rPr>
                <w:b/>
                <w:sz w:val="22"/>
                <w:szCs w:val="22"/>
              </w:rPr>
            </w:pPr>
            <w:r w:rsidRPr="00607CBE">
              <w:rPr>
                <w:b/>
                <w:sz w:val="22"/>
                <w:szCs w:val="22"/>
              </w:rPr>
              <w:t>Prijatie účtovnej závierky a nepovinných súčastí k UZ</w:t>
            </w:r>
          </w:p>
        </w:tc>
        <w:tc>
          <w:tcPr>
            <w:tcW w:w="1559" w:type="dxa"/>
          </w:tcPr>
          <w:p w14:paraId="300807BB" w14:textId="77777777" w:rsidR="00607CBE" w:rsidRPr="00607CBE" w:rsidRDefault="00607CBE" w:rsidP="00607CBE">
            <w:pPr>
              <w:jc w:val="center"/>
              <w:rPr>
                <w:b/>
                <w:sz w:val="22"/>
                <w:szCs w:val="22"/>
              </w:rPr>
            </w:pPr>
            <w:r w:rsidRPr="00607CBE">
              <w:rPr>
                <w:b/>
                <w:sz w:val="22"/>
                <w:szCs w:val="22"/>
              </w:rPr>
              <w:t>4</w:t>
            </w:r>
          </w:p>
        </w:tc>
      </w:tr>
      <w:tr w:rsidR="00607CBE" w:rsidRPr="00607CBE" w14:paraId="5FDC98E6" w14:textId="77777777" w:rsidTr="00607CBE">
        <w:trPr>
          <w:trHeight w:val="20"/>
        </w:trPr>
        <w:tc>
          <w:tcPr>
            <w:tcW w:w="3956" w:type="dxa"/>
            <w:shd w:val="clear" w:color="auto" w:fill="C0C0C0"/>
            <w:vAlign w:val="center"/>
          </w:tcPr>
          <w:p w14:paraId="647C77C9" w14:textId="77777777" w:rsidR="00607CBE" w:rsidRPr="00607CBE" w:rsidRDefault="00607CBE" w:rsidP="00607CBE">
            <w:pPr>
              <w:jc w:val="center"/>
              <w:rPr>
                <w:b/>
                <w:sz w:val="20"/>
                <w:szCs w:val="20"/>
              </w:rPr>
            </w:pPr>
            <w:r w:rsidRPr="00607CBE">
              <w:rPr>
                <w:b/>
                <w:sz w:val="20"/>
                <w:szCs w:val="20"/>
              </w:rPr>
              <w:t>Aplikačná a technologická vrstva</w:t>
            </w:r>
          </w:p>
        </w:tc>
        <w:tc>
          <w:tcPr>
            <w:tcW w:w="1446" w:type="dxa"/>
            <w:shd w:val="clear" w:color="auto" w:fill="C0C0C0"/>
          </w:tcPr>
          <w:p w14:paraId="160C36C9" w14:textId="77777777" w:rsidR="00607CBE" w:rsidRPr="00607CBE" w:rsidRDefault="00607CBE" w:rsidP="00607CBE">
            <w:pPr>
              <w:jc w:val="center"/>
              <w:rPr>
                <w:b/>
                <w:sz w:val="20"/>
                <w:szCs w:val="20"/>
              </w:rPr>
            </w:pPr>
            <w:r w:rsidRPr="00607CBE">
              <w:rPr>
                <w:b/>
                <w:sz w:val="20"/>
                <w:szCs w:val="20"/>
              </w:rPr>
              <w:t>A – nový systém</w:t>
            </w:r>
          </w:p>
          <w:p w14:paraId="6D9E6B8C" w14:textId="77777777" w:rsidR="00607CBE" w:rsidRPr="00607CBE" w:rsidRDefault="00607CBE" w:rsidP="00607CBE">
            <w:pPr>
              <w:jc w:val="center"/>
              <w:rPr>
                <w:b/>
                <w:sz w:val="20"/>
                <w:szCs w:val="20"/>
              </w:rPr>
            </w:pPr>
            <w:r w:rsidRPr="00607CBE">
              <w:rPr>
                <w:b/>
                <w:sz w:val="20"/>
                <w:szCs w:val="20"/>
              </w:rPr>
              <w:t>B – zmena systému</w:t>
            </w:r>
          </w:p>
        </w:tc>
        <w:tc>
          <w:tcPr>
            <w:tcW w:w="1134" w:type="dxa"/>
            <w:shd w:val="clear" w:color="auto" w:fill="C0C0C0"/>
            <w:vAlign w:val="center"/>
          </w:tcPr>
          <w:p w14:paraId="7190D257" w14:textId="77777777" w:rsidR="00607CBE" w:rsidRPr="00607CBE" w:rsidRDefault="00607CBE" w:rsidP="00607CBE">
            <w:pPr>
              <w:jc w:val="center"/>
              <w:rPr>
                <w:b/>
                <w:sz w:val="20"/>
                <w:szCs w:val="20"/>
              </w:rPr>
            </w:pPr>
            <w:r w:rsidRPr="00607CBE">
              <w:rPr>
                <w:b/>
                <w:sz w:val="20"/>
                <w:szCs w:val="20"/>
              </w:rPr>
              <w:t>Kód systému</w:t>
            </w:r>
          </w:p>
        </w:tc>
        <w:tc>
          <w:tcPr>
            <w:tcW w:w="1342" w:type="dxa"/>
            <w:gridSpan w:val="2"/>
            <w:shd w:val="clear" w:color="auto" w:fill="C0C0C0"/>
            <w:vAlign w:val="center"/>
          </w:tcPr>
          <w:p w14:paraId="5BE256CE" w14:textId="77777777" w:rsidR="00607CBE" w:rsidRPr="00607CBE" w:rsidRDefault="00607CBE" w:rsidP="00607CBE">
            <w:pPr>
              <w:jc w:val="center"/>
              <w:rPr>
                <w:b/>
                <w:sz w:val="20"/>
                <w:szCs w:val="20"/>
              </w:rPr>
            </w:pPr>
            <w:r w:rsidRPr="00607CBE">
              <w:rPr>
                <w:b/>
                <w:sz w:val="20"/>
                <w:szCs w:val="20"/>
              </w:rPr>
              <w:t>Názov systému</w:t>
            </w:r>
          </w:p>
        </w:tc>
        <w:tc>
          <w:tcPr>
            <w:tcW w:w="1559" w:type="dxa"/>
            <w:shd w:val="clear" w:color="auto" w:fill="C0C0C0"/>
            <w:vAlign w:val="center"/>
          </w:tcPr>
          <w:p w14:paraId="1528F8C7" w14:textId="77777777" w:rsidR="00607CBE" w:rsidRPr="00607CBE" w:rsidRDefault="00607CBE" w:rsidP="00607CBE">
            <w:pPr>
              <w:jc w:val="center"/>
              <w:rPr>
                <w:b/>
                <w:sz w:val="20"/>
                <w:szCs w:val="20"/>
              </w:rPr>
            </w:pPr>
            <w:r w:rsidRPr="00607CBE">
              <w:rPr>
                <w:b/>
                <w:sz w:val="20"/>
                <w:szCs w:val="20"/>
              </w:rPr>
              <w:t xml:space="preserve">Vo vládnom </w:t>
            </w:r>
            <w:proofErr w:type="spellStart"/>
            <w:r w:rsidRPr="00607CBE">
              <w:rPr>
                <w:b/>
                <w:sz w:val="20"/>
                <w:szCs w:val="20"/>
              </w:rPr>
              <w:t>cloude</w:t>
            </w:r>
            <w:proofErr w:type="spellEnd"/>
            <w:r w:rsidRPr="00607CBE">
              <w:rPr>
                <w:b/>
                <w:sz w:val="20"/>
                <w:szCs w:val="20"/>
              </w:rPr>
              <w:t xml:space="preserve"> – áno / nie</w:t>
            </w:r>
          </w:p>
        </w:tc>
      </w:tr>
      <w:tr w:rsidR="00607CBE" w:rsidRPr="00607CBE" w14:paraId="13F40138" w14:textId="77777777" w:rsidTr="00607CBE">
        <w:trPr>
          <w:trHeight w:val="20"/>
        </w:trPr>
        <w:tc>
          <w:tcPr>
            <w:tcW w:w="3956" w:type="dxa"/>
          </w:tcPr>
          <w:p w14:paraId="2CE288A5" w14:textId="77777777" w:rsidR="00607CBE" w:rsidRPr="00607CBE" w:rsidRDefault="00607CBE" w:rsidP="00607CBE">
            <w:r w:rsidRPr="00607CBE">
              <w:rPr>
                <w:b/>
                <w:sz w:val="20"/>
                <w:szCs w:val="20"/>
              </w:rPr>
              <w:t>6.2.</w:t>
            </w:r>
            <w:r w:rsidRPr="00607CBE">
              <w:rPr>
                <w:sz w:val="20"/>
                <w:szCs w:val="20"/>
              </w:rPr>
              <w:t xml:space="preserve"> Predpokladá predložený návrh zmenu existujúceho alebo vytvorenie nového informačného systému verejnej správy? Predpokladá správca umiestnenie informačného systému vo vládnom </w:t>
            </w:r>
            <w:proofErr w:type="spellStart"/>
            <w:r w:rsidRPr="00607CBE">
              <w:rPr>
                <w:sz w:val="20"/>
                <w:szCs w:val="20"/>
              </w:rPr>
              <w:t>cloude</w:t>
            </w:r>
            <w:proofErr w:type="spellEnd"/>
            <w:r w:rsidRPr="00607CBE">
              <w:rPr>
                <w:sz w:val="20"/>
                <w:szCs w:val="20"/>
              </w:rPr>
              <w:t>?</w:t>
            </w:r>
          </w:p>
        </w:tc>
        <w:tc>
          <w:tcPr>
            <w:tcW w:w="1446" w:type="dxa"/>
          </w:tcPr>
          <w:p w14:paraId="09A0FAA9" w14:textId="77777777" w:rsidR="00607CBE" w:rsidRPr="00607CBE" w:rsidRDefault="00607CBE" w:rsidP="00607CBE">
            <w:pPr>
              <w:rPr>
                <w:i/>
                <w:iCs/>
              </w:rPr>
            </w:pPr>
            <w:r w:rsidRPr="00607CBE">
              <w:rPr>
                <w:i/>
                <w:iCs/>
              </w:rPr>
              <w:t>B</w:t>
            </w:r>
          </w:p>
        </w:tc>
        <w:tc>
          <w:tcPr>
            <w:tcW w:w="1134" w:type="dxa"/>
          </w:tcPr>
          <w:p w14:paraId="7FBCDB44" w14:textId="77777777" w:rsidR="00607CBE" w:rsidRPr="00607CBE" w:rsidRDefault="00607CBE" w:rsidP="00607CBE">
            <w:pPr>
              <w:rPr>
                <w:i/>
                <w:iCs/>
              </w:rPr>
            </w:pPr>
            <w:r w:rsidRPr="00607CBE">
              <w:rPr>
                <w:i/>
                <w:iCs/>
              </w:rPr>
              <w:t>isvs_7238</w:t>
            </w:r>
          </w:p>
          <w:p w14:paraId="0B34B08C" w14:textId="77777777" w:rsidR="00607CBE" w:rsidRPr="00607CBE" w:rsidRDefault="00607CBE" w:rsidP="00607CBE">
            <w:pPr>
              <w:rPr>
                <w:i/>
                <w:iCs/>
              </w:rPr>
            </w:pPr>
          </w:p>
          <w:p w14:paraId="7F65B39C" w14:textId="77777777" w:rsidR="00607CBE" w:rsidRPr="00607CBE" w:rsidRDefault="00607CBE" w:rsidP="00607CBE">
            <w:pPr>
              <w:rPr>
                <w:i/>
                <w:iCs/>
              </w:rPr>
            </w:pPr>
          </w:p>
          <w:p w14:paraId="7BA8762F" w14:textId="77777777" w:rsidR="00607CBE" w:rsidRPr="00607CBE" w:rsidRDefault="00607CBE" w:rsidP="00607CBE">
            <w:pPr>
              <w:rPr>
                <w:i/>
                <w:iCs/>
              </w:rPr>
            </w:pPr>
          </w:p>
          <w:p w14:paraId="08CAD580" w14:textId="77777777" w:rsidR="00607CBE" w:rsidRPr="00607CBE" w:rsidRDefault="00607CBE" w:rsidP="00607CBE">
            <w:pPr>
              <w:rPr>
                <w:i/>
                <w:iCs/>
              </w:rPr>
            </w:pPr>
          </w:p>
          <w:p w14:paraId="686D3CAE" w14:textId="77777777" w:rsidR="00607CBE" w:rsidRPr="00607CBE" w:rsidRDefault="00607CBE" w:rsidP="00607CBE">
            <w:pPr>
              <w:rPr>
                <w:i/>
                <w:iCs/>
              </w:rPr>
            </w:pPr>
            <w:r w:rsidRPr="00607CBE">
              <w:rPr>
                <w:i/>
                <w:iCs/>
              </w:rPr>
              <w:t>isvs_45</w:t>
            </w:r>
          </w:p>
          <w:p w14:paraId="41BDCD5B" w14:textId="77777777" w:rsidR="00607CBE" w:rsidRPr="00607CBE" w:rsidRDefault="00607CBE" w:rsidP="00607CBE">
            <w:pPr>
              <w:rPr>
                <w:i/>
                <w:iCs/>
              </w:rPr>
            </w:pPr>
          </w:p>
          <w:p w14:paraId="297BF659" w14:textId="77777777" w:rsidR="00607CBE" w:rsidRPr="00607CBE" w:rsidRDefault="00607CBE" w:rsidP="00607CBE">
            <w:pPr>
              <w:rPr>
                <w:i/>
                <w:iCs/>
              </w:rPr>
            </w:pPr>
          </w:p>
          <w:p w14:paraId="13A68974" w14:textId="77777777" w:rsidR="00607CBE" w:rsidRPr="00607CBE" w:rsidRDefault="00607CBE" w:rsidP="00607CBE">
            <w:pPr>
              <w:rPr>
                <w:i/>
                <w:iCs/>
              </w:rPr>
            </w:pPr>
          </w:p>
          <w:p w14:paraId="76F3E7CD" w14:textId="77777777" w:rsidR="00607CBE" w:rsidRPr="00607CBE" w:rsidRDefault="00607CBE" w:rsidP="00607CBE">
            <w:pPr>
              <w:rPr>
                <w:i/>
                <w:iCs/>
              </w:rPr>
            </w:pPr>
            <w:r w:rsidRPr="00607CBE">
              <w:rPr>
                <w:i/>
                <w:iCs/>
              </w:rPr>
              <w:t>isvs_7213</w:t>
            </w:r>
          </w:p>
        </w:tc>
        <w:tc>
          <w:tcPr>
            <w:tcW w:w="1342" w:type="dxa"/>
            <w:gridSpan w:val="2"/>
          </w:tcPr>
          <w:p w14:paraId="06109A50" w14:textId="77777777" w:rsidR="00607CBE" w:rsidRPr="00607CBE" w:rsidRDefault="00607CBE" w:rsidP="00607CBE">
            <w:pPr>
              <w:rPr>
                <w:iCs/>
              </w:rPr>
            </w:pPr>
            <w:r w:rsidRPr="00607CBE">
              <w:rPr>
                <w:iCs/>
              </w:rPr>
              <w:t>Register účtovných závierok (</w:t>
            </w:r>
            <w:hyperlink r:id="rId19" w:history="1">
              <w:r w:rsidRPr="00607CBE">
                <w:rPr>
                  <w:iCs/>
                </w:rPr>
                <w:t>www.registeruz.sk</w:t>
              </w:r>
            </w:hyperlink>
            <w:r w:rsidRPr="00607CBE">
              <w:rPr>
                <w:iCs/>
              </w:rPr>
              <w:t>)</w:t>
            </w:r>
          </w:p>
          <w:p w14:paraId="45FCA5D6" w14:textId="77777777" w:rsidR="00607CBE" w:rsidRPr="00607CBE" w:rsidRDefault="00607CBE" w:rsidP="00607CBE">
            <w:pPr>
              <w:rPr>
                <w:i/>
                <w:iCs/>
              </w:rPr>
            </w:pPr>
            <w:r w:rsidRPr="00607CBE">
              <w:rPr>
                <w:i/>
                <w:iCs/>
              </w:rPr>
              <w:t>Rozpočtový informačný systém (RIS)</w:t>
            </w:r>
          </w:p>
          <w:p w14:paraId="0872D41E" w14:textId="77777777" w:rsidR="00607CBE" w:rsidRPr="00607CBE" w:rsidRDefault="00607CBE" w:rsidP="00607CBE">
            <w:pPr>
              <w:rPr>
                <w:i/>
                <w:iCs/>
              </w:rPr>
            </w:pPr>
            <w:r w:rsidRPr="00607CBE">
              <w:rPr>
                <w:i/>
                <w:iCs/>
              </w:rPr>
              <w:t>Portál Finančnej správy (PFS)</w:t>
            </w:r>
          </w:p>
        </w:tc>
        <w:tc>
          <w:tcPr>
            <w:tcW w:w="1559" w:type="dxa"/>
          </w:tcPr>
          <w:p w14:paraId="3840406A" w14:textId="77777777" w:rsidR="00607CBE" w:rsidRPr="00607CBE" w:rsidRDefault="00607CBE" w:rsidP="00607CBE">
            <w:pPr>
              <w:rPr>
                <w:i/>
                <w:iCs/>
              </w:rPr>
            </w:pPr>
            <w:r w:rsidRPr="00607CBE">
              <w:rPr>
                <w:i/>
                <w:iCs/>
              </w:rPr>
              <w:t>nie</w:t>
            </w:r>
          </w:p>
        </w:tc>
      </w:tr>
      <w:tr w:rsidR="00607CBE" w:rsidRPr="00607CBE" w14:paraId="2230C6FB" w14:textId="77777777" w:rsidTr="00607CBE">
        <w:trPr>
          <w:trHeight w:val="20"/>
        </w:trPr>
        <w:tc>
          <w:tcPr>
            <w:tcW w:w="3956" w:type="dxa"/>
            <w:shd w:val="clear" w:color="auto" w:fill="BFBFBF"/>
            <w:vAlign w:val="center"/>
          </w:tcPr>
          <w:p w14:paraId="12DF8B9A" w14:textId="77777777" w:rsidR="00607CBE" w:rsidRPr="00607CBE" w:rsidRDefault="00607CBE" w:rsidP="00607CBE">
            <w:pPr>
              <w:spacing w:line="20" w:lineRule="atLeast"/>
              <w:ind w:hanging="55"/>
              <w:jc w:val="center"/>
              <w:rPr>
                <w:b/>
                <w:sz w:val="20"/>
                <w:szCs w:val="20"/>
              </w:rPr>
            </w:pPr>
            <w:r w:rsidRPr="00607CBE">
              <w:rPr>
                <w:b/>
                <w:sz w:val="20"/>
                <w:szCs w:val="20"/>
              </w:rPr>
              <w:t>Financovanie procesu informatizácie</w:t>
            </w:r>
          </w:p>
        </w:tc>
        <w:tc>
          <w:tcPr>
            <w:tcW w:w="1446" w:type="dxa"/>
            <w:shd w:val="clear" w:color="auto" w:fill="BFBFBF"/>
            <w:vAlign w:val="center"/>
          </w:tcPr>
          <w:p w14:paraId="24FB46A6" w14:textId="77777777" w:rsidR="00607CBE" w:rsidRPr="00607CBE" w:rsidRDefault="00607CBE" w:rsidP="00607CBE">
            <w:pPr>
              <w:jc w:val="center"/>
              <w:rPr>
                <w:b/>
                <w:i/>
                <w:iCs/>
                <w:sz w:val="20"/>
                <w:szCs w:val="20"/>
              </w:rPr>
            </w:pPr>
            <w:r w:rsidRPr="00607CBE">
              <w:rPr>
                <w:b/>
                <w:sz w:val="20"/>
                <w:szCs w:val="20"/>
              </w:rPr>
              <w:t>Rezortná úroveň</w:t>
            </w:r>
          </w:p>
        </w:tc>
        <w:tc>
          <w:tcPr>
            <w:tcW w:w="1984" w:type="dxa"/>
            <w:gridSpan w:val="2"/>
            <w:shd w:val="clear" w:color="auto" w:fill="BFBFBF"/>
            <w:vAlign w:val="center"/>
          </w:tcPr>
          <w:p w14:paraId="56D20E84" w14:textId="77777777" w:rsidR="00607CBE" w:rsidRPr="00607CBE" w:rsidRDefault="00607CBE" w:rsidP="00607CBE">
            <w:pPr>
              <w:jc w:val="center"/>
              <w:rPr>
                <w:b/>
                <w:i/>
                <w:iCs/>
                <w:sz w:val="20"/>
                <w:szCs w:val="20"/>
              </w:rPr>
            </w:pPr>
            <w:r w:rsidRPr="00607CBE">
              <w:rPr>
                <w:b/>
                <w:sz w:val="20"/>
                <w:szCs w:val="20"/>
              </w:rPr>
              <w:t>Nadrezortná úroveň</w:t>
            </w:r>
          </w:p>
          <w:p w14:paraId="5383D158" w14:textId="77777777" w:rsidR="00607CBE" w:rsidRPr="00607CBE" w:rsidRDefault="00607CBE" w:rsidP="00607CBE">
            <w:pPr>
              <w:jc w:val="center"/>
              <w:rPr>
                <w:b/>
                <w:sz w:val="20"/>
                <w:szCs w:val="20"/>
              </w:rPr>
            </w:pPr>
          </w:p>
        </w:tc>
        <w:tc>
          <w:tcPr>
            <w:tcW w:w="2051" w:type="dxa"/>
            <w:gridSpan w:val="2"/>
            <w:shd w:val="clear" w:color="auto" w:fill="BFBFBF"/>
            <w:vAlign w:val="center"/>
          </w:tcPr>
          <w:p w14:paraId="0302EC52" w14:textId="77777777" w:rsidR="00607CBE" w:rsidRPr="00607CBE" w:rsidRDefault="00607CBE" w:rsidP="00607CBE">
            <w:pPr>
              <w:rPr>
                <w:b/>
                <w:sz w:val="20"/>
                <w:szCs w:val="20"/>
              </w:rPr>
            </w:pPr>
            <w:r w:rsidRPr="00607CBE">
              <w:rPr>
                <w:b/>
                <w:sz w:val="20"/>
                <w:szCs w:val="20"/>
              </w:rPr>
              <w:t>A - z prostriedkov EÚ   B - z ďalších zdrojov financovania</w:t>
            </w:r>
          </w:p>
        </w:tc>
      </w:tr>
      <w:tr w:rsidR="00607CBE" w:rsidRPr="00607CBE" w14:paraId="7828026E" w14:textId="77777777" w:rsidTr="00607CBE">
        <w:trPr>
          <w:trHeight w:val="20"/>
        </w:trPr>
        <w:tc>
          <w:tcPr>
            <w:tcW w:w="3956" w:type="dxa"/>
            <w:tcBorders>
              <w:bottom w:val="single" w:sz="4" w:space="0" w:color="auto"/>
            </w:tcBorders>
          </w:tcPr>
          <w:p w14:paraId="444E3FB6" w14:textId="77777777" w:rsidR="00607CBE" w:rsidRPr="00607CBE" w:rsidRDefault="00607CBE" w:rsidP="00607CBE">
            <w:pPr>
              <w:jc w:val="both"/>
              <w:rPr>
                <w:sz w:val="20"/>
                <w:szCs w:val="22"/>
              </w:rPr>
            </w:pPr>
            <w:r w:rsidRPr="00607CBE">
              <w:rPr>
                <w:b/>
                <w:sz w:val="20"/>
                <w:szCs w:val="22"/>
              </w:rPr>
              <w:t>6.3.</w:t>
            </w:r>
            <w:r w:rsidRPr="00607CBE">
              <w:rPr>
                <w:sz w:val="20"/>
                <w:szCs w:val="22"/>
              </w:rPr>
              <w:t xml:space="preserve"> Vyžaduje si proces informatizácie  finančné investície?</w:t>
            </w:r>
          </w:p>
          <w:p w14:paraId="08EF0043" w14:textId="77777777" w:rsidR="00607CBE" w:rsidRPr="00607CBE" w:rsidRDefault="00607CBE" w:rsidP="00607CBE">
            <w:pPr>
              <w:spacing w:line="20" w:lineRule="atLeast"/>
              <w:jc w:val="both"/>
            </w:pPr>
            <w:r w:rsidRPr="00607CBE">
              <w:rPr>
                <w:i/>
                <w:iCs/>
                <w:sz w:val="20"/>
                <w:szCs w:val="22"/>
              </w:rPr>
              <w:t>(Uveďte príslušnú úroveň financovania a kvantifikáciu finančných výdavkov uveďte  v analýze vplyvov na rozpočet verejnej správy.)</w:t>
            </w:r>
          </w:p>
        </w:tc>
        <w:tc>
          <w:tcPr>
            <w:tcW w:w="1446" w:type="dxa"/>
            <w:tcBorders>
              <w:bottom w:val="single" w:sz="4" w:space="0" w:color="auto"/>
            </w:tcBorders>
          </w:tcPr>
          <w:p w14:paraId="53E9C755" w14:textId="77777777" w:rsidR="00607CBE" w:rsidRPr="00607CBE" w:rsidRDefault="00607CBE" w:rsidP="00607CBE">
            <w:pPr>
              <w:rPr>
                <w:i/>
                <w:iCs/>
              </w:rPr>
            </w:pPr>
            <w:r w:rsidRPr="00607CBE">
              <w:rPr>
                <w:i/>
                <w:iCs/>
              </w:rPr>
              <w:t>x</w:t>
            </w:r>
          </w:p>
        </w:tc>
        <w:tc>
          <w:tcPr>
            <w:tcW w:w="1984" w:type="dxa"/>
            <w:gridSpan w:val="2"/>
            <w:tcBorders>
              <w:bottom w:val="single" w:sz="4" w:space="0" w:color="auto"/>
            </w:tcBorders>
          </w:tcPr>
          <w:p w14:paraId="4A90DC2C" w14:textId="77777777" w:rsidR="00607CBE" w:rsidRPr="00607CBE" w:rsidRDefault="00607CBE" w:rsidP="00607CBE">
            <w:pPr>
              <w:rPr>
                <w:i/>
                <w:iCs/>
              </w:rPr>
            </w:pPr>
          </w:p>
        </w:tc>
        <w:tc>
          <w:tcPr>
            <w:tcW w:w="2051" w:type="dxa"/>
            <w:gridSpan w:val="2"/>
            <w:tcBorders>
              <w:bottom w:val="single" w:sz="4" w:space="0" w:color="auto"/>
            </w:tcBorders>
          </w:tcPr>
          <w:p w14:paraId="325B6B16" w14:textId="77777777" w:rsidR="00607CBE" w:rsidRPr="00607CBE" w:rsidRDefault="00607CBE" w:rsidP="00607CBE">
            <w:pPr>
              <w:rPr>
                <w:i/>
                <w:iCs/>
              </w:rPr>
            </w:pPr>
            <w:r w:rsidRPr="00607CBE">
              <w:rPr>
                <w:i/>
                <w:iCs/>
              </w:rPr>
              <w:t>B</w:t>
            </w:r>
          </w:p>
        </w:tc>
      </w:tr>
      <w:tr w:rsidR="00607CBE" w:rsidRPr="00607CBE" w14:paraId="33EF5CC3" w14:textId="77777777" w:rsidTr="00607CBE">
        <w:trPr>
          <w:trHeight w:val="20"/>
        </w:trPr>
        <w:tc>
          <w:tcPr>
            <w:tcW w:w="9437" w:type="dxa"/>
            <w:gridSpan w:val="6"/>
            <w:shd w:val="pct25" w:color="auto" w:fill="auto"/>
          </w:tcPr>
          <w:p w14:paraId="31F23531" w14:textId="77777777" w:rsidR="00607CBE" w:rsidRPr="00607CBE" w:rsidRDefault="00607CBE" w:rsidP="00607CBE">
            <w:pPr>
              <w:spacing w:line="20" w:lineRule="atLeast"/>
              <w:ind w:hanging="55"/>
              <w:jc w:val="center"/>
              <w:rPr>
                <w:i/>
                <w:iCs/>
                <w:highlight w:val="darkGray"/>
              </w:rPr>
            </w:pPr>
            <w:r w:rsidRPr="00607CBE">
              <w:rPr>
                <w:b/>
              </w:rPr>
              <w:t>Zjednodušenie prístupu ku konaniu a odstraňovanie byrokracie</w:t>
            </w:r>
          </w:p>
        </w:tc>
      </w:tr>
      <w:tr w:rsidR="00607CBE" w:rsidRPr="00607CBE" w14:paraId="5883DB91" w14:textId="77777777" w:rsidTr="00607CBE">
        <w:trPr>
          <w:trHeight w:val="20"/>
        </w:trPr>
        <w:tc>
          <w:tcPr>
            <w:tcW w:w="9437" w:type="dxa"/>
            <w:gridSpan w:val="6"/>
            <w:shd w:val="pct25" w:color="auto" w:fill="auto"/>
          </w:tcPr>
          <w:p w14:paraId="00C67504" w14:textId="77777777" w:rsidR="00607CBE" w:rsidRPr="00607CBE" w:rsidRDefault="00607CBE" w:rsidP="00607CBE">
            <w:pPr>
              <w:spacing w:line="20" w:lineRule="atLeast"/>
              <w:ind w:hanging="55"/>
              <w:jc w:val="center"/>
              <w:rPr>
                <w:b/>
                <w:sz w:val="20"/>
                <w:szCs w:val="20"/>
              </w:rPr>
            </w:pPr>
            <w:r w:rsidRPr="00607CBE">
              <w:rPr>
                <w:b/>
                <w:sz w:val="20"/>
                <w:szCs w:val="20"/>
              </w:rPr>
              <w:t>Elektronické konanie</w:t>
            </w:r>
          </w:p>
        </w:tc>
      </w:tr>
      <w:tr w:rsidR="00607CBE" w:rsidRPr="00607CBE" w14:paraId="1C825525" w14:textId="77777777" w:rsidTr="00607CBE">
        <w:trPr>
          <w:trHeight w:val="20"/>
        </w:trPr>
        <w:tc>
          <w:tcPr>
            <w:tcW w:w="3956" w:type="dxa"/>
          </w:tcPr>
          <w:p w14:paraId="558B1D98" w14:textId="77777777" w:rsidR="00607CBE" w:rsidRPr="00607CBE" w:rsidRDefault="00607CBE" w:rsidP="00607CBE">
            <w:pPr>
              <w:jc w:val="both"/>
              <w:rPr>
                <w:b/>
                <w:sz w:val="20"/>
                <w:szCs w:val="22"/>
              </w:rPr>
            </w:pPr>
            <w:r w:rsidRPr="00607CBE">
              <w:rPr>
                <w:b/>
                <w:sz w:val="20"/>
                <w:szCs w:val="22"/>
              </w:rPr>
              <w:t xml:space="preserve">6.4.1. </w:t>
            </w:r>
            <w:r w:rsidRPr="00607CBE">
              <w:rPr>
                <w:sz w:val="20"/>
                <w:szCs w:val="22"/>
              </w:rPr>
              <w:t>Predpokladá predložený návrh vedenie konania o právach, právom chránených záujmoch alebo povinnostiach fyzických osôb a právnických osôb?</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7CBE" w:rsidRPr="00607CBE" w14:paraId="0EF8966F" w14:textId="77777777" w:rsidTr="00607CBE">
              <w:sdt>
                <w:sdtPr>
                  <w:rPr>
                    <w:sz w:val="20"/>
                    <w:szCs w:val="20"/>
                  </w:rPr>
                  <w:id w:val="1051428338"/>
                  <w14:checkbox>
                    <w14:checked w14:val="1"/>
                    <w14:checkedState w14:val="2612" w14:font="MS Gothic"/>
                    <w14:uncheckedState w14:val="2610" w14:font="MS Gothic"/>
                  </w14:checkbox>
                </w:sdtPr>
                <w:sdtEndPr/>
                <w:sdtContent>
                  <w:tc>
                    <w:tcPr>
                      <w:tcW w:w="436" w:type="dxa"/>
                    </w:tcPr>
                    <w:p w14:paraId="54FB464E" w14:textId="77777777" w:rsidR="00607CBE" w:rsidRPr="00607CBE" w:rsidRDefault="00607CBE" w:rsidP="00607CBE">
                      <w:pPr>
                        <w:jc w:val="center"/>
                        <w:rPr>
                          <w:sz w:val="20"/>
                          <w:szCs w:val="20"/>
                        </w:rPr>
                      </w:pPr>
                      <w:r w:rsidRPr="00607CBE">
                        <w:rPr>
                          <w:rFonts w:eastAsia="MS Gothic" w:hint="eastAsia"/>
                          <w:sz w:val="20"/>
                          <w:szCs w:val="20"/>
                        </w:rPr>
                        <w:t>☒</w:t>
                      </w:r>
                    </w:p>
                  </w:tc>
                </w:sdtContent>
              </w:sdt>
              <w:tc>
                <w:tcPr>
                  <w:tcW w:w="8545" w:type="dxa"/>
                </w:tcPr>
                <w:p w14:paraId="46C5025D" w14:textId="77777777" w:rsidR="00607CBE" w:rsidRPr="00607CBE" w:rsidRDefault="00607CBE" w:rsidP="00607CBE">
                  <w:pPr>
                    <w:rPr>
                      <w:b/>
                      <w:sz w:val="20"/>
                      <w:szCs w:val="20"/>
                    </w:rPr>
                  </w:pPr>
                  <w:r w:rsidRPr="00607CBE">
                    <w:rPr>
                      <w:b/>
                      <w:sz w:val="20"/>
                      <w:szCs w:val="20"/>
                    </w:rPr>
                    <w:t>Áno</w:t>
                  </w:r>
                </w:p>
              </w:tc>
            </w:tr>
            <w:tr w:rsidR="00607CBE" w:rsidRPr="00607CBE" w14:paraId="008F70A0" w14:textId="77777777" w:rsidTr="00607CBE">
              <w:sdt>
                <w:sdtPr>
                  <w:rPr>
                    <w:sz w:val="20"/>
                    <w:szCs w:val="20"/>
                  </w:rPr>
                  <w:id w:val="-200025544"/>
                  <w14:checkbox>
                    <w14:checked w14:val="0"/>
                    <w14:checkedState w14:val="2612" w14:font="MS Gothic"/>
                    <w14:uncheckedState w14:val="2610" w14:font="MS Gothic"/>
                  </w14:checkbox>
                </w:sdtPr>
                <w:sdtEndPr/>
                <w:sdtContent>
                  <w:tc>
                    <w:tcPr>
                      <w:tcW w:w="436" w:type="dxa"/>
                    </w:tcPr>
                    <w:p w14:paraId="71AFE255" w14:textId="77777777" w:rsidR="00607CBE" w:rsidRPr="00607CBE" w:rsidRDefault="00607CBE" w:rsidP="00607CBE">
                      <w:pPr>
                        <w:jc w:val="center"/>
                        <w:rPr>
                          <w:sz w:val="20"/>
                          <w:szCs w:val="20"/>
                        </w:rPr>
                      </w:pPr>
                      <w:r w:rsidRPr="00607CBE">
                        <w:rPr>
                          <w:rFonts w:eastAsia="MS Mincho" w:hint="eastAsia"/>
                          <w:sz w:val="20"/>
                          <w:szCs w:val="20"/>
                        </w:rPr>
                        <w:t>☐</w:t>
                      </w:r>
                    </w:p>
                  </w:tc>
                </w:sdtContent>
              </w:sdt>
              <w:tc>
                <w:tcPr>
                  <w:tcW w:w="8545" w:type="dxa"/>
                </w:tcPr>
                <w:p w14:paraId="038AD80F" w14:textId="77777777" w:rsidR="00607CBE" w:rsidRPr="00607CBE" w:rsidRDefault="00607CBE" w:rsidP="00607CBE">
                  <w:pPr>
                    <w:rPr>
                      <w:b/>
                      <w:sz w:val="20"/>
                      <w:szCs w:val="20"/>
                    </w:rPr>
                  </w:pPr>
                  <w:r w:rsidRPr="00607CBE">
                    <w:rPr>
                      <w:b/>
                      <w:sz w:val="20"/>
                      <w:szCs w:val="20"/>
                    </w:rPr>
                    <w:t>Nie</w:t>
                  </w:r>
                </w:p>
              </w:tc>
            </w:tr>
          </w:tbl>
          <w:p w14:paraId="19E04DF2" w14:textId="77777777" w:rsidR="00607CBE" w:rsidRPr="00607CBE" w:rsidRDefault="00607CBE" w:rsidP="00607CBE"/>
        </w:tc>
        <w:tc>
          <w:tcPr>
            <w:tcW w:w="4035" w:type="dxa"/>
            <w:gridSpan w:val="4"/>
            <w:shd w:val="clear" w:color="auto" w:fill="auto"/>
          </w:tcPr>
          <w:p w14:paraId="4D1AE9A6" w14:textId="77777777" w:rsidR="00607CBE" w:rsidRPr="00607CBE" w:rsidRDefault="00607CBE" w:rsidP="00607CBE">
            <w:pPr>
              <w:rPr>
                <w:iCs/>
              </w:rPr>
            </w:pPr>
            <w:r w:rsidRPr="00607CBE">
              <w:rPr>
                <w:iCs/>
                <w:sz w:val="20"/>
                <w:szCs w:val="22"/>
              </w:rPr>
              <w:t>Zákon o účtovníctve upravuje pravidlá pre podávanie účtovných dokumentov do registra účtovných závierok</w:t>
            </w:r>
          </w:p>
        </w:tc>
      </w:tr>
      <w:tr w:rsidR="00607CBE" w:rsidRPr="00607CBE" w14:paraId="7C2F9F74" w14:textId="77777777" w:rsidTr="00607CBE">
        <w:trPr>
          <w:trHeight w:val="20"/>
        </w:trPr>
        <w:tc>
          <w:tcPr>
            <w:tcW w:w="3956" w:type="dxa"/>
          </w:tcPr>
          <w:p w14:paraId="4F092157" w14:textId="77777777" w:rsidR="00607CBE" w:rsidRPr="00607CBE" w:rsidRDefault="00607CBE" w:rsidP="00607CBE">
            <w:pPr>
              <w:jc w:val="both"/>
              <w:rPr>
                <w:b/>
                <w:sz w:val="20"/>
                <w:szCs w:val="22"/>
              </w:rPr>
            </w:pPr>
            <w:r w:rsidRPr="00607CBE">
              <w:rPr>
                <w:b/>
                <w:sz w:val="20"/>
                <w:szCs w:val="22"/>
              </w:rPr>
              <w:t xml:space="preserve">6.4.2. </w:t>
            </w:r>
            <w:r w:rsidRPr="00607CBE">
              <w:rPr>
                <w:sz w:val="20"/>
                <w:szCs w:val="22"/>
              </w:rPr>
              <w:t>Je dané konanie možné v celku vykonať elektronicky?</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7CBE" w:rsidRPr="00607CBE" w14:paraId="13A5670C" w14:textId="77777777" w:rsidTr="00607CBE">
              <w:sdt>
                <w:sdtPr>
                  <w:rPr>
                    <w:sz w:val="20"/>
                    <w:szCs w:val="20"/>
                  </w:rPr>
                  <w:id w:val="-945843635"/>
                  <w14:checkbox>
                    <w14:checked w14:val="1"/>
                    <w14:checkedState w14:val="2612" w14:font="MS Gothic"/>
                    <w14:uncheckedState w14:val="2610" w14:font="MS Gothic"/>
                  </w14:checkbox>
                </w:sdtPr>
                <w:sdtEndPr/>
                <w:sdtContent>
                  <w:tc>
                    <w:tcPr>
                      <w:tcW w:w="436" w:type="dxa"/>
                    </w:tcPr>
                    <w:p w14:paraId="2C50E996" w14:textId="77777777" w:rsidR="00607CBE" w:rsidRPr="00607CBE" w:rsidRDefault="00607CBE" w:rsidP="00607CBE">
                      <w:pPr>
                        <w:jc w:val="center"/>
                        <w:rPr>
                          <w:sz w:val="20"/>
                          <w:szCs w:val="20"/>
                        </w:rPr>
                      </w:pPr>
                      <w:r w:rsidRPr="00607CBE">
                        <w:rPr>
                          <w:rFonts w:eastAsia="MS Gothic" w:hint="eastAsia"/>
                          <w:sz w:val="20"/>
                          <w:szCs w:val="20"/>
                        </w:rPr>
                        <w:t>☒</w:t>
                      </w:r>
                    </w:p>
                  </w:tc>
                </w:sdtContent>
              </w:sdt>
              <w:tc>
                <w:tcPr>
                  <w:tcW w:w="8545" w:type="dxa"/>
                </w:tcPr>
                <w:p w14:paraId="371DF74F" w14:textId="77777777" w:rsidR="00607CBE" w:rsidRPr="00607CBE" w:rsidRDefault="00607CBE" w:rsidP="00607CBE">
                  <w:pPr>
                    <w:rPr>
                      <w:b/>
                      <w:sz w:val="20"/>
                      <w:szCs w:val="20"/>
                    </w:rPr>
                  </w:pPr>
                  <w:r w:rsidRPr="00607CBE">
                    <w:rPr>
                      <w:b/>
                      <w:sz w:val="20"/>
                      <w:szCs w:val="20"/>
                    </w:rPr>
                    <w:t>Áno</w:t>
                  </w:r>
                </w:p>
              </w:tc>
            </w:tr>
            <w:tr w:rsidR="00607CBE" w:rsidRPr="00607CBE" w14:paraId="49475921" w14:textId="77777777" w:rsidTr="00607CBE">
              <w:sdt>
                <w:sdtPr>
                  <w:rPr>
                    <w:sz w:val="20"/>
                    <w:szCs w:val="20"/>
                  </w:rPr>
                  <w:id w:val="31386459"/>
                  <w14:checkbox>
                    <w14:checked w14:val="0"/>
                    <w14:checkedState w14:val="2612" w14:font="MS Gothic"/>
                    <w14:uncheckedState w14:val="2610" w14:font="MS Gothic"/>
                  </w14:checkbox>
                </w:sdtPr>
                <w:sdtEndPr/>
                <w:sdtContent>
                  <w:tc>
                    <w:tcPr>
                      <w:tcW w:w="436" w:type="dxa"/>
                    </w:tcPr>
                    <w:p w14:paraId="4B6EE690" w14:textId="77777777" w:rsidR="00607CBE" w:rsidRPr="00607CBE" w:rsidRDefault="00607CBE" w:rsidP="00607CBE">
                      <w:pPr>
                        <w:jc w:val="center"/>
                        <w:rPr>
                          <w:sz w:val="20"/>
                          <w:szCs w:val="20"/>
                        </w:rPr>
                      </w:pPr>
                      <w:r w:rsidRPr="00607CBE">
                        <w:rPr>
                          <w:rFonts w:eastAsia="MS Mincho" w:hint="eastAsia"/>
                          <w:sz w:val="20"/>
                          <w:szCs w:val="20"/>
                        </w:rPr>
                        <w:t>☐</w:t>
                      </w:r>
                    </w:p>
                  </w:tc>
                </w:sdtContent>
              </w:sdt>
              <w:tc>
                <w:tcPr>
                  <w:tcW w:w="8545" w:type="dxa"/>
                </w:tcPr>
                <w:p w14:paraId="78900CC8" w14:textId="77777777" w:rsidR="00607CBE" w:rsidRPr="00607CBE" w:rsidRDefault="00607CBE" w:rsidP="00607CBE">
                  <w:pPr>
                    <w:rPr>
                      <w:b/>
                      <w:sz w:val="20"/>
                      <w:szCs w:val="20"/>
                    </w:rPr>
                  </w:pPr>
                  <w:r w:rsidRPr="00607CBE">
                    <w:rPr>
                      <w:b/>
                      <w:sz w:val="20"/>
                      <w:szCs w:val="20"/>
                    </w:rPr>
                    <w:t>Nie</w:t>
                  </w:r>
                </w:p>
              </w:tc>
            </w:tr>
          </w:tbl>
          <w:p w14:paraId="51332639" w14:textId="77777777" w:rsidR="00607CBE" w:rsidRPr="00607CBE" w:rsidRDefault="00607CBE" w:rsidP="00607CBE"/>
        </w:tc>
        <w:tc>
          <w:tcPr>
            <w:tcW w:w="4035" w:type="dxa"/>
            <w:gridSpan w:val="4"/>
            <w:shd w:val="clear" w:color="auto" w:fill="auto"/>
          </w:tcPr>
          <w:p w14:paraId="324E2D61" w14:textId="77777777" w:rsidR="00607CBE" w:rsidRPr="00607CBE" w:rsidRDefault="00607CBE" w:rsidP="00607CBE">
            <w:pPr>
              <w:rPr>
                <w:iCs/>
              </w:rPr>
            </w:pPr>
            <w:r w:rsidRPr="00607CBE">
              <w:rPr>
                <w:iCs/>
                <w:sz w:val="20"/>
                <w:szCs w:val="22"/>
              </w:rPr>
              <w:t>Nový dokument sa podáva len v elektronickej podobe.</w:t>
            </w:r>
          </w:p>
        </w:tc>
      </w:tr>
      <w:tr w:rsidR="00607CBE" w:rsidRPr="00607CBE" w14:paraId="14FFA629" w14:textId="77777777" w:rsidTr="00607CBE">
        <w:trPr>
          <w:trHeight w:val="20"/>
        </w:trPr>
        <w:tc>
          <w:tcPr>
            <w:tcW w:w="3956" w:type="dxa"/>
          </w:tcPr>
          <w:p w14:paraId="4A050E57" w14:textId="77777777" w:rsidR="00607CBE" w:rsidRPr="00607CBE" w:rsidRDefault="00607CBE" w:rsidP="00607CBE">
            <w:pPr>
              <w:jc w:val="both"/>
              <w:rPr>
                <w:b/>
                <w:sz w:val="20"/>
                <w:szCs w:val="22"/>
              </w:rPr>
            </w:pPr>
            <w:r w:rsidRPr="00607CBE">
              <w:rPr>
                <w:b/>
                <w:sz w:val="20"/>
                <w:szCs w:val="22"/>
              </w:rPr>
              <w:lastRenderedPageBreak/>
              <w:t xml:space="preserve">6.4.3. </w:t>
            </w:r>
            <w:r w:rsidRPr="00607CBE">
              <w:rPr>
                <w:sz w:val="20"/>
                <w:szCs w:val="22"/>
              </w:rPr>
              <w:t>Je úprava konania kompatibilná s inštitútmi zákona o e-</w:t>
            </w:r>
            <w:proofErr w:type="spellStart"/>
            <w:r w:rsidRPr="00607CBE">
              <w:rPr>
                <w:sz w:val="20"/>
                <w:szCs w:val="22"/>
              </w:rPr>
              <w:t>Governmente</w:t>
            </w:r>
            <w:proofErr w:type="spellEnd"/>
            <w:r w:rsidRPr="00607CBE">
              <w:rPr>
                <w:sz w:val="20"/>
                <w:szCs w:val="22"/>
              </w:rPr>
              <w:t xml:space="preserve"> a je na dané konanie zákon o e-</w:t>
            </w:r>
            <w:proofErr w:type="spellStart"/>
            <w:r w:rsidRPr="00607CBE">
              <w:rPr>
                <w:sz w:val="20"/>
                <w:szCs w:val="22"/>
              </w:rPr>
              <w:t>Governmente</w:t>
            </w:r>
            <w:proofErr w:type="spellEnd"/>
            <w:r w:rsidRPr="00607CBE">
              <w:rPr>
                <w:sz w:val="20"/>
                <w:szCs w:val="22"/>
              </w:rPr>
              <w:t xml:space="preserve"> možné použiť?</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7CBE" w:rsidRPr="00607CBE" w14:paraId="40778812" w14:textId="77777777" w:rsidTr="00607CBE">
              <w:sdt>
                <w:sdtPr>
                  <w:rPr>
                    <w:sz w:val="20"/>
                    <w:szCs w:val="20"/>
                  </w:rPr>
                  <w:id w:val="-812871524"/>
                  <w14:checkbox>
                    <w14:checked w14:val="0"/>
                    <w14:checkedState w14:val="2612" w14:font="MS Gothic"/>
                    <w14:uncheckedState w14:val="2610" w14:font="MS Gothic"/>
                  </w14:checkbox>
                </w:sdtPr>
                <w:sdtEndPr/>
                <w:sdtContent>
                  <w:tc>
                    <w:tcPr>
                      <w:tcW w:w="436" w:type="dxa"/>
                    </w:tcPr>
                    <w:p w14:paraId="3F03FA58" w14:textId="77777777" w:rsidR="00607CBE" w:rsidRPr="00607CBE" w:rsidRDefault="00607CBE" w:rsidP="00607CBE">
                      <w:pPr>
                        <w:jc w:val="center"/>
                        <w:rPr>
                          <w:sz w:val="20"/>
                          <w:szCs w:val="20"/>
                        </w:rPr>
                      </w:pPr>
                      <w:r w:rsidRPr="00607CBE">
                        <w:rPr>
                          <w:rFonts w:eastAsia="MS Mincho" w:hint="eastAsia"/>
                          <w:sz w:val="20"/>
                          <w:szCs w:val="20"/>
                        </w:rPr>
                        <w:t>☐</w:t>
                      </w:r>
                    </w:p>
                  </w:tc>
                </w:sdtContent>
              </w:sdt>
              <w:tc>
                <w:tcPr>
                  <w:tcW w:w="8545" w:type="dxa"/>
                </w:tcPr>
                <w:p w14:paraId="16A7DA89" w14:textId="77777777" w:rsidR="00607CBE" w:rsidRPr="00607CBE" w:rsidRDefault="00607CBE" w:rsidP="00607CBE">
                  <w:pPr>
                    <w:rPr>
                      <w:b/>
                      <w:sz w:val="20"/>
                      <w:szCs w:val="20"/>
                    </w:rPr>
                  </w:pPr>
                  <w:r w:rsidRPr="00607CBE">
                    <w:rPr>
                      <w:b/>
                      <w:sz w:val="20"/>
                      <w:szCs w:val="20"/>
                    </w:rPr>
                    <w:t>Áno</w:t>
                  </w:r>
                </w:p>
              </w:tc>
            </w:tr>
            <w:tr w:rsidR="00607CBE" w:rsidRPr="00607CBE" w14:paraId="0180BE6D" w14:textId="77777777" w:rsidTr="00607CBE">
              <w:sdt>
                <w:sdtPr>
                  <w:rPr>
                    <w:sz w:val="20"/>
                    <w:szCs w:val="20"/>
                  </w:rPr>
                  <w:id w:val="441276830"/>
                  <w14:checkbox>
                    <w14:checked w14:val="1"/>
                    <w14:checkedState w14:val="2612" w14:font="MS Gothic"/>
                    <w14:uncheckedState w14:val="2610" w14:font="MS Gothic"/>
                  </w14:checkbox>
                </w:sdtPr>
                <w:sdtEndPr/>
                <w:sdtContent>
                  <w:tc>
                    <w:tcPr>
                      <w:tcW w:w="436" w:type="dxa"/>
                    </w:tcPr>
                    <w:p w14:paraId="44ABED43" w14:textId="77777777" w:rsidR="00607CBE" w:rsidRPr="00607CBE" w:rsidRDefault="00607CBE" w:rsidP="00607CBE">
                      <w:pPr>
                        <w:jc w:val="center"/>
                        <w:rPr>
                          <w:sz w:val="20"/>
                          <w:szCs w:val="20"/>
                        </w:rPr>
                      </w:pPr>
                      <w:r w:rsidRPr="00607CBE">
                        <w:rPr>
                          <w:rFonts w:eastAsia="MS Gothic" w:hint="eastAsia"/>
                          <w:sz w:val="20"/>
                          <w:szCs w:val="20"/>
                        </w:rPr>
                        <w:t>☒</w:t>
                      </w:r>
                    </w:p>
                  </w:tc>
                </w:sdtContent>
              </w:sdt>
              <w:tc>
                <w:tcPr>
                  <w:tcW w:w="8545" w:type="dxa"/>
                </w:tcPr>
                <w:p w14:paraId="12B9EB33" w14:textId="77777777" w:rsidR="00607CBE" w:rsidRPr="00607CBE" w:rsidRDefault="00607CBE" w:rsidP="00607CBE">
                  <w:pPr>
                    <w:rPr>
                      <w:b/>
                      <w:sz w:val="20"/>
                      <w:szCs w:val="20"/>
                    </w:rPr>
                  </w:pPr>
                  <w:r w:rsidRPr="00607CBE">
                    <w:rPr>
                      <w:b/>
                      <w:sz w:val="20"/>
                      <w:szCs w:val="20"/>
                    </w:rPr>
                    <w:t>Nie</w:t>
                  </w:r>
                </w:p>
              </w:tc>
            </w:tr>
          </w:tbl>
          <w:p w14:paraId="4316063B" w14:textId="77777777" w:rsidR="00607CBE" w:rsidRPr="00607CBE" w:rsidRDefault="00607CBE" w:rsidP="00607CBE"/>
        </w:tc>
        <w:tc>
          <w:tcPr>
            <w:tcW w:w="4035" w:type="dxa"/>
            <w:gridSpan w:val="4"/>
            <w:shd w:val="clear" w:color="auto" w:fill="auto"/>
          </w:tcPr>
          <w:p w14:paraId="3EF9ECD6" w14:textId="77777777" w:rsidR="00607CBE" w:rsidRPr="00607CBE" w:rsidRDefault="00607CBE" w:rsidP="00607CBE">
            <w:pPr>
              <w:rPr>
                <w:iCs/>
              </w:rPr>
            </w:pPr>
            <w:r w:rsidRPr="00607CBE">
              <w:rPr>
                <w:iCs/>
                <w:sz w:val="20"/>
                <w:szCs w:val="22"/>
              </w:rPr>
              <w:t>Podanie podľa § 23b ods. 1 alebo 2 zákona o účtovníctve je možné len prostredníctvom prístupového miesta prevádzkovaného Finančným riaditeľstvom SR alebo systémom štátnej pokladnice.</w:t>
            </w:r>
          </w:p>
        </w:tc>
      </w:tr>
      <w:tr w:rsidR="00607CBE" w:rsidRPr="00607CBE" w14:paraId="533945F0" w14:textId="77777777" w:rsidTr="00607CBE">
        <w:trPr>
          <w:trHeight w:val="20"/>
        </w:trPr>
        <w:tc>
          <w:tcPr>
            <w:tcW w:w="9437" w:type="dxa"/>
            <w:gridSpan w:val="6"/>
            <w:shd w:val="clear" w:color="auto" w:fill="BFBFBF"/>
          </w:tcPr>
          <w:p w14:paraId="2E963342" w14:textId="77777777" w:rsidR="00607CBE" w:rsidRPr="00607CBE" w:rsidRDefault="00607CBE" w:rsidP="00607CBE">
            <w:pPr>
              <w:spacing w:line="20" w:lineRule="atLeast"/>
              <w:ind w:hanging="55"/>
              <w:jc w:val="center"/>
              <w:rPr>
                <w:i/>
                <w:iCs/>
                <w:sz w:val="20"/>
                <w:szCs w:val="20"/>
              </w:rPr>
            </w:pPr>
            <w:r w:rsidRPr="00607CBE">
              <w:rPr>
                <w:b/>
                <w:sz w:val="20"/>
                <w:szCs w:val="20"/>
              </w:rPr>
              <w:t>Zásada „jedenkrát a dosť“</w:t>
            </w:r>
          </w:p>
        </w:tc>
      </w:tr>
      <w:tr w:rsidR="00607CBE" w:rsidRPr="00607CBE" w14:paraId="6A8D1EA6" w14:textId="77777777" w:rsidTr="00607CBE">
        <w:trPr>
          <w:trHeight w:val="20"/>
        </w:trPr>
        <w:tc>
          <w:tcPr>
            <w:tcW w:w="3956" w:type="dxa"/>
          </w:tcPr>
          <w:p w14:paraId="573CF5A8" w14:textId="77777777" w:rsidR="00607CBE" w:rsidRPr="00607CBE" w:rsidRDefault="00607CBE" w:rsidP="00607CBE">
            <w:pPr>
              <w:jc w:val="both"/>
              <w:rPr>
                <w:b/>
                <w:sz w:val="20"/>
                <w:szCs w:val="22"/>
              </w:rPr>
            </w:pPr>
            <w:r w:rsidRPr="00607CBE">
              <w:rPr>
                <w:b/>
                <w:sz w:val="20"/>
                <w:szCs w:val="22"/>
              </w:rPr>
              <w:t xml:space="preserve">6.5.1. </w:t>
            </w:r>
            <w:r w:rsidRPr="00607CBE">
              <w:rPr>
                <w:bCs/>
                <w:sz w:val="20"/>
                <w:szCs w:val="22"/>
              </w:rPr>
              <w:t>Predpokladá predložený návrh predkladanie dokumentov, informácií alebo preukazovanie skutočností (ďalej len „údaje“) orgánu, ktorý konanie vedie?</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7CBE" w:rsidRPr="00607CBE" w14:paraId="1AD232DD" w14:textId="77777777" w:rsidTr="00607CBE">
              <w:sdt>
                <w:sdtPr>
                  <w:rPr>
                    <w:sz w:val="20"/>
                    <w:szCs w:val="20"/>
                  </w:rPr>
                  <w:id w:val="43339831"/>
                  <w14:checkbox>
                    <w14:checked w14:val="1"/>
                    <w14:checkedState w14:val="2612" w14:font="MS Gothic"/>
                    <w14:uncheckedState w14:val="2610" w14:font="MS Gothic"/>
                  </w14:checkbox>
                </w:sdtPr>
                <w:sdtEndPr/>
                <w:sdtContent>
                  <w:tc>
                    <w:tcPr>
                      <w:tcW w:w="436" w:type="dxa"/>
                    </w:tcPr>
                    <w:p w14:paraId="58A91655" w14:textId="77777777" w:rsidR="00607CBE" w:rsidRPr="00607CBE" w:rsidRDefault="00607CBE" w:rsidP="00607CBE">
                      <w:pPr>
                        <w:jc w:val="center"/>
                        <w:rPr>
                          <w:sz w:val="20"/>
                          <w:szCs w:val="20"/>
                        </w:rPr>
                      </w:pPr>
                      <w:r w:rsidRPr="00607CBE">
                        <w:rPr>
                          <w:rFonts w:eastAsia="MS Gothic" w:hint="eastAsia"/>
                          <w:sz w:val="20"/>
                          <w:szCs w:val="20"/>
                        </w:rPr>
                        <w:t>☒</w:t>
                      </w:r>
                    </w:p>
                  </w:tc>
                </w:sdtContent>
              </w:sdt>
              <w:tc>
                <w:tcPr>
                  <w:tcW w:w="8545" w:type="dxa"/>
                </w:tcPr>
                <w:p w14:paraId="69CA8EB9" w14:textId="77777777" w:rsidR="00607CBE" w:rsidRPr="00607CBE" w:rsidRDefault="00607CBE" w:rsidP="00607CBE">
                  <w:pPr>
                    <w:rPr>
                      <w:b/>
                      <w:sz w:val="20"/>
                      <w:szCs w:val="20"/>
                    </w:rPr>
                  </w:pPr>
                  <w:r w:rsidRPr="00607CBE">
                    <w:rPr>
                      <w:b/>
                      <w:sz w:val="20"/>
                      <w:szCs w:val="20"/>
                    </w:rPr>
                    <w:t>Áno</w:t>
                  </w:r>
                </w:p>
              </w:tc>
            </w:tr>
            <w:tr w:rsidR="00607CBE" w:rsidRPr="00607CBE" w14:paraId="214A7366" w14:textId="77777777" w:rsidTr="00607CBE">
              <w:sdt>
                <w:sdtPr>
                  <w:rPr>
                    <w:sz w:val="20"/>
                    <w:szCs w:val="20"/>
                  </w:rPr>
                  <w:id w:val="-79453833"/>
                  <w14:checkbox>
                    <w14:checked w14:val="0"/>
                    <w14:checkedState w14:val="2612" w14:font="MS Gothic"/>
                    <w14:uncheckedState w14:val="2610" w14:font="MS Gothic"/>
                  </w14:checkbox>
                </w:sdtPr>
                <w:sdtEndPr/>
                <w:sdtContent>
                  <w:tc>
                    <w:tcPr>
                      <w:tcW w:w="436" w:type="dxa"/>
                    </w:tcPr>
                    <w:p w14:paraId="0CF61218" w14:textId="77777777" w:rsidR="00607CBE" w:rsidRPr="00607CBE" w:rsidRDefault="00607CBE" w:rsidP="00607CBE">
                      <w:pPr>
                        <w:jc w:val="center"/>
                        <w:rPr>
                          <w:sz w:val="20"/>
                          <w:szCs w:val="20"/>
                        </w:rPr>
                      </w:pPr>
                      <w:r w:rsidRPr="00607CBE">
                        <w:rPr>
                          <w:rFonts w:eastAsia="MS Mincho" w:hint="eastAsia"/>
                          <w:sz w:val="20"/>
                          <w:szCs w:val="20"/>
                        </w:rPr>
                        <w:t>☐</w:t>
                      </w:r>
                    </w:p>
                  </w:tc>
                </w:sdtContent>
              </w:sdt>
              <w:tc>
                <w:tcPr>
                  <w:tcW w:w="8545" w:type="dxa"/>
                </w:tcPr>
                <w:p w14:paraId="5720D2F9" w14:textId="77777777" w:rsidR="00607CBE" w:rsidRPr="00607CBE" w:rsidRDefault="00607CBE" w:rsidP="00607CBE">
                  <w:pPr>
                    <w:rPr>
                      <w:b/>
                      <w:sz w:val="20"/>
                      <w:szCs w:val="20"/>
                    </w:rPr>
                  </w:pPr>
                  <w:r w:rsidRPr="00607CBE">
                    <w:rPr>
                      <w:b/>
                      <w:sz w:val="20"/>
                      <w:szCs w:val="20"/>
                    </w:rPr>
                    <w:t>Nie</w:t>
                  </w:r>
                </w:p>
              </w:tc>
            </w:tr>
          </w:tbl>
          <w:p w14:paraId="4039DAD5" w14:textId="77777777" w:rsidR="00607CBE" w:rsidRPr="00607CBE" w:rsidRDefault="00607CBE" w:rsidP="00607CBE"/>
        </w:tc>
        <w:tc>
          <w:tcPr>
            <w:tcW w:w="4035" w:type="dxa"/>
            <w:gridSpan w:val="4"/>
          </w:tcPr>
          <w:p w14:paraId="068D01DD" w14:textId="77777777" w:rsidR="00607CBE" w:rsidRPr="00607CBE" w:rsidRDefault="00607CBE" w:rsidP="00607CBE">
            <w:pPr>
              <w:spacing w:line="20" w:lineRule="atLeast"/>
              <w:jc w:val="both"/>
              <w:rPr>
                <w:iCs/>
              </w:rPr>
            </w:pPr>
            <w:r w:rsidRPr="00607CBE">
              <w:rPr>
                <w:iCs/>
                <w:sz w:val="20"/>
                <w:szCs w:val="22"/>
              </w:rPr>
              <w:t>Predkladanie dokumentov je na základe § 21a a </w:t>
            </w:r>
            <w:proofErr w:type="spellStart"/>
            <w:r w:rsidRPr="00607CBE">
              <w:rPr>
                <w:iCs/>
                <w:sz w:val="20"/>
                <w:szCs w:val="22"/>
              </w:rPr>
              <w:t>nasl</w:t>
            </w:r>
            <w:proofErr w:type="spellEnd"/>
            <w:r w:rsidRPr="00607CBE">
              <w:rPr>
                <w:iCs/>
                <w:sz w:val="20"/>
                <w:szCs w:val="22"/>
              </w:rPr>
              <w:t>. zákona o účtovníctve v znení neskorších predpisov.</w:t>
            </w:r>
          </w:p>
        </w:tc>
      </w:tr>
      <w:tr w:rsidR="00607CBE" w:rsidRPr="00607CBE" w14:paraId="5096D192" w14:textId="77777777" w:rsidTr="00607CBE">
        <w:trPr>
          <w:trHeight w:val="20"/>
        </w:trPr>
        <w:tc>
          <w:tcPr>
            <w:tcW w:w="3956" w:type="dxa"/>
          </w:tcPr>
          <w:p w14:paraId="42DDBC51" w14:textId="77777777" w:rsidR="00607CBE" w:rsidRPr="00607CBE" w:rsidRDefault="00607CBE" w:rsidP="00607CBE">
            <w:pPr>
              <w:jc w:val="both"/>
              <w:rPr>
                <w:b/>
                <w:sz w:val="20"/>
                <w:szCs w:val="22"/>
              </w:rPr>
            </w:pPr>
            <w:r w:rsidRPr="00607CBE">
              <w:rPr>
                <w:b/>
                <w:sz w:val="20"/>
                <w:szCs w:val="22"/>
              </w:rPr>
              <w:t xml:space="preserve">6.5.2. </w:t>
            </w:r>
            <w:r w:rsidRPr="00607CBE">
              <w:rPr>
                <w:bCs/>
                <w:sz w:val="20"/>
                <w:szCs w:val="22"/>
              </w:rPr>
              <w:t>Predpokladá predložený návrh, aby sa predkladali údaje, ktoré sa nachádzajú v zákonom ustanovenej evidencii vedenej orgánom, ktorý konanie vedie alebo iným orgánom?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7CBE" w:rsidRPr="00607CBE" w14:paraId="5C331090" w14:textId="77777777" w:rsidTr="00607CBE">
              <w:sdt>
                <w:sdtPr>
                  <w:rPr>
                    <w:sz w:val="20"/>
                    <w:szCs w:val="20"/>
                  </w:rPr>
                  <w:id w:val="450372319"/>
                  <w14:checkbox>
                    <w14:checked w14:val="1"/>
                    <w14:checkedState w14:val="2612" w14:font="MS Gothic"/>
                    <w14:uncheckedState w14:val="2610" w14:font="MS Gothic"/>
                  </w14:checkbox>
                </w:sdtPr>
                <w:sdtEndPr/>
                <w:sdtContent>
                  <w:tc>
                    <w:tcPr>
                      <w:tcW w:w="436" w:type="dxa"/>
                    </w:tcPr>
                    <w:p w14:paraId="4F8E4C7C" w14:textId="77777777" w:rsidR="00607CBE" w:rsidRPr="00607CBE" w:rsidRDefault="00607CBE" w:rsidP="00607CBE">
                      <w:pPr>
                        <w:jc w:val="center"/>
                        <w:rPr>
                          <w:sz w:val="20"/>
                          <w:szCs w:val="20"/>
                        </w:rPr>
                      </w:pPr>
                      <w:r w:rsidRPr="00607CBE">
                        <w:rPr>
                          <w:rFonts w:eastAsia="MS Gothic" w:hint="eastAsia"/>
                          <w:sz w:val="20"/>
                          <w:szCs w:val="20"/>
                        </w:rPr>
                        <w:t>☒</w:t>
                      </w:r>
                    </w:p>
                  </w:tc>
                </w:sdtContent>
              </w:sdt>
              <w:tc>
                <w:tcPr>
                  <w:tcW w:w="8545" w:type="dxa"/>
                </w:tcPr>
                <w:p w14:paraId="211921D1" w14:textId="77777777" w:rsidR="00607CBE" w:rsidRPr="00607CBE" w:rsidRDefault="00607CBE" w:rsidP="00607CBE">
                  <w:pPr>
                    <w:rPr>
                      <w:b/>
                      <w:sz w:val="20"/>
                      <w:szCs w:val="20"/>
                    </w:rPr>
                  </w:pPr>
                  <w:r w:rsidRPr="00607CBE">
                    <w:rPr>
                      <w:b/>
                      <w:sz w:val="20"/>
                      <w:szCs w:val="20"/>
                    </w:rPr>
                    <w:t>Áno</w:t>
                  </w:r>
                </w:p>
              </w:tc>
            </w:tr>
            <w:tr w:rsidR="00607CBE" w:rsidRPr="00607CBE" w14:paraId="3B48F5EF" w14:textId="77777777" w:rsidTr="00607CBE">
              <w:sdt>
                <w:sdtPr>
                  <w:rPr>
                    <w:sz w:val="20"/>
                    <w:szCs w:val="20"/>
                  </w:rPr>
                  <w:id w:val="617261598"/>
                  <w14:checkbox>
                    <w14:checked w14:val="0"/>
                    <w14:checkedState w14:val="2612" w14:font="MS Gothic"/>
                    <w14:uncheckedState w14:val="2610" w14:font="MS Gothic"/>
                  </w14:checkbox>
                </w:sdtPr>
                <w:sdtEndPr/>
                <w:sdtContent>
                  <w:tc>
                    <w:tcPr>
                      <w:tcW w:w="436" w:type="dxa"/>
                    </w:tcPr>
                    <w:p w14:paraId="2E0F42A6" w14:textId="77777777" w:rsidR="00607CBE" w:rsidRPr="00607CBE" w:rsidRDefault="00607CBE" w:rsidP="00607CBE">
                      <w:pPr>
                        <w:jc w:val="center"/>
                        <w:rPr>
                          <w:sz w:val="20"/>
                          <w:szCs w:val="20"/>
                        </w:rPr>
                      </w:pPr>
                      <w:r w:rsidRPr="00607CBE">
                        <w:rPr>
                          <w:rFonts w:eastAsia="MS Mincho" w:hint="eastAsia"/>
                          <w:sz w:val="20"/>
                          <w:szCs w:val="20"/>
                        </w:rPr>
                        <w:t>☐</w:t>
                      </w:r>
                    </w:p>
                  </w:tc>
                </w:sdtContent>
              </w:sdt>
              <w:tc>
                <w:tcPr>
                  <w:tcW w:w="8545" w:type="dxa"/>
                </w:tcPr>
                <w:p w14:paraId="1A7CA815" w14:textId="77777777" w:rsidR="00607CBE" w:rsidRPr="00607CBE" w:rsidRDefault="00607CBE" w:rsidP="00607CBE">
                  <w:pPr>
                    <w:rPr>
                      <w:b/>
                      <w:sz w:val="20"/>
                      <w:szCs w:val="20"/>
                    </w:rPr>
                  </w:pPr>
                  <w:r w:rsidRPr="00607CBE">
                    <w:rPr>
                      <w:b/>
                      <w:sz w:val="20"/>
                      <w:szCs w:val="20"/>
                    </w:rPr>
                    <w:t>Nie</w:t>
                  </w:r>
                </w:p>
              </w:tc>
            </w:tr>
          </w:tbl>
          <w:p w14:paraId="790FB686" w14:textId="77777777" w:rsidR="00607CBE" w:rsidRPr="00607CBE" w:rsidRDefault="00607CBE" w:rsidP="00607CBE"/>
        </w:tc>
        <w:tc>
          <w:tcPr>
            <w:tcW w:w="4035" w:type="dxa"/>
            <w:gridSpan w:val="4"/>
          </w:tcPr>
          <w:p w14:paraId="6ADA37AD" w14:textId="77777777" w:rsidR="00607CBE" w:rsidRPr="00607CBE" w:rsidRDefault="00607CBE" w:rsidP="00607CBE">
            <w:pPr>
              <w:rPr>
                <w:iCs/>
              </w:rPr>
            </w:pPr>
            <w:r w:rsidRPr="00607CBE">
              <w:rPr>
                <w:iCs/>
                <w:sz w:val="20"/>
                <w:szCs w:val="22"/>
              </w:rPr>
              <w:t>Zbierka listín obchodného registra</w:t>
            </w:r>
          </w:p>
        </w:tc>
      </w:tr>
      <w:tr w:rsidR="00607CBE" w:rsidRPr="00607CBE" w14:paraId="2403B8E3" w14:textId="77777777" w:rsidTr="00607CBE">
        <w:trPr>
          <w:trHeight w:val="20"/>
        </w:trPr>
        <w:tc>
          <w:tcPr>
            <w:tcW w:w="3956" w:type="dxa"/>
          </w:tcPr>
          <w:p w14:paraId="44F2B344" w14:textId="77777777" w:rsidR="00607CBE" w:rsidRPr="00607CBE" w:rsidRDefault="00607CBE" w:rsidP="00607CBE">
            <w:pPr>
              <w:jc w:val="both"/>
              <w:rPr>
                <w:b/>
                <w:sz w:val="20"/>
                <w:szCs w:val="22"/>
              </w:rPr>
            </w:pPr>
            <w:r w:rsidRPr="00607CBE">
              <w:rPr>
                <w:b/>
                <w:sz w:val="20"/>
                <w:szCs w:val="22"/>
              </w:rPr>
              <w:t xml:space="preserve">6.5.3. </w:t>
            </w:r>
            <w:r w:rsidRPr="00607CBE">
              <w:rPr>
                <w:sz w:val="20"/>
                <w:szCs w:val="22"/>
              </w:rPr>
              <w:t xml:space="preserve">Budú údaje poskytované režimom podľa zákona č. 177/2018 </w:t>
            </w:r>
            <w:proofErr w:type="spellStart"/>
            <w:r w:rsidRPr="00607CBE">
              <w:rPr>
                <w:sz w:val="20"/>
                <w:szCs w:val="22"/>
              </w:rPr>
              <w:t>Z.z</w:t>
            </w:r>
            <w:proofErr w:type="spellEnd"/>
            <w:r w:rsidRPr="00607CBE">
              <w:rPr>
                <w:sz w:val="20"/>
                <w:szCs w:val="22"/>
              </w:rPr>
              <w:t xml:space="preserve">. v znení neskorších predpisov alebo iným obdobným spôsobom, ktorý zabezpečí, aby si údaje orgán, ktorý konanie vedie, získaval z úradnej moci a nemuseli mu byť predkladané </w:t>
            </w:r>
            <w:r w:rsidRPr="00607CBE">
              <w:rPr>
                <w:bCs/>
                <w:sz w:val="20"/>
                <w:szCs w:val="22"/>
              </w:rPr>
              <w:t>subjektom súkromného práva, navrhovateľom, žiadateľom, účastníkom konania (ďalej len „účastník konania“)</w:t>
            </w:r>
            <w:r w:rsidRPr="00607CBE">
              <w:rPr>
                <w:sz w:val="20"/>
                <w:szCs w:val="22"/>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7CBE" w:rsidRPr="00607CBE" w14:paraId="21D4E9D1" w14:textId="77777777" w:rsidTr="00607CBE">
              <w:sdt>
                <w:sdtPr>
                  <w:rPr>
                    <w:sz w:val="20"/>
                    <w:szCs w:val="20"/>
                  </w:rPr>
                  <w:id w:val="-2115887386"/>
                  <w14:checkbox>
                    <w14:checked w14:val="1"/>
                    <w14:checkedState w14:val="2612" w14:font="MS Gothic"/>
                    <w14:uncheckedState w14:val="2610" w14:font="MS Gothic"/>
                  </w14:checkbox>
                </w:sdtPr>
                <w:sdtEndPr/>
                <w:sdtContent>
                  <w:tc>
                    <w:tcPr>
                      <w:tcW w:w="436" w:type="dxa"/>
                    </w:tcPr>
                    <w:p w14:paraId="2DD420C1" w14:textId="77777777" w:rsidR="00607CBE" w:rsidRPr="00607CBE" w:rsidRDefault="00607CBE" w:rsidP="00607CBE">
                      <w:pPr>
                        <w:jc w:val="center"/>
                        <w:rPr>
                          <w:sz w:val="20"/>
                          <w:szCs w:val="20"/>
                        </w:rPr>
                      </w:pPr>
                      <w:r w:rsidRPr="00607CBE">
                        <w:rPr>
                          <w:rFonts w:eastAsia="MS Gothic" w:hint="eastAsia"/>
                          <w:sz w:val="20"/>
                          <w:szCs w:val="20"/>
                        </w:rPr>
                        <w:t>☒</w:t>
                      </w:r>
                    </w:p>
                  </w:tc>
                </w:sdtContent>
              </w:sdt>
              <w:tc>
                <w:tcPr>
                  <w:tcW w:w="8545" w:type="dxa"/>
                </w:tcPr>
                <w:p w14:paraId="3DF958EA" w14:textId="77777777" w:rsidR="00607CBE" w:rsidRPr="00607CBE" w:rsidRDefault="00607CBE" w:rsidP="00607CBE">
                  <w:pPr>
                    <w:rPr>
                      <w:b/>
                      <w:sz w:val="20"/>
                      <w:szCs w:val="20"/>
                    </w:rPr>
                  </w:pPr>
                  <w:r w:rsidRPr="00607CBE">
                    <w:rPr>
                      <w:b/>
                      <w:sz w:val="20"/>
                      <w:szCs w:val="20"/>
                    </w:rPr>
                    <w:t>Áno</w:t>
                  </w:r>
                </w:p>
              </w:tc>
            </w:tr>
            <w:tr w:rsidR="00607CBE" w:rsidRPr="00607CBE" w14:paraId="282354B3" w14:textId="77777777" w:rsidTr="00607CBE">
              <w:sdt>
                <w:sdtPr>
                  <w:rPr>
                    <w:sz w:val="20"/>
                    <w:szCs w:val="20"/>
                  </w:rPr>
                  <w:id w:val="-1730609562"/>
                  <w14:checkbox>
                    <w14:checked w14:val="0"/>
                    <w14:checkedState w14:val="2612" w14:font="MS Gothic"/>
                    <w14:uncheckedState w14:val="2610" w14:font="MS Gothic"/>
                  </w14:checkbox>
                </w:sdtPr>
                <w:sdtEndPr/>
                <w:sdtContent>
                  <w:tc>
                    <w:tcPr>
                      <w:tcW w:w="436" w:type="dxa"/>
                    </w:tcPr>
                    <w:p w14:paraId="001AC47B" w14:textId="77777777" w:rsidR="00607CBE" w:rsidRPr="00607CBE" w:rsidRDefault="00607CBE" w:rsidP="00607CBE">
                      <w:pPr>
                        <w:jc w:val="center"/>
                        <w:rPr>
                          <w:sz w:val="20"/>
                          <w:szCs w:val="20"/>
                        </w:rPr>
                      </w:pPr>
                      <w:r w:rsidRPr="00607CBE">
                        <w:rPr>
                          <w:rFonts w:eastAsia="MS Mincho" w:hint="eastAsia"/>
                          <w:sz w:val="20"/>
                          <w:szCs w:val="20"/>
                        </w:rPr>
                        <w:t>☐</w:t>
                      </w:r>
                    </w:p>
                  </w:tc>
                </w:sdtContent>
              </w:sdt>
              <w:tc>
                <w:tcPr>
                  <w:tcW w:w="8545" w:type="dxa"/>
                </w:tcPr>
                <w:p w14:paraId="1DF05616" w14:textId="77777777" w:rsidR="00607CBE" w:rsidRPr="00607CBE" w:rsidRDefault="00607CBE" w:rsidP="00607CBE">
                  <w:pPr>
                    <w:rPr>
                      <w:b/>
                      <w:sz w:val="20"/>
                      <w:szCs w:val="20"/>
                    </w:rPr>
                  </w:pPr>
                  <w:r w:rsidRPr="00607CBE">
                    <w:rPr>
                      <w:b/>
                      <w:sz w:val="20"/>
                      <w:szCs w:val="20"/>
                    </w:rPr>
                    <w:t>Nie</w:t>
                  </w:r>
                </w:p>
              </w:tc>
            </w:tr>
          </w:tbl>
          <w:p w14:paraId="6E751C8F" w14:textId="77777777" w:rsidR="00607CBE" w:rsidRPr="00607CBE" w:rsidRDefault="00607CBE" w:rsidP="00607CBE"/>
        </w:tc>
        <w:tc>
          <w:tcPr>
            <w:tcW w:w="4035" w:type="dxa"/>
            <w:gridSpan w:val="4"/>
          </w:tcPr>
          <w:p w14:paraId="1DD5895F" w14:textId="77777777" w:rsidR="00607CBE" w:rsidRPr="00607CBE" w:rsidRDefault="00607CBE" w:rsidP="00607CBE">
            <w:pPr>
              <w:rPr>
                <w:iCs/>
              </w:rPr>
            </w:pPr>
            <w:r w:rsidRPr="00607CBE">
              <w:rPr>
                <w:iCs/>
                <w:sz w:val="20"/>
                <w:szCs w:val="22"/>
              </w:rPr>
              <w:t>Účtovné dokumenty budú verejne prístupné vo  verejnej časti registra účtovných závierok</w:t>
            </w:r>
          </w:p>
        </w:tc>
      </w:tr>
      <w:tr w:rsidR="00607CBE" w:rsidRPr="00607CBE" w14:paraId="6E9AC1EC" w14:textId="77777777" w:rsidTr="00607CBE">
        <w:trPr>
          <w:trHeight w:val="20"/>
        </w:trPr>
        <w:tc>
          <w:tcPr>
            <w:tcW w:w="3956" w:type="dxa"/>
            <w:tcBorders>
              <w:bottom w:val="single" w:sz="4" w:space="0" w:color="auto"/>
            </w:tcBorders>
          </w:tcPr>
          <w:p w14:paraId="3DD898DC" w14:textId="77777777" w:rsidR="00607CBE" w:rsidRPr="00607CBE" w:rsidRDefault="00607CBE" w:rsidP="00607CBE">
            <w:pPr>
              <w:jc w:val="both"/>
              <w:rPr>
                <w:b/>
                <w:sz w:val="20"/>
                <w:szCs w:val="22"/>
              </w:rPr>
            </w:pPr>
            <w:r w:rsidRPr="00607CBE">
              <w:rPr>
                <w:b/>
                <w:sz w:val="20"/>
                <w:szCs w:val="22"/>
              </w:rPr>
              <w:t xml:space="preserve">6.5.4. </w:t>
            </w:r>
            <w:r w:rsidRPr="00607CBE">
              <w:rPr>
                <w:sz w:val="20"/>
                <w:szCs w:val="22"/>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7CBE" w:rsidRPr="00607CBE" w14:paraId="33F89B70" w14:textId="77777777" w:rsidTr="00607CBE">
              <w:sdt>
                <w:sdtPr>
                  <w:rPr>
                    <w:sz w:val="20"/>
                    <w:szCs w:val="20"/>
                  </w:rPr>
                  <w:id w:val="2088412960"/>
                  <w14:checkbox>
                    <w14:checked w14:val="0"/>
                    <w14:checkedState w14:val="2612" w14:font="MS Gothic"/>
                    <w14:uncheckedState w14:val="2610" w14:font="MS Gothic"/>
                  </w14:checkbox>
                </w:sdtPr>
                <w:sdtEndPr/>
                <w:sdtContent>
                  <w:tc>
                    <w:tcPr>
                      <w:tcW w:w="436" w:type="dxa"/>
                    </w:tcPr>
                    <w:p w14:paraId="396CF2D5" w14:textId="77777777" w:rsidR="00607CBE" w:rsidRPr="00607CBE" w:rsidRDefault="00607CBE" w:rsidP="00607CBE">
                      <w:pPr>
                        <w:jc w:val="center"/>
                        <w:rPr>
                          <w:sz w:val="20"/>
                          <w:szCs w:val="20"/>
                        </w:rPr>
                      </w:pPr>
                      <w:r w:rsidRPr="00607CBE">
                        <w:rPr>
                          <w:rFonts w:eastAsia="MS Mincho" w:hint="eastAsia"/>
                          <w:sz w:val="20"/>
                          <w:szCs w:val="20"/>
                        </w:rPr>
                        <w:t>☐</w:t>
                      </w:r>
                    </w:p>
                  </w:tc>
                </w:sdtContent>
              </w:sdt>
              <w:tc>
                <w:tcPr>
                  <w:tcW w:w="8545" w:type="dxa"/>
                </w:tcPr>
                <w:p w14:paraId="23ACB716" w14:textId="77777777" w:rsidR="00607CBE" w:rsidRPr="00607CBE" w:rsidRDefault="00607CBE" w:rsidP="00607CBE">
                  <w:pPr>
                    <w:rPr>
                      <w:b/>
                      <w:sz w:val="20"/>
                      <w:szCs w:val="20"/>
                    </w:rPr>
                  </w:pPr>
                  <w:r w:rsidRPr="00607CBE">
                    <w:rPr>
                      <w:b/>
                      <w:sz w:val="20"/>
                      <w:szCs w:val="20"/>
                    </w:rPr>
                    <w:t>Áno</w:t>
                  </w:r>
                </w:p>
              </w:tc>
            </w:tr>
            <w:tr w:rsidR="00607CBE" w:rsidRPr="00607CBE" w14:paraId="35C73929" w14:textId="77777777" w:rsidTr="00607CBE">
              <w:sdt>
                <w:sdtPr>
                  <w:rPr>
                    <w:sz w:val="20"/>
                    <w:szCs w:val="20"/>
                  </w:rPr>
                  <w:id w:val="-439767500"/>
                  <w14:checkbox>
                    <w14:checked w14:val="1"/>
                    <w14:checkedState w14:val="2612" w14:font="MS Gothic"/>
                    <w14:uncheckedState w14:val="2610" w14:font="MS Gothic"/>
                  </w14:checkbox>
                </w:sdtPr>
                <w:sdtEndPr/>
                <w:sdtContent>
                  <w:tc>
                    <w:tcPr>
                      <w:tcW w:w="436" w:type="dxa"/>
                    </w:tcPr>
                    <w:p w14:paraId="636FE65C" w14:textId="77777777" w:rsidR="00607CBE" w:rsidRPr="00607CBE" w:rsidRDefault="00607CBE" w:rsidP="00607CBE">
                      <w:pPr>
                        <w:jc w:val="center"/>
                        <w:rPr>
                          <w:sz w:val="20"/>
                          <w:szCs w:val="20"/>
                        </w:rPr>
                      </w:pPr>
                      <w:r w:rsidRPr="00607CBE">
                        <w:rPr>
                          <w:rFonts w:eastAsia="MS Gothic" w:hint="eastAsia"/>
                          <w:sz w:val="20"/>
                          <w:szCs w:val="20"/>
                        </w:rPr>
                        <w:t>☒</w:t>
                      </w:r>
                    </w:p>
                  </w:tc>
                </w:sdtContent>
              </w:sdt>
              <w:tc>
                <w:tcPr>
                  <w:tcW w:w="8545" w:type="dxa"/>
                </w:tcPr>
                <w:p w14:paraId="56E54CFC" w14:textId="77777777" w:rsidR="00607CBE" w:rsidRPr="00607CBE" w:rsidRDefault="00607CBE" w:rsidP="00607CBE">
                  <w:pPr>
                    <w:rPr>
                      <w:b/>
                      <w:sz w:val="20"/>
                      <w:szCs w:val="20"/>
                    </w:rPr>
                  </w:pPr>
                  <w:r w:rsidRPr="00607CBE">
                    <w:rPr>
                      <w:b/>
                      <w:sz w:val="20"/>
                      <w:szCs w:val="20"/>
                    </w:rPr>
                    <w:t>Nie</w:t>
                  </w:r>
                </w:p>
              </w:tc>
            </w:tr>
          </w:tbl>
          <w:p w14:paraId="36E8BD07" w14:textId="77777777" w:rsidR="00607CBE" w:rsidRPr="00607CBE" w:rsidRDefault="00607CBE" w:rsidP="00607CBE"/>
        </w:tc>
        <w:tc>
          <w:tcPr>
            <w:tcW w:w="4035" w:type="dxa"/>
            <w:gridSpan w:val="4"/>
            <w:tcBorders>
              <w:bottom w:val="single" w:sz="4" w:space="0" w:color="auto"/>
            </w:tcBorders>
          </w:tcPr>
          <w:p w14:paraId="19A874EF" w14:textId="77777777" w:rsidR="00607CBE" w:rsidRPr="00607CBE" w:rsidRDefault="00607CBE" w:rsidP="00607CBE">
            <w:pPr>
              <w:rPr>
                <w:i/>
                <w:iCs/>
              </w:rPr>
            </w:pPr>
            <w:r w:rsidRPr="00607CBE">
              <w:rPr>
                <w:sz w:val="20"/>
                <w:szCs w:val="22"/>
              </w:rPr>
              <w:t>Údaje budú získavané z úradnej moci od začiatku aplikácie daného ustanovenia.</w:t>
            </w:r>
          </w:p>
        </w:tc>
      </w:tr>
      <w:tr w:rsidR="00607CBE" w:rsidRPr="00607CBE" w14:paraId="400800F0" w14:textId="77777777" w:rsidTr="00607CBE">
        <w:trPr>
          <w:trHeight w:val="20"/>
        </w:trPr>
        <w:tc>
          <w:tcPr>
            <w:tcW w:w="9437" w:type="dxa"/>
            <w:gridSpan w:val="6"/>
            <w:shd w:val="pct25" w:color="auto" w:fill="auto"/>
          </w:tcPr>
          <w:p w14:paraId="420E776A" w14:textId="77777777" w:rsidR="00607CBE" w:rsidRPr="00607CBE" w:rsidRDefault="00607CBE" w:rsidP="00607CBE">
            <w:pPr>
              <w:spacing w:line="20" w:lineRule="atLeast"/>
              <w:ind w:hanging="55"/>
              <w:jc w:val="center"/>
              <w:rPr>
                <w:i/>
                <w:iCs/>
                <w:sz w:val="20"/>
                <w:szCs w:val="20"/>
              </w:rPr>
            </w:pPr>
            <w:r w:rsidRPr="00607CBE">
              <w:rPr>
                <w:b/>
                <w:sz w:val="20"/>
                <w:szCs w:val="20"/>
              </w:rPr>
              <w:t>Výmena údajov medzi orgánmi verejnej moci</w:t>
            </w:r>
          </w:p>
        </w:tc>
      </w:tr>
      <w:tr w:rsidR="00607CBE" w:rsidRPr="00607CBE" w14:paraId="7B8ED748" w14:textId="77777777" w:rsidTr="00607CBE">
        <w:trPr>
          <w:trHeight w:val="20"/>
        </w:trPr>
        <w:tc>
          <w:tcPr>
            <w:tcW w:w="3956" w:type="dxa"/>
          </w:tcPr>
          <w:p w14:paraId="0E18D274" w14:textId="77777777" w:rsidR="00607CBE" w:rsidRPr="00607CBE" w:rsidRDefault="00607CBE" w:rsidP="00607CBE">
            <w:pPr>
              <w:jc w:val="both"/>
              <w:rPr>
                <w:b/>
                <w:sz w:val="20"/>
                <w:szCs w:val="22"/>
              </w:rPr>
            </w:pPr>
            <w:r w:rsidRPr="00607CBE">
              <w:rPr>
                <w:b/>
                <w:sz w:val="20"/>
                <w:szCs w:val="22"/>
              </w:rPr>
              <w:t xml:space="preserve">6.6.1. </w:t>
            </w:r>
            <w:r w:rsidRPr="00607CBE">
              <w:rPr>
                <w:sz w:val="20"/>
                <w:szCs w:val="22"/>
              </w:rPr>
              <w:t>Predpokladá predložený návrh zriadenie novej evidencie údajov alebo upravuje vedenie evidencie údajov?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7CBE" w:rsidRPr="00607CBE" w14:paraId="5B65BC97" w14:textId="77777777" w:rsidTr="00607CBE">
              <w:sdt>
                <w:sdtPr>
                  <w:rPr>
                    <w:sz w:val="20"/>
                    <w:szCs w:val="20"/>
                  </w:rPr>
                  <w:id w:val="-581141114"/>
                  <w14:checkbox>
                    <w14:checked w14:val="1"/>
                    <w14:checkedState w14:val="2612" w14:font="MS Gothic"/>
                    <w14:uncheckedState w14:val="2610" w14:font="MS Gothic"/>
                  </w14:checkbox>
                </w:sdtPr>
                <w:sdtEndPr/>
                <w:sdtContent>
                  <w:tc>
                    <w:tcPr>
                      <w:tcW w:w="436" w:type="dxa"/>
                    </w:tcPr>
                    <w:p w14:paraId="694E68C1" w14:textId="77777777" w:rsidR="00607CBE" w:rsidRPr="00607CBE" w:rsidRDefault="00607CBE" w:rsidP="00607CBE">
                      <w:pPr>
                        <w:jc w:val="center"/>
                        <w:rPr>
                          <w:sz w:val="20"/>
                          <w:szCs w:val="20"/>
                        </w:rPr>
                      </w:pPr>
                      <w:r w:rsidRPr="00607CBE">
                        <w:rPr>
                          <w:rFonts w:eastAsia="MS Gothic" w:hint="eastAsia"/>
                          <w:sz w:val="20"/>
                          <w:szCs w:val="20"/>
                        </w:rPr>
                        <w:t>☒</w:t>
                      </w:r>
                    </w:p>
                  </w:tc>
                </w:sdtContent>
              </w:sdt>
              <w:tc>
                <w:tcPr>
                  <w:tcW w:w="8545" w:type="dxa"/>
                </w:tcPr>
                <w:p w14:paraId="0015B24C" w14:textId="77777777" w:rsidR="00607CBE" w:rsidRPr="00607CBE" w:rsidRDefault="00607CBE" w:rsidP="00607CBE">
                  <w:pPr>
                    <w:rPr>
                      <w:b/>
                      <w:sz w:val="20"/>
                      <w:szCs w:val="20"/>
                    </w:rPr>
                  </w:pPr>
                  <w:r w:rsidRPr="00607CBE">
                    <w:rPr>
                      <w:b/>
                      <w:sz w:val="20"/>
                      <w:szCs w:val="20"/>
                    </w:rPr>
                    <w:t>Áno</w:t>
                  </w:r>
                </w:p>
              </w:tc>
            </w:tr>
            <w:tr w:rsidR="00607CBE" w:rsidRPr="00607CBE" w14:paraId="074D8D55" w14:textId="77777777" w:rsidTr="00607CBE">
              <w:sdt>
                <w:sdtPr>
                  <w:rPr>
                    <w:sz w:val="20"/>
                    <w:szCs w:val="20"/>
                  </w:rPr>
                  <w:id w:val="-561481988"/>
                  <w14:checkbox>
                    <w14:checked w14:val="0"/>
                    <w14:checkedState w14:val="2612" w14:font="MS Gothic"/>
                    <w14:uncheckedState w14:val="2610" w14:font="MS Gothic"/>
                  </w14:checkbox>
                </w:sdtPr>
                <w:sdtEndPr/>
                <w:sdtContent>
                  <w:tc>
                    <w:tcPr>
                      <w:tcW w:w="436" w:type="dxa"/>
                    </w:tcPr>
                    <w:p w14:paraId="6900C26C" w14:textId="77777777" w:rsidR="00607CBE" w:rsidRPr="00607CBE" w:rsidRDefault="00607CBE" w:rsidP="00607CBE">
                      <w:pPr>
                        <w:jc w:val="center"/>
                        <w:rPr>
                          <w:sz w:val="20"/>
                          <w:szCs w:val="20"/>
                        </w:rPr>
                      </w:pPr>
                      <w:r w:rsidRPr="00607CBE">
                        <w:rPr>
                          <w:rFonts w:eastAsia="MS Mincho" w:hint="eastAsia"/>
                          <w:sz w:val="20"/>
                          <w:szCs w:val="20"/>
                        </w:rPr>
                        <w:t>☐</w:t>
                      </w:r>
                    </w:p>
                  </w:tc>
                </w:sdtContent>
              </w:sdt>
              <w:tc>
                <w:tcPr>
                  <w:tcW w:w="8545" w:type="dxa"/>
                </w:tcPr>
                <w:p w14:paraId="5D2FA158" w14:textId="77777777" w:rsidR="00607CBE" w:rsidRPr="00607CBE" w:rsidRDefault="00607CBE" w:rsidP="00607CBE">
                  <w:pPr>
                    <w:rPr>
                      <w:b/>
                      <w:sz w:val="20"/>
                      <w:szCs w:val="20"/>
                    </w:rPr>
                  </w:pPr>
                  <w:r w:rsidRPr="00607CBE">
                    <w:rPr>
                      <w:b/>
                      <w:sz w:val="20"/>
                      <w:szCs w:val="20"/>
                    </w:rPr>
                    <w:t>Nie</w:t>
                  </w:r>
                </w:p>
              </w:tc>
            </w:tr>
          </w:tbl>
          <w:p w14:paraId="4533999F" w14:textId="77777777" w:rsidR="00607CBE" w:rsidRPr="00607CBE" w:rsidRDefault="00607CBE" w:rsidP="00607CBE"/>
        </w:tc>
        <w:tc>
          <w:tcPr>
            <w:tcW w:w="4035" w:type="dxa"/>
            <w:gridSpan w:val="4"/>
          </w:tcPr>
          <w:p w14:paraId="679934E3" w14:textId="77777777" w:rsidR="00607CBE" w:rsidRPr="00607CBE" w:rsidRDefault="00607CBE" w:rsidP="00607CBE">
            <w:pPr>
              <w:rPr>
                <w:iCs/>
              </w:rPr>
            </w:pPr>
            <w:r w:rsidRPr="00607CBE">
              <w:rPr>
                <w:iCs/>
                <w:sz w:val="20"/>
                <w:szCs w:val="22"/>
              </w:rPr>
              <w:t>Register účtovných závierok</w:t>
            </w:r>
          </w:p>
        </w:tc>
      </w:tr>
      <w:tr w:rsidR="00607CBE" w:rsidRPr="00607CBE" w14:paraId="3F8BF85C" w14:textId="77777777" w:rsidTr="00607CBE">
        <w:trPr>
          <w:trHeight w:val="20"/>
        </w:trPr>
        <w:tc>
          <w:tcPr>
            <w:tcW w:w="3956" w:type="dxa"/>
          </w:tcPr>
          <w:p w14:paraId="31E5D7CC" w14:textId="77777777" w:rsidR="00607CBE" w:rsidRPr="00607CBE" w:rsidRDefault="00607CBE" w:rsidP="00607CBE">
            <w:pPr>
              <w:jc w:val="both"/>
              <w:rPr>
                <w:b/>
                <w:sz w:val="20"/>
                <w:szCs w:val="22"/>
              </w:rPr>
            </w:pPr>
            <w:r w:rsidRPr="00607CBE">
              <w:rPr>
                <w:b/>
                <w:sz w:val="20"/>
                <w:szCs w:val="22"/>
              </w:rPr>
              <w:t xml:space="preserve">6.6.2. </w:t>
            </w:r>
            <w:r w:rsidRPr="00607CBE">
              <w:rPr>
                <w:sz w:val="20"/>
                <w:szCs w:val="22"/>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7CBE" w:rsidRPr="00607CBE" w14:paraId="4D46B57A" w14:textId="77777777" w:rsidTr="00607CBE">
              <w:sdt>
                <w:sdtPr>
                  <w:rPr>
                    <w:sz w:val="20"/>
                    <w:szCs w:val="20"/>
                  </w:rPr>
                  <w:id w:val="1434169894"/>
                  <w14:checkbox>
                    <w14:checked w14:val="1"/>
                    <w14:checkedState w14:val="2612" w14:font="MS Gothic"/>
                    <w14:uncheckedState w14:val="2610" w14:font="MS Gothic"/>
                  </w14:checkbox>
                </w:sdtPr>
                <w:sdtEndPr/>
                <w:sdtContent>
                  <w:tc>
                    <w:tcPr>
                      <w:tcW w:w="436" w:type="dxa"/>
                    </w:tcPr>
                    <w:p w14:paraId="599483A6" w14:textId="77777777" w:rsidR="00607CBE" w:rsidRPr="00607CBE" w:rsidRDefault="00607CBE" w:rsidP="00607CBE">
                      <w:pPr>
                        <w:jc w:val="center"/>
                        <w:rPr>
                          <w:sz w:val="20"/>
                          <w:szCs w:val="20"/>
                        </w:rPr>
                      </w:pPr>
                      <w:r w:rsidRPr="00607CBE">
                        <w:rPr>
                          <w:rFonts w:eastAsia="MS Gothic" w:hint="eastAsia"/>
                          <w:sz w:val="20"/>
                          <w:szCs w:val="20"/>
                        </w:rPr>
                        <w:t>☒</w:t>
                      </w:r>
                    </w:p>
                  </w:tc>
                </w:sdtContent>
              </w:sdt>
              <w:tc>
                <w:tcPr>
                  <w:tcW w:w="8545" w:type="dxa"/>
                </w:tcPr>
                <w:p w14:paraId="318B6FA4" w14:textId="77777777" w:rsidR="00607CBE" w:rsidRPr="00607CBE" w:rsidRDefault="00607CBE" w:rsidP="00607CBE">
                  <w:pPr>
                    <w:rPr>
                      <w:b/>
                      <w:sz w:val="20"/>
                      <w:szCs w:val="20"/>
                    </w:rPr>
                  </w:pPr>
                  <w:r w:rsidRPr="00607CBE">
                    <w:rPr>
                      <w:b/>
                      <w:sz w:val="20"/>
                      <w:szCs w:val="20"/>
                    </w:rPr>
                    <w:t>Áno</w:t>
                  </w:r>
                </w:p>
              </w:tc>
            </w:tr>
            <w:tr w:rsidR="00607CBE" w:rsidRPr="00607CBE" w14:paraId="598DD816" w14:textId="77777777" w:rsidTr="00607CBE">
              <w:sdt>
                <w:sdtPr>
                  <w:rPr>
                    <w:sz w:val="20"/>
                    <w:szCs w:val="20"/>
                  </w:rPr>
                  <w:id w:val="-1288507644"/>
                  <w14:checkbox>
                    <w14:checked w14:val="0"/>
                    <w14:checkedState w14:val="2612" w14:font="MS Gothic"/>
                    <w14:uncheckedState w14:val="2610" w14:font="MS Gothic"/>
                  </w14:checkbox>
                </w:sdtPr>
                <w:sdtEndPr/>
                <w:sdtContent>
                  <w:tc>
                    <w:tcPr>
                      <w:tcW w:w="436" w:type="dxa"/>
                    </w:tcPr>
                    <w:p w14:paraId="2CACED6D" w14:textId="77777777" w:rsidR="00607CBE" w:rsidRPr="00607CBE" w:rsidRDefault="00607CBE" w:rsidP="00607CBE">
                      <w:pPr>
                        <w:jc w:val="center"/>
                        <w:rPr>
                          <w:sz w:val="20"/>
                          <w:szCs w:val="20"/>
                        </w:rPr>
                      </w:pPr>
                      <w:r w:rsidRPr="00607CBE">
                        <w:rPr>
                          <w:rFonts w:eastAsia="MS Mincho" w:hint="eastAsia"/>
                          <w:sz w:val="20"/>
                          <w:szCs w:val="20"/>
                        </w:rPr>
                        <w:t>☐</w:t>
                      </w:r>
                    </w:p>
                  </w:tc>
                </w:sdtContent>
              </w:sdt>
              <w:tc>
                <w:tcPr>
                  <w:tcW w:w="8545" w:type="dxa"/>
                </w:tcPr>
                <w:p w14:paraId="011D3BDA" w14:textId="77777777" w:rsidR="00607CBE" w:rsidRPr="00607CBE" w:rsidRDefault="00607CBE" w:rsidP="00607CBE">
                  <w:pPr>
                    <w:rPr>
                      <w:b/>
                      <w:sz w:val="20"/>
                      <w:szCs w:val="20"/>
                    </w:rPr>
                  </w:pPr>
                  <w:r w:rsidRPr="00607CBE">
                    <w:rPr>
                      <w:b/>
                      <w:sz w:val="20"/>
                      <w:szCs w:val="20"/>
                    </w:rPr>
                    <w:t>Nie</w:t>
                  </w:r>
                </w:p>
              </w:tc>
            </w:tr>
          </w:tbl>
          <w:p w14:paraId="31A79F2F" w14:textId="77777777" w:rsidR="00607CBE" w:rsidRPr="00607CBE" w:rsidRDefault="00607CBE" w:rsidP="00607CBE"/>
        </w:tc>
        <w:tc>
          <w:tcPr>
            <w:tcW w:w="4035" w:type="dxa"/>
            <w:gridSpan w:val="4"/>
          </w:tcPr>
          <w:p w14:paraId="06928F31" w14:textId="77777777" w:rsidR="00607CBE" w:rsidRPr="00607CBE" w:rsidRDefault="00607CBE" w:rsidP="00607CBE">
            <w:pPr>
              <w:rPr>
                <w:i/>
                <w:iCs/>
              </w:rPr>
            </w:pPr>
            <w:r w:rsidRPr="00607CBE">
              <w:rPr>
                <w:sz w:val="20"/>
                <w:szCs w:val="22"/>
              </w:rPr>
              <w:t>Údaje sa poskytujú v elektronickej podobe, automatizovaným spôsobom, bezodplatne a v rozsahu plnenia úloh podľa osobitných predpisov orgánom štátnej správy, súdom, obciam a vyšším územným celkom a iným orgánom verejnej moci, fyzickým osobám a právnickým osobám, ktorým bol zverený výkon úloh podľa osobitných predpisov, a iným členským štátom Európskej únie alebo tretím štátom, ak tak ustanovuje medzinárodná zmluva, ktorou je Slovenská republika viazaná.</w:t>
            </w:r>
          </w:p>
        </w:tc>
      </w:tr>
      <w:tr w:rsidR="00607CBE" w:rsidRPr="00607CBE" w14:paraId="07DADD53" w14:textId="77777777" w:rsidTr="00607CBE">
        <w:trPr>
          <w:trHeight w:val="20"/>
        </w:trPr>
        <w:tc>
          <w:tcPr>
            <w:tcW w:w="3956" w:type="dxa"/>
          </w:tcPr>
          <w:p w14:paraId="77C3A5AE" w14:textId="77777777" w:rsidR="00607CBE" w:rsidRPr="00607CBE" w:rsidRDefault="00607CBE" w:rsidP="00607CBE">
            <w:pPr>
              <w:jc w:val="both"/>
              <w:rPr>
                <w:b/>
                <w:sz w:val="20"/>
                <w:szCs w:val="22"/>
              </w:rPr>
            </w:pPr>
            <w:r w:rsidRPr="00607CBE">
              <w:rPr>
                <w:b/>
                <w:sz w:val="20"/>
                <w:szCs w:val="22"/>
              </w:rPr>
              <w:t xml:space="preserve">6.6.3. </w:t>
            </w:r>
            <w:r w:rsidRPr="00607CBE">
              <w:rPr>
                <w:sz w:val="20"/>
                <w:szCs w:val="22"/>
              </w:rPr>
              <w:t>Je zabezpečené poskytovanie údajov z evidencie elektronicky a automatizovaným spôsobom?</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7CBE" w:rsidRPr="00607CBE" w14:paraId="5DB0C140" w14:textId="77777777" w:rsidTr="00607CBE">
              <w:sdt>
                <w:sdtPr>
                  <w:rPr>
                    <w:sz w:val="20"/>
                    <w:szCs w:val="20"/>
                  </w:rPr>
                  <w:id w:val="-1355335144"/>
                  <w14:checkbox>
                    <w14:checked w14:val="1"/>
                    <w14:checkedState w14:val="2612" w14:font="MS Gothic"/>
                    <w14:uncheckedState w14:val="2610" w14:font="MS Gothic"/>
                  </w14:checkbox>
                </w:sdtPr>
                <w:sdtEndPr/>
                <w:sdtContent>
                  <w:tc>
                    <w:tcPr>
                      <w:tcW w:w="436" w:type="dxa"/>
                    </w:tcPr>
                    <w:p w14:paraId="27B7F042" w14:textId="77777777" w:rsidR="00607CBE" w:rsidRPr="00607CBE" w:rsidRDefault="00607CBE" w:rsidP="00607CBE">
                      <w:pPr>
                        <w:jc w:val="center"/>
                        <w:rPr>
                          <w:sz w:val="20"/>
                          <w:szCs w:val="20"/>
                        </w:rPr>
                      </w:pPr>
                      <w:r w:rsidRPr="00607CBE">
                        <w:rPr>
                          <w:rFonts w:eastAsia="MS Gothic" w:hint="eastAsia"/>
                          <w:sz w:val="20"/>
                          <w:szCs w:val="20"/>
                        </w:rPr>
                        <w:t>☒</w:t>
                      </w:r>
                    </w:p>
                  </w:tc>
                </w:sdtContent>
              </w:sdt>
              <w:tc>
                <w:tcPr>
                  <w:tcW w:w="8545" w:type="dxa"/>
                </w:tcPr>
                <w:p w14:paraId="5688EB1E" w14:textId="77777777" w:rsidR="00607CBE" w:rsidRPr="00607CBE" w:rsidRDefault="00607CBE" w:rsidP="00607CBE">
                  <w:pPr>
                    <w:rPr>
                      <w:b/>
                      <w:sz w:val="20"/>
                      <w:szCs w:val="20"/>
                    </w:rPr>
                  </w:pPr>
                  <w:r w:rsidRPr="00607CBE">
                    <w:rPr>
                      <w:b/>
                      <w:sz w:val="20"/>
                      <w:szCs w:val="20"/>
                    </w:rPr>
                    <w:t>Áno</w:t>
                  </w:r>
                </w:p>
              </w:tc>
            </w:tr>
            <w:tr w:rsidR="00607CBE" w:rsidRPr="00607CBE" w14:paraId="29CF440B" w14:textId="77777777" w:rsidTr="00607CBE">
              <w:sdt>
                <w:sdtPr>
                  <w:rPr>
                    <w:sz w:val="20"/>
                    <w:szCs w:val="20"/>
                  </w:rPr>
                  <w:id w:val="116884503"/>
                  <w14:checkbox>
                    <w14:checked w14:val="0"/>
                    <w14:checkedState w14:val="2612" w14:font="MS Gothic"/>
                    <w14:uncheckedState w14:val="2610" w14:font="MS Gothic"/>
                  </w14:checkbox>
                </w:sdtPr>
                <w:sdtEndPr/>
                <w:sdtContent>
                  <w:tc>
                    <w:tcPr>
                      <w:tcW w:w="436" w:type="dxa"/>
                    </w:tcPr>
                    <w:p w14:paraId="60F2AEE8" w14:textId="77777777" w:rsidR="00607CBE" w:rsidRPr="00607CBE" w:rsidRDefault="00607CBE" w:rsidP="00607CBE">
                      <w:pPr>
                        <w:jc w:val="center"/>
                        <w:rPr>
                          <w:sz w:val="20"/>
                          <w:szCs w:val="20"/>
                        </w:rPr>
                      </w:pPr>
                      <w:r w:rsidRPr="00607CBE">
                        <w:rPr>
                          <w:rFonts w:eastAsia="MS Mincho" w:hint="eastAsia"/>
                          <w:sz w:val="20"/>
                          <w:szCs w:val="20"/>
                        </w:rPr>
                        <w:t>☐</w:t>
                      </w:r>
                    </w:p>
                  </w:tc>
                </w:sdtContent>
              </w:sdt>
              <w:tc>
                <w:tcPr>
                  <w:tcW w:w="8545" w:type="dxa"/>
                </w:tcPr>
                <w:p w14:paraId="592CE162" w14:textId="77777777" w:rsidR="00607CBE" w:rsidRPr="00607CBE" w:rsidRDefault="00607CBE" w:rsidP="00607CBE">
                  <w:pPr>
                    <w:rPr>
                      <w:b/>
                      <w:sz w:val="20"/>
                      <w:szCs w:val="20"/>
                    </w:rPr>
                  </w:pPr>
                  <w:r w:rsidRPr="00607CBE">
                    <w:rPr>
                      <w:b/>
                      <w:sz w:val="20"/>
                      <w:szCs w:val="20"/>
                    </w:rPr>
                    <w:t>Nie</w:t>
                  </w:r>
                </w:p>
              </w:tc>
            </w:tr>
          </w:tbl>
          <w:p w14:paraId="0F7232DD" w14:textId="77777777" w:rsidR="00607CBE" w:rsidRPr="00607CBE" w:rsidRDefault="00607CBE" w:rsidP="00607CBE"/>
        </w:tc>
        <w:tc>
          <w:tcPr>
            <w:tcW w:w="4035" w:type="dxa"/>
            <w:gridSpan w:val="4"/>
          </w:tcPr>
          <w:p w14:paraId="2B160C19" w14:textId="77777777" w:rsidR="00607CBE" w:rsidRPr="00607CBE" w:rsidRDefault="00607CBE" w:rsidP="00607CBE">
            <w:pPr>
              <w:rPr>
                <w:i/>
                <w:iCs/>
              </w:rPr>
            </w:pPr>
          </w:p>
        </w:tc>
      </w:tr>
      <w:tr w:rsidR="00607CBE" w:rsidRPr="00607CBE" w14:paraId="76CB1E6E" w14:textId="77777777" w:rsidTr="00607CBE">
        <w:trPr>
          <w:trHeight w:val="20"/>
        </w:trPr>
        <w:tc>
          <w:tcPr>
            <w:tcW w:w="3956" w:type="dxa"/>
          </w:tcPr>
          <w:p w14:paraId="72695C24" w14:textId="77777777" w:rsidR="00607CBE" w:rsidRPr="00607CBE" w:rsidRDefault="00607CBE" w:rsidP="00607CBE">
            <w:pPr>
              <w:jc w:val="both"/>
              <w:rPr>
                <w:b/>
                <w:sz w:val="20"/>
                <w:szCs w:val="22"/>
              </w:rPr>
            </w:pPr>
            <w:r w:rsidRPr="00607CBE">
              <w:rPr>
                <w:b/>
                <w:sz w:val="20"/>
                <w:szCs w:val="22"/>
              </w:rPr>
              <w:t xml:space="preserve">6.6.4. </w:t>
            </w:r>
            <w:r w:rsidRPr="00607CBE">
              <w:rPr>
                <w:sz w:val="20"/>
                <w:szCs w:val="22"/>
              </w:rPr>
              <w:t xml:space="preserve">Je na poskytovanie údajov z evidencie využitý režim podľa zákona č. 177/2018 </w:t>
            </w:r>
            <w:proofErr w:type="spellStart"/>
            <w:r w:rsidRPr="00607CBE">
              <w:rPr>
                <w:sz w:val="20"/>
                <w:szCs w:val="22"/>
              </w:rPr>
              <w:t>Z.z</w:t>
            </w:r>
            <w:proofErr w:type="spellEnd"/>
            <w:r w:rsidRPr="00607CBE">
              <w:rPr>
                <w:sz w:val="20"/>
                <w:szCs w:val="22"/>
              </w:rPr>
              <w:t>. v znení neskorších predpisov?</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7CBE" w:rsidRPr="00607CBE" w14:paraId="2E3DF5E1" w14:textId="77777777" w:rsidTr="00607CBE">
              <w:sdt>
                <w:sdtPr>
                  <w:rPr>
                    <w:sz w:val="20"/>
                    <w:szCs w:val="20"/>
                  </w:rPr>
                  <w:id w:val="-295379826"/>
                  <w14:checkbox>
                    <w14:checked w14:val="1"/>
                    <w14:checkedState w14:val="2612" w14:font="MS Gothic"/>
                    <w14:uncheckedState w14:val="2610" w14:font="MS Gothic"/>
                  </w14:checkbox>
                </w:sdtPr>
                <w:sdtEndPr/>
                <w:sdtContent>
                  <w:tc>
                    <w:tcPr>
                      <w:tcW w:w="436" w:type="dxa"/>
                    </w:tcPr>
                    <w:p w14:paraId="4F00CA9C" w14:textId="77777777" w:rsidR="00607CBE" w:rsidRPr="00607CBE" w:rsidRDefault="00607CBE" w:rsidP="00607CBE">
                      <w:pPr>
                        <w:jc w:val="center"/>
                        <w:rPr>
                          <w:sz w:val="20"/>
                          <w:szCs w:val="20"/>
                        </w:rPr>
                      </w:pPr>
                      <w:r w:rsidRPr="00607CBE">
                        <w:rPr>
                          <w:rFonts w:eastAsia="MS Gothic" w:hint="eastAsia"/>
                          <w:sz w:val="20"/>
                          <w:szCs w:val="20"/>
                        </w:rPr>
                        <w:t>☒</w:t>
                      </w:r>
                    </w:p>
                  </w:tc>
                </w:sdtContent>
              </w:sdt>
              <w:tc>
                <w:tcPr>
                  <w:tcW w:w="8545" w:type="dxa"/>
                </w:tcPr>
                <w:p w14:paraId="6C69B47C" w14:textId="77777777" w:rsidR="00607CBE" w:rsidRPr="00607CBE" w:rsidRDefault="00607CBE" w:rsidP="00607CBE">
                  <w:pPr>
                    <w:rPr>
                      <w:b/>
                      <w:sz w:val="20"/>
                      <w:szCs w:val="20"/>
                    </w:rPr>
                  </w:pPr>
                  <w:r w:rsidRPr="00607CBE">
                    <w:rPr>
                      <w:b/>
                      <w:sz w:val="20"/>
                      <w:szCs w:val="20"/>
                    </w:rPr>
                    <w:t>Áno</w:t>
                  </w:r>
                </w:p>
              </w:tc>
            </w:tr>
            <w:tr w:rsidR="00607CBE" w:rsidRPr="00607CBE" w14:paraId="5FFFD481" w14:textId="77777777" w:rsidTr="00607CBE">
              <w:sdt>
                <w:sdtPr>
                  <w:rPr>
                    <w:sz w:val="20"/>
                    <w:szCs w:val="20"/>
                  </w:rPr>
                  <w:id w:val="-1689520971"/>
                  <w14:checkbox>
                    <w14:checked w14:val="0"/>
                    <w14:checkedState w14:val="2612" w14:font="MS Gothic"/>
                    <w14:uncheckedState w14:val="2610" w14:font="MS Gothic"/>
                  </w14:checkbox>
                </w:sdtPr>
                <w:sdtEndPr/>
                <w:sdtContent>
                  <w:tc>
                    <w:tcPr>
                      <w:tcW w:w="436" w:type="dxa"/>
                    </w:tcPr>
                    <w:p w14:paraId="1A0E83E5" w14:textId="77777777" w:rsidR="00607CBE" w:rsidRPr="00607CBE" w:rsidRDefault="00607CBE" w:rsidP="00607CBE">
                      <w:pPr>
                        <w:jc w:val="center"/>
                        <w:rPr>
                          <w:sz w:val="20"/>
                          <w:szCs w:val="20"/>
                        </w:rPr>
                      </w:pPr>
                      <w:r w:rsidRPr="00607CBE">
                        <w:rPr>
                          <w:rFonts w:eastAsia="MS Mincho" w:hint="eastAsia"/>
                          <w:sz w:val="20"/>
                          <w:szCs w:val="20"/>
                        </w:rPr>
                        <w:t>☐</w:t>
                      </w:r>
                    </w:p>
                  </w:tc>
                </w:sdtContent>
              </w:sdt>
              <w:tc>
                <w:tcPr>
                  <w:tcW w:w="8545" w:type="dxa"/>
                </w:tcPr>
                <w:p w14:paraId="39E6A2C9" w14:textId="77777777" w:rsidR="00607CBE" w:rsidRPr="00607CBE" w:rsidRDefault="00607CBE" w:rsidP="00607CBE">
                  <w:pPr>
                    <w:rPr>
                      <w:b/>
                      <w:sz w:val="20"/>
                      <w:szCs w:val="20"/>
                    </w:rPr>
                  </w:pPr>
                  <w:r w:rsidRPr="00607CBE">
                    <w:rPr>
                      <w:b/>
                      <w:sz w:val="20"/>
                      <w:szCs w:val="20"/>
                    </w:rPr>
                    <w:t>Nie</w:t>
                  </w:r>
                </w:p>
              </w:tc>
            </w:tr>
          </w:tbl>
          <w:p w14:paraId="748850BF" w14:textId="77777777" w:rsidR="00607CBE" w:rsidRPr="00607CBE" w:rsidRDefault="00607CBE" w:rsidP="00607CBE"/>
        </w:tc>
        <w:tc>
          <w:tcPr>
            <w:tcW w:w="4035" w:type="dxa"/>
            <w:gridSpan w:val="4"/>
          </w:tcPr>
          <w:p w14:paraId="2C8EA134" w14:textId="77777777" w:rsidR="00607CBE" w:rsidRPr="00607CBE" w:rsidRDefault="00607CBE" w:rsidP="00607CBE">
            <w:pPr>
              <w:rPr>
                <w:i/>
                <w:iCs/>
              </w:rPr>
            </w:pPr>
          </w:p>
        </w:tc>
      </w:tr>
      <w:tr w:rsidR="00607CBE" w:rsidRPr="00607CBE" w14:paraId="70A3E4A8" w14:textId="77777777" w:rsidTr="00607CBE">
        <w:trPr>
          <w:trHeight w:val="20"/>
        </w:trPr>
        <w:tc>
          <w:tcPr>
            <w:tcW w:w="9437" w:type="dxa"/>
            <w:gridSpan w:val="6"/>
            <w:shd w:val="clear" w:color="auto" w:fill="A6A6A6"/>
          </w:tcPr>
          <w:p w14:paraId="695B5A4B" w14:textId="77777777" w:rsidR="00607CBE" w:rsidRPr="00607CBE" w:rsidRDefault="00607CBE" w:rsidP="00607CBE">
            <w:pPr>
              <w:spacing w:line="20" w:lineRule="atLeast"/>
              <w:ind w:hanging="55"/>
              <w:jc w:val="center"/>
              <w:rPr>
                <w:i/>
                <w:iCs/>
                <w:sz w:val="20"/>
                <w:szCs w:val="22"/>
              </w:rPr>
            </w:pPr>
            <w:r w:rsidRPr="00607CBE">
              <w:rPr>
                <w:b/>
                <w:sz w:val="20"/>
                <w:szCs w:val="20"/>
              </w:rPr>
              <w:t>Referenčné údaje</w:t>
            </w:r>
          </w:p>
        </w:tc>
      </w:tr>
      <w:tr w:rsidR="00607CBE" w:rsidRPr="00607CBE" w14:paraId="6C61AFF5" w14:textId="77777777" w:rsidTr="00607CBE">
        <w:trPr>
          <w:trHeight w:val="20"/>
        </w:trPr>
        <w:tc>
          <w:tcPr>
            <w:tcW w:w="3956" w:type="dxa"/>
          </w:tcPr>
          <w:p w14:paraId="5A87F312" w14:textId="77777777" w:rsidR="00607CBE" w:rsidRPr="00607CBE" w:rsidRDefault="00607CBE" w:rsidP="00607CBE">
            <w:pPr>
              <w:jc w:val="both"/>
              <w:rPr>
                <w:sz w:val="20"/>
                <w:szCs w:val="22"/>
              </w:rPr>
            </w:pPr>
            <w:r w:rsidRPr="00607CBE">
              <w:rPr>
                <w:b/>
                <w:bCs/>
                <w:sz w:val="20"/>
                <w:szCs w:val="22"/>
              </w:rPr>
              <w:t>6.7.1.</w:t>
            </w:r>
            <w:r w:rsidRPr="00607CBE">
              <w:rPr>
                <w:sz w:val="20"/>
                <w:szCs w:val="22"/>
              </w:rPr>
              <w:t xml:space="preserve"> Predpokladá predložený návrh zriadenie novej evidencie údajov alebo upravuje vedenie evidencie údajov, ktoré budú navrhnuté na zaradenie do zoznamu referenčných údajov podľa § 51 zákona č. 305/2013 </w:t>
            </w:r>
            <w:proofErr w:type="spellStart"/>
            <w:r w:rsidRPr="00607CBE">
              <w:rPr>
                <w:sz w:val="20"/>
                <w:szCs w:val="22"/>
              </w:rPr>
              <w:t>Z.z</w:t>
            </w:r>
            <w:proofErr w:type="spellEnd"/>
            <w:r w:rsidRPr="00607CBE">
              <w:rPr>
                <w:sz w:val="20"/>
                <w:szCs w:val="22"/>
              </w:rPr>
              <w:t>. o e-</w:t>
            </w:r>
            <w:proofErr w:type="spellStart"/>
            <w:r w:rsidRPr="00607CBE">
              <w:rPr>
                <w:sz w:val="20"/>
                <w:szCs w:val="22"/>
              </w:rPr>
              <w:t>Governmente</w:t>
            </w:r>
            <w:proofErr w:type="spellEnd"/>
            <w:r w:rsidRPr="00607CBE">
              <w:rPr>
                <w:sz w:val="20"/>
                <w:szCs w:val="22"/>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7CBE" w:rsidRPr="00607CBE" w14:paraId="1D75BF3C" w14:textId="77777777" w:rsidTr="00607CBE">
              <w:sdt>
                <w:sdtPr>
                  <w:rPr>
                    <w:sz w:val="20"/>
                    <w:szCs w:val="20"/>
                  </w:rPr>
                  <w:id w:val="-677810283"/>
                  <w14:checkbox>
                    <w14:checked w14:val="0"/>
                    <w14:checkedState w14:val="2612" w14:font="MS Gothic"/>
                    <w14:uncheckedState w14:val="2610" w14:font="MS Gothic"/>
                  </w14:checkbox>
                </w:sdtPr>
                <w:sdtEndPr/>
                <w:sdtContent>
                  <w:tc>
                    <w:tcPr>
                      <w:tcW w:w="436" w:type="dxa"/>
                    </w:tcPr>
                    <w:p w14:paraId="2C84E510" w14:textId="77777777" w:rsidR="00607CBE" w:rsidRPr="00607CBE" w:rsidRDefault="00607CBE" w:rsidP="00607CBE">
                      <w:pPr>
                        <w:jc w:val="center"/>
                        <w:rPr>
                          <w:sz w:val="20"/>
                          <w:szCs w:val="20"/>
                        </w:rPr>
                      </w:pPr>
                      <w:r w:rsidRPr="00607CBE">
                        <w:rPr>
                          <w:rFonts w:eastAsia="MS Gothic" w:hint="eastAsia"/>
                          <w:sz w:val="20"/>
                          <w:szCs w:val="20"/>
                        </w:rPr>
                        <w:t>☐</w:t>
                      </w:r>
                    </w:p>
                  </w:tc>
                </w:sdtContent>
              </w:sdt>
              <w:tc>
                <w:tcPr>
                  <w:tcW w:w="8545" w:type="dxa"/>
                </w:tcPr>
                <w:p w14:paraId="01546365" w14:textId="77777777" w:rsidR="00607CBE" w:rsidRPr="00607CBE" w:rsidRDefault="00607CBE" w:rsidP="00607CBE">
                  <w:pPr>
                    <w:rPr>
                      <w:b/>
                      <w:sz w:val="20"/>
                      <w:szCs w:val="20"/>
                    </w:rPr>
                  </w:pPr>
                  <w:r w:rsidRPr="00607CBE">
                    <w:rPr>
                      <w:b/>
                      <w:sz w:val="20"/>
                      <w:szCs w:val="20"/>
                    </w:rPr>
                    <w:t>Áno</w:t>
                  </w:r>
                </w:p>
              </w:tc>
            </w:tr>
            <w:tr w:rsidR="00607CBE" w:rsidRPr="00607CBE" w14:paraId="2C7BCBEA" w14:textId="77777777" w:rsidTr="00607CBE">
              <w:sdt>
                <w:sdtPr>
                  <w:rPr>
                    <w:sz w:val="20"/>
                    <w:szCs w:val="20"/>
                  </w:rPr>
                  <w:id w:val="-159857975"/>
                  <w14:checkbox>
                    <w14:checked w14:val="1"/>
                    <w14:checkedState w14:val="2612" w14:font="MS Gothic"/>
                    <w14:uncheckedState w14:val="2610" w14:font="MS Gothic"/>
                  </w14:checkbox>
                </w:sdtPr>
                <w:sdtEndPr/>
                <w:sdtContent>
                  <w:tc>
                    <w:tcPr>
                      <w:tcW w:w="436" w:type="dxa"/>
                    </w:tcPr>
                    <w:p w14:paraId="49361459" w14:textId="77777777" w:rsidR="00607CBE" w:rsidRPr="00607CBE" w:rsidRDefault="00607CBE" w:rsidP="00607CBE">
                      <w:pPr>
                        <w:jc w:val="center"/>
                        <w:rPr>
                          <w:sz w:val="20"/>
                          <w:szCs w:val="20"/>
                        </w:rPr>
                      </w:pPr>
                      <w:r w:rsidRPr="00607CBE">
                        <w:rPr>
                          <w:rFonts w:eastAsia="MS Gothic" w:hint="eastAsia"/>
                          <w:sz w:val="20"/>
                          <w:szCs w:val="20"/>
                        </w:rPr>
                        <w:t>☒</w:t>
                      </w:r>
                    </w:p>
                  </w:tc>
                </w:sdtContent>
              </w:sdt>
              <w:tc>
                <w:tcPr>
                  <w:tcW w:w="8545" w:type="dxa"/>
                </w:tcPr>
                <w:p w14:paraId="3AB77E79" w14:textId="77777777" w:rsidR="00607CBE" w:rsidRPr="00607CBE" w:rsidRDefault="00607CBE" w:rsidP="00607CBE">
                  <w:pPr>
                    <w:rPr>
                      <w:b/>
                      <w:sz w:val="20"/>
                      <w:szCs w:val="20"/>
                    </w:rPr>
                  </w:pPr>
                  <w:r w:rsidRPr="00607CBE">
                    <w:rPr>
                      <w:b/>
                      <w:sz w:val="20"/>
                      <w:szCs w:val="20"/>
                    </w:rPr>
                    <w:t>Nie</w:t>
                  </w:r>
                </w:p>
              </w:tc>
            </w:tr>
          </w:tbl>
          <w:p w14:paraId="244A8F53" w14:textId="77777777" w:rsidR="00607CBE" w:rsidRPr="00607CBE" w:rsidRDefault="00607CBE" w:rsidP="00607CBE">
            <w:pPr>
              <w:jc w:val="center"/>
              <w:rPr>
                <w:sz w:val="20"/>
                <w:szCs w:val="20"/>
              </w:rPr>
            </w:pPr>
          </w:p>
        </w:tc>
        <w:tc>
          <w:tcPr>
            <w:tcW w:w="4035" w:type="dxa"/>
            <w:gridSpan w:val="4"/>
          </w:tcPr>
          <w:p w14:paraId="5B692949" w14:textId="77777777" w:rsidR="00607CBE" w:rsidRPr="00607CBE" w:rsidRDefault="00607CBE" w:rsidP="00607CBE">
            <w:pPr>
              <w:rPr>
                <w:i/>
                <w:iCs/>
                <w:sz w:val="20"/>
                <w:szCs w:val="22"/>
              </w:rPr>
            </w:pPr>
            <w:r w:rsidRPr="00607CBE">
              <w:rPr>
                <w:i/>
                <w:iCs/>
                <w:sz w:val="20"/>
                <w:szCs w:val="22"/>
              </w:rPr>
              <w:t>(Uveďte, aká nová evidencia údajov sa zriaďuje, resp. akú evidenciu údajov návrh upravuje a ktoré údaje z nej budú navrhnuté na zaradenie do zoznamu referenčných údajov. Ak sa neplánuje zaradenie žiadnych údajov, uveďte dôvod)</w:t>
            </w:r>
          </w:p>
        </w:tc>
      </w:tr>
      <w:tr w:rsidR="00607CBE" w:rsidRPr="00607CBE" w14:paraId="10733608" w14:textId="77777777" w:rsidTr="00607CBE">
        <w:trPr>
          <w:trHeight w:val="20"/>
        </w:trPr>
        <w:tc>
          <w:tcPr>
            <w:tcW w:w="3956" w:type="dxa"/>
          </w:tcPr>
          <w:p w14:paraId="7AA82D0E" w14:textId="77777777" w:rsidR="00607CBE" w:rsidRPr="00607CBE" w:rsidRDefault="00607CBE" w:rsidP="00607CBE">
            <w:pPr>
              <w:jc w:val="both"/>
              <w:rPr>
                <w:sz w:val="20"/>
                <w:szCs w:val="22"/>
              </w:rPr>
            </w:pPr>
            <w:r w:rsidRPr="00607CBE">
              <w:rPr>
                <w:b/>
                <w:bCs/>
                <w:sz w:val="20"/>
                <w:szCs w:val="22"/>
              </w:rPr>
              <w:lastRenderedPageBreak/>
              <w:t>6.7.2.</w:t>
            </w:r>
            <w:r w:rsidRPr="00607CBE">
              <w:rPr>
                <w:sz w:val="20"/>
                <w:szCs w:val="22"/>
              </w:rPr>
              <w:t xml:space="preserve"> Kedy je plánované zaradenie údajov z evidencie do zoznamu referenčných údajov podľa § 51 zákona č. 305/2013 </w:t>
            </w:r>
            <w:proofErr w:type="spellStart"/>
            <w:r w:rsidRPr="00607CBE">
              <w:rPr>
                <w:sz w:val="20"/>
                <w:szCs w:val="22"/>
              </w:rPr>
              <w:t>Z.z</w:t>
            </w:r>
            <w:proofErr w:type="spellEnd"/>
            <w:r w:rsidRPr="00607CBE">
              <w:rPr>
                <w:sz w:val="20"/>
                <w:szCs w:val="22"/>
              </w:rPr>
              <w:t>. o e-</w:t>
            </w:r>
            <w:proofErr w:type="spellStart"/>
            <w:r w:rsidRPr="00607CBE">
              <w:rPr>
                <w:sz w:val="20"/>
                <w:szCs w:val="22"/>
              </w:rPr>
              <w:t>Governmente</w:t>
            </w:r>
            <w:proofErr w:type="spellEnd"/>
            <w:r w:rsidRPr="00607CBE">
              <w:rPr>
                <w:sz w:val="20"/>
                <w:szCs w:val="22"/>
              </w:rPr>
              <w:t>?</w:t>
            </w:r>
          </w:p>
        </w:tc>
        <w:tc>
          <w:tcPr>
            <w:tcW w:w="1446" w:type="dxa"/>
          </w:tcPr>
          <w:tbl>
            <w:tblPr>
              <w:tblStyle w:val="Mriekatabuk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607CBE" w:rsidRPr="00607CBE" w14:paraId="34B8EB6A" w14:textId="77777777" w:rsidTr="00607CBE">
              <w:tc>
                <w:tcPr>
                  <w:tcW w:w="436" w:type="dxa"/>
                </w:tcPr>
                <w:p w14:paraId="20D57763" w14:textId="77777777" w:rsidR="00607CBE" w:rsidRPr="00607CBE" w:rsidRDefault="00607CBE" w:rsidP="00607CBE">
                  <w:pPr>
                    <w:jc w:val="center"/>
                    <w:rPr>
                      <w:sz w:val="20"/>
                      <w:szCs w:val="20"/>
                    </w:rPr>
                  </w:pPr>
                </w:p>
              </w:tc>
              <w:tc>
                <w:tcPr>
                  <w:tcW w:w="8545" w:type="dxa"/>
                </w:tcPr>
                <w:p w14:paraId="3851C9D6" w14:textId="77777777" w:rsidR="00607CBE" w:rsidRPr="00607CBE" w:rsidRDefault="00607CBE" w:rsidP="00607CBE">
                  <w:pPr>
                    <w:rPr>
                      <w:b/>
                      <w:sz w:val="20"/>
                      <w:szCs w:val="20"/>
                    </w:rPr>
                  </w:pPr>
                </w:p>
              </w:tc>
            </w:tr>
            <w:tr w:rsidR="00607CBE" w:rsidRPr="00607CBE" w14:paraId="3CFBB885" w14:textId="77777777" w:rsidTr="00607CBE">
              <w:tc>
                <w:tcPr>
                  <w:tcW w:w="436" w:type="dxa"/>
                </w:tcPr>
                <w:p w14:paraId="352BFEBA" w14:textId="77777777" w:rsidR="00607CBE" w:rsidRPr="00607CBE" w:rsidRDefault="00607CBE" w:rsidP="00607CBE">
                  <w:pPr>
                    <w:jc w:val="center"/>
                    <w:rPr>
                      <w:sz w:val="20"/>
                      <w:szCs w:val="20"/>
                    </w:rPr>
                  </w:pPr>
                </w:p>
              </w:tc>
              <w:tc>
                <w:tcPr>
                  <w:tcW w:w="8545" w:type="dxa"/>
                </w:tcPr>
                <w:p w14:paraId="73D7E867" w14:textId="77777777" w:rsidR="00607CBE" w:rsidRPr="00607CBE" w:rsidRDefault="00607CBE" w:rsidP="00607CBE">
                  <w:pPr>
                    <w:rPr>
                      <w:b/>
                      <w:sz w:val="20"/>
                      <w:szCs w:val="20"/>
                    </w:rPr>
                  </w:pPr>
                </w:p>
              </w:tc>
            </w:tr>
          </w:tbl>
          <w:p w14:paraId="1FE29EF5" w14:textId="77777777" w:rsidR="00607CBE" w:rsidRPr="00607CBE" w:rsidRDefault="00607CBE" w:rsidP="00607CBE">
            <w:pPr>
              <w:jc w:val="center"/>
              <w:rPr>
                <w:sz w:val="20"/>
                <w:szCs w:val="20"/>
              </w:rPr>
            </w:pPr>
          </w:p>
        </w:tc>
        <w:tc>
          <w:tcPr>
            <w:tcW w:w="4035" w:type="dxa"/>
            <w:gridSpan w:val="4"/>
          </w:tcPr>
          <w:p w14:paraId="53F8F245" w14:textId="77777777" w:rsidR="00607CBE" w:rsidRPr="00607CBE" w:rsidRDefault="00607CBE" w:rsidP="00607CBE">
            <w:pPr>
              <w:rPr>
                <w:i/>
                <w:iCs/>
                <w:sz w:val="20"/>
                <w:szCs w:val="22"/>
              </w:rPr>
            </w:pPr>
            <w:r w:rsidRPr="00607CBE">
              <w:rPr>
                <w:i/>
                <w:iCs/>
                <w:sz w:val="20"/>
                <w:szCs w:val="22"/>
              </w:rPr>
              <w:t>(Uveďte, kedy sa plánuje zaradenie vyššie uvedených údajov do zoznamu referenčných údajov.)</w:t>
            </w:r>
          </w:p>
        </w:tc>
      </w:tr>
    </w:tbl>
    <w:p w14:paraId="47F64421" w14:textId="77777777" w:rsidR="00C145BC" w:rsidRDefault="00C145BC" w:rsidP="00C145BC">
      <w:pPr>
        <w:pStyle w:val="Normlnywebov"/>
        <w:autoSpaceDE w:val="0"/>
        <w:autoSpaceDN w:val="0"/>
        <w:jc w:val="center"/>
        <w:rPr>
          <w:b/>
          <w:bCs/>
        </w:rPr>
      </w:pPr>
    </w:p>
    <w:p w14:paraId="04AD437B" w14:textId="77777777" w:rsidR="00C145BC" w:rsidRDefault="00C145BC" w:rsidP="00C145BC">
      <w:pPr>
        <w:pStyle w:val="Normlnywebov"/>
        <w:autoSpaceDE w:val="0"/>
        <w:autoSpaceDN w:val="0"/>
        <w:jc w:val="center"/>
        <w:rPr>
          <w:b/>
          <w:bCs/>
        </w:rPr>
      </w:pPr>
    </w:p>
    <w:p w14:paraId="06027E42" w14:textId="77777777" w:rsidR="00C145BC" w:rsidRDefault="00C145BC" w:rsidP="00C145BC">
      <w:pPr>
        <w:pStyle w:val="Normlnywebov"/>
        <w:autoSpaceDE w:val="0"/>
        <w:autoSpaceDN w:val="0"/>
        <w:jc w:val="center"/>
        <w:rPr>
          <w:b/>
          <w:bCs/>
        </w:rPr>
      </w:pPr>
    </w:p>
    <w:p w14:paraId="28B262C6" w14:textId="77777777" w:rsidR="00C145BC" w:rsidRDefault="00C145BC" w:rsidP="00C145BC">
      <w:pPr>
        <w:pStyle w:val="Normlnywebov"/>
        <w:autoSpaceDE w:val="0"/>
        <w:autoSpaceDN w:val="0"/>
        <w:jc w:val="center"/>
        <w:rPr>
          <w:b/>
          <w:bCs/>
        </w:rPr>
      </w:pPr>
    </w:p>
    <w:p w14:paraId="04FF60DC" w14:textId="77777777" w:rsidR="00C145BC" w:rsidRPr="00895898" w:rsidRDefault="00C145BC" w:rsidP="00C145BC">
      <w:pPr>
        <w:rPr>
          <w:rFonts w:eastAsia="Calibri"/>
          <w:b/>
        </w:rPr>
        <w:sectPr w:rsidR="00C145BC" w:rsidRPr="00895898" w:rsidSect="00095967">
          <w:headerReference w:type="default" r:id="rId20"/>
          <w:footerReference w:type="default" r:id="rId21"/>
          <w:pgSz w:w="11906" w:h="16838"/>
          <w:pgMar w:top="993" w:right="1417" w:bottom="1417" w:left="1417" w:header="708" w:footer="708" w:gutter="0"/>
          <w:cols w:space="708"/>
          <w:docGrid w:linePitch="360"/>
        </w:sectPr>
      </w:pPr>
    </w:p>
    <w:p w14:paraId="013CC4C1" w14:textId="4699DA3A" w:rsidR="00C145BC" w:rsidRPr="00625E20" w:rsidRDefault="00C145BC" w:rsidP="00C145BC">
      <w:pPr>
        <w:pStyle w:val="Normlnywebov"/>
        <w:autoSpaceDE w:val="0"/>
        <w:autoSpaceDN w:val="0"/>
        <w:jc w:val="center"/>
        <w:rPr>
          <w:b/>
          <w:bCs/>
        </w:rPr>
      </w:pPr>
      <w:r w:rsidRPr="00625E20">
        <w:rPr>
          <w:b/>
          <w:bCs/>
        </w:rPr>
        <w:lastRenderedPageBreak/>
        <w:t>DOLOŽKA ZLUČITEĽNOSTI</w:t>
      </w:r>
    </w:p>
    <w:p w14:paraId="1354CF8C" w14:textId="77777777" w:rsidR="00C145BC" w:rsidRPr="00625E20" w:rsidRDefault="00C145BC" w:rsidP="00C145BC">
      <w:pPr>
        <w:pBdr>
          <w:bottom w:val="single" w:sz="12" w:space="1" w:color="auto"/>
        </w:pBdr>
        <w:jc w:val="center"/>
        <w:rPr>
          <w:b/>
        </w:rPr>
      </w:pPr>
      <w:r w:rsidRPr="00625E20">
        <w:rPr>
          <w:b/>
          <w:bCs/>
        </w:rPr>
        <w:t xml:space="preserve"> n</w:t>
      </w:r>
      <w:r w:rsidRPr="00625E20">
        <w:rPr>
          <w:b/>
        </w:rPr>
        <w:t>ávrhu zákona s právom Európskej únie</w:t>
      </w:r>
    </w:p>
    <w:p w14:paraId="37AAE083" w14:textId="77777777" w:rsidR="00C145BC" w:rsidRPr="00625E20" w:rsidRDefault="00C145BC" w:rsidP="00C145BC">
      <w:pPr>
        <w:widowControl w:val="0"/>
        <w:numPr>
          <w:ilvl w:val="0"/>
          <w:numId w:val="8"/>
        </w:numPr>
        <w:autoSpaceDE w:val="0"/>
        <w:autoSpaceDN w:val="0"/>
        <w:spacing w:after="120"/>
        <w:ind w:left="357" w:hanging="357"/>
        <w:jc w:val="both"/>
        <w:rPr>
          <w:b/>
          <w:bCs/>
        </w:rPr>
      </w:pPr>
      <w:r w:rsidRPr="00625E20">
        <w:rPr>
          <w:b/>
          <w:bCs/>
        </w:rPr>
        <w:t>Navrhovateľ zákona:</w:t>
      </w:r>
    </w:p>
    <w:p w14:paraId="3173DED7" w14:textId="77777777" w:rsidR="00C145BC" w:rsidRPr="00625E20" w:rsidRDefault="00C145BC" w:rsidP="00C145BC">
      <w:pPr>
        <w:widowControl w:val="0"/>
        <w:autoSpaceDE w:val="0"/>
        <w:autoSpaceDN w:val="0"/>
        <w:spacing w:before="240" w:after="120"/>
        <w:ind w:firstLine="357"/>
        <w:contextualSpacing/>
        <w:jc w:val="both"/>
      </w:pPr>
      <w:r w:rsidRPr="00625E20">
        <w:t>Vláda Slovenskej republiky.</w:t>
      </w:r>
    </w:p>
    <w:p w14:paraId="4538A6C9" w14:textId="77777777" w:rsidR="00C145BC" w:rsidRPr="00625E20" w:rsidRDefault="00C145BC" w:rsidP="00C145BC">
      <w:pPr>
        <w:widowControl w:val="0"/>
        <w:autoSpaceDE w:val="0"/>
        <w:autoSpaceDN w:val="0"/>
        <w:spacing w:before="120" w:after="120"/>
        <w:ind w:firstLine="357"/>
        <w:contextualSpacing/>
        <w:jc w:val="both"/>
      </w:pPr>
    </w:p>
    <w:p w14:paraId="29634E34" w14:textId="77777777" w:rsidR="00C145BC" w:rsidRPr="00625E20" w:rsidRDefault="00C145BC" w:rsidP="00C145BC">
      <w:pPr>
        <w:widowControl w:val="0"/>
        <w:numPr>
          <w:ilvl w:val="0"/>
          <w:numId w:val="8"/>
        </w:numPr>
        <w:autoSpaceDE w:val="0"/>
        <w:autoSpaceDN w:val="0"/>
        <w:spacing w:after="120"/>
        <w:ind w:left="357" w:hanging="357"/>
        <w:jc w:val="both"/>
        <w:rPr>
          <w:b/>
          <w:bCs/>
        </w:rPr>
      </w:pPr>
      <w:r w:rsidRPr="00625E20">
        <w:rPr>
          <w:b/>
          <w:bCs/>
        </w:rPr>
        <w:t xml:space="preserve">Názov návrhu zákona: </w:t>
      </w:r>
    </w:p>
    <w:p w14:paraId="61BBEAEB" w14:textId="77777777" w:rsidR="00C145BC" w:rsidRPr="00625E20" w:rsidRDefault="00C145BC" w:rsidP="00C145BC">
      <w:pPr>
        <w:pStyle w:val="Zkladntext0"/>
        <w:spacing w:after="0"/>
        <w:ind w:left="360"/>
        <w:jc w:val="both"/>
      </w:pPr>
      <w:r w:rsidRPr="00625E20">
        <w:t>Návrh zákona, ktorým sa mení a dopĺňa zákon č. 431/2002 Z. z. o účtovníctve v znení neskorších predpisov a ktorým sa men</w:t>
      </w:r>
      <w:r>
        <w:t xml:space="preserve">í </w:t>
      </w:r>
      <w:r w:rsidRPr="00625E20">
        <w:t>a dopĺňa zákon</w:t>
      </w:r>
      <w:r>
        <w:t xml:space="preserve"> č. 513/1991 Zb. Obchodný zákonník v znení neskorších predpisov</w:t>
      </w:r>
      <w:r w:rsidRPr="00625E20">
        <w:t>.</w:t>
      </w:r>
    </w:p>
    <w:p w14:paraId="013024E6" w14:textId="77777777" w:rsidR="00C145BC" w:rsidRPr="00625E20" w:rsidRDefault="00C145BC" w:rsidP="00C145BC">
      <w:pPr>
        <w:widowControl w:val="0"/>
        <w:autoSpaceDE w:val="0"/>
        <w:autoSpaceDN w:val="0"/>
        <w:ind w:left="357"/>
        <w:contextualSpacing/>
        <w:jc w:val="both"/>
        <w:rPr>
          <w:b/>
          <w:bCs/>
        </w:rPr>
      </w:pPr>
    </w:p>
    <w:p w14:paraId="2F0431C5" w14:textId="77777777" w:rsidR="00C145BC" w:rsidRPr="00625E20" w:rsidRDefault="00C145BC" w:rsidP="00C145BC">
      <w:pPr>
        <w:pStyle w:val="Zkladntext"/>
        <w:numPr>
          <w:ilvl w:val="0"/>
          <w:numId w:val="8"/>
        </w:numPr>
        <w:jc w:val="both"/>
        <w:rPr>
          <w:b/>
          <w:bCs/>
          <w:color w:val="auto"/>
          <w:sz w:val="24"/>
          <w:szCs w:val="24"/>
        </w:rPr>
      </w:pPr>
      <w:r w:rsidRPr="00625E20">
        <w:rPr>
          <w:b/>
          <w:bCs/>
          <w:color w:val="auto"/>
          <w:sz w:val="24"/>
          <w:szCs w:val="24"/>
        </w:rPr>
        <w:t xml:space="preserve">Predmet návrhu zákona </w:t>
      </w:r>
      <w:r w:rsidRPr="00625E20">
        <w:rPr>
          <w:b/>
          <w:color w:val="auto"/>
          <w:sz w:val="24"/>
          <w:szCs w:val="24"/>
        </w:rPr>
        <w:t>je upravený v práve Európskej únie:</w:t>
      </w:r>
    </w:p>
    <w:p w14:paraId="4EF61E78" w14:textId="77777777" w:rsidR="00C145BC" w:rsidRPr="00625E20" w:rsidRDefault="00C145BC" w:rsidP="00C145BC">
      <w:pPr>
        <w:pStyle w:val="Zarkazkladnhotextu"/>
        <w:spacing w:before="120"/>
        <w:ind w:left="426" w:firstLine="0"/>
        <w:rPr>
          <w:szCs w:val="24"/>
        </w:rPr>
      </w:pPr>
      <w:r w:rsidRPr="00625E20">
        <w:rPr>
          <w:szCs w:val="24"/>
        </w:rPr>
        <w:t>a) Primárne právo:</w:t>
      </w:r>
    </w:p>
    <w:p w14:paraId="52FBC702" w14:textId="77777777" w:rsidR="00C145BC" w:rsidRPr="00625E20" w:rsidRDefault="00C145BC" w:rsidP="00C145BC">
      <w:pPr>
        <w:pStyle w:val="Zarkazkladnhotextu"/>
        <w:numPr>
          <w:ilvl w:val="0"/>
          <w:numId w:val="11"/>
        </w:numPr>
        <w:spacing w:before="120" w:after="120"/>
        <w:ind w:left="709" w:hanging="283"/>
        <w:rPr>
          <w:szCs w:val="24"/>
        </w:rPr>
      </w:pPr>
      <w:r w:rsidRPr="00625E20">
        <w:rPr>
          <w:szCs w:val="24"/>
        </w:rPr>
        <w:t>čl. 4 ods. 2  Zmluvy o fungovaní Európskej únie (</w:t>
      </w:r>
      <w:r w:rsidRPr="00625E20">
        <w:rPr>
          <w:rStyle w:val="awspan1"/>
        </w:rPr>
        <w:t>Ú. v. EÚ C 202, 7.6.2016) v platnom znení.</w:t>
      </w:r>
    </w:p>
    <w:p w14:paraId="200E7EFB" w14:textId="77777777" w:rsidR="00C145BC" w:rsidRPr="00625E20" w:rsidRDefault="00C145BC" w:rsidP="00C145BC">
      <w:pPr>
        <w:spacing w:after="120"/>
        <w:ind w:left="426"/>
        <w:jc w:val="both"/>
      </w:pPr>
      <w:r w:rsidRPr="00625E20">
        <w:t xml:space="preserve">b) Sekundárne právo: </w:t>
      </w:r>
    </w:p>
    <w:p w14:paraId="672A2232" w14:textId="77777777" w:rsidR="00C145BC" w:rsidRPr="00625E20" w:rsidRDefault="00C145BC" w:rsidP="00C145BC">
      <w:pPr>
        <w:pStyle w:val="Odsekzoznamu"/>
        <w:numPr>
          <w:ilvl w:val="0"/>
          <w:numId w:val="11"/>
        </w:numPr>
        <w:ind w:left="709" w:hanging="283"/>
        <w:jc w:val="both"/>
        <w:rPr>
          <w:color w:val="000000"/>
        </w:rPr>
      </w:pPr>
      <w:r w:rsidRPr="00625E20">
        <w:rPr>
          <w:color w:val="000000"/>
        </w:rPr>
        <w:t xml:space="preserve">smernica Európskeho parlamentu a Rady (EÚ) 2021/2101 z 24. novembra 2021, ktorou sa mení smernica 2013/34/EÚ, pokiaľ ide o zverejňovanie informácií o dani z príjmov určitými podnikmi a pobočkami (Ú. v. EÚ L 429, 1.12.2021), gestor: </w:t>
      </w:r>
      <w:r>
        <w:rPr>
          <w:color w:val="000000"/>
        </w:rPr>
        <w:t>MF SR</w:t>
      </w:r>
      <w:r w:rsidRPr="00625E20">
        <w:rPr>
          <w:color w:val="000000"/>
        </w:rPr>
        <w:t>,</w:t>
      </w:r>
    </w:p>
    <w:p w14:paraId="566ECF26" w14:textId="77777777" w:rsidR="00C145BC" w:rsidRPr="00625E20" w:rsidRDefault="00C145BC" w:rsidP="00C145BC">
      <w:pPr>
        <w:pStyle w:val="Odsekzoznamu"/>
        <w:numPr>
          <w:ilvl w:val="0"/>
          <w:numId w:val="11"/>
        </w:numPr>
        <w:ind w:left="709" w:hanging="283"/>
        <w:jc w:val="both"/>
        <w:rPr>
          <w:color w:val="000000"/>
        </w:rPr>
      </w:pPr>
      <w:r w:rsidRPr="00625E20">
        <w:rPr>
          <w:color w:val="000000"/>
        </w:rPr>
        <w:t>smernica</w:t>
      </w:r>
      <w:r w:rsidRPr="00625E20">
        <w:rPr>
          <w:color w:val="000000"/>
          <w:spacing w:val="56"/>
        </w:rPr>
        <w:t xml:space="preserve"> </w:t>
      </w:r>
      <w:r w:rsidRPr="00625E20">
        <w:rPr>
          <w:color w:val="000000"/>
        </w:rPr>
        <w:t>Európskeho</w:t>
      </w:r>
      <w:r w:rsidRPr="00625E20">
        <w:rPr>
          <w:color w:val="000000"/>
          <w:spacing w:val="56"/>
        </w:rPr>
        <w:t xml:space="preserve"> </w:t>
      </w:r>
      <w:r w:rsidRPr="00625E20">
        <w:rPr>
          <w:color w:val="000000"/>
        </w:rPr>
        <w:t>parlamentu</w:t>
      </w:r>
      <w:r w:rsidRPr="00625E20">
        <w:rPr>
          <w:color w:val="000000"/>
          <w:spacing w:val="56"/>
        </w:rPr>
        <w:t xml:space="preserve"> </w:t>
      </w:r>
      <w:r w:rsidRPr="00625E20">
        <w:rPr>
          <w:color w:val="000000"/>
        </w:rPr>
        <w:t>a</w:t>
      </w:r>
      <w:r w:rsidRPr="00625E20">
        <w:rPr>
          <w:color w:val="000000"/>
          <w:spacing w:val="56"/>
        </w:rPr>
        <w:t xml:space="preserve"> </w:t>
      </w:r>
      <w:r w:rsidRPr="00625E20">
        <w:rPr>
          <w:color w:val="000000"/>
        </w:rPr>
        <w:t>Rady</w:t>
      </w:r>
      <w:r w:rsidRPr="00625E20">
        <w:rPr>
          <w:color w:val="000000"/>
          <w:spacing w:val="56"/>
        </w:rPr>
        <w:t xml:space="preserve"> </w:t>
      </w:r>
      <w:r w:rsidRPr="00625E20">
        <w:rPr>
          <w:color w:val="000000"/>
        </w:rPr>
        <w:t>2013/34/EÚ</w:t>
      </w:r>
      <w:r w:rsidRPr="00625E20">
        <w:rPr>
          <w:color w:val="000000"/>
          <w:spacing w:val="56"/>
        </w:rPr>
        <w:t xml:space="preserve"> </w:t>
      </w:r>
      <w:r w:rsidRPr="00625E20">
        <w:rPr>
          <w:color w:val="000000"/>
        </w:rPr>
        <w:t>z</w:t>
      </w:r>
      <w:r w:rsidRPr="00625E20">
        <w:rPr>
          <w:color w:val="000000"/>
          <w:spacing w:val="56"/>
        </w:rPr>
        <w:t xml:space="preserve"> </w:t>
      </w:r>
      <w:r w:rsidRPr="00625E20">
        <w:rPr>
          <w:color w:val="000000"/>
        </w:rPr>
        <w:t>26.</w:t>
      </w:r>
      <w:r w:rsidRPr="00625E20">
        <w:rPr>
          <w:color w:val="000000"/>
          <w:spacing w:val="56"/>
        </w:rPr>
        <w:t xml:space="preserve"> </w:t>
      </w:r>
      <w:r w:rsidRPr="00625E20">
        <w:rPr>
          <w:color w:val="000000"/>
        </w:rPr>
        <w:t>júna</w:t>
      </w:r>
      <w:r w:rsidRPr="00625E20">
        <w:rPr>
          <w:color w:val="000000"/>
          <w:spacing w:val="56"/>
        </w:rPr>
        <w:t xml:space="preserve"> </w:t>
      </w:r>
      <w:r w:rsidRPr="00625E20">
        <w:rPr>
          <w:color w:val="000000"/>
        </w:rPr>
        <w:t>2013</w:t>
      </w:r>
      <w:r w:rsidRPr="00625E20">
        <w:rPr>
          <w:color w:val="000000"/>
          <w:spacing w:val="56"/>
        </w:rPr>
        <w:t xml:space="preserve"> </w:t>
      </w:r>
      <w:r w:rsidRPr="00625E20">
        <w:rPr>
          <w:color w:val="000000"/>
        </w:rPr>
        <w:t>o</w:t>
      </w:r>
      <w:r w:rsidRPr="00625E20">
        <w:rPr>
          <w:color w:val="000000"/>
          <w:spacing w:val="56"/>
        </w:rPr>
        <w:t xml:space="preserve"> </w:t>
      </w:r>
      <w:r w:rsidRPr="00625E20">
        <w:rPr>
          <w:color w:val="000000"/>
        </w:rPr>
        <w:t>ročných účtovných závierkach, konsolidovaných účtovných závierkach a súvisiacich správach určitých druhov podnikov, ktorou sa mení smernica Európskeho parlamentu a Rady 2006/43/ES a zrušujú smernice Rady 78/660/EHS a 83/349/EHS (Ú. v. EÚ L 182, 29.6.2013) v platnom znení, gestor: MF SR,</w:t>
      </w:r>
    </w:p>
    <w:p w14:paraId="740DCFB9" w14:textId="77777777" w:rsidR="00C145BC" w:rsidRPr="00625E20" w:rsidRDefault="00C145BC" w:rsidP="00C145BC">
      <w:pPr>
        <w:pStyle w:val="Odsekzoznamu"/>
        <w:numPr>
          <w:ilvl w:val="0"/>
          <w:numId w:val="11"/>
        </w:numPr>
        <w:ind w:left="709" w:hanging="283"/>
        <w:jc w:val="both"/>
      </w:pPr>
      <w:r w:rsidRPr="00625E20">
        <w:rPr>
          <w:color w:val="000000"/>
        </w:rPr>
        <w:t>smernica</w:t>
      </w:r>
      <w:r w:rsidRPr="00625E20">
        <w:rPr>
          <w:color w:val="000000"/>
          <w:spacing w:val="34"/>
        </w:rPr>
        <w:t xml:space="preserve"> </w:t>
      </w:r>
      <w:r w:rsidRPr="00625E20">
        <w:rPr>
          <w:color w:val="000000"/>
        </w:rPr>
        <w:t>Európskeho</w:t>
      </w:r>
      <w:r w:rsidRPr="00625E20">
        <w:rPr>
          <w:color w:val="000000"/>
          <w:spacing w:val="34"/>
        </w:rPr>
        <w:t xml:space="preserve"> </w:t>
      </w:r>
      <w:r w:rsidRPr="00625E20">
        <w:rPr>
          <w:color w:val="000000"/>
        </w:rPr>
        <w:t>parlamentu</w:t>
      </w:r>
      <w:r w:rsidRPr="00625E20">
        <w:rPr>
          <w:color w:val="000000"/>
          <w:spacing w:val="34"/>
        </w:rPr>
        <w:t xml:space="preserve"> </w:t>
      </w:r>
      <w:r w:rsidRPr="00625E20">
        <w:rPr>
          <w:color w:val="000000"/>
        </w:rPr>
        <w:t>a Rady</w:t>
      </w:r>
      <w:r w:rsidRPr="00625E20">
        <w:rPr>
          <w:color w:val="000000"/>
          <w:spacing w:val="34"/>
        </w:rPr>
        <w:t xml:space="preserve"> </w:t>
      </w:r>
      <w:r w:rsidRPr="00625E20">
        <w:rPr>
          <w:color w:val="000000"/>
        </w:rPr>
        <w:t>2014/95/EÚ</w:t>
      </w:r>
      <w:r w:rsidRPr="00625E20">
        <w:rPr>
          <w:color w:val="000000"/>
          <w:spacing w:val="34"/>
        </w:rPr>
        <w:t xml:space="preserve"> </w:t>
      </w:r>
      <w:r w:rsidRPr="00625E20">
        <w:rPr>
          <w:color w:val="000000"/>
        </w:rPr>
        <w:t>z 22.</w:t>
      </w:r>
      <w:r w:rsidRPr="00625E20">
        <w:rPr>
          <w:color w:val="000000"/>
          <w:spacing w:val="34"/>
        </w:rPr>
        <w:t xml:space="preserve"> </w:t>
      </w:r>
      <w:r w:rsidRPr="00625E20">
        <w:rPr>
          <w:color w:val="000000"/>
        </w:rPr>
        <w:t>októbra</w:t>
      </w:r>
      <w:r w:rsidRPr="00625E20">
        <w:rPr>
          <w:color w:val="000000"/>
          <w:spacing w:val="34"/>
        </w:rPr>
        <w:t xml:space="preserve"> </w:t>
      </w:r>
      <w:r w:rsidRPr="00625E20">
        <w:rPr>
          <w:color w:val="000000"/>
        </w:rPr>
        <w:t>2014,</w:t>
      </w:r>
      <w:r w:rsidRPr="00625E20">
        <w:rPr>
          <w:color w:val="000000"/>
          <w:spacing w:val="34"/>
        </w:rPr>
        <w:t xml:space="preserve"> </w:t>
      </w:r>
      <w:r w:rsidRPr="00625E20">
        <w:rPr>
          <w:color w:val="000000"/>
        </w:rPr>
        <w:t>ktorou</w:t>
      </w:r>
      <w:r w:rsidRPr="00625E20">
        <w:rPr>
          <w:color w:val="000000"/>
          <w:spacing w:val="34"/>
        </w:rPr>
        <w:t xml:space="preserve"> </w:t>
      </w:r>
      <w:r w:rsidRPr="00625E20">
        <w:rPr>
          <w:color w:val="000000"/>
        </w:rPr>
        <w:t>sa mení</w:t>
      </w:r>
      <w:r w:rsidRPr="00625E20">
        <w:rPr>
          <w:color w:val="000000"/>
          <w:spacing w:val="87"/>
        </w:rPr>
        <w:t xml:space="preserve"> </w:t>
      </w:r>
      <w:r w:rsidRPr="00625E20">
        <w:rPr>
          <w:color w:val="000000"/>
        </w:rPr>
        <w:t>smernica</w:t>
      </w:r>
      <w:r w:rsidRPr="00625E20">
        <w:rPr>
          <w:color w:val="000000"/>
          <w:spacing w:val="87"/>
        </w:rPr>
        <w:t xml:space="preserve"> </w:t>
      </w:r>
      <w:r w:rsidRPr="00625E20">
        <w:rPr>
          <w:color w:val="000000"/>
        </w:rPr>
        <w:t>2013/34/EÚ,</w:t>
      </w:r>
      <w:r w:rsidRPr="00625E20">
        <w:rPr>
          <w:color w:val="000000"/>
          <w:spacing w:val="87"/>
        </w:rPr>
        <w:t xml:space="preserve"> </w:t>
      </w:r>
      <w:r w:rsidRPr="00625E20">
        <w:rPr>
          <w:color w:val="000000"/>
        </w:rPr>
        <w:t>pokiaľ</w:t>
      </w:r>
      <w:r w:rsidRPr="00625E20">
        <w:rPr>
          <w:color w:val="000000"/>
          <w:spacing w:val="87"/>
        </w:rPr>
        <w:t xml:space="preserve"> </w:t>
      </w:r>
      <w:r w:rsidRPr="00625E20">
        <w:rPr>
          <w:color w:val="000000"/>
        </w:rPr>
        <w:t>ide</w:t>
      </w:r>
      <w:r w:rsidRPr="00625E20">
        <w:rPr>
          <w:color w:val="000000"/>
          <w:spacing w:val="87"/>
        </w:rPr>
        <w:t xml:space="preserve"> </w:t>
      </w:r>
      <w:r w:rsidRPr="00625E20">
        <w:rPr>
          <w:color w:val="000000"/>
        </w:rPr>
        <w:t>o zverejňovanie</w:t>
      </w:r>
      <w:r w:rsidRPr="00625E20">
        <w:rPr>
          <w:color w:val="000000"/>
          <w:spacing w:val="87"/>
        </w:rPr>
        <w:t xml:space="preserve"> </w:t>
      </w:r>
      <w:r w:rsidRPr="00625E20">
        <w:rPr>
          <w:color w:val="000000"/>
        </w:rPr>
        <w:t>nefinančných</w:t>
      </w:r>
      <w:r w:rsidRPr="00625E20">
        <w:rPr>
          <w:color w:val="000000"/>
          <w:spacing w:val="87"/>
        </w:rPr>
        <w:t xml:space="preserve"> </w:t>
      </w:r>
      <w:r w:rsidRPr="00625E20">
        <w:rPr>
          <w:color w:val="000000"/>
        </w:rPr>
        <w:t>informácií a informácií</w:t>
      </w:r>
      <w:r w:rsidRPr="00625E20">
        <w:rPr>
          <w:color w:val="000000"/>
          <w:spacing w:val="58"/>
        </w:rPr>
        <w:t xml:space="preserve"> </w:t>
      </w:r>
      <w:r w:rsidRPr="00625E20">
        <w:rPr>
          <w:color w:val="000000"/>
        </w:rPr>
        <w:t>týkajúcich</w:t>
      </w:r>
      <w:r w:rsidRPr="00625E20">
        <w:rPr>
          <w:color w:val="000000"/>
          <w:spacing w:val="58"/>
        </w:rPr>
        <w:t xml:space="preserve"> </w:t>
      </w:r>
      <w:r w:rsidRPr="00625E20">
        <w:rPr>
          <w:color w:val="000000"/>
        </w:rPr>
        <w:t>sa</w:t>
      </w:r>
      <w:r w:rsidRPr="00625E20">
        <w:rPr>
          <w:color w:val="000000"/>
          <w:spacing w:val="58"/>
        </w:rPr>
        <w:t xml:space="preserve"> </w:t>
      </w:r>
      <w:r w:rsidRPr="00625E20">
        <w:rPr>
          <w:color w:val="000000"/>
        </w:rPr>
        <w:t>rozmanitosti</w:t>
      </w:r>
      <w:r w:rsidRPr="00625E20">
        <w:rPr>
          <w:color w:val="000000"/>
          <w:spacing w:val="58"/>
        </w:rPr>
        <w:t xml:space="preserve"> </w:t>
      </w:r>
      <w:r w:rsidRPr="00625E20">
        <w:rPr>
          <w:color w:val="000000"/>
        </w:rPr>
        <w:t>niektorými</w:t>
      </w:r>
      <w:r w:rsidRPr="00625E20">
        <w:rPr>
          <w:color w:val="000000"/>
          <w:spacing w:val="58"/>
        </w:rPr>
        <w:t xml:space="preserve"> </w:t>
      </w:r>
      <w:r w:rsidRPr="00625E20">
        <w:rPr>
          <w:color w:val="000000"/>
        </w:rPr>
        <w:t>veľkými</w:t>
      </w:r>
      <w:r w:rsidRPr="00625E20">
        <w:rPr>
          <w:color w:val="000000"/>
          <w:spacing w:val="58"/>
        </w:rPr>
        <w:t xml:space="preserve"> </w:t>
      </w:r>
      <w:r w:rsidRPr="00625E20">
        <w:rPr>
          <w:color w:val="000000"/>
        </w:rPr>
        <w:t>podnikmi</w:t>
      </w:r>
      <w:r w:rsidRPr="00625E20">
        <w:rPr>
          <w:color w:val="000000"/>
          <w:spacing w:val="58"/>
        </w:rPr>
        <w:t xml:space="preserve"> </w:t>
      </w:r>
      <w:r w:rsidRPr="00625E20">
        <w:rPr>
          <w:color w:val="000000"/>
        </w:rPr>
        <w:t>a skupinami (Ú.</w:t>
      </w:r>
      <w:r>
        <w:rPr>
          <w:color w:val="000000"/>
        </w:rPr>
        <w:t xml:space="preserve"> </w:t>
      </w:r>
      <w:r w:rsidRPr="00625E20">
        <w:rPr>
          <w:color w:val="000000"/>
        </w:rPr>
        <w:t>v. EÚ L 330, 15.11.2014)</w:t>
      </w:r>
      <w:r>
        <w:rPr>
          <w:color w:val="000000"/>
        </w:rPr>
        <w:t xml:space="preserve"> v platnom znení</w:t>
      </w:r>
      <w:r w:rsidRPr="00625E20">
        <w:rPr>
          <w:color w:val="000000"/>
        </w:rPr>
        <w:t xml:space="preserve">, gestor: MF SR, </w:t>
      </w:r>
      <w:proofErr w:type="spellStart"/>
      <w:r w:rsidRPr="00625E20">
        <w:rPr>
          <w:color w:val="000000"/>
        </w:rPr>
        <w:t>spolugestor</w:t>
      </w:r>
      <w:proofErr w:type="spellEnd"/>
      <w:r w:rsidRPr="00625E20">
        <w:rPr>
          <w:color w:val="000000"/>
        </w:rPr>
        <w:t>: MS SR,</w:t>
      </w:r>
    </w:p>
    <w:p w14:paraId="50E6F420" w14:textId="77777777" w:rsidR="00C145BC" w:rsidRPr="00625E20" w:rsidRDefault="00C145BC" w:rsidP="00C145BC">
      <w:pPr>
        <w:pStyle w:val="Odsekzoznamu"/>
        <w:numPr>
          <w:ilvl w:val="0"/>
          <w:numId w:val="11"/>
        </w:numPr>
        <w:ind w:left="709" w:hanging="283"/>
        <w:jc w:val="both"/>
        <w:rPr>
          <w:color w:val="000000"/>
        </w:rPr>
      </w:pPr>
      <w:r w:rsidRPr="00625E20">
        <w:rPr>
          <w:color w:val="000000"/>
        </w:rPr>
        <w:t>smernica Rady z 8. decembra 1986 o ročnej účtovnej závierke a konsolidovaných účtoch bánk a iných finančných inštitúcií (1986/635/EHS) (Ú. v. ES L 372, 31.12.1986; Mimoriadne vydanie Ú. v. EÚ kap. 6/zv. 1) v platnom znení, gestor: MF SR,</w:t>
      </w:r>
    </w:p>
    <w:p w14:paraId="47305CA5" w14:textId="77777777" w:rsidR="00C145BC" w:rsidRPr="00625E20" w:rsidRDefault="00C145BC" w:rsidP="00C145BC">
      <w:pPr>
        <w:pStyle w:val="Odsekzoznamu"/>
        <w:numPr>
          <w:ilvl w:val="0"/>
          <w:numId w:val="11"/>
        </w:numPr>
        <w:ind w:left="709" w:hanging="283"/>
        <w:jc w:val="both"/>
        <w:rPr>
          <w:color w:val="000000"/>
        </w:rPr>
      </w:pPr>
      <w:r w:rsidRPr="00625E20">
        <w:rPr>
          <w:color w:val="000000"/>
        </w:rPr>
        <w:t>smernica Rady z 19. decembra 1991 o ročných účtovných závierkach a konsolidovaných účtovných závierkach poisťovní (1991/674/EHS) (Ú. v. ES L 374, 31.12.1991; Mimoriadne  vydanie Ú. v. EÚ kap. 6/zv. 1) v platnom znení, gestor: MF SR,</w:t>
      </w:r>
    </w:p>
    <w:p w14:paraId="255F0ACC" w14:textId="77777777" w:rsidR="00C145BC" w:rsidRPr="00625E20" w:rsidRDefault="00C145BC" w:rsidP="00C145BC">
      <w:pPr>
        <w:pStyle w:val="Odsekzoznamu"/>
        <w:numPr>
          <w:ilvl w:val="0"/>
          <w:numId w:val="11"/>
        </w:numPr>
        <w:ind w:left="709" w:hanging="283"/>
        <w:jc w:val="both"/>
      </w:pPr>
      <w:r w:rsidRPr="00625E20">
        <w:rPr>
          <w:color w:val="000000"/>
        </w:rPr>
        <w:t>smernica Európskeho parlamentu a Rady 2004/25/ES z 21. apríla 2004 o ponukách</w:t>
      </w:r>
      <w:r w:rsidRPr="00625E20">
        <w:rPr>
          <w:color w:val="000000"/>
          <w:spacing w:val="8"/>
        </w:rPr>
        <w:t xml:space="preserve"> </w:t>
      </w:r>
      <w:r w:rsidRPr="00625E20">
        <w:rPr>
          <w:color w:val="000000"/>
        </w:rPr>
        <w:t>na prevzatie</w:t>
      </w:r>
      <w:r w:rsidRPr="00625E20">
        <w:rPr>
          <w:color w:val="000000"/>
          <w:spacing w:val="12"/>
        </w:rPr>
        <w:t xml:space="preserve"> </w:t>
      </w:r>
      <w:r w:rsidRPr="00625E20">
        <w:rPr>
          <w:color w:val="000000"/>
        </w:rPr>
        <w:t>(Ú.</w:t>
      </w:r>
      <w:r w:rsidRPr="00625E20">
        <w:rPr>
          <w:color w:val="000000"/>
          <w:spacing w:val="12"/>
        </w:rPr>
        <w:t xml:space="preserve"> </w:t>
      </w:r>
      <w:r w:rsidRPr="00625E20">
        <w:rPr>
          <w:color w:val="000000"/>
        </w:rPr>
        <w:t>v.</w:t>
      </w:r>
      <w:r w:rsidRPr="00625E20">
        <w:rPr>
          <w:color w:val="000000"/>
          <w:spacing w:val="12"/>
        </w:rPr>
        <w:t xml:space="preserve"> </w:t>
      </w:r>
      <w:r w:rsidRPr="00625E20">
        <w:rPr>
          <w:color w:val="000000"/>
        </w:rPr>
        <w:t>EÚ</w:t>
      </w:r>
      <w:r w:rsidRPr="00625E20">
        <w:rPr>
          <w:color w:val="000000"/>
          <w:spacing w:val="12"/>
        </w:rPr>
        <w:t xml:space="preserve"> </w:t>
      </w:r>
      <w:r w:rsidRPr="00625E20">
        <w:rPr>
          <w:color w:val="000000"/>
        </w:rPr>
        <w:t>L</w:t>
      </w:r>
      <w:r w:rsidRPr="00625E20">
        <w:rPr>
          <w:color w:val="000000"/>
          <w:spacing w:val="12"/>
        </w:rPr>
        <w:t xml:space="preserve"> </w:t>
      </w:r>
      <w:r w:rsidRPr="00625E20">
        <w:rPr>
          <w:color w:val="000000"/>
        </w:rPr>
        <w:t>142,</w:t>
      </w:r>
      <w:r w:rsidRPr="00625E20">
        <w:rPr>
          <w:color w:val="000000"/>
          <w:spacing w:val="12"/>
        </w:rPr>
        <w:t xml:space="preserve"> </w:t>
      </w:r>
      <w:r w:rsidRPr="00625E20">
        <w:rPr>
          <w:color w:val="000000"/>
        </w:rPr>
        <w:t>30.4.2004; Mimoriadne</w:t>
      </w:r>
      <w:r w:rsidRPr="00625E20">
        <w:rPr>
          <w:color w:val="000000"/>
          <w:spacing w:val="12"/>
        </w:rPr>
        <w:t xml:space="preserve"> </w:t>
      </w:r>
      <w:r w:rsidRPr="00625E20">
        <w:rPr>
          <w:color w:val="000000"/>
        </w:rPr>
        <w:t>vydanie</w:t>
      </w:r>
      <w:r w:rsidRPr="00625E20">
        <w:rPr>
          <w:color w:val="000000"/>
          <w:spacing w:val="12"/>
        </w:rPr>
        <w:t xml:space="preserve"> </w:t>
      </w:r>
      <w:r w:rsidRPr="00625E20">
        <w:rPr>
          <w:color w:val="000000"/>
        </w:rPr>
        <w:t>Ú.</w:t>
      </w:r>
      <w:r w:rsidRPr="00625E20">
        <w:rPr>
          <w:color w:val="000000"/>
          <w:spacing w:val="12"/>
        </w:rPr>
        <w:t xml:space="preserve"> </w:t>
      </w:r>
      <w:r w:rsidRPr="00625E20">
        <w:rPr>
          <w:color w:val="000000"/>
        </w:rPr>
        <w:t>v.</w:t>
      </w:r>
      <w:r w:rsidRPr="00625E20">
        <w:rPr>
          <w:color w:val="000000"/>
          <w:spacing w:val="12"/>
        </w:rPr>
        <w:t xml:space="preserve"> </w:t>
      </w:r>
      <w:r w:rsidRPr="00625E20">
        <w:rPr>
          <w:color w:val="000000"/>
        </w:rPr>
        <w:t>EÚ</w:t>
      </w:r>
      <w:r w:rsidRPr="00625E20">
        <w:rPr>
          <w:color w:val="000000"/>
          <w:spacing w:val="12"/>
        </w:rPr>
        <w:t xml:space="preserve"> </w:t>
      </w:r>
      <w:r w:rsidRPr="00625E20">
        <w:rPr>
          <w:color w:val="000000"/>
        </w:rPr>
        <w:t>kap.</w:t>
      </w:r>
      <w:r w:rsidRPr="00625E20">
        <w:rPr>
          <w:color w:val="000000"/>
          <w:spacing w:val="12"/>
        </w:rPr>
        <w:t xml:space="preserve"> </w:t>
      </w:r>
      <w:r w:rsidRPr="00625E20">
        <w:rPr>
          <w:color w:val="000000"/>
        </w:rPr>
        <w:t>17/zv.</w:t>
      </w:r>
      <w:r w:rsidRPr="00625E20">
        <w:rPr>
          <w:color w:val="000000"/>
          <w:spacing w:val="12"/>
        </w:rPr>
        <w:t xml:space="preserve"> </w:t>
      </w:r>
      <w:r w:rsidRPr="00625E20">
        <w:rPr>
          <w:color w:val="000000"/>
        </w:rPr>
        <w:t>2)</w:t>
      </w:r>
      <w:r w:rsidRPr="00625E20">
        <w:rPr>
          <w:color w:val="000000"/>
          <w:spacing w:val="12"/>
        </w:rPr>
        <w:t xml:space="preserve"> </w:t>
      </w:r>
      <w:r w:rsidRPr="00625E20">
        <w:rPr>
          <w:color w:val="000000"/>
        </w:rPr>
        <w:t xml:space="preserve">v platnom znení, gestor: MF SR, </w:t>
      </w:r>
      <w:proofErr w:type="spellStart"/>
      <w:r w:rsidRPr="00625E20">
        <w:rPr>
          <w:color w:val="000000"/>
        </w:rPr>
        <w:t>spolugestor</w:t>
      </w:r>
      <w:proofErr w:type="spellEnd"/>
      <w:r w:rsidRPr="00625E20">
        <w:rPr>
          <w:color w:val="000000"/>
        </w:rPr>
        <w:t>: MS SR,</w:t>
      </w:r>
    </w:p>
    <w:p w14:paraId="4A2DFA51" w14:textId="77777777" w:rsidR="00C145BC" w:rsidRPr="00625E20" w:rsidRDefault="00C145BC" w:rsidP="00C145BC">
      <w:pPr>
        <w:pStyle w:val="Odsekzoznamu"/>
        <w:numPr>
          <w:ilvl w:val="0"/>
          <w:numId w:val="11"/>
        </w:numPr>
        <w:ind w:left="709" w:hanging="283"/>
        <w:jc w:val="both"/>
        <w:rPr>
          <w:color w:val="000000"/>
        </w:rPr>
      </w:pPr>
      <w:r w:rsidRPr="00625E20">
        <w:rPr>
          <w:color w:val="000000"/>
        </w:rPr>
        <w:t>smernica</w:t>
      </w:r>
      <w:r w:rsidRPr="00625E20">
        <w:rPr>
          <w:color w:val="000000"/>
          <w:spacing w:val="13"/>
        </w:rPr>
        <w:t xml:space="preserve"> </w:t>
      </w:r>
      <w:r w:rsidRPr="00625E20">
        <w:rPr>
          <w:color w:val="000000"/>
        </w:rPr>
        <w:t>Európskeho</w:t>
      </w:r>
      <w:r w:rsidRPr="00625E20">
        <w:rPr>
          <w:color w:val="000000"/>
          <w:spacing w:val="13"/>
        </w:rPr>
        <w:t xml:space="preserve"> </w:t>
      </w:r>
      <w:r w:rsidRPr="00625E20">
        <w:rPr>
          <w:color w:val="000000"/>
        </w:rPr>
        <w:t>parlamentu</w:t>
      </w:r>
      <w:r w:rsidRPr="00625E20">
        <w:rPr>
          <w:color w:val="000000"/>
          <w:spacing w:val="13"/>
        </w:rPr>
        <w:t xml:space="preserve"> </w:t>
      </w:r>
      <w:r w:rsidRPr="00625E20">
        <w:rPr>
          <w:color w:val="000000"/>
        </w:rPr>
        <w:t>a</w:t>
      </w:r>
      <w:r w:rsidRPr="00625E20">
        <w:rPr>
          <w:color w:val="000000"/>
          <w:spacing w:val="13"/>
        </w:rPr>
        <w:t xml:space="preserve"> </w:t>
      </w:r>
      <w:r w:rsidRPr="00625E20">
        <w:rPr>
          <w:color w:val="000000"/>
        </w:rPr>
        <w:t>Rady</w:t>
      </w:r>
      <w:r w:rsidRPr="00625E20">
        <w:rPr>
          <w:color w:val="000000"/>
          <w:spacing w:val="13"/>
        </w:rPr>
        <w:t xml:space="preserve"> </w:t>
      </w:r>
      <w:r w:rsidRPr="00625E20">
        <w:rPr>
          <w:color w:val="000000"/>
        </w:rPr>
        <w:t>2006/43/ES</w:t>
      </w:r>
      <w:r w:rsidRPr="00625E20">
        <w:rPr>
          <w:color w:val="000000"/>
          <w:spacing w:val="13"/>
        </w:rPr>
        <w:t xml:space="preserve"> </w:t>
      </w:r>
      <w:r w:rsidRPr="00625E20">
        <w:rPr>
          <w:color w:val="000000"/>
        </w:rPr>
        <w:t>zo</w:t>
      </w:r>
      <w:r w:rsidRPr="00625E20">
        <w:rPr>
          <w:color w:val="000000"/>
          <w:spacing w:val="13"/>
        </w:rPr>
        <w:t xml:space="preserve"> </w:t>
      </w:r>
      <w:r w:rsidRPr="00625E20">
        <w:rPr>
          <w:color w:val="000000"/>
        </w:rPr>
        <w:t>17.</w:t>
      </w:r>
      <w:r w:rsidRPr="00625E20">
        <w:rPr>
          <w:color w:val="000000"/>
          <w:spacing w:val="13"/>
        </w:rPr>
        <w:t xml:space="preserve"> </w:t>
      </w:r>
      <w:r w:rsidRPr="00625E20">
        <w:rPr>
          <w:color w:val="000000"/>
        </w:rPr>
        <w:t>mája</w:t>
      </w:r>
      <w:r w:rsidRPr="00625E20">
        <w:rPr>
          <w:color w:val="000000"/>
          <w:spacing w:val="13"/>
        </w:rPr>
        <w:t xml:space="preserve"> </w:t>
      </w:r>
      <w:r w:rsidRPr="00625E20">
        <w:rPr>
          <w:color w:val="000000"/>
        </w:rPr>
        <w:t>2006</w:t>
      </w:r>
      <w:r w:rsidRPr="00625E20">
        <w:rPr>
          <w:color w:val="000000"/>
          <w:spacing w:val="13"/>
        </w:rPr>
        <w:t xml:space="preserve"> </w:t>
      </w:r>
      <w:r w:rsidRPr="00625E20">
        <w:rPr>
          <w:color w:val="000000"/>
        </w:rPr>
        <w:t>o</w:t>
      </w:r>
      <w:r w:rsidRPr="00625E20">
        <w:rPr>
          <w:color w:val="000000"/>
          <w:spacing w:val="13"/>
        </w:rPr>
        <w:t xml:space="preserve"> </w:t>
      </w:r>
      <w:r w:rsidRPr="00625E20">
        <w:rPr>
          <w:color w:val="000000"/>
        </w:rPr>
        <w:t>štatutárnom audite</w:t>
      </w:r>
      <w:r w:rsidRPr="00625E20">
        <w:rPr>
          <w:color w:val="000000"/>
          <w:spacing w:val="20"/>
        </w:rPr>
        <w:t xml:space="preserve"> </w:t>
      </w:r>
      <w:r w:rsidRPr="00625E20">
        <w:rPr>
          <w:color w:val="000000"/>
        </w:rPr>
        <w:t>ročných</w:t>
      </w:r>
      <w:r w:rsidRPr="00625E20">
        <w:rPr>
          <w:color w:val="000000"/>
          <w:spacing w:val="20"/>
        </w:rPr>
        <w:t xml:space="preserve"> </w:t>
      </w:r>
      <w:r w:rsidRPr="00625E20">
        <w:rPr>
          <w:color w:val="000000"/>
        </w:rPr>
        <w:t>účtovných</w:t>
      </w:r>
      <w:r w:rsidRPr="00625E20">
        <w:rPr>
          <w:color w:val="000000"/>
          <w:spacing w:val="20"/>
        </w:rPr>
        <w:t xml:space="preserve"> </w:t>
      </w:r>
      <w:r w:rsidRPr="00625E20">
        <w:rPr>
          <w:color w:val="000000"/>
        </w:rPr>
        <w:t>závierok</w:t>
      </w:r>
      <w:r w:rsidRPr="00625E20">
        <w:rPr>
          <w:color w:val="000000"/>
          <w:spacing w:val="20"/>
        </w:rPr>
        <w:t xml:space="preserve"> </w:t>
      </w:r>
      <w:r w:rsidRPr="00625E20">
        <w:rPr>
          <w:color w:val="000000"/>
        </w:rPr>
        <w:t>a</w:t>
      </w:r>
      <w:r w:rsidRPr="00625E20">
        <w:rPr>
          <w:color w:val="000000"/>
          <w:spacing w:val="20"/>
        </w:rPr>
        <w:t xml:space="preserve"> </w:t>
      </w:r>
      <w:r w:rsidRPr="00625E20">
        <w:rPr>
          <w:color w:val="000000"/>
        </w:rPr>
        <w:t>konsolidovaných</w:t>
      </w:r>
      <w:r w:rsidRPr="00625E20">
        <w:rPr>
          <w:color w:val="000000"/>
          <w:spacing w:val="20"/>
        </w:rPr>
        <w:t xml:space="preserve"> </w:t>
      </w:r>
      <w:r w:rsidRPr="00625E20">
        <w:rPr>
          <w:color w:val="000000"/>
        </w:rPr>
        <w:t>účtovných</w:t>
      </w:r>
      <w:r w:rsidRPr="00625E20">
        <w:rPr>
          <w:color w:val="000000"/>
          <w:spacing w:val="20"/>
        </w:rPr>
        <w:t xml:space="preserve"> </w:t>
      </w:r>
      <w:r w:rsidRPr="00625E20">
        <w:rPr>
          <w:color w:val="000000"/>
        </w:rPr>
        <w:t>závierok,</w:t>
      </w:r>
      <w:r w:rsidRPr="00625E20">
        <w:rPr>
          <w:color w:val="000000"/>
          <w:spacing w:val="20"/>
        </w:rPr>
        <w:t xml:space="preserve"> </w:t>
      </w:r>
      <w:r w:rsidRPr="00625E20">
        <w:rPr>
          <w:color w:val="000000"/>
        </w:rPr>
        <w:t>ktorou</w:t>
      </w:r>
      <w:r w:rsidRPr="00625E20">
        <w:rPr>
          <w:color w:val="000000"/>
          <w:spacing w:val="20"/>
        </w:rPr>
        <w:t xml:space="preserve"> </w:t>
      </w:r>
      <w:r w:rsidRPr="00625E20">
        <w:rPr>
          <w:color w:val="000000"/>
        </w:rPr>
        <w:t>sa menia</w:t>
      </w:r>
      <w:r w:rsidRPr="00625E20">
        <w:rPr>
          <w:color w:val="000000"/>
          <w:spacing w:val="63"/>
        </w:rPr>
        <w:t xml:space="preserve"> </w:t>
      </w:r>
      <w:r w:rsidRPr="00625E20">
        <w:rPr>
          <w:color w:val="000000"/>
        </w:rPr>
        <w:t>a</w:t>
      </w:r>
      <w:r w:rsidRPr="00625E20">
        <w:rPr>
          <w:color w:val="000000"/>
          <w:spacing w:val="63"/>
        </w:rPr>
        <w:t xml:space="preserve"> </w:t>
      </w:r>
      <w:r w:rsidRPr="00625E20">
        <w:rPr>
          <w:color w:val="000000"/>
        </w:rPr>
        <w:t>dopĺňajú</w:t>
      </w:r>
      <w:r w:rsidRPr="00625E20">
        <w:rPr>
          <w:color w:val="000000"/>
          <w:spacing w:val="63"/>
        </w:rPr>
        <w:t xml:space="preserve"> </w:t>
      </w:r>
      <w:r w:rsidRPr="00625E20">
        <w:rPr>
          <w:color w:val="000000"/>
        </w:rPr>
        <w:t>smernice</w:t>
      </w:r>
      <w:r w:rsidRPr="00625E20">
        <w:rPr>
          <w:color w:val="000000"/>
          <w:spacing w:val="63"/>
        </w:rPr>
        <w:t xml:space="preserve"> </w:t>
      </w:r>
      <w:r w:rsidRPr="00625E20">
        <w:rPr>
          <w:color w:val="000000"/>
        </w:rPr>
        <w:t>Rady</w:t>
      </w:r>
      <w:r w:rsidRPr="00625E20">
        <w:rPr>
          <w:color w:val="000000"/>
          <w:spacing w:val="63"/>
        </w:rPr>
        <w:t xml:space="preserve"> </w:t>
      </w:r>
      <w:r w:rsidRPr="00625E20">
        <w:rPr>
          <w:color w:val="000000"/>
        </w:rPr>
        <w:t>78/660/EHS</w:t>
      </w:r>
      <w:r w:rsidRPr="00625E20">
        <w:rPr>
          <w:color w:val="000000"/>
          <w:spacing w:val="63"/>
        </w:rPr>
        <w:t xml:space="preserve"> </w:t>
      </w:r>
      <w:r w:rsidRPr="00625E20">
        <w:rPr>
          <w:color w:val="000000"/>
        </w:rPr>
        <w:t>a</w:t>
      </w:r>
      <w:r w:rsidRPr="00625E20">
        <w:rPr>
          <w:color w:val="000000"/>
          <w:spacing w:val="63"/>
        </w:rPr>
        <w:t xml:space="preserve"> </w:t>
      </w:r>
      <w:r w:rsidRPr="00625E20">
        <w:rPr>
          <w:color w:val="000000"/>
        </w:rPr>
        <w:t>83/349/EHS</w:t>
      </w:r>
      <w:r w:rsidRPr="00625E20">
        <w:rPr>
          <w:color w:val="000000"/>
          <w:spacing w:val="63"/>
        </w:rPr>
        <w:t xml:space="preserve"> </w:t>
      </w:r>
      <w:r w:rsidRPr="00625E20">
        <w:rPr>
          <w:color w:val="000000"/>
        </w:rPr>
        <w:t>a ktorou sa zrušuje smernica Rady 84/253/EHS (Ú. v. EÚ L 157, 9. 6. 2006) v platnom znení, gestor: MF SR,</w:t>
      </w:r>
    </w:p>
    <w:p w14:paraId="60E8D6D5" w14:textId="77777777" w:rsidR="00C145BC" w:rsidRPr="00625E20" w:rsidRDefault="00C145BC" w:rsidP="00C145BC">
      <w:pPr>
        <w:pStyle w:val="Odsekzoznamu"/>
        <w:numPr>
          <w:ilvl w:val="0"/>
          <w:numId w:val="11"/>
        </w:numPr>
        <w:ind w:left="709" w:hanging="283"/>
        <w:jc w:val="both"/>
        <w:rPr>
          <w:color w:val="000000"/>
        </w:rPr>
      </w:pPr>
      <w:r w:rsidRPr="00625E20">
        <w:rPr>
          <w:color w:val="000000"/>
        </w:rPr>
        <w:t xml:space="preserve">smernica Komisie 2006/111/ES zo 16. novembra 2006 o transparentnosti finančných vzťahov členských štátov a verejných podnikov a o finančnej transparentnosti v niektorých podnikoch (kodifikované znenie) (Ú. v. EÚ L 318, 17.11.2006), gestor: MF SR, </w:t>
      </w:r>
    </w:p>
    <w:p w14:paraId="5F868850" w14:textId="77777777" w:rsidR="00C145BC" w:rsidRPr="00625E20" w:rsidRDefault="00C145BC" w:rsidP="00C145BC">
      <w:pPr>
        <w:pStyle w:val="Odsekzoznamu"/>
        <w:numPr>
          <w:ilvl w:val="0"/>
          <w:numId w:val="11"/>
        </w:numPr>
        <w:ind w:left="709" w:hanging="283"/>
        <w:jc w:val="both"/>
      </w:pPr>
      <w:r w:rsidRPr="00625E20">
        <w:rPr>
          <w:color w:val="000000"/>
        </w:rPr>
        <w:t xml:space="preserve">smernica Európskeho parlamentu a Rady </w:t>
      </w:r>
      <w:r w:rsidRPr="00625E20">
        <w:t xml:space="preserve">(EÚ) 2017/1132 zo 14. júna 2017 týkajúca sa niektorých aspektov práva obchodných spoločností (kodifikované znenie) (Ú. v. EÚ L 169, 30. 6. 2017) v platnom znení, gestor: MS SR, </w:t>
      </w:r>
      <w:proofErr w:type="spellStart"/>
      <w:r w:rsidRPr="00625E20">
        <w:rPr>
          <w:color w:val="000000"/>
        </w:rPr>
        <w:t>spolugestor</w:t>
      </w:r>
      <w:proofErr w:type="spellEnd"/>
      <w:r w:rsidRPr="00625E20">
        <w:rPr>
          <w:color w:val="000000"/>
        </w:rPr>
        <w:t>: MF SR,</w:t>
      </w:r>
    </w:p>
    <w:p w14:paraId="47284439" w14:textId="77777777" w:rsidR="00C145BC" w:rsidRPr="00625E20" w:rsidRDefault="00C145BC" w:rsidP="00C145BC">
      <w:pPr>
        <w:pStyle w:val="Odsekzoznamu"/>
        <w:numPr>
          <w:ilvl w:val="0"/>
          <w:numId w:val="11"/>
        </w:numPr>
        <w:ind w:left="709" w:hanging="283"/>
        <w:jc w:val="both"/>
        <w:rPr>
          <w:color w:val="000000"/>
        </w:rPr>
      </w:pPr>
      <w:r w:rsidRPr="00625E20">
        <w:rPr>
          <w:color w:val="000000"/>
        </w:rPr>
        <w:lastRenderedPageBreak/>
        <w:t>nariadenie</w:t>
      </w:r>
      <w:r w:rsidRPr="00625E20">
        <w:rPr>
          <w:color w:val="000000"/>
          <w:spacing w:val="164"/>
        </w:rPr>
        <w:t xml:space="preserve"> </w:t>
      </w:r>
      <w:r w:rsidRPr="00625E20">
        <w:rPr>
          <w:color w:val="000000"/>
        </w:rPr>
        <w:t>Európskeho</w:t>
      </w:r>
      <w:r w:rsidRPr="00625E20">
        <w:rPr>
          <w:color w:val="000000"/>
          <w:spacing w:val="164"/>
        </w:rPr>
        <w:t xml:space="preserve"> </w:t>
      </w:r>
      <w:r w:rsidRPr="00625E20">
        <w:rPr>
          <w:color w:val="000000"/>
        </w:rPr>
        <w:t>parlamentu</w:t>
      </w:r>
      <w:r w:rsidRPr="00625E20">
        <w:rPr>
          <w:color w:val="000000"/>
          <w:spacing w:val="164"/>
        </w:rPr>
        <w:t xml:space="preserve"> </w:t>
      </w:r>
      <w:r w:rsidRPr="00625E20">
        <w:rPr>
          <w:color w:val="000000"/>
        </w:rPr>
        <w:t>a Rady</w:t>
      </w:r>
      <w:r w:rsidRPr="00625E20">
        <w:rPr>
          <w:color w:val="000000"/>
          <w:spacing w:val="164"/>
        </w:rPr>
        <w:t xml:space="preserve"> </w:t>
      </w:r>
      <w:r w:rsidRPr="00625E20">
        <w:rPr>
          <w:color w:val="000000"/>
        </w:rPr>
        <w:t>(ES)</w:t>
      </w:r>
      <w:r w:rsidRPr="00625E20">
        <w:rPr>
          <w:color w:val="000000"/>
          <w:spacing w:val="164"/>
        </w:rPr>
        <w:t xml:space="preserve"> </w:t>
      </w:r>
      <w:r w:rsidRPr="00625E20">
        <w:rPr>
          <w:color w:val="000000"/>
        </w:rPr>
        <w:t>č. 1606/2002</w:t>
      </w:r>
      <w:r w:rsidRPr="00625E20">
        <w:rPr>
          <w:color w:val="000000"/>
          <w:spacing w:val="164"/>
        </w:rPr>
        <w:t xml:space="preserve"> </w:t>
      </w:r>
      <w:r w:rsidRPr="00625E20">
        <w:rPr>
          <w:color w:val="000000"/>
        </w:rPr>
        <w:t>z 19. júla 2002 o uplatňovaní medzinárodných účtovných noriem (Ú. v. ES L 243, 11.9.2002; Mimoriadne vydanie Ú. v. EÚ, kap. 13/zv. 29) v platnom znení, gestor: MF SR,</w:t>
      </w:r>
    </w:p>
    <w:p w14:paraId="6ECE0C68" w14:textId="77777777" w:rsidR="00C145BC" w:rsidRPr="00625E20" w:rsidRDefault="00C145BC" w:rsidP="00C145BC">
      <w:pPr>
        <w:pStyle w:val="Odsekzoznamu"/>
        <w:numPr>
          <w:ilvl w:val="0"/>
          <w:numId w:val="11"/>
        </w:numPr>
        <w:ind w:left="709" w:hanging="283"/>
        <w:jc w:val="both"/>
      </w:pPr>
      <w:r w:rsidRPr="00625E20">
        <w:rPr>
          <w:color w:val="000000"/>
        </w:rPr>
        <w:t>nariadenie Komisie (ES) č. 1126/2008 z 3. novembra 2008, ktorým sa v súlade s nariadením Európskeho parlamentu a Rady (ES) č. 1606/2002 prijímajú</w:t>
      </w:r>
      <w:r w:rsidRPr="00625E20">
        <w:rPr>
          <w:color w:val="000000"/>
          <w:spacing w:val="94"/>
        </w:rPr>
        <w:t xml:space="preserve"> </w:t>
      </w:r>
      <w:r w:rsidRPr="00625E20">
        <w:rPr>
          <w:color w:val="000000"/>
        </w:rPr>
        <w:t>určité medzinárodné</w:t>
      </w:r>
      <w:r w:rsidRPr="00625E20">
        <w:rPr>
          <w:color w:val="000000"/>
          <w:spacing w:val="-8"/>
        </w:rPr>
        <w:t xml:space="preserve"> </w:t>
      </w:r>
      <w:r w:rsidRPr="00625E20">
        <w:rPr>
          <w:color w:val="000000"/>
        </w:rPr>
        <w:t>účtovné</w:t>
      </w:r>
      <w:r w:rsidRPr="00625E20">
        <w:rPr>
          <w:color w:val="000000"/>
          <w:spacing w:val="-8"/>
        </w:rPr>
        <w:t xml:space="preserve"> </w:t>
      </w:r>
      <w:r w:rsidRPr="00625E20">
        <w:rPr>
          <w:color w:val="000000"/>
        </w:rPr>
        <w:t>štandardy</w:t>
      </w:r>
      <w:r w:rsidRPr="00625E20">
        <w:rPr>
          <w:color w:val="000000"/>
          <w:spacing w:val="-8"/>
        </w:rPr>
        <w:t xml:space="preserve"> </w:t>
      </w:r>
      <w:r w:rsidRPr="00625E20">
        <w:rPr>
          <w:color w:val="000000"/>
        </w:rPr>
        <w:t>(Ú.</w:t>
      </w:r>
      <w:r w:rsidRPr="00625E20">
        <w:rPr>
          <w:color w:val="000000"/>
          <w:spacing w:val="-8"/>
        </w:rPr>
        <w:t xml:space="preserve"> </w:t>
      </w:r>
      <w:r w:rsidRPr="00625E20">
        <w:rPr>
          <w:color w:val="000000"/>
        </w:rPr>
        <w:t>v.</w:t>
      </w:r>
      <w:r w:rsidRPr="00625E20">
        <w:rPr>
          <w:color w:val="000000"/>
          <w:spacing w:val="-8"/>
        </w:rPr>
        <w:t xml:space="preserve"> </w:t>
      </w:r>
      <w:r w:rsidRPr="00625E20">
        <w:rPr>
          <w:color w:val="000000"/>
        </w:rPr>
        <w:t>EÚ</w:t>
      </w:r>
      <w:r w:rsidRPr="00625E20">
        <w:rPr>
          <w:color w:val="000000"/>
          <w:spacing w:val="-8"/>
        </w:rPr>
        <w:t xml:space="preserve"> </w:t>
      </w:r>
      <w:r w:rsidRPr="00625E20">
        <w:rPr>
          <w:color w:val="000000"/>
        </w:rPr>
        <w:t>L</w:t>
      </w:r>
      <w:r w:rsidRPr="00625E20">
        <w:rPr>
          <w:color w:val="000000"/>
          <w:spacing w:val="-8"/>
        </w:rPr>
        <w:t xml:space="preserve"> </w:t>
      </w:r>
      <w:r w:rsidRPr="00625E20">
        <w:rPr>
          <w:color w:val="000000"/>
        </w:rPr>
        <w:t>320,</w:t>
      </w:r>
      <w:r w:rsidRPr="00625E20">
        <w:rPr>
          <w:color w:val="000000"/>
          <w:spacing w:val="-8"/>
        </w:rPr>
        <w:t xml:space="preserve"> </w:t>
      </w:r>
      <w:r w:rsidRPr="00625E20">
        <w:rPr>
          <w:color w:val="000000"/>
        </w:rPr>
        <w:t>29.11.2008)</w:t>
      </w:r>
      <w:r w:rsidRPr="00625E20">
        <w:rPr>
          <w:color w:val="000000"/>
          <w:spacing w:val="-8"/>
        </w:rPr>
        <w:t xml:space="preserve"> </w:t>
      </w:r>
      <w:r w:rsidRPr="00625E20">
        <w:rPr>
          <w:color w:val="000000"/>
        </w:rPr>
        <w:t>v platnom</w:t>
      </w:r>
      <w:r w:rsidRPr="00625E20">
        <w:rPr>
          <w:color w:val="000000"/>
          <w:spacing w:val="-8"/>
        </w:rPr>
        <w:t xml:space="preserve"> </w:t>
      </w:r>
      <w:r w:rsidRPr="00625E20">
        <w:rPr>
          <w:color w:val="000000"/>
        </w:rPr>
        <w:t>znení,</w:t>
      </w:r>
      <w:r w:rsidRPr="00625E20">
        <w:rPr>
          <w:color w:val="000000"/>
          <w:spacing w:val="-8"/>
        </w:rPr>
        <w:t xml:space="preserve"> </w:t>
      </w:r>
      <w:r w:rsidRPr="00625E20">
        <w:rPr>
          <w:color w:val="000000"/>
        </w:rPr>
        <w:t>gestor: MF SR,</w:t>
      </w:r>
    </w:p>
    <w:p w14:paraId="71BED97B" w14:textId="77777777" w:rsidR="00C145BC" w:rsidRPr="00625E20" w:rsidRDefault="00C145BC" w:rsidP="00C145BC">
      <w:pPr>
        <w:pStyle w:val="Odsekzoznamu"/>
        <w:numPr>
          <w:ilvl w:val="0"/>
          <w:numId w:val="11"/>
        </w:numPr>
        <w:ind w:left="709" w:hanging="283"/>
        <w:jc w:val="both"/>
      </w:pPr>
      <w:r w:rsidRPr="00625E20">
        <w:rPr>
          <w:color w:val="000000"/>
        </w:rPr>
        <w:t>nariadenie</w:t>
      </w:r>
      <w:r w:rsidRPr="00625E20">
        <w:t xml:space="preserve"> Európskeho parlamentu a Rady (EÚ) č. 910/2014 z 23. júla 2014 o elektronickej identifikácii a dôveryhodných službách pre elektronické transakcie na vnútornom trhu a o zrušení smernice 1999/93/ES </w:t>
      </w:r>
      <w:r w:rsidRPr="00625E20">
        <w:rPr>
          <w:color w:val="000000"/>
        </w:rPr>
        <w:t>(Ú.</w:t>
      </w:r>
      <w:r w:rsidRPr="00625E20">
        <w:rPr>
          <w:color w:val="000000"/>
          <w:spacing w:val="-8"/>
        </w:rPr>
        <w:t xml:space="preserve"> </w:t>
      </w:r>
      <w:r w:rsidRPr="00625E20">
        <w:rPr>
          <w:color w:val="000000"/>
        </w:rPr>
        <w:t>v.</w:t>
      </w:r>
      <w:r w:rsidRPr="00625E20">
        <w:rPr>
          <w:color w:val="000000"/>
          <w:spacing w:val="-8"/>
        </w:rPr>
        <w:t xml:space="preserve"> </w:t>
      </w:r>
      <w:r w:rsidRPr="00625E20">
        <w:rPr>
          <w:color w:val="000000"/>
        </w:rPr>
        <w:t>EÚ</w:t>
      </w:r>
      <w:r w:rsidRPr="00625E20">
        <w:rPr>
          <w:color w:val="000000"/>
          <w:spacing w:val="-8"/>
        </w:rPr>
        <w:t xml:space="preserve"> </w:t>
      </w:r>
      <w:r w:rsidRPr="00625E20">
        <w:rPr>
          <w:color w:val="000000"/>
        </w:rPr>
        <w:t>L</w:t>
      </w:r>
      <w:r w:rsidRPr="00625E20">
        <w:rPr>
          <w:color w:val="000000"/>
          <w:spacing w:val="-8"/>
        </w:rPr>
        <w:t xml:space="preserve"> 257</w:t>
      </w:r>
      <w:r w:rsidRPr="00625E20">
        <w:rPr>
          <w:color w:val="000000"/>
        </w:rPr>
        <w:t>,</w:t>
      </w:r>
      <w:r w:rsidRPr="00625E20">
        <w:rPr>
          <w:color w:val="000000"/>
          <w:spacing w:val="-8"/>
        </w:rPr>
        <w:t xml:space="preserve"> </w:t>
      </w:r>
      <w:r w:rsidRPr="00625E20">
        <w:rPr>
          <w:color w:val="000000"/>
        </w:rPr>
        <w:t>28.8.2014)</w:t>
      </w:r>
      <w:r>
        <w:rPr>
          <w:color w:val="000000"/>
        </w:rPr>
        <w:t xml:space="preserve"> v platnom znení</w:t>
      </w:r>
      <w:r w:rsidRPr="00625E20">
        <w:rPr>
          <w:color w:val="000000"/>
        </w:rPr>
        <w:t>,</w:t>
      </w:r>
      <w:r w:rsidRPr="00625E20">
        <w:rPr>
          <w:color w:val="000000"/>
          <w:spacing w:val="-8"/>
        </w:rPr>
        <w:t xml:space="preserve"> </w:t>
      </w:r>
      <w:r w:rsidRPr="00625E20">
        <w:rPr>
          <w:color w:val="000000"/>
        </w:rPr>
        <w:t>gestor: NBÚ, MF SR, MV SR,</w:t>
      </w:r>
    </w:p>
    <w:p w14:paraId="41AA2C82" w14:textId="77777777" w:rsidR="00C145BC" w:rsidRPr="00625E20" w:rsidRDefault="00C145BC" w:rsidP="00C145BC">
      <w:pPr>
        <w:pStyle w:val="Odsekzoznamu"/>
        <w:numPr>
          <w:ilvl w:val="0"/>
          <w:numId w:val="11"/>
        </w:numPr>
        <w:ind w:left="709" w:hanging="283"/>
        <w:jc w:val="both"/>
      </w:pPr>
      <w:r w:rsidRPr="00625E20">
        <w:t xml:space="preserve">delegované nariadenie Komisie (EÚ) 2019/815 zo 17. decembra 2018, ktorým sa dopĺňa smernica Európskeho parlamentu a Rady (EÚ) 2004/109/ES, pokiaľ ide o regulačné technické predpisy o špecifikácii jednotného elektronického formátu vykazovania </w:t>
      </w:r>
      <w:r w:rsidRPr="00625E20">
        <w:rPr>
          <w:color w:val="000000"/>
        </w:rPr>
        <w:t>(Ú.</w:t>
      </w:r>
      <w:r w:rsidRPr="00625E20">
        <w:rPr>
          <w:color w:val="000000"/>
          <w:spacing w:val="-8"/>
        </w:rPr>
        <w:t xml:space="preserve"> </w:t>
      </w:r>
      <w:r w:rsidRPr="00625E20">
        <w:rPr>
          <w:color w:val="000000"/>
        </w:rPr>
        <w:t>v.</w:t>
      </w:r>
      <w:r w:rsidRPr="00625E20">
        <w:rPr>
          <w:color w:val="000000"/>
          <w:spacing w:val="-8"/>
        </w:rPr>
        <w:t xml:space="preserve"> </w:t>
      </w:r>
      <w:r w:rsidRPr="00625E20">
        <w:rPr>
          <w:color w:val="000000"/>
        </w:rPr>
        <w:t>EÚ</w:t>
      </w:r>
      <w:r w:rsidRPr="00625E20">
        <w:rPr>
          <w:color w:val="000000"/>
          <w:spacing w:val="-8"/>
        </w:rPr>
        <w:t xml:space="preserve"> </w:t>
      </w:r>
      <w:r w:rsidRPr="00625E20">
        <w:rPr>
          <w:color w:val="000000"/>
        </w:rPr>
        <w:t>L</w:t>
      </w:r>
      <w:r w:rsidRPr="00625E20">
        <w:rPr>
          <w:color w:val="000000"/>
          <w:spacing w:val="-8"/>
        </w:rPr>
        <w:t xml:space="preserve"> 143</w:t>
      </w:r>
      <w:r w:rsidRPr="00625E20">
        <w:rPr>
          <w:color w:val="000000"/>
        </w:rPr>
        <w:t>,</w:t>
      </w:r>
      <w:r w:rsidRPr="00625E20">
        <w:rPr>
          <w:color w:val="000000"/>
          <w:spacing w:val="-8"/>
        </w:rPr>
        <w:t xml:space="preserve"> 29</w:t>
      </w:r>
      <w:r w:rsidRPr="00625E20">
        <w:rPr>
          <w:color w:val="000000"/>
        </w:rPr>
        <w:t>.5.2019) v platnom znení,</w:t>
      </w:r>
      <w:r w:rsidRPr="00625E20">
        <w:rPr>
          <w:color w:val="000000"/>
          <w:spacing w:val="-8"/>
        </w:rPr>
        <w:t xml:space="preserve"> </w:t>
      </w:r>
      <w:r w:rsidRPr="00625E20">
        <w:rPr>
          <w:color w:val="000000"/>
        </w:rPr>
        <w:t>gestor: MF SR, NBS,</w:t>
      </w:r>
    </w:p>
    <w:p w14:paraId="387A5590" w14:textId="77777777" w:rsidR="00C145BC" w:rsidRPr="00625E20" w:rsidRDefault="00C145BC" w:rsidP="00C145BC">
      <w:pPr>
        <w:pStyle w:val="Odsekzoznamu"/>
        <w:numPr>
          <w:ilvl w:val="0"/>
          <w:numId w:val="11"/>
        </w:numPr>
        <w:ind w:left="709" w:hanging="283"/>
        <w:jc w:val="both"/>
      </w:pPr>
      <w:r w:rsidRPr="00625E20">
        <w:t xml:space="preserve">nariadenie Európskeho parlamentu a Rady (EÚ) 2020/852 z 18. júna 2020 o vytvorení rámca na uľahčenie udržateľných investícií a o zmene naradenia (EÚ) 2019/2088 </w:t>
      </w:r>
      <w:r w:rsidRPr="00625E20">
        <w:rPr>
          <w:color w:val="000000"/>
        </w:rPr>
        <w:t>(Ú. v. EÚ L 198, 22.6.2020), gestor: MF SR, NBS,</w:t>
      </w:r>
    </w:p>
    <w:p w14:paraId="48314317" w14:textId="77777777" w:rsidR="00C145BC" w:rsidRPr="00625E20" w:rsidRDefault="00C145BC" w:rsidP="00C145BC">
      <w:pPr>
        <w:pStyle w:val="Odsekzoznamu"/>
        <w:numPr>
          <w:ilvl w:val="0"/>
          <w:numId w:val="11"/>
        </w:numPr>
        <w:ind w:left="709" w:hanging="283"/>
        <w:jc w:val="both"/>
      </w:pPr>
      <w:r w:rsidRPr="00625E20">
        <w:rPr>
          <w:color w:val="000000"/>
        </w:rPr>
        <w:t>delegované nariadenie Komisie (EÚ) 2021/2178 zo 6. júla 2021, ktorým sa dopĺňa naradenie Európskeho parlamentu a Rady (EÚ) 2020/852 upresnením obsahu a prezentácie informácií, ktoré majú zverejňovať podniky, na ktoré sa vzťahuje článok 19a alebo 29a smernice 2013/34/EÚ, pokiaľ ide o environmentálne udržateľné hospodárske činnosti, a upresnením metodiky na splnenie uvedenej povinnosti zverejňovania (Ú. v. EÚ L 443, 10.12.2021), gestor: zatiaľ nebol určený.</w:t>
      </w:r>
    </w:p>
    <w:p w14:paraId="24E791AA" w14:textId="77777777" w:rsidR="00C145BC" w:rsidRPr="00625E20" w:rsidRDefault="00C145BC" w:rsidP="00C145BC">
      <w:pPr>
        <w:pStyle w:val="Odsekzoznamu"/>
        <w:ind w:left="1117"/>
        <w:contextualSpacing w:val="0"/>
        <w:jc w:val="both"/>
      </w:pPr>
    </w:p>
    <w:p w14:paraId="62CBE519" w14:textId="77777777" w:rsidR="00C145BC" w:rsidRPr="00625E20" w:rsidRDefault="00C145BC" w:rsidP="00C145BC">
      <w:pPr>
        <w:pStyle w:val="Zarkazkladnhotextu"/>
        <w:numPr>
          <w:ilvl w:val="0"/>
          <w:numId w:val="13"/>
        </w:numPr>
        <w:ind w:left="754" w:hanging="357"/>
        <w:rPr>
          <w:szCs w:val="24"/>
        </w:rPr>
      </w:pPr>
      <w:r w:rsidRPr="00625E20">
        <w:rPr>
          <w:szCs w:val="24"/>
        </w:rPr>
        <w:t>Judikatúra Súdneho dvora Európskej únie:</w:t>
      </w:r>
    </w:p>
    <w:p w14:paraId="4320CEB7" w14:textId="77777777" w:rsidR="00C145BC" w:rsidRPr="00625E20" w:rsidRDefault="00C145BC" w:rsidP="00C145BC">
      <w:pPr>
        <w:pStyle w:val="Zarkazkladnhotextu"/>
        <w:numPr>
          <w:ilvl w:val="0"/>
          <w:numId w:val="15"/>
        </w:numPr>
        <w:spacing w:before="120"/>
        <w:ind w:left="709" w:hanging="283"/>
        <w:rPr>
          <w:bCs/>
        </w:rPr>
      </w:pPr>
      <w:r w:rsidRPr="00625E20">
        <w:t xml:space="preserve">rozhodnutie Súdneho dvora vo veci C - 306/1999, </w:t>
      </w:r>
      <w:proofErr w:type="spellStart"/>
      <w:r w:rsidRPr="00625E20">
        <w:t>Banque</w:t>
      </w:r>
      <w:proofErr w:type="spellEnd"/>
      <w:r w:rsidRPr="00625E20">
        <w:t xml:space="preserve"> </w:t>
      </w:r>
      <w:proofErr w:type="spellStart"/>
      <w:r w:rsidRPr="00625E20">
        <w:t>internationale</w:t>
      </w:r>
      <w:proofErr w:type="spellEnd"/>
      <w:r w:rsidRPr="00625E20">
        <w:t xml:space="preserve"> </w:t>
      </w:r>
      <w:proofErr w:type="spellStart"/>
      <w:r w:rsidRPr="00625E20">
        <w:t>pour</w:t>
      </w:r>
      <w:proofErr w:type="spellEnd"/>
      <w:r w:rsidRPr="00625E20">
        <w:t xml:space="preserve"> </w:t>
      </w:r>
      <w:proofErr w:type="spellStart"/>
      <w:r w:rsidRPr="00625E20">
        <w:t>l'Afrique</w:t>
      </w:r>
      <w:proofErr w:type="spellEnd"/>
      <w:r w:rsidRPr="00625E20">
        <w:t xml:space="preserve"> </w:t>
      </w:r>
      <w:proofErr w:type="spellStart"/>
      <w:r w:rsidRPr="00625E20">
        <w:t>occidentale</w:t>
      </w:r>
      <w:proofErr w:type="spellEnd"/>
      <w:r w:rsidRPr="00625E20">
        <w:t xml:space="preserve"> SA (BIAO) v. </w:t>
      </w:r>
      <w:proofErr w:type="spellStart"/>
      <w:r w:rsidRPr="00625E20">
        <w:t>Finanzamt</w:t>
      </w:r>
      <w:proofErr w:type="spellEnd"/>
      <w:r w:rsidRPr="00625E20">
        <w:t xml:space="preserve"> </w:t>
      </w:r>
      <w:proofErr w:type="spellStart"/>
      <w:r w:rsidRPr="00625E20">
        <w:t>für</w:t>
      </w:r>
      <w:proofErr w:type="spellEnd"/>
      <w:r w:rsidRPr="00625E20">
        <w:t xml:space="preserve"> </w:t>
      </w:r>
      <w:proofErr w:type="spellStart"/>
      <w:r w:rsidRPr="00625E20">
        <w:t>Großunternehmen</w:t>
      </w:r>
      <w:proofErr w:type="spellEnd"/>
      <w:r w:rsidRPr="00625E20">
        <w:t xml:space="preserve"> in Hamburg, [2003],</w:t>
      </w:r>
    </w:p>
    <w:p w14:paraId="5CA72C21" w14:textId="77777777" w:rsidR="00C145BC" w:rsidRPr="00625E20" w:rsidRDefault="00C145BC" w:rsidP="00C145BC">
      <w:pPr>
        <w:pStyle w:val="Zarkazkladnhotextu"/>
        <w:spacing w:before="120"/>
        <w:ind w:left="709" w:firstLine="0"/>
        <w:rPr>
          <w:bCs/>
        </w:rPr>
      </w:pPr>
      <w:r w:rsidRPr="00625E20">
        <w:rPr>
          <w:bCs/>
        </w:rPr>
        <w:t>Výrok rozhodnutia:</w:t>
      </w:r>
    </w:p>
    <w:p w14:paraId="1454CC2D" w14:textId="77777777" w:rsidR="00C145BC" w:rsidRPr="00625E20" w:rsidRDefault="00C145BC" w:rsidP="00C145BC">
      <w:pPr>
        <w:pStyle w:val="Zarkazkladnhotextu"/>
        <w:ind w:left="709" w:firstLine="0"/>
        <w:rPr>
          <w:bCs/>
        </w:rPr>
      </w:pPr>
      <w:r w:rsidRPr="00625E20">
        <w:rPr>
          <w:bCs/>
        </w:rPr>
        <w:t>1. Otázky uvedené v druhej a tretej časti návrhu na začatie prejudiciálneho konania týkajúcich sa výkladu štvrtej smernice Rady 78/660/EHS z 25. júla 1978   o ročnej účtovnej závierke niektorých typov spoločností, vychádzajúca z článku 54 ods. 3 písm. g) zmluvy sú prípustné.</w:t>
      </w:r>
    </w:p>
    <w:p w14:paraId="14299A31" w14:textId="77777777" w:rsidR="00C145BC" w:rsidRPr="00625E20" w:rsidRDefault="00C145BC" w:rsidP="00C145BC">
      <w:pPr>
        <w:pStyle w:val="Zarkazkladnhotextu"/>
        <w:spacing w:before="120"/>
        <w:ind w:left="709" w:firstLine="0"/>
        <w:rPr>
          <w:bCs/>
        </w:rPr>
      </w:pPr>
      <w:r w:rsidRPr="00625E20">
        <w:rPr>
          <w:bCs/>
        </w:rPr>
        <w:t>2. Štvrtá smernica 78/660/EHS nebráni tomu, aby ustanovenie určené na pokrytie možných strát alebo pohľadávok vyplývajúcich zo záväzku nachádzajúceho sa v účtovnej závierke podľa článku 14 uvedenej smernice bolo zapísané na strane pasív súvahy podľa článku 20 ods. 1 za predpokladu, že daná strata alebo dlh možno charakterizovať ako pravdepodobné alebo isté k súvahovému dňu. Článok 31 ods. 1 písm. e) tejto smernice nevylučuje možnosť, že na zabezpečenie dodržiavania zásady obozretnosti a zásady pravdivého zobrazenia aktív a pasív by mohlo byť  najvhodnejšou metódou ocenenia by mohlo byť vykonanie globalizovaného hodnotenia všetkých relevantných faktorov.</w:t>
      </w:r>
    </w:p>
    <w:p w14:paraId="1B0CF3FD" w14:textId="77777777" w:rsidR="00C145BC" w:rsidRPr="00625E20" w:rsidRDefault="00C145BC" w:rsidP="00C145BC">
      <w:pPr>
        <w:pStyle w:val="Zarkazkladnhotextu"/>
        <w:spacing w:before="120"/>
        <w:ind w:left="709" w:firstLine="0"/>
        <w:rPr>
          <w:rStyle w:val="awspan1"/>
        </w:rPr>
      </w:pPr>
      <w:r w:rsidRPr="00625E20">
        <w:rPr>
          <w:rStyle w:val="awspan1"/>
        </w:rPr>
        <w:t>3.</w:t>
      </w:r>
      <w:r w:rsidRPr="00625E20">
        <w:rPr>
          <w:rStyle w:val="awspan1"/>
          <w:spacing w:val="2"/>
        </w:rPr>
        <w:t xml:space="preserve"> </w:t>
      </w:r>
      <w:r w:rsidRPr="00625E20">
        <w:rPr>
          <w:rStyle w:val="awspan1"/>
        </w:rPr>
        <w:t>Za</w:t>
      </w:r>
      <w:r w:rsidRPr="00625E20">
        <w:rPr>
          <w:rStyle w:val="awspan1"/>
          <w:spacing w:val="2"/>
        </w:rPr>
        <w:t xml:space="preserve"> </w:t>
      </w:r>
      <w:r w:rsidRPr="00625E20">
        <w:rPr>
          <w:rStyle w:val="awspan1"/>
        </w:rPr>
        <w:t>takých</w:t>
      </w:r>
      <w:r w:rsidRPr="00625E20">
        <w:rPr>
          <w:rStyle w:val="awspan1"/>
          <w:spacing w:val="2"/>
        </w:rPr>
        <w:t xml:space="preserve"> </w:t>
      </w:r>
      <w:r w:rsidRPr="00625E20">
        <w:rPr>
          <w:rStyle w:val="awspan1"/>
        </w:rPr>
        <w:t>okolností,</w:t>
      </w:r>
      <w:r w:rsidRPr="00625E20">
        <w:rPr>
          <w:rStyle w:val="awspan1"/>
          <w:spacing w:val="2"/>
        </w:rPr>
        <w:t xml:space="preserve"> </w:t>
      </w:r>
      <w:r w:rsidRPr="00625E20">
        <w:rPr>
          <w:rStyle w:val="awspan1"/>
        </w:rPr>
        <w:t>ako</w:t>
      </w:r>
      <w:r w:rsidRPr="00625E20">
        <w:rPr>
          <w:rStyle w:val="awspan1"/>
          <w:spacing w:val="2"/>
        </w:rPr>
        <w:t xml:space="preserve"> </w:t>
      </w:r>
      <w:r w:rsidRPr="00625E20">
        <w:rPr>
          <w:rStyle w:val="awspan1"/>
        </w:rPr>
        <w:t>sú</w:t>
      </w:r>
      <w:r w:rsidRPr="00625E20">
        <w:rPr>
          <w:rStyle w:val="awspan1"/>
          <w:spacing w:val="2"/>
        </w:rPr>
        <w:t xml:space="preserve"> </w:t>
      </w:r>
      <w:r w:rsidRPr="00625E20">
        <w:rPr>
          <w:rStyle w:val="awspan1"/>
        </w:rPr>
        <w:t>okolnosti</w:t>
      </w:r>
      <w:r w:rsidRPr="00625E20">
        <w:rPr>
          <w:rStyle w:val="awspan1"/>
          <w:spacing w:val="2"/>
        </w:rPr>
        <w:t xml:space="preserve"> </w:t>
      </w:r>
      <w:r w:rsidRPr="00625E20">
        <w:rPr>
          <w:rStyle w:val="awspan1"/>
        </w:rPr>
        <w:t>vo</w:t>
      </w:r>
      <w:r w:rsidRPr="00625E20">
        <w:rPr>
          <w:rStyle w:val="awspan1"/>
          <w:spacing w:val="2"/>
        </w:rPr>
        <w:t xml:space="preserve"> </w:t>
      </w:r>
      <w:r w:rsidRPr="00625E20">
        <w:rPr>
          <w:rStyle w:val="awspan1"/>
        </w:rPr>
        <w:t>veci</w:t>
      </w:r>
      <w:r w:rsidRPr="00625E20">
        <w:rPr>
          <w:rStyle w:val="awspan1"/>
          <w:spacing w:val="2"/>
        </w:rPr>
        <w:t xml:space="preserve"> </w:t>
      </w:r>
      <w:r w:rsidRPr="00625E20">
        <w:rPr>
          <w:rStyle w:val="awspan1"/>
        </w:rPr>
        <w:t>samej,</w:t>
      </w:r>
      <w:r w:rsidRPr="00625E20">
        <w:rPr>
          <w:rStyle w:val="awspan1"/>
          <w:spacing w:val="2"/>
        </w:rPr>
        <w:t xml:space="preserve"> </w:t>
      </w:r>
      <w:r w:rsidRPr="00625E20">
        <w:rPr>
          <w:rStyle w:val="awspan1"/>
        </w:rPr>
        <w:t>vrátenie</w:t>
      </w:r>
      <w:r w:rsidRPr="00625E20">
        <w:rPr>
          <w:rStyle w:val="awspan1"/>
          <w:spacing w:val="2"/>
        </w:rPr>
        <w:t xml:space="preserve"> </w:t>
      </w:r>
      <w:r w:rsidRPr="00625E20">
        <w:rPr>
          <w:rStyle w:val="awspan1"/>
        </w:rPr>
        <w:t>pôžičky,</w:t>
      </w:r>
      <w:r w:rsidRPr="00625E20">
        <w:rPr>
          <w:rStyle w:val="awspan1"/>
          <w:spacing w:val="2"/>
        </w:rPr>
        <w:t xml:space="preserve"> </w:t>
      </w:r>
      <w:r w:rsidRPr="00625E20">
        <w:rPr>
          <w:rStyle w:val="awspan1"/>
        </w:rPr>
        <w:t>ku</w:t>
      </w:r>
      <w:r w:rsidRPr="00625E20">
        <w:rPr>
          <w:rStyle w:val="awspan1"/>
          <w:spacing w:val="2"/>
        </w:rPr>
        <w:t xml:space="preserve"> </w:t>
      </w:r>
      <w:r w:rsidRPr="00625E20">
        <w:rPr>
          <w:rStyle w:val="awspan1"/>
        </w:rPr>
        <w:t>ktorému došlo</w:t>
      </w:r>
      <w:r w:rsidRPr="00625E20">
        <w:rPr>
          <w:rStyle w:val="awspan1"/>
          <w:spacing w:val="39"/>
        </w:rPr>
        <w:t xml:space="preserve"> </w:t>
      </w:r>
      <w:r w:rsidRPr="00625E20">
        <w:rPr>
          <w:rStyle w:val="awspan1"/>
        </w:rPr>
        <w:t>po</w:t>
      </w:r>
      <w:r w:rsidRPr="00625E20">
        <w:rPr>
          <w:rStyle w:val="awspan1"/>
          <w:spacing w:val="39"/>
        </w:rPr>
        <w:t xml:space="preserve"> </w:t>
      </w:r>
      <w:r w:rsidRPr="00625E20">
        <w:rPr>
          <w:rStyle w:val="awspan1"/>
        </w:rPr>
        <w:t>súvahovom</w:t>
      </w:r>
      <w:r w:rsidRPr="00625E20">
        <w:rPr>
          <w:rStyle w:val="awspan1"/>
          <w:spacing w:val="39"/>
        </w:rPr>
        <w:t xml:space="preserve"> </w:t>
      </w:r>
      <w:r w:rsidRPr="00625E20">
        <w:rPr>
          <w:rStyle w:val="awspan1"/>
        </w:rPr>
        <w:t>dni</w:t>
      </w:r>
      <w:r w:rsidRPr="00625E20">
        <w:rPr>
          <w:rStyle w:val="awspan1"/>
          <w:spacing w:val="39"/>
        </w:rPr>
        <w:t xml:space="preserve"> </w:t>
      </w:r>
      <w:r w:rsidRPr="00625E20">
        <w:rPr>
          <w:rStyle w:val="awspan1"/>
        </w:rPr>
        <w:t>(ktorý</w:t>
      </w:r>
      <w:r w:rsidRPr="00625E20">
        <w:rPr>
          <w:rStyle w:val="awspan1"/>
          <w:spacing w:val="39"/>
        </w:rPr>
        <w:t xml:space="preserve"> </w:t>
      </w:r>
      <w:r w:rsidRPr="00625E20">
        <w:rPr>
          <w:rStyle w:val="awspan1"/>
        </w:rPr>
        <w:t>je</w:t>
      </w:r>
      <w:r w:rsidRPr="00625E20">
        <w:rPr>
          <w:rStyle w:val="awspan1"/>
          <w:spacing w:val="39"/>
        </w:rPr>
        <w:t xml:space="preserve"> </w:t>
      </w:r>
      <w:r w:rsidRPr="00625E20">
        <w:rPr>
          <w:rStyle w:val="awspan1"/>
        </w:rPr>
        <w:t>relevantným</w:t>
      </w:r>
      <w:r w:rsidRPr="00625E20">
        <w:rPr>
          <w:rStyle w:val="awspan1"/>
          <w:spacing w:val="39"/>
        </w:rPr>
        <w:t xml:space="preserve"> </w:t>
      </w:r>
      <w:r w:rsidRPr="00625E20">
        <w:rPr>
          <w:rStyle w:val="awspan1"/>
        </w:rPr>
        <w:t>dátumom</w:t>
      </w:r>
      <w:r w:rsidRPr="00625E20">
        <w:rPr>
          <w:rStyle w:val="awspan1"/>
          <w:spacing w:val="39"/>
        </w:rPr>
        <w:t xml:space="preserve"> </w:t>
      </w:r>
      <w:r w:rsidRPr="00625E20">
        <w:rPr>
          <w:rStyle w:val="awspan1"/>
        </w:rPr>
        <w:t>oceňovania</w:t>
      </w:r>
      <w:r w:rsidRPr="00625E20">
        <w:rPr>
          <w:rStyle w:val="awspan1"/>
          <w:spacing w:val="39"/>
        </w:rPr>
        <w:t xml:space="preserve"> </w:t>
      </w:r>
      <w:r w:rsidRPr="00625E20">
        <w:rPr>
          <w:rStyle w:val="awspan1"/>
        </w:rPr>
        <w:t>súvahových položiek),</w:t>
      </w:r>
      <w:r w:rsidRPr="00625E20">
        <w:rPr>
          <w:rStyle w:val="awspan1"/>
          <w:spacing w:val="40"/>
        </w:rPr>
        <w:t xml:space="preserve"> </w:t>
      </w:r>
      <w:r w:rsidRPr="00625E20">
        <w:rPr>
          <w:rStyle w:val="awspan1"/>
        </w:rPr>
        <w:t>nepredstavuje</w:t>
      </w:r>
      <w:r w:rsidRPr="00625E20">
        <w:rPr>
          <w:rStyle w:val="awspan1"/>
          <w:spacing w:val="40"/>
        </w:rPr>
        <w:t xml:space="preserve"> </w:t>
      </w:r>
      <w:r w:rsidRPr="00625E20">
        <w:rPr>
          <w:rStyle w:val="awspan1"/>
        </w:rPr>
        <w:t>skutočnosť,</w:t>
      </w:r>
      <w:r w:rsidRPr="00625E20">
        <w:rPr>
          <w:rStyle w:val="awspan1"/>
          <w:spacing w:val="40"/>
        </w:rPr>
        <w:t xml:space="preserve"> </w:t>
      </w:r>
      <w:r w:rsidRPr="00625E20">
        <w:rPr>
          <w:rStyle w:val="awspan1"/>
        </w:rPr>
        <w:t>ktorá</w:t>
      </w:r>
      <w:r w:rsidRPr="00625E20">
        <w:rPr>
          <w:rStyle w:val="awspan1"/>
          <w:spacing w:val="40"/>
        </w:rPr>
        <w:t xml:space="preserve"> </w:t>
      </w:r>
      <w:r w:rsidRPr="00625E20">
        <w:rPr>
          <w:rStyle w:val="awspan1"/>
        </w:rPr>
        <w:t>si</w:t>
      </w:r>
      <w:r w:rsidRPr="00625E20">
        <w:rPr>
          <w:rStyle w:val="awspan1"/>
          <w:spacing w:val="40"/>
        </w:rPr>
        <w:t xml:space="preserve"> </w:t>
      </w:r>
      <w:r w:rsidRPr="00625E20">
        <w:rPr>
          <w:rStyle w:val="awspan1"/>
        </w:rPr>
        <w:t>vyžaduje</w:t>
      </w:r>
      <w:r w:rsidRPr="00625E20">
        <w:rPr>
          <w:rStyle w:val="awspan1"/>
          <w:spacing w:val="40"/>
        </w:rPr>
        <w:t xml:space="preserve"> </w:t>
      </w:r>
      <w:r w:rsidRPr="00625E20">
        <w:rPr>
          <w:rStyle w:val="awspan1"/>
        </w:rPr>
        <w:t>retroaktívne</w:t>
      </w:r>
      <w:r w:rsidRPr="00625E20">
        <w:rPr>
          <w:rStyle w:val="awspan1"/>
          <w:spacing w:val="40"/>
        </w:rPr>
        <w:t xml:space="preserve"> </w:t>
      </w:r>
      <w:r w:rsidRPr="00625E20">
        <w:rPr>
          <w:rStyle w:val="awspan1"/>
        </w:rPr>
        <w:t>prehodnotenie rezervy</w:t>
      </w:r>
      <w:r w:rsidRPr="00625E20">
        <w:rPr>
          <w:rStyle w:val="awspan1"/>
          <w:spacing w:val="2"/>
        </w:rPr>
        <w:t xml:space="preserve"> </w:t>
      </w:r>
      <w:r w:rsidRPr="00625E20">
        <w:rPr>
          <w:rStyle w:val="awspan1"/>
        </w:rPr>
        <w:t>týkajúcej</w:t>
      </w:r>
      <w:r w:rsidRPr="00625E20">
        <w:rPr>
          <w:rStyle w:val="awspan1"/>
          <w:spacing w:val="2"/>
        </w:rPr>
        <w:t xml:space="preserve"> </w:t>
      </w:r>
      <w:r w:rsidRPr="00625E20">
        <w:rPr>
          <w:rStyle w:val="awspan1"/>
        </w:rPr>
        <w:t>sa</w:t>
      </w:r>
      <w:r w:rsidRPr="00625E20">
        <w:rPr>
          <w:rStyle w:val="awspan1"/>
          <w:spacing w:val="2"/>
        </w:rPr>
        <w:t xml:space="preserve"> </w:t>
      </w:r>
      <w:r w:rsidRPr="00625E20">
        <w:rPr>
          <w:rStyle w:val="awspan1"/>
        </w:rPr>
        <w:t>tejto</w:t>
      </w:r>
      <w:r w:rsidRPr="00625E20">
        <w:rPr>
          <w:rStyle w:val="awspan1"/>
          <w:spacing w:val="2"/>
        </w:rPr>
        <w:t xml:space="preserve"> </w:t>
      </w:r>
      <w:r w:rsidRPr="00625E20">
        <w:rPr>
          <w:rStyle w:val="awspan1"/>
        </w:rPr>
        <w:t>pôžičky</w:t>
      </w:r>
      <w:r w:rsidRPr="00625E20">
        <w:rPr>
          <w:rStyle w:val="awspan1"/>
          <w:spacing w:val="2"/>
        </w:rPr>
        <w:t xml:space="preserve"> </w:t>
      </w:r>
      <w:r w:rsidRPr="00625E20">
        <w:rPr>
          <w:rStyle w:val="awspan1"/>
        </w:rPr>
        <w:t>uvedenej</w:t>
      </w:r>
      <w:r w:rsidRPr="00625E20">
        <w:rPr>
          <w:rStyle w:val="awspan1"/>
          <w:spacing w:val="2"/>
        </w:rPr>
        <w:t xml:space="preserve"> </w:t>
      </w:r>
      <w:r w:rsidRPr="00625E20">
        <w:rPr>
          <w:rStyle w:val="awspan1"/>
        </w:rPr>
        <w:t>na</w:t>
      </w:r>
      <w:r w:rsidRPr="00625E20">
        <w:rPr>
          <w:rStyle w:val="awspan1"/>
          <w:spacing w:val="2"/>
        </w:rPr>
        <w:t xml:space="preserve"> </w:t>
      </w:r>
      <w:r w:rsidRPr="00625E20">
        <w:rPr>
          <w:rStyle w:val="awspan1"/>
        </w:rPr>
        <w:t>strane</w:t>
      </w:r>
      <w:r w:rsidRPr="00625E20">
        <w:rPr>
          <w:rStyle w:val="awspan1"/>
          <w:spacing w:val="2"/>
        </w:rPr>
        <w:t xml:space="preserve"> </w:t>
      </w:r>
      <w:r w:rsidRPr="00625E20">
        <w:rPr>
          <w:rStyle w:val="awspan1"/>
        </w:rPr>
        <w:t>pasív</w:t>
      </w:r>
      <w:r w:rsidRPr="00625E20">
        <w:rPr>
          <w:rStyle w:val="awspan1"/>
          <w:spacing w:val="2"/>
        </w:rPr>
        <w:t xml:space="preserve"> </w:t>
      </w:r>
      <w:r w:rsidRPr="00625E20">
        <w:rPr>
          <w:rStyle w:val="awspan1"/>
        </w:rPr>
        <w:t>súvahy.</w:t>
      </w:r>
      <w:r w:rsidRPr="00625E20">
        <w:rPr>
          <w:rStyle w:val="awspan1"/>
          <w:spacing w:val="2"/>
        </w:rPr>
        <w:t xml:space="preserve"> </w:t>
      </w:r>
      <w:r w:rsidRPr="00625E20">
        <w:rPr>
          <w:rStyle w:val="awspan1"/>
        </w:rPr>
        <w:t>Súlad</w:t>
      </w:r>
      <w:r w:rsidRPr="00625E20">
        <w:rPr>
          <w:rStyle w:val="awspan1"/>
          <w:spacing w:val="2"/>
        </w:rPr>
        <w:t xml:space="preserve"> </w:t>
      </w:r>
      <w:r w:rsidRPr="00625E20">
        <w:rPr>
          <w:rStyle w:val="awspan1"/>
        </w:rPr>
        <w:t>so</w:t>
      </w:r>
      <w:r w:rsidRPr="00625E20">
        <w:rPr>
          <w:rStyle w:val="awspan1"/>
          <w:spacing w:val="2"/>
        </w:rPr>
        <w:t xml:space="preserve"> </w:t>
      </w:r>
      <w:r w:rsidRPr="00625E20">
        <w:rPr>
          <w:rStyle w:val="awspan1"/>
        </w:rPr>
        <w:t>zásadou pravdivého</w:t>
      </w:r>
      <w:r w:rsidRPr="00625E20">
        <w:rPr>
          <w:rStyle w:val="awspan1"/>
          <w:spacing w:val="42"/>
        </w:rPr>
        <w:t xml:space="preserve"> </w:t>
      </w:r>
      <w:r w:rsidRPr="00625E20">
        <w:rPr>
          <w:rStyle w:val="awspan1"/>
        </w:rPr>
        <w:t>a verného</w:t>
      </w:r>
      <w:r w:rsidRPr="00625E20">
        <w:rPr>
          <w:rStyle w:val="awspan1"/>
          <w:spacing w:val="42"/>
        </w:rPr>
        <w:t xml:space="preserve"> </w:t>
      </w:r>
      <w:r w:rsidRPr="00625E20">
        <w:rPr>
          <w:rStyle w:val="awspan1"/>
        </w:rPr>
        <w:t>zobrazenia</w:t>
      </w:r>
      <w:r w:rsidRPr="00625E20">
        <w:rPr>
          <w:rStyle w:val="awspan1"/>
          <w:spacing w:val="42"/>
        </w:rPr>
        <w:t xml:space="preserve"> </w:t>
      </w:r>
      <w:r w:rsidRPr="00625E20">
        <w:rPr>
          <w:rStyle w:val="awspan1"/>
        </w:rPr>
        <w:t>aktív</w:t>
      </w:r>
      <w:r w:rsidRPr="00625E20">
        <w:rPr>
          <w:rStyle w:val="awspan1"/>
          <w:spacing w:val="42"/>
        </w:rPr>
        <w:t xml:space="preserve"> </w:t>
      </w:r>
      <w:r w:rsidRPr="00625E20">
        <w:rPr>
          <w:rStyle w:val="awspan1"/>
        </w:rPr>
        <w:t>a</w:t>
      </w:r>
      <w:r w:rsidRPr="00625E20">
        <w:rPr>
          <w:rStyle w:val="awspan1"/>
          <w:spacing w:val="42"/>
        </w:rPr>
        <w:t xml:space="preserve"> </w:t>
      </w:r>
      <w:r w:rsidRPr="00625E20">
        <w:rPr>
          <w:rStyle w:val="awspan1"/>
        </w:rPr>
        <w:t>pasív</w:t>
      </w:r>
      <w:r w:rsidRPr="00625E20">
        <w:rPr>
          <w:rStyle w:val="awspan1"/>
          <w:spacing w:val="42"/>
        </w:rPr>
        <w:t xml:space="preserve"> </w:t>
      </w:r>
      <w:r w:rsidRPr="00625E20">
        <w:rPr>
          <w:rStyle w:val="awspan1"/>
        </w:rPr>
        <w:t>si</w:t>
      </w:r>
      <w:r w:rsidRPr="00625E20">
        <w:rPr>
          <w:rStyle w:val="awspan1"/>
          <w:spacing w:val="42"/>
        </w:rPr>
        <w:t xml:space="preserve"> </w:t>
      </w:r>
      <w:r w:rsidRPr="00625E20">
        <w:rPr>
          <w:rStyle w:val="awspan1"/>
        </w:rPr>
        <w:t>však</w:t>
      </w:r>
      <w:r w:rsidRPr="00625E20">
        <w:rPr>
          <w:rStyle w:val="awspan1"/>
          <w:spacing w:val="42"/>
        </w:rPr>
        <w:t xml:space="preserve"> </w:t>
      </w:r>
      <w:r w:rsidRPr="00625E20">
        <w:rPr>
          <w:rStyle w:val="awspan1"/>
        </w:rPr>
        <w:t>vyžaduje,</w:t>
      </w:r>
      <w:r w:rsidRPr="00625E20">
        <w:rPr>
          <w:rStyle w:val="awspan1"/>
          <w:spacing w:val="42"/>
        </w:rPr>
        <w:t xml:space="preserve"> </w:t>
      </w:r>
      <w:r w:rsidRPr="00625E20">
        <w:rPr>
          <w:rStyle w:val="awspan1"/>
        </w:rPr>
        <w:t>aby</w:t>
      </w:r>
      <w:r w:rsidRPr="00625E20">
        <w:rPr>
          <w:rStyle w:val="awspan1"/>
          <w:spacing w:val="42"/>
        </w:rPr>
        <w:t xml:space="preserve"> </w:t>
      </w:r>
      <w:r w:rsidRPr="00625E20">
        <w:rPr>
          <w:rStyle w:val="awspan1"/>
        </w:rPr>
        <w:t>sa</w:t>
      </w:r>
      <w:r w:rsidRPr="00625E20">
        <w:rPr>
          <w:rStyle w:val="awspan1"/>
          <w:spacing w:val="42"/>
        </w:rPr>
        <w:t xml:space="preserve"> </w:t>
      </w:r>
      <w:r w:rsidRPr="00625E20">
        <w:rPr>
          <w:rStyle w:val="awspan1"/>
        </w:rPr>
        <w:t>v</w:t>
      </w:r>
      <w:r w:rsidRPr="00625E20">
        <w:rPr>
          <w:rStyle w:val="awspan1"/>
          <w:spacing w:val="42"/>
        </w:rPr>
        <w:t xml:space="preserve"> </w:t>
      </w:r>
      <w:r w:rsidRPr="00625E20">
        <w:rPr>
          <w:rStyle w:val="awspan1"/>
        </w:rPr>
        <w:t>ročnej účtovnej závierke uviedlo zaniknutie rizika, na ktoré sa vzťahuje toto ustanovenie.</w:t>
      </w:r>
    </w:p>
    <w:p w14:paraId="5AF8EE80" w14:textId="77777777" w:rsidR="00C145BC" w:rsidRPr="00625E20" w:rsidRDefault="00C145BC" w:rsidP="00C145BC">
      <w:pPr>
        <w:pStyle w:val="Zarkazkladnhotextu"/>
        <w:numPr>
          <w:ilvl w:val="0"/>
          <w:numId w:val="15"/>
        </w:numPr>
        <w:spacing w:before="120"/>
        <w:ind w:left="709" w:hanging="283"/>
        <w:rPr>
          <w:rStyle w:val="awspan1"/>
        </w:rPr>
      </w:pPr>
      <w:r w:rsidRPr="00625E20">
        <w:rPr>
          <w:rStyle w:val="awspan1"/>
        </w:rPr>
        <w:t>rozhodnutie</w:t>
      </w:r>
      <w:r w:rsidRPr="00625E20">
        <w:rPr>
          <w:rStyle w:val="awspan1"/>
          <w:spacing w:val="79"/>
        </w:rPr>
        <w:t xml:space="preserve"> </w:t>
      </w:r>
      <w:r w:rsidRPr="00625E20">
        <w:rPr>
          <w:rStyle w:val="awspan1"/>
        </w:rPr>
        <w:t>Súdneho</w:t>
      </w:r>
      <w:r w:rsidRPr="00625E20">
        <w:rPr>
          <w:rStyle w:val="awspan1"/>
          <w:spacing w:val="79"/>
        </w:rPr>
        <w:t xml:space="preserve"> </w:t>
      </w:r>
      <w:r w:rsidRPr="00625E20">
        <w:rPr>
          <w:rStyle w:val="awspan1"/>
        </w:rPr>
        <w:t>dvora</w:t>
      </w:r>
      <w:r w:rsidRPr="00625E20">
        <w:rPr>
          <w:rStyle w:val="awspan1"/>
          <w:spacing w:val="79"/>
        </w:rPr>
        <w:t xml:space="preserve"> </w:t>
      </w:r>
      <w:r w:rsidRPr="00625E20">
        <w:rPr>
          <w:rStyle w:val="awspan1"/>
        </w:rPr>
        <w:t>vo</w:t>
      </w:r>
      <w:r w:rsidRPr="00625E20">
        <w:rPr>
          <w:rStyle w:val="awspan1"/>
          <w:spacing w:val="79"/>
        </w:rPr>
        <w:t xml:space="preserve"> </w:t>
      </w:r>
      <w:r w:rsidRPr="00625E20">
        <w:rPr>
          <w:rStyle w:val="awspan1"/>
        </w:rPr>
        <w:t>veci</w:t>
      </w:r>
      <w:r w:rsidRPr="00625E20">
        <w:rPr>
          <w:rStyle w:val="awspan1"/>
          <w:spacing w:val="79"/>
        </w:rPr>
        <w:t xml:space="preserve"> </w:t>
      </w:r>
      <w:r w:rsidRPr="00625E20">
        <w:rPr>
          <w:rStyle w:val="awspan1"/>
        </w:rPr>
        <w:t>C</w:t>
      </w:r>
      <w:r w:rsidRPr="00625E20">
        <w:rPr>
          <w:rStyle w:val="awspan1"/>
          <w:spacing w:val="79"/>
        </w:rPr>
        <w:t xml:space="preserve"> </w:t>
      </w:r>
      <w:r w:rsidRPr="00625E20">
        <w:rPr>
          <w:rStyle w:val="awspan1"/>
        </w:rPr>
        <w:t>–</w:t>
      </w:r>
      <w:r w:rsidRPr="00625E20">
        <w:rPr>
          <w:rStyle w:val="awspan1"/>
          <w:spacing w:val="79"/>
        </w:rPr>
        <w:t xml:space="preserve"> </w:t>
      </w:r>
      <w:r w:rsidRPr="00625E20">
        <w:rPr>
          <w:rStyle w:val="awspan1"/>
        </w:rPr>
        <w:t>528/12,</w:t>
      </w:r>
      <w:r w:rsidRPr="00625E20">
        <w:rPr>
          <w:rStyle w:val="awspan1"/>
          <w:spacing w:val="79"/>
        </w:rPr>
        <w:t xml:space="preserve"> </w:t>
      </w:r>
      <w:proofErr w:type="spellStart"/>
      <w:r w:rsidRPr="00625E20">
        <w:rPr>
          <w:rStyle w:val="awspan1"/>
        </w:rPr>
        <w:t>Mömax</w:t>
      </w:r>
      <w:proofErr w:type="spellEnd"/>
      <w:r w:rsidRPr="00625E20">
        <w:rPr>
          <w:rStyle w:val="awspan1"/>
          <w:spacing w:val="79"/>
        </w:rPr>
        <w:t xml:space="preserve"> </w:t>
      </w:r>
      <w:proofErr w:type="spellStart"/>
      <w:r w:rsidRPr="00625E20">
        <w:rPr>
          <w:rStyle w:val="awspan1"/>
        </w:rPr>
        <w:t>Logistik</w:t>
      </w:r>
      <w:proofErr w:type="spellEnd"/>
      <w:r w:rsidRPr="00625E20">
        <w:rPr>
          <w:rStyle w:val="awspan1"/>
          <w:spacing w:val="79"/>
        </w:rPr>
        <w:t xml:space="preserve"> </w:t>
      </w:r>
      <w:proofErr w:type="spellStart"/>
      <w:r w:rsidRPr="00625E20">
        <w:rPr>
          <w:rStyle w:val="awspan1"/>
        </w:rPr>
        <w:t>GmbH</w:t>
      </w:r>
      <w:proofErr w:type="spellEnd"/>
      <w:r w:rsidRPr="00625E20">
        <w:rPr>
          <w:rStyle w:val="awspan1"/>
          <w:spacing w:val="79"/>
        </w:rPr>
        <w:t xml:space="preserve"> </w:t>
      </w:r>
      <w:r w:rsidRPr="00625E20">
        <w:rPr>
          <w:rStyle w:val="awspan1"/>
        </w:rPr>
        <w:t xml:space="preserve">proti </w:t>
      </w:r>
      <w:proofErr w:type="spellStart"/>
      <w:r w:rsidRPr="00625E20">
        <w:rPr>
          <w:rStyle w:val="awspan1"/>
        </w:rPr>
        <w:t>Bundesamt</w:t>
      </w:r>
      <w:proofErr w:type="spellEnd"/>
      <w:r w:rsidRPr="00625E20">
        <w:rPr>
          <w:rStyle w:val="awspan1"/>
        </w:rPr>
        <w:t xml:space="preserve"> </w:t>
      </w:r>
      <w:proofErr w:type="spellStart"/>
      <w:r w:rsidRPr="00625E20">
        <w:rPr>
          <w:rStyle w:val="awspan1"/>
        </w:rPr>
        <w:t>für</w:t>
      </w:r>
      <w:proofErr w:type="spellEnd"/>
      <w:r w:rsidRPr="00625E20">
        <w:rPr>
          <w:rStyle w:val="awspan1"/>
        </w:rPr>
        <w:t xml:space="preserve"> </w:t>
      </w:r>
      <w:proofErr w:type="spellStart"/>
      <w:r w:rsidRPr="00625E20">
        <w:rPr>
          <w:rStyle w:val="awspan1"/>
        </w:rPr>
        <w:t>Justiz</w:t>
      </w:r>
      <w:proofErr w:type="spellEnd"/>
      <w:r w:rsidRPr="00625E20">
        <w:rPr>
          <w:rStyle w:val="awspan1"/>
        </w:rPr>
        <w:t xml:space="preserve"> [2014].</w:t>
      </w:r>
    </w:p>
    <w:p w14:paraId="1AE28A2E" w14:textId="77777777" w:rsidR="00C145BC" w:rsidRPr="00625E20" w:rsidRDefault="00C145BC" w:rsidP="00C145BC">
      <w:pPr>
        <w:pStyle w:val="Zarkazkladnhotextu"/>
        <w:spacing w:before="120"/>
        <w:ind w:left="709" w:firstLine="0"/>
        <w:rPr>
          <w:rStyle w:val="awspan1"/>
        </w:rPr>
      </w:pPr>
      <w:r w:rsidRPr="00625E20">
        <w:rPr>
          <w:rStyle w:val="awspan1"/>
        </w:rPr>
        <w:lastRenderedPageBreak/>
        <w:t>Výrok</w:t>
      </w:r>
      <w:r w:rsidRPr="00625E20">
        <w:rPr>
          <w:rStyle w:val="awspan1"/>
          <w:spacing w:val="40"/>
        </w:rPr>
        <w:t xml:space="preserve"> </w:t>
      </w:r>
      <w:r w:rsidRPr="00625E20">
        <w:rPr>
          <w:rStyle w:val="awspan1"/>
        </w:rPr>
        <w:t xml:space="preserve">rozhodnutia: </w:t>
      </w:r>
    </w:p>
    <w:p w14:paraId="7FDBCCD7" w14:textId="77777777" w:rsidR="00C145BC" w:rsidRPr="00625E20" w:rsidRDefault="00C145BC" w:rsidP="00C145BC">
      <w:pPr>
        <w:pStyle w:val="Zarkazkladnhotextu"/>
        <w:spacing w:after="120"/>
        <w:ind w:left="709" w:firstLine="0"/>
        <w:rPr>
          <w:szCs w:val="24"/>
        </w:rPr>
      </w:pPr>
      <w:r w:rsidRPr="00625E20">
        <w:rPr>
          <w:rStyle w:val="awspan1"/>
        </w:rPr>
        <w:t>Článok</w:t>
      </w:r>
      <w:r w:rsidRPr="00625E20">
        <w:rPr>
          <w:rStyle w:val="awspan1"/>
          <w:spacing w:val="40"/>
        </w:rPr>
        <w:t xml:space="preserve"> </w:t>
      </w:r>
      <w:r w:rsidRPr="00625E20">
        <w:rPr>
          <w:rStyle w:val="awspan1"/>
        </w:rPr>
        <w:t>57</w:t>
      </w:r>
      <w:r w:rsidRPr="00625E20">
        <w:rPr>
          <w:rStyle w:val="awspan1"/>
          <w:spacing w:val="40"/>
        </w:rPr>
        <w:t xml:space="preserve"> </w:t>
      </w:r>
      <w:r w:rsidRPr="00625E20">
        <w:rPr>
          <w:rStyle w:val="awspan1"/>
        </w:rPr>
        <w:t>štvrtej</w:t>
      </w:r>
      <w:r w:rsidRPr="00625E20">
        <w:rPr>
          <w:rStyle w:val="awspan1"/>
          <w:spacing w:val="40"/>
        </w:rPr>
        <w:t xml:space="preserve"> </w:t>
      </w:r>
      <w:r w:rsidRPr="00625E20">
        <w:rPr>
          <w:rStyle w:val="awspan1"/>
        </w:rPr>
        <w:t>smernice</w:t>
      </w:r>
      <w:r w:rsidRPr="00625E20">
        <w:rPr>
          <w:rStyle w:val="awspan1"/>
          <w:spacing w:val="40"/>
        </w:rPr>
        <w:t xml:space="preserve"> </w:t>
      </w:r>
      <w:r w:rsidRPr="00625E20">
        <w:rPr>
          <w:rStyle w:val="awspan1"/>
        </w:rPr>
        <w:t>Rady</w:t>
      </w:r>
      <w:r w:rsidRPr="00625E20">
        <w:rPr>
          <w:rStyle w:val="awspan1"/>
          <w:spacing w:val="40"/>
        </w:rPr>
        <w:t xml:space="preserve"> </w:t>
      </w:r>
      <w:r w:rsidRPr="00625E20">
        <w:rPr>
          <w:rStyle w:val="awspan1"/>
        </w:rPr>
        <w:t>78/660/EHS</w:t>
      </w:r>
      <w:r w:rsidRPr="00625E20">
        <w:rPr>
          <w:rStyle w:val="awspan1"/>
          <w:spacing w:val="40"/>
        </w:rPr>
        <w:t xml:space="preserve"> </w:t>
      </w:r>
      <w:r w:rsidRPr="00625E20">
        <w:rPr>
          <w:rStyle w:val="awspan1"/>
        </w:rPr>
        <w:t>z 25.</w:t>
      </w:r>
      <w:r w:rsidRPr="00625E20">
        <w:rPr>
          <w:rStyle w:val="awspan1"/>
          <w:spacing w:val="40"/>
        </w:rPr>
        <w:t xml:space="preserve"> </w:t>
      </w:r>
      <w:r w:rsidRPr="00625E20">
        <w:rPr>
          <w:rStyle w:val="awspan1"/>
        </w:rPr>
        <w:t>júla</w:t>
      </w:r>
      <w:r w:rsidRPr="00625E20">
        <w:rPr>
          <w:rStyle w:val="awspan1"/>
          <w:spacing w:val="40"/>
        </w:rPr>
        <w:t xml:space="preserve"> </w:t>
      </w:r>
      <w:r w:rsidRPr="00625E20">
        <w:rPr>
          <w:rStyle w:val="awspan1"/>
        </w:rPr>
        <w:t>1978 o ročnej</w:t>
      </w:r>
      <w:r w:rsidRPr="00625E20">
        <w:rPr>
          <w:rStyle w:val="awspan1"/>
          <w:spacing w:val="22"/>
        </w:rPr>
        <w:t xml:space="preserve"> </w:t>
      </w:r>
      <w:r w:rsidRPr="00625E20">
        <w:rPr>
          <w:rStyle w:val="awspan1"/>
        </w:rPr>
        <w:t>účtovnej</w:t>
      </w:r>
      <w:r w:rsidRPr="00625E20">
        <w:rPr>
          <w:rStyle w:val="awspan1"/>
          <w:spacing w:val="22"/>
        </w:rPr>
        <w:t xml:space="preserve"> </w:t>
      </w:r>
      <w:r w:rsidRPr="00625E20">
        <w:rPr>
          <w:rStyle w:val="awspan1"/>
        </w:rPr>
        <w:t>závierke</w:t>
      </w:r>
      <w:r w:rsidRPr="00625E20">
        <w:rPr>
          <w:rStyle w:val="awspan1"/>
          <w:spacing w:val="22"/>
        </w:rPr>
        <w:t xml:space="preserve"> </w:t>
      </w:r>
      <w:r w:rsidRPr="00625E20">
        <w:rPr>
          <w:rStyle w:val="awspan1"/>
        </w:rPr>
        <w:t>niektorých</w:t>
      </w:r>
      <w:r w:rsidRPr="00625E20">
        <w:rPr>
          <w:rStyle w:val="awspan1"/>
          <w:spacing w:val="22"/>
        </w:rPr>
        <w:t xml:space="preserve"> </w:t>
      </w:r>
      <w:r w:rsidRPr="00625E20">
        <w:rPr>
          <w:rStyle w:val="awspan1"/>
        </w:rPr>
        <w:t>typov</w:t>
      </w:r>
      <w:r w:rsidRPr="00625E20">
        <w:rPr>
          <w:rStyle w:val="awspan1"/>
          <w:spacing w:val="22"/>
        </w:rPr>
        <w:t xml:space="preserve"> </w:t>
      </w:r>
      <w:r w:rsidRPr="00625E20">
        <w:rPr>
          <w:rStyle w:val="awspan1"/>
        </w:rPr>
        <w:t>spoločností,</w:t>
      </w:r>
      <w:r w:rsidRPr="00625E20">
        <w:rPr>
          <w:rStyle w:val="awspan1"/>
          <w:spacing w:val="22"/>
        </w:rPr>
        <w:t xml:space="preserve"> </w:t>
      </w:r>
      <w:r w:rsidRPr="00625E20">
        <w:rPr>
          <w:rStyle w:val="awspan1"/>
        </w:rPr>
        <w:t>vychádzajúcej</w:t>
      </w:r>
      <w:r w:rsidRPr="00625E20">
        <w:rPr>
          <w:rStyle w:val="awspan1"/>
          <w:spacing w:val="22"/>
        </w:rPr>
        <w:t xml:space="preserve"> </w:t>
      </w:r>
      <w:r w:rsidRPr="00625E20">
        <w:rPr>
          <w:rStyle w:val="awspan1"/>
        </w:rPr>
        <w:t>z článku</w:t>
      </w:r>
      <w:r w:rsidRPr="00625E20">
        <w:rPr>
          <w:rStyle w:val="awspan1"/>
          <w:spacing w:val="22"/>
        </w:rPr>
        <w:t xml:space="preserve"> </w:t>
      </w:r>
      <w:r w:rsidRPr="00625E20">
        <w:rPr>
          <w:rStyle w:val="awspan1"/>
        </w:rPr>
        <w:t>54 ods.</w:t>
      </w:r>
      <w:r w:rsidRPr="00625E20">
        <w:rPr>
          <w:rStyle w:val="awspan1"/>
          <w:spacing w:val="43"/>
        </w:rPr>
        <w:t xml:space="preserve"> </w:t>
      </w:r>
      <w:r w:rsidRPr="00625E20">
        <w:rPr>
          <w:rStyle w:val="awspan1"/>
        </w:rPr>
        <w:t>3</w:t>
      </w:r>
      <w:r w:rsidRPr="00625E20">
        <w:rPr>
          <w:rStyle w:val="awspan1"/>
          <w:spacing w:val="43"/>
        </w:rPr>
        <w:t xml:space="preserve"> </w:t>
      </w:r>
      <w:r w:rsidRPr="00625E20">
        <w:rPr>
          <w:rStyle w:val="awspan1"/>
        </w:rPr>
        <w:t>písm.</w:t>
      </w:r>
      <w:r w:rsidRPr="00625E20">
        <w:rPr>
          <w:rStyle w:val="awspan1"/>
          <w:spacing w:val="43"/>
        </w:rPr>
        <w:t xml:space="preserve"> </w:t>
      </w:r>
      <w:r w:rsidRPr="00625E20">
        <w:rPr>
          <w:rStyle w:val="awspan1"/>
        </w:rPr>
        <w:t>g)</w:t>
      </w:r>
      <w:r w:rsidRPr="00625E20">
        <w:rPr>
          <w:rStyle w:val="awspan1"/>
          <w:spacing w:val="43"/>
        </w:rPr>
        <w:t xml:space="preserve"> </w:t>
      </w:r>
      <w:r w:rsidRPr="00625E20">
        <w:rPr>
          <w:rStyle w:val="awspan1"/>
        </w:rPr>
        <w:t>zmluvy,</w:t>
      </w:r>
      <w:r w:rsidRPr="00625E20">
        <w:rPr>
          <w:rStyle w:val="awspan1"/>
          <w:spacing w:val="43"/>
        </w:rPr>
        <w:t xml:space="preserve"> </w:t>
      </w:r>
      <w:r w:rsidRPr="00625E20">
        <w:rPr>
          <w:rStyle w:val="awspan1"/>
        </w:rPr>
        <w:t>zmenenej</w:t>
      </w:r>
      <w:r w:rsidRPr="00625E20">
        <w:rPr>
          <w:rStyle w:val="awspan1"/>
          <w:spacing w:val="43"/>
        </w:rPr>
        <w:t xml:space="preserve"> </w:t>
      </w:r>
      <w:r w:rsidRPr="00625E20">
        <w:rPr>
          <w:rStyle w:val="awspan1"/>
        </w:rPr>
        <w:t>a doplnenej</w:t>
      </w:r>
      <w:r w:rsidRPr="00625E20">
        <w:rPr>
          <w:rStyle w:val="awspan1"/>
          <w:spacing w:val="43"/>
        </w:rPr>
        <w:t xml:space="preserve"> </w:t>
      </w:r>
      <w:r w:rsidRPr="00625E20">
        <w:rPr>
          <w:rStyle w:val="awspan1"/>
        </w:rPr>
        <w:t>smernicou</w:t>
      </w:r>
      <w:r w:rsidRPr="00625E20">
        <w:rPr>
          <w:rStyle w:val="awspan1"/>
          <w:spacing w:val="43"/>
        </w:rPr>
        <w:t xml:space="preserve"> </w:t>
      </w:r>
      <w:r w:rsidRPr="00625E20">
        <w:rPr>
          <w:rStyle w:val="awspan1"/>
        </w:rPr>
        <w:t>Európskeho</w:t>
      </w:r>
      <w:r w:rsidRPr="00625E20">
        <w:rPr>
          <w:rStyle w:val="awspan1"/>
          <w:spacing w:val="43"/>
        </w:rPr>
        <w:t xml:space="preserve"> </w:t>
      </w:r>
      <w:r w:rsidRPr="00625E20">
        <w:rPr>
          <w:rStyle w:val="awspan1"/>
        </w:rPr>
        <w:t>Parlamentu a Rady</w:t>
      </w:r>
      <w:r w:rsidRPr="00625E20">
        <w:rPr>
          <w:rStyle w:val="awspan1"/>
          <w:spacing w:val="72"/>
        </w:rPr>
        <w:t xml:space="preserve"> </w:t>
      </w:r>
      <w:r w:rsidRPr="00625E20">
        <w:rPr>
          <w:rStyle w:val="awspan1"/>
        </w:rPr>
        <w:t>2006/46/ES</w:t>
      </w:r>
      <w:r w:rsidRPr="00625E20">
        <w:rPr>
          <w:rStyle w:val="awspan1"/>
          <w:spacing w:val="72"/>
        </w:rPr>
        <w:t xml:space="preserve"> </w:t>
      </w:r>
      <w:r w:rsidRPr="00625E20">
        <w:rPr>
          <w:rStyle w:val="awspan1"/>
        </w:rPr>
        <w:t>zo</w:t>
      </w:r>
      <w:r w:rsidRPr="00625E20">
        <w:rPr>
          <w:rStyle w:val="awspan1"/>
          <w:spacing w:val="72"/>
        </w:rPr>
        <w:t xml:space="preserve"> </w:t>
      </w:r>
      <w:r w:rsidRPr="00625E20">
        <w:rPr>
          <w:rStyle w:val="awspan1"/>
        </w:rPr>
        <w:t>14.</w:t>
      </w:r>
      <w:r w:rsidRPr="00625E20">
        <w:rPr>
          <w:rStyle w:val="awspan1"/>
          <w:spacing w:val="72"/>
        </w:rPr>
        <w:t xml:space="preserve"> </w:t>
      </w:r>
      <w:r w:rsidRPr="00625E20">
        <w:rPr>
          <w:rStyle w:val="awspan1"/>
        </w:rPr>
        <w:t>júna</w:t>
      </w:r>
      <w:r w:rsidRPr="00625E20">
        <w:rPr>
          <w:rStyle w:val="awspan1"/>
          <w:spacing w:val="72"/>
        </w:rPr>
        <w:t xml:space="preserve"> </w:t>
      </w:r>
      <w:r w:rsidRPr="00625E20">
        <w:rPr>
          <w:rStyle w:val="awspan1"/>
        </w:rPr>
        <w:t>2006,</w:t>
      </w:r>
      <w:r w:rsidRPr="00625E20">
        <w:rPr>
          <w:rStyle w:val="awspan1"/>
          <w:spacing w:val="72"/>
        </w:rPr>
        <w:t xml:space="preserve"> </w:t>
      </w:r>
      <w:r w:rsidRPr="00625E20">
        <w:rPr>
          <w:rStyle w:val="awspan1"/>
        </w:rPr>
        <w:t>sa</w:t>
      </w:r>
      <w:r w:rsidRPr="00625E20">
        <w:rPr>
          <w:rStyle w:val="awspan1"/>
          <w:spacing w:val="72"/>
        </w:rPr>
        <w:t xml:space="preserve"> </w:t>
      </w:r>
      <w:r w:rsidRPr="00625E20">
        <w:rPr>
          <w:rStyle w:val="awspan1"/>
        </w:rPr>
        <w:t>má</w:t>
      </w:r>
      <w:r w:rsidRPr="00625E20">
        <w:rPr>
          <w:rStyle w:val="awspan1"/>
          <w:spacing w:val="72"/>
        </w:rPr>
        <w:t xml:space="preserve"> </w:t>
      </w:r>
      <w:r w:rsidRPr="00625E20">
        <w:rPr>
          <w:rStyle w:val="awspan1"/>
        </w:rPr>
        <w:t>vykladať</w:t>
      </w:r>
      <w:r w:rsidRPr="00625E20">
        <w:rPr>
          <w:rStyle w:val="awspan1"/>
          <w:spacing w:val="72"/>
        </w:rPr>
        <w:t xml:space="preserve"> </w:t>
      </w:r>
      <w:r w:rsidRPr="00625E20">
        <w:rPr>
          <w:rStyle w:val="awspan1"/>
        </w:rPr>
        <w:t>v tom</w:t>
      </w:r>
      <w:r w:rsidRPr="00625E20">
        <w:rPr>
          <w:rStyle w:val="awspan1"/>
          <w:spacing w:val="72"/>
        </w:rPr>
        <w:t xml:space="preserve"> </w:t>
      </w:r>
      <w:r w:rsidRPr="00625E20">
        <w:rPr>
          <w:rStyle w:val="awspan1"/>
        </w:rPr>
        <w:t>zmysle,</w:t>
      </w:r>
      <w:r w:rsidRPr="00625E20">
        <w:rPr>
          <w:rStyle w:val="awspan1"/>
          <w:spacing w:val="72"/>
        </w:rPr>
        <w:t xml:space="preserve"> </w:t>
      </w:r>
      <w:r w:rsidRPr="00625E20">
        <w:rPr>
          <w:rStyle w:val="awspan1"/>
        </w:rPr>
        <w:t>že</w:t>
      </w:r>
      <w:r w:rsidRPr="00625E20">
        <w:rPr>
          <w:rStyle w:val="awspan1"/>
          <w:spacing w:val="72"/>
        </w:rPr>
        <w:t xml:space="preserve"> </w:t>
      </w:r>
      <w:r w:rsidRPr="00625E20">
        <w:rPr>
          <w:rStyle w:val="awspan1"/>
        </w:rPr>
        <w:t>bráni vnútroštátnej</w:t>
      </w:r>
      <w:r w:rsidRPr="00625E20">
        <w:rPr>
          <w:rStyle w:val="awspan1"/>
          <w:spacing w:val="10"/>
        </w:rPr>
        <w:t xml:space="preserve"> </w:t>
      </w:r>
      <w:r w:rsidRPr="00625E20">
        <w:rPr>
          <w:rStyle w:val="awspan1"/>
        </w:rPr>
        <w:t>právnej</w:t>
      </w:r>
      <w:r w:rsidRPr="00625E20">
        <w:rPr>
          <w:rStyle w:val="awspan1"/>
          <w:spacing w:val="10"/>
        </w:rPr>
        <w:t xml:space="preserve"> </w:t>
      </w:r>
      <w:r w:rsidRPr="00625E20">
        <w:rPr>
          <w:rStyle w:val="awspan1"/>
        </w:rPr>
        <w:t>úprave</w:t>
      </w:r>
      <w:r w:rsidRPr="00625E20">
        <w:rPr>
          <w:rStyle w:val="awspan1"/>
          <w:spacing w:val="10"/>
        </w:rPr>
        <w:t xml:space="preserve"> </w:t>
      </w:r>
      <w:r w:rsidRPr="00625E20">
        <w:rPr>
          <w:rStyle w:val="awspan1"/>
        </w:rPr>
        <w:t>členského</w:t>
      </w:r>
      <w:r w:rsidRPr="00625E20">
        <w:rPr>
          <w:rStyle w:val="awspan1"/>
          <w:spacing w:val="10"/>
        </w:rPr>
        <w:t xml:space="preserve"> </w:t>
      </w:r>
      <w:r w:rsidRPr="00625E20">
        <w:rPr>
          <w:rStyle w:val="awspan1"/>
        </w:rPr>
        <w:t>štátu,</w:t>
      </w:r>
      <w:r w:rsidRPr="00625E20">
        <w:rPr>
          <w:rStyle w:val="awspan1"/>
          <w:spacing w:val="10"/>
        </w:rPr>
        <w:t xml:space="preserve"> </w:t>
      </w:r>
      <w:r w:rsidRPr="00625E20">
        <w:rPr>
          <w:rStyle w:val="awspan1"/>
        </w:rPr>
        <w:t>podľa</w:t>
      </w:r>
      <w:r w:rsidRPr="00625E20">
        <w:rPr>
          <w:rStyle w:val="awspan1"/>
          <w:spacing w:val="10"/>
        </w:rPr>
        <w:t xml:space="preserve"> </w:t>
      </w:r>
      <w:r w:rsidRPr="00625E20">
        <w:rPr>
          <w:rStyle w:val="awspan1"/>
        </w:rPr>
        <w:t>ktorej</w:t>
      </w:r>
      <w:r w:rsidRPr="00625E20">
        <w:rPr>
          <w:rStyle w:val="awspan1"/>
          <w:spacing w:val="10"/>
        </w:rPr>
        <w:t xml:space="preserve"> </w:t>
      </w:r>
      <w:r w:rsidRPr="00625E20">
        <w:rPr>
          <w:rStyle w:val="awspan1"/>
        </w:rPr>
        <w:t>sa</w:t>
      </w:r>
      <w:r w:rsidRPr="00625E20">
        <w:rPr>
          <w:rStyle w:val="awspan1"/>
          <w:spacing w:val="10"/>
        </w:rPr>
        <w:t xml:space="preserve"> </w:t>
      </w:r>
      <w:r w:rsidRPr="00625E20">
        <w:rPr>
          <w:rStyle w:val="awspan1"/>
        </w:rPr>
        <w:t>na</w:t>
      </w:r>
      <w:r w:rsidRPr="00625E20">
        <w:rPr>
          <w:rStyle w:val="awspan1"/>
          <w:spacing w:val="10"/>
        </w:rPr>
        <w:t xml:space="preserve"> </w:t>
      </w:r>
      <w:r w:rsidRPr="00625E20">
        <w:rPr>
          <w:rStyle w:val="awspan1"/>
        </w:rPr>
        <w:t>dcérsku</w:t>
      </w:r>
      <w:r w:rsidRPr="00625E20">
        <w:rPr>
          <w:rStyle w:val="awspan1"/>
          <w:spacing w:val="10"/>
        </w:rPr>
        <w:t xml:space="preserve"> </w:t>
      </w:r>
      <w:r w:rsidRPr="00625E20">
        <w:rPr>
          <w:rStyle w:val="awspan1"/>
        </w:rPr>
        <w:t>spoločnosť, ktorá</w:t>
      </w:r>
      <w:r w:rsidRPr="00625E20">
        <w:rPr>
          <w:rStyle w:val="awspan1"/>
          <w:spacing w:val="6"/>
        </w:rPr>
        <w:t xml:space="preserve"> </w:t>
      </w:r>
      <w:r w:rsidRPr="00625E20">
        <w:rPr>
          <w:rStyle w:val="awspan1"/>
        </w:rPr>
        <w:t>sa</w:t>
      </w:r>
      <w:r w:rsidRPr="00625E20">
        <w:rPr>
          <w:rStyle w:val="awspan1"/>
          <w:spacing w:val="6"/>
        </w:rPr>
        <w:t xml:space="preserve"> </w:t>
      </w:r>
      <w:r w:rsidRPr="00625E20">
        <w:rPr>
          <w:rStyle w:val="awspan1"/>
        </w:rPr>
        <w:t>spravuje</w:t>
      </w:r>
      <w:r w:rsidRPr="00625E20">
        <w:rPr>
          <w:rStyle w:val="awspan1"/>
          <w:spacing w:val="6"/>
        </w:rPr>
        <w:t xml:space="preserve"> </w:t>
      </w:r>
      <w:r w:rsidRPr="00625E20">
        <w:rPr>
          <w:rStyle w:val="awspan1"/>
        </w:rPr>
        <w:t>právnymi</w:t>
      </w:r>
      <w:r w:rsidRPr="00625E20">
        <w:rPr>
          <w:rStyle w:val="awspan1"/>
          <w:spacing w:val="6"/>
        </w:rPr>
        <w:t xml:space="preserve"> </w:t>
      </w:r>
      <w:r w:rsidRPr="00625E20">
        <w:rPr>
          <w:rStyle w:val="awspan1"/>
        </w:rPr>
        <w:t>predpismi</w:t>
      </w:r>
      <w:r w:rsidRPr="00625E20">
        <w:rPr>
          <w:rStyle w:val="awspan1"/>
          <w:spacing w:val="6"/>
        </w:rPr>
        <w:t xml:space="preserve"> </w:t>
      </w:r>
      <w:r w:rsidRPr="00625E20">
        <w:rPr>
          <w:rStyle w:val="awspan1"/>
        </w:rPr>
        <w:t>tohto</w:t>
      </w:r>
      <w:r w:rsidRPr="00625E20">
        <w:rPr>
          <w:rStyle w:val="awspan1"/>
          <w:spacing w:val="6"/>
        </w:rPr>
        <w:t xml:space="preserve"> </w:t>
      </w:r>
      <w:r w:rsidRPr="00625E20">
        <w:rPr>
          <w:rStyle w:val="awspan1"/>
        </w:rPr>
        <w:t>členského</w:t>
      </w:r>
      <w:r w:rsidRPr="00625E20">
        <w:rPr>
          <w:rStyle w:val="awspan1"/>
          <w:spacing w:val="6"/>
        </w:rPr>
        <w:t xml:space="preserve"> </w:t>
      </w:r>
      <w:r w:rsidRPr="00625E20">
        <w:rPr>
          <w:rStyle w:val="awspan1"/>
        </w:rPr>
        <w:t>štátu,</w:t>
      </w:r>
      <w:r w:rsidRPr="00625E20">
        <w:rPr>
          <w:rStyle w:val="awspan1"/>
          <w:spacing w:val="6"/>
        </w:rPr>
        <w:t xml:space="preserve"> </w:t>
      </w:r>
      <w:r w:rsidRPr="00625E20">
        <w:rPr>
          <w:rStyle w:val="awspan1"/>
        </w:rPr>
        <w:t>neuplatňujú</w:t>
      </w:r>
      <w:r w:rsidRPr="00625E20">
        <w:rPr>
          <w:rStyle w:val="awspan1"/>
          <w:spacing w:val="6"/>
        </w:rPr>
        <w:t xml:space="preserve"> </w:t>
      </w:r>
      <w:r w:rsidRPr="00625E20">
        <w:rPr>
          <w:rStyle w:val="awspan1"/>
        </w:rPr>
        <w:t>ustanovenia uvedenej</w:t>
      </w:r>
      <w:r w:rsidRPr="00625E20">
        <w:rPr>
          <w:rStyle w:val="awspan1"/>
          <w:spacing w:val="76"/>
        </w:rPr>
        <w:t xml:space="preserve"> </w:t>
      </w:r>
      <w:r w:rsidRPr="00625E20">
        <w:rPr>
          <w:rStyle w:val="awspan1"/>
        </w:rPr>
        <w:t>smernice</w:t>
      </w:r>
      <w:r w:rsidRPr="00625E20">
        <w:rPr>
          <w:rStyle w:val="awspan1"/>
          <w:spacing w:val="76"/>
        </w:rPr>
        <w:t xml:space="preserve"> </w:t>
      </w:r>
      <w:r w:rsidRPr="00625E20">
        <w:rPr>
          <w:rStyle w:val="awspan1"/>
        </w:rPr>
        <w:t>týkajúce</w:t>
      </w:r>
      <w:r w:rsidRPr="00625E20">
        <w:rPr>
          <w:rStyle w:val="awspan1"/>
          <w:spacing w:val="76"/>
        </w:rPr>
        <w:t xml:space="preserve"> </w:t>
      </w:r>
      <w:r w:rsidRPr="00625E20">
        <w:rPr>
          <w:rStyle w:val="awspan1"/>
        </w:rPr>
        <w:t>sa</w:t>
      </w:r>
      <w:r w:rsidRPr="00625E20">
        <w:rPr>
          <w:rStyle w:val="awspan1"/>
          <w:spacing w:val="76"/>
        </w:rPr>
        <w:t xml:space="preserve"> </w:t>
      </w:r>
      <w:r w:rsidRPr="00625E20">
        <w:rPr>
          <w:rStyle w:val="awspan1"/>
        </w:rPr>
        <w:t>obsahu,</w:t>
      </w:r>
      <w:r w:rsidRPr="00625E20">
        <w:rPr>
          <w:rStyle w:val="awspan1"/>
          <w:spacing w:val="76"/>
        </w:rPr>
        <w:t xml:space="preserve"> </w:t>
      </w:r>
      <w:r w:rsidRPr="00625E20">
        <w:rPr>
          <w:rStyle w:val="awspan1"/>
        </w:rPr>
        <w:t>auditu</w:t>
      </w:r>
      <w:r w:rsidRPr="00625E20">
        <w:rPr>
          <w:rStyle w:val="awspan1"/>
          <w:spacing w:val="76"/>
        </w:rPr>
        <w:t xml:space="preserve"> </w:t>
      </w:r>
      <w:r w:rsidRPr="00625E20">
        <w:rPr>
          <w:rStyle w:val="awspan1"/>
        </w:rPr>
        <w:t>a zverejnenia</w:t>
      </w:r>
      <w:r w:rsidRPr="00625E20">
        <w:rPr>
          <w:rStyle w:val="awspan1"/>
          <w:spacing w:val="76"/>
        </w:rPr>
        <w:t xml:space="preserve"> </w:t>
      </w:r>
      <w:r w:rsidRPr="00625E20">
        <w:rPr>
          <w:rStyle w:val="awspan1"/>
        </w:rPr>
        <w:t>ročných</w:t>
      </w:r>
      <w:r w:rsidRPr="00625E20">
        <w:rPr>
          <w:rStyle w:val="awspan1"/>
          <w:spacing w:val="76"/>
        </w:rPr>
        <w:t xml:space="preserve"> </w:t>
      </w:r>
      <w:r w:rsidRPr="00625E20">
        <w:rPr>
          <w:rStyle w:val="awspan1"/>
        </w:rPr>
        <w:t>účtovných závierok,</w:t>
      </w:r>
      <w:r w:rsidRPr="00625E20">
        <w:rPr>
          <w:rStyle w:val="awspan1"/>
          <w:spacing w:val="1"/>
        </w:rPr>
        <w:t xml:space="preserve"> </w:t>
      </w:r>
      <w:r w:rsidRPr="00625E20">
        <w:rPr>
          <w:rStyle w:val="awspan1"/>
        </w:rPr>
        <w:t>iba</w:t>
      </w:r>
      <w:r w:rsidRPr="00625E20">
        <w:rPr>
          <w:rStyle w:val="awspan1"/>
          <w:spacing w:val="1"/>
        </w:rPr>
        <w:t xml:space="preserve"> </w:t>
      </w:r>
      <w:r w:rsidRPr="00625E20">
        <w:rPr>
          <w:rStyle w:val="awspan1"/>
        </w:rPr>
        <w:t>ak</w:t>
      </w:r>
      <w:r w:rsidRPr="00625E20">
        <w:rPr>
          <w:rStyle w:val="awspan1"/>
          <w:spacing w:val="1"/>
        </w:rPr>
        <w:t xml:space="preserve"> </w:t>
      </w:r>
      <w:r w:rsidRPr="00625E20">
        <w:rPr>
          <w:rStyle w:val="awspan1"/>
        </w:rPr>
        <w:t>sa</w:t>
      </w:r>
      <w:r w:rsidRPr="00625E20">
        <w:rPr>
          <w:rStyle w:val="awspan1"/>
          <w:spacing w:val="1"/>
        </w:rPr>
        <w:t xml:space="preserve"> </w:t>
      </w:r>
      <w:r w:rsidRPr="00625E20">
        <w:rPr>
          <w:rStyle w:val="awspan1"/>
        </w:rPr>
        <w:t>materská</w:t>
      </w:r>
      <w:r w:rsidRPr="00625E20">
        <w:rPr>
          <w:rStyle w:val="awspan1"/>
          <w:spacing w:val="1"/>
        </w:rPr>
        <w:t xml:space="preserve"> </w:t>
      </w:r>
      <w:r w:rsidRPr="00625E20">
        <w:rPr>
          <w:rStyle w:val="awspan1"/>
        </w:rPr>
        <w:t>spoločnosť</w:t>
      </w:r>
      <w:r w:rsidRPr="00625E20">
        <w:rPr>
          <w:rStyle w:val="awspan1"/>
          <w:spacing w:val="1"/>
        </w:rPr>
        <w:t xml:space="preserve"> </w:t>
      </w:r>
      <w:r w:rsidRPr="00625E20">
        <w:rPr>
          <w:rStyle w:val="awspan1"/>
        </w:rPr>
        <w:t>tiež</w:t>
      </w:r>
      <w:r w:rsidRPr="00625E20">
        <w:rPr>
          <w:rStyle w:val="awspan1"/>
          <w:spacing w:val="1"/>
        </w:rPr>
        <w:t xml:space="preserve"> </w:t>
      </w:r>
      <w:r w:rsidRPr="00625E20">
        <w:rPr>
          <w:rStyle w:val="awspan1"/>
        </w:rPr>
        <w:t>spravuje</w:t>
      </w:r>
      <w:r w:rsidRPr="00625E20">
        <w:rPr>
          <w:rStyle w:val="awspan1"/>
          <w:spacing w:val="1"/>
        </w:rPr>
        <w:t xml:space="preserve"> </w:t>
      </w:r>
      <w:r w:rsidRPr="00625E20">
        <w:rPr>
          <w:rStyle w:val="awspan1"/>
        </w:rPr>
        <w:t>právnymi</w:t>
      </w:r>
      <w:r w:rsidRPr="00625E20">
        <w:rPr>
          <w:rStyle w:val="awspan1"/>
          <w:spacing w:val="1"/>
        </w:rPr>
        <w:t xml:space="preserve"> </w:t>
      </w:r>
      <w:r w:rsidRPr="00625E20">
        <w:rPr>
          <w:rStyle w:val="awspan1"/>
        </w:rPr>
        <w:t>predpismi</w:t>
      </w:r>
      <w:r w:rsidRPr="00625E20">
        <w:rPr>
          <w:rStyle w:val="awspan1"/>
          <w:spacing w:val="1"/>
        </w:rPr>
        <w:t xml:space="preserve"> </w:t>
      </w:r>
      <w:r w:rsidRPr="00625E20">
        <w:rPr>
          <w:rStyle w:val="awspan1"/>
        </w:rPr>
        <w:t>uvedeného štátu.</w:t>
      </w:r>
    </w:p>
    <w:p w14:paraId="2E4E54E9" w14:textId="77777777" w:rsidR="00C145BC" w:rsidRPr="00625E20" w:rsidRDefault="00C145BC" w:rsidP="00C145BC">
      <w:pPr>
        <w:numPr>
          <w:ilvl w:val="0"/>
          <w:numId w:val="9"/>
        </w:numPr>
        <w:spacing w:after="120"/>
        <w:jc w:val="both"/>
        <w:rPr>
          <w:b/>
          <w:bCs/>
        </w:rPr>
      </w:pPr>
      <w:r w:rsidRPr="00625E20">
        <w:rPr>
          <w:b/>
          <w:bCs/>
        </w:rPr>
        <w:t>Záväzky Slovenskej republiky vo vzťahu k Európskej únii:</w:t>
      </w:r>
    </w:p>
    <w:p w14:paraId="0E1C2B6A" w14:textId="77777777" w:rsidR="00C145BC" w:rsidRPr="00625E20" w:rsidRDefault="00C145BC" w:rsidP="00C145BC">
      <w:pPr>
        <w:numPr>
          <w:ilvl w:val="0"/>
          <w:numId w:val="12"/>
        </w:numPr>
        <w:tabs>
          <w:tab w:val="clear" w:pos="720"/>
          <w:tab w:val="num" w:pos="426"/>
        </w:tabs>
        <w:ind w:left="425" w:hanging="425"/>
        <w:jc w:val="both"/>
        <w:rPr>
          <w:lang w:eastAsia="cs-CZ"/>
        </w:rPr>
      </w:pPr>
      <w:r w:rsidRPr="00625E20">
        <w:t>Lehota na prebratie smernice (EÚ) 2021/2101 bola určená do 22. júna 2023.</w:t>
      </w:r>
    </w:p>
    <w:p w14:paraId="69BA40E5" w14:textId="77777777" w:rsidR="00C145BC" w:rsidRPr="00625E20" w:rsidRDefault="00C145BC" w:rsidP="00C145BC">
      <w:pPr>
        <w:ind w:left="425"/>
        <w:jc w:val="both"/>
        <w:rPr>
          <w:lang w:eastAsia="cs-CZ"/>
        </w:rPr>
      </w:pPr>
      <w:r w:rsidRPr="00625E20">
        <w:t xml:space="preserve">Lehota na prebratie smernice 2014/95/EÚ </w:t>
      </w:r>
      <w:r>
        <w:t xml:space="preserve">v platnom znení </w:t>
      </w:r>
      <w:r w:rsidRPr="00625E20">
        <w:t>bola určená do 6. decembra 2016.</w:t>
      </w:r>
    </w:p>
    <w:p w14:paraId="295884A8" w14:textId="77777777" w:rsidR="00C145BC" w:rsidRPr="00625E20" w:rsidRDefault="00C145BC" w:rsidP="00C145BC">
      <w:pPr>
        <w:ind w:left="425"/>
        <w:jc w:val="both"/>
        <w:rPr>
          <w:lang w:eastAsia="cs-CZ"/>
        </w:rPr>
      </w:pPr>
      <w:r w:rsidRPr="00625E20">
        <w:t xml:space="preserve">Lehota na prebratie smernice 2013/34/EÚ </w:t>
      </w:r>
      <w:r>
        <w:t xml:space="preserve">v platnom znení </w:t>
      </w:r>
      <w:r w:rsidRPr="00625E20">
        <w:t>bola určená do 20. júla 2015.</w:t>
      </w:r>
    </w:p>
    <w:p w14:paraId="43E5F759" w14:textId="77777777" w:rsidR="00C145BC" w:rsidRDefault="00C145BC" w:rsidP="00C145BC">
      <w:pPr>
        <w:spacing w:after="240"/>
        <w:ind w:left="426"/>
        <w:jc w:val="both"/>
      </w:pPr>
      <w:r w:rsidRPr="00625E20">
        <w:t xml:space="preserve">Lehota na prebratie smernice 2004/25/ES </w:t>
      </w:r>
      <w:r>
        <w:t xml:space="preserve">v platnom znení </w:t>
      </w:r>
      <w:r w:rsidRPr="00625E20">
        <w:t>bola určená do 20. mája 2006.</w:t>
      </w:r>
    </w:p>
    <w:p w14:paraId="684EF4C2" w14:textId="77777777" w:rsidR="00C145BC" w:rsidRPr="00625E20" w:rsidRDefault="00C145BC" w:rsidP="00C145BC">
      <w:pPr>
        <w:numPr>
          <w:ilvl w:val="0"/>
          <w:numId w:val="10"/>
        </w:numPr>
        <w:tabs>
          <w:tab w:val="clear" w:pos="360"/>
          <w:tab w:val="num" w:pos="426"/>
          <w:tab w:val="num" w:pos="709"/>
        </w:tabs>
        <w:spacing w:after="120" w:line="276" w:lineRule="auto"/>
        <w:ind w:left="426" w:hanging="426"/>
        <w:jc w:val="both"/>
      </w:pPr>
      <w:r w:rsidRPr="00625E20">
        <w:t>Proti SR nebolo začaté konanie v rámci „EÚ Pilot“, ani nebol začatý postup EK ako aj  nebolo začaté konanie Súdneho dvora EÚ proti SR podľa čl. 258 až 260 Zmluvy o fungovaní Európskej únie.</w:t>
      </w:r>
    </w:p>
    <w:p w14:paraId="3810B81A" w14:textId="77777777" w:rsidR="00C145BC" w:rsidRPr="00625E20" w:rsidRDefault="00C145BC" w:rsidP="00C145BC">
      <w:pPr>
        <w:numPr>
          <w:ilvl w:val="0"/>
          <w:numId w:val="14"/>
        </w:numPr>
        <w:tabs>
          <w:tab w:val="clear" w:pos="720"/>
          <w:tab w:val="num" w:pos="426"/>
        </w:tabs>
        <w:ind w:left="425" w:hanging="425"/>
        <w:jc w:val="both"/>
        <w:rPr>
          <w:lang w:eastAsia="cs-CZ"/>
        </w:rPr>
      </w:pPr>
      <w:r w:rsidRPr="00625E20">
        <w:t xml:space="preserve">Smernica 2014/95/EÚ </w:t>
      </w:r>
      <w:r>
        <w:t xml:space="preserve">v platnom znení </w:t>
      </w:r>
      <w:r w:rsidRPr="00625E20">
        <w:t>bola prebratá do:</w:t>
      </w:r>
    </w:p>
    <w:p w14:paraId="7473A06C" w14:textId="77777777" w:rsidR="00C145BC" w:rsidRPr="00625E20" w:rsidRDefault="00C145BC" w:rsidP="00C145BC">
      <w:pPr>
        <w:pStyle w:val="Odsekzoznamu"/>
        <w:numPr>
          <w:ilvl w:val="0"/>
          <w:numId w:val="16"/>
        </w:numPr>
        <w:spacing w:after="240"/>
        <w:jc w:val="both"/>
      </w:pPr>
      <w:r w:rsidRPr="00625E20">
        <w:t xml:space="preserve">zákona č. 431/2002 Z. z. o účtovníctve v znení neskorších predpisov, </w:t>
      </w:r>
    </w:p>
    <w:p w14:paraId="12DE4D6B" w14:textId="77777777" w:rsidR="00C145BC" w:rsidRPr="00625E20" w:rsidRDefault="00C145BC" w:rsidP="00C145BC">
      <w:pPr>
        <w:pStyle w:val="Odsekzoznamu"/>
        <w:numPr>
          <w:ilvl w:val="0"/>
          <w:numId w:val="16"/>
        </w:numPr>
        <w:spacing w:after="240"/>
        <w:jc w:val="both"/>
      </w:pPr>
      <w:r w:rsidRPr="00625E20">
        <w:t>zákona č. 530/2003 Z. z. o obchodnom registri a o zmene a doplnení niektorých zákonov v znení neskorších predpisov,</w:t>
      </w:r>
    </w:p>
    <w:p w14:paraId="754CB0D9" w14:textId="77777777" w:rsidR="00C145BC" w:rsidRPr="00625E20" w:rsidRDefault="00C145BC" w:rsidP="00C145BC">
      <w:pPr>
        <w:pStyle w:val="Odsekzoznamu"/>
        <w:numPr>
          <w:ilvl w:val="0"/>
          <w:numId w:val="16"/>
        </w:numPr>
        <w:spacing w:after="120"/>
        <w:ind w:left="782" w:hanging="357"/>
        <w:jc w:val="both"/>
      </w:pPr>
      <w:r w:rsidRPr="00625E20">
        <w:t>zákona č. 513/1991 Zb. Obchodný zákonník v znení neskorších predpisov.</w:t>
      </w:r>
    </w:p>
    <w:p w14:paraId="1A2970C4" w14:textId="77777777" w:rsidR="00C145BC" w:rsidRPr="00625E20" w:rsidRDefault="00C145BC" w:rsidP="00C145BC">
      <w:pPr>
        <w:ind w:left="425"/>
        <w:jc w:val="both"/>
        <w:rPr>
          <w:lang w:eastAsia="cs-CZ"/>
        </w:rPr>
      </w:pPr>
      <w:r w:rsidRPr="00625E20">
        <w:t xml:space="preserve">Smernica 2013/34/EÚ </w:t>
      </w:r>
      <w:r>
        <w:t xml:space="preserve">v platnom znení </w:t>
      </w:r>
      <w:r w:rsidRPr="00625E20">
        <w:t>bola prebratá do:</w:t>
      </w:r>
    </w:p>
    <w:p w14:paraId="42D7D377" w14:textId="77777777" w:rsidR="00C145BC" w:rsidRPr="00625E20" w:rsidRDefault="00C145BC" w:rsidP="00C145BC">
      <w:pPr>
        <w:pStyle w:val="Odsekzoznamu"/>
        <w:numPr>
          <w:ilvl w:val="0"/>
          <w:numId w:val="16"/>
        </w:numPr>
        <w:spacing w:after="240"/>
        <w:jc w:val="both"/>
      </w:pPr>
      <w:r w:rsidRPr="00625E20">
        <w:t xml:space="preserve">zákona č. 431/2002 Z. z. o účtovníctve v znení neskorších predpisov, </w:t>
      </w:r>
    </w:p>
    <w:p w14:paraId="6CD841E9" w14:textId="77777777" w:rsidR="00C145BC" w:rsidRPr="00625E20" w:rsidRDefault="00C145BC" w:rsidP="00C145BC">
      <w:pPr>
        <w:pStyle w:val="Odsekzoznamu"/>
        <w:numPr>
          <w:ilvl w:val="0"/>
          <w:numId w:val="16"/>
        </w:numPr>
        <w:spacing w:after="240"/>
        <w:jc w:val="both"/>
        <w:rPr>
          <w:lang w:eastAsia="cs-CZ"/>
        </w:rPr>
      </w:pPr>
      <w:r w:rsidRPr="00625E20">
        <w:t>zákona č. 333/2014 Z. z., ktorým sa mení a dopĺňa zákon č. 595/2003 Z. z. o dani z príjmov v znení neskorších predpisov a ktorým sa menia a dopĺňajú niektoré zákony,</w:t>
      </w:r>
    </w:p>
    <w:p w14:paraId="3F658500" w14:textId="77777777" w:rsidR="00C145BC" w:rsidRPr="00625E20" w:rsidRDefault="00C145BC" w:rsidP="00C145BC">
      <w:pPr>
        <w:pStyle w:val="Odsekzoznamu"/>
        <w:numPr>
          <w:ilvl w:val="0"/>
          <w:numId w:val="16"/>
        </w:numPr>
        <w:spacing w:after="240"/>
        <w:jc w:val="both"/>
        <w:rPr>
          <w:lang w:eastAsia="cs-CZ"/>
        </w:rPr>
      </w:pPr>
      <w:r w:rsidRPr="00625E20">
        <w:t>zákona č. 423/2015 Z.</w:t>
      </w:r>
      <w:r>
        <w:t xml:space="preserve"> </w:t>
      </w:r>
      <w:r w:rsidRPr="00625E20">
        <w:t xml:space="preserve">z. o štatutárnom audite a o zmene a doplnení zákona č. 431/2002 Z. z. o účtovníctve v znení neskorších predpisov v znení neskorších predpisov, </w:t>
      </w:r>
    </w:p>
    <w:p w14:paraId="34AC267F" w14:textId="77777777" w:rsidR="00C145BC" w:rsidRPr="00625E20" w:rsidRDefault="00C145BC" w:rsidP="00C145BC">
      <w:pPr>
        <w:pStyle w:val="Odsekzoznamu"/>
        <w:numPr>
          <w:ilvl w:val="0"/>
          <w:numId w:val="16"/>
        </w:numPr>
        <w:spacing w:after="120"/>
        <w:ind w:left="782" w:hanging="357"/>
        <w:jc w:val="both"/>
        <w:rPr>
          <w:lang w:eastAsia="cs-CZ"/>
        </w:rPr>
      </w:pPr>
      <w:r w:rsidRPr="00625E20">
        <w:t>zákona č. 500/2001 Z. z., ktorým sa mení a dopĺňa Obchodný zákonník v znení neskorších predpisov.</w:t>
      </w:r>
    </w:p>
    <w:p w14:paraId="4B4D9347" w14:textId="77777777" w:rsidR="00C145BC" w:rsidRPr="00625E20" w:rsidRDefault="00C145BC" w:rsidP="00C145BC">
      <w:pPr>
        <w:ind w:left="425"/>
        <w:jc w:val="both"/>
      </w:pPr>
      <w:r w:rsidRPr="00625E20">
        <w:t>Smernica 2004/25/ES</w:t>
      </w:r>
      <w:r>
        <w:t xml:space="preserve"> v platnom znení </w:t>
      </w:r>
      <w:r w:rsidRPr="00625E20">
        <w:t xml:space="preserve"> bola prebratá do:</w:t>
      </w:r>
    </w:p>
    <w:p w14:paraId="7A17ED05" w14:textId="77777777" w:rsidR="00C145BC" w:rsidRPr="00625E20" w:rsidRDefault="00C145BC" w:rsidP="00C145BC">
      <w:pPr>
        <w:pStyle w:val="Odsekzoznamu"/>
        <w:numPr>
          <w:ilvl w:val="0"/>
          <w:numId w:val="16"/>
        </w:numPr>
        <w:spacing w:after="240"/>
        <w:jc w:val="both"/>
      </w:pPr>
      <w:r w:rsidRPr="00625E20">
        <w:t>zákona č. 566/2001 Z.</w:t>
      </w:r>
      <w:r>
        <w:t xml:space="preserve"> </w:t>
      </w:r>
      <w:r w:rsidRPr="00625E20">
        <w:t>z. o cenných papieroch a investičných službách a o zmene a doplnení niektorých zákonov (zákon o cenných papieroch) v znení neskorších predpisov,</w:t>
      </w:r>
    </w:p>
    <w:p w14:paraId="02ECDE0B" w14:textId="77777777" w:rsidR="00C145BC" w:rsidRDefault="00C145BC" w:rsidP="00C145BC">
      <w:pPr>
        <w:pStyle w:val="Odsekzoznamu"/>
        <w:numPr>
          <w:ilvl w:val="0"/>
          <w:numId w:val="16"/>
        </w:numPr>
        <w:spacing w:after="240"/>
        <w:jc w:val="both"/>
      </w:pPr>
      <w:r w:rsidRPr="00625E20">
        <w:t>zákona č. 431/2002 Z. z. o účtovníctve v znení neskorších predpisov</w:t>
      </w:r>
      <w:r>
        <w:t>,</w:t>
      </w:r>
    </w:p>
    <w:p w14:paraId="540EFDF9" w14:textId="77777777" w:rsidR="00C145BC" w:rsidRPr="00CD7DB4" w:rsidRDefault="00C145BC" w:rsidP="00C145BC">
      <w:pPr>
        <w:pStyle w:val="Odsekzoznamu"/>
        <w:numPr>
          <w:ilvl w:val="0"/>
          <w:numId w:val="16"/>
        </w:numPr>
        <w:spacing w:after="240"/>
        <w:jc w:val="both"/>
      </w:pPr>
      <w:r w:rsidRPr="00CD7DB4">
        <w:t>zákon</w:t>
      </w:r>
      <w:r>
        <w:t>a</w:t>
      </w:r>
      <w:r w:rsidRPr="00CD7DB4">
        <w:t xml:space="preserve"> č. 747/2004 Z. z. o dohľade nad finančným trhom a o zmene a doplnení niektorých zákonov v znení neskorších predpisov,</w:t>
      </w:r>
    </w:p>
    <w:p w14:paraId="5E321937" w14:textId="77777777" w:rsidR="00C145BC" w:rsidRPr="00CD7DB4" w:rsidRDefault="00C145BC" w:rsidP="00C145BC">
      <w:pPr>
        <w:pStyle w:val="Odsekzoznamu"/>
        <w:numPr>
          <w:ilvl w:val="0"/>
          <w:numId w:val="16"/>
        </w:numPr>
        <w:spacing w:after="240"/>
        <w:jc w:val="both"/>
      </w:pPr>
      <w:r w:rsidRPr="00CD7DB4">
        <w:t>zákon</w:t>
      </w:r>
      <w:r>
        <w:t>a</w:t>
      </w:r>
      <w:r w:rsidRPr="00CD7DB4">
        <w:t xml:space="preserve"> č. 483/2001 Z. z. o bankách a o zmene a doplnení niektorých zákonov v znení neskorších predpisov.</w:t>
      </w:r>
    </w:p>
    <w:p w14:paraId="42FE4911" w14:textId="77777777" w:rsidR="00C145BC" w:rsidRPr="00625E20" w:rsidRDefault="00C145BC" w:rsidP="00C145BC">
      <w:pPr>
        <w:pStyle w:val="Odsekzoznamu"/>
        <w:ind w:left="788"/>
        <w:contextualSpacing w:val="0"/>
        <w:jc w:val="both"/>
      </w:pPr>
      <w:r w:rsidRPr="00625E20">
        <w:t xml:space="preserve"> </w:t>
      </w:r>
    </w:p>
    <w:p w14:paraId="3045F535" w14:textId="77777777" w:rsidR="00C145BC" w:rsidRPr="00CD7DB4" w:rsidRDefault="00C145BC" w:rsidP="00C145BC">
      <w:pPr>
        <w:numPr>
          <w:ilvl w:val="0"/>
          <w:numId w:val="9"/>
        </w:numPr>
        <w:tabs>
          <w:tab w:val="num" w:pos="426"/>
          <w:tab w:val="num" w:pos="709"/>
        </w:tabs>
        <w:ind w:left="357"/>
        <w:jc w:val="both"/>
      </w:pPr>
      <w:r w:rsidRPr="00CD7DB4">
        <w:rPr>
          <w:b/>
          <w:bCs/>
        </w:rPr>
        <w:t>Návrh zákona je zlučiteľný s právom Európskej únie:</w:t>
      </w:r>
    </w:p>
    <w:p w14:paraId="06DCB88A" w14:textId="77777777" w:rsidR="00C145BC" w:rsidRPr="00CD7DB4" w:rsidRDefault="00C145BC" w:rsidP="00C145BC">
      <w:pPr>
        <w:tabs>
          <w:tab w:val="num" w:pos="709"/>
        </w:tabs>
        <w:spacing w:before="120"/>
        <w:ind w:left="357"/>
        <w:jc w:val="both"/>
      </w:pPr>
      <w:r w:rsidRPr="00CD7DB4">
        <w:t>Úplne.</w:t>
      </w:r>
    </w:p>
    <w:p w14:paraId="3972B955" w14:textId="77777777" w:rsidR="00861281" w:rsidRDefault="00861281"/>
    <w:p w14:paraId="23747F5D" w14:textId="4A002F7B" w:rsidR="00607CBE" w:rsidRDefault="00607CBE">
      <w:pPr>
        <w:spacing w:after="160" w:line="259" w:lineRule="auto"/>
      </w:pPr>
      <w:r>
        <w:br w:type="page"/>
      </w:r>
    </w:p>
    <w:p w14:paraId="6606B344" w14:textId="77777777" w:rsidR="00C145BC" w:rsidRPr="00607CBE" w:rsidRDefault="00C145BC" w:rsidP="00C145BC">
      <w:pPr>
        <w:jc w:val="both"/>
        <w:rPr>
          <w:rStyle w:val="Zstupntext"/>
          <w:b/>
          <w:color w:val="auto"/>
        </w:rPr>
      </w:pPr>
      <w:r w:rsidRPr="00607CBE">
        <w:rPr>
          <w:rStyle w:val="Zstupntext"/>
          <w:b/>
          <w:color w:val="auto"/>
        </w:rPr>
        <w:lastRenderedPageBreak/>
        <w:t>B. Osobitná časť</w:t>
      </w:r>
    </w:p>
    <w:p w14:paraId="2A183150" w14:textId="77777777" w:rsidR="00C145BC" w:rsidRPr="00607CBE" w:rsidRDefault="00C145BC" w:rsidP="00C145BC">
      <w:pPr>
        <w:jc w:val="both"/>
        <w:rPr>
          <w:rStyle w:val="Zstupntext"/>
          <w:b/>
          <w:color w:val="auto"/>
        </w:rPr>
      </w:pPr>
      <w:r w:rsidRPr="00607CBE">
        <w:rPr>
          <w:rStyle w:val="Zstupntext"/>
          <w:b/>
          <w:color w:val="auto"/>
        </w:rPr>
        <w:t xml:space="preserve">K čl. I </w:t>
      </w:r>
      <w:r w:rsidRPr="00607CBE">
        <w:rPr>
          <w:rStyle w:val="Zstupntext"/>
          <w:color w:val="auto"/>
        </w:rPr>
        <w:t>(zákon č. 431/2002 Z. z.)</w:t>
      </w:r>
    </w:p>
    <w:p w14:paraId="7D289C55" w14:textId="77777777" w:rsidR="00C145BC" w:rsidRPr="00607CBE" w:rsidRDefault="00C145BC" w:rsidP="00C145BC">
      <w:pPr>
        <w:jc w:val="both"/>
        <w:rPr>
          <w:rStyle w:val="Zstupntext"/>
          <w:b/>
          <w:color w:val="auto"/>
        </w:rPr>
      </w:pPr>
    </w:p>
    <w:p w14:paraId="1A0253A8" w14:textId="77777777" w:rsidR="00C145BC" w:rsidRPr="00607CBE" w:rsidRDefault="00C145BC" w:rsidP="00C145BC">
      <w:pPr>
        <w:jc w:val="both"/>
        <w:rPr>
          <w:rStyle w:val="Zstupntext"/>
          <w:b/>
          <w:color w:val="auto"/>
        </w:rPr>
      </w:pPr>
      <w:r w:rsidRPr="00607CBE">
        <w:rPr>
          <w:rStyle w:val="Zstupntext"/>
          <w:b/>
          <w:color w:val="auto"/>
        </w:rPr>
        <w:t xml:space="preserve">K bodom 1, 7 a 15 </w:t>
      </w:r>
      <w:r w:rsidRPr="00607CBE">
        <w:rPr>
          <w:rStyle w:val="Zstupntext"/>
          <w:color w:val="auto"/>
        </w:rPr>
        <w:t xml:space="preserve"> (§ 2 ods. 14, § 20 ods. 7 písm. a), § 22 ods. 11)</w:t>
      </w:r>
    </w:p>
    <w:p w14:paraId="6650015C" w14:textId="77777777" w:rsidR="00C145BC" w:rsidRPr="00607CBE" w:rsidRDefault="00C145BC" w:rsidP="00C145BC">
      <w:pPr>
        <w:pStyle w:val="Odsekzoznamu"/>
        <w:tabs>
          <w:tab w:val="left" w:pos="1134"/>
        </w:tabs>
        <w:ind w:left="0"/>
        <w:contextualSpacing w:val="0"/>
        <w:jc w:val="both"/>
        <w:rPr>
          <w:rStyle w:val="Zstupntext"/>
          <w:color w:val="auto"/>
        </w:rPr>
      </w:pPr>
      <w:r w:rsidRPr="00607CBE">
        <w:rPr>
          <w:rStyle w:val="Zstupntext"/>
          <w:color w:val="auto"/>
        </w:rPr>
        <w:t xml:space="preserve">Upravuje sa obsah legislatívnej skratky s cieľom zjednotenia uvádzania daného pojmu v celom zákone. </w:t>
      </w:r>
    </w:p>
    <w:p w14:paraId="26512281" w14:textId="77777777" w:rsidR="00C145BC" w:rsidRPr="00607CBE" w:rsidRDefault="00C145BC" w:rsidP="00C145BC">
      <w:pPr>
        <w:pStyle w:val="Odsekzoznamu"/>
        <w:tabs>
          <w:tab w:val="left" w:pos="1134"/>
        </w:tabs>
        <w:ind w:left="0"/>
        <w:contextualSpacing w:val="0"/>
        <w:jc w:val="both"/>
        <w:rPr>
          <w:rStyle w:val="Zstupntext"/>
          <w:color w:val="auto"/>
        </w:rPr>
      </w:pPr>
    </w:p>
    <w:p w14:paraId="11A580EA" w14:textId="77777777" w:rsidR="00C145BC" w:rsidRPr="00607CBE" w:rsidRDefault="00C145BC" w:rsidP="00C145BC">
      <w:pPr>
        <w:pStyle w:val="Odsekzoznamu"/>
        <w:tabs>
          <w:tab w:val="left" w:pos="1134"/>
        </w:tabs>
        <w:ind w:left="0"/>
        <w:contextualSpacing w:val="0"/>
        <w:jc w:val="both"/>
        <w:rPr>
          <w:rStyle w:val="Zstupntext"/>
          <w:color w:val="auto"/>
        </w:rPr>
      </w:pPr>
      <w:r w:rsidRPr="00607CBE">
        <w:rPr>
          <w:rStyle w:val="Zstupntext"/>
          <w:b/>
          <w:color w:val="auto"/>
        </w:rPr>
        <w:t xml:space="preserve">K bodom 2, 17 a 19 </w:t>
      </w:r>
      <w:r w:rsidRPr="00607CBE">
        <w:rPr>
          <w:rStyle w:val="Zstupntext"/>
          <w:color w:val="auto"/>
        </w:rPr>
        <w:t>(§ 17 ods. 5, § 22a ods. 3, § 23a ods. 3)</w:t>
      </w:r>
    </w:p>
    <w:p w14:paraId="154F4084" w14:textId="77777777" w:rsidR="00C145BC" w:rsidRPr="00607CBE" w:rsidRDefault="00C145BC" w:rsidP="00C145BC">
      <w:pPr>
        <w:pStyle w:val="Odsekzoznamu"/>
        <w:tabs>
          <w:tab w:val="left" w:pos="1134"/>
        </w:tabs>
        <w:ind w:left="0"/>
        <w:contextualSpacing w:val="0"/>
        <w:jc w:val="both"/>
        <w:rPr>
          <w:rStyle w:val="Zstupntext"/>
          <w:color w:val="auto"/>
        </w:rPr>
      </w:pPr>
      <w:r w:rsidRPr="00607CBE">
        <w:rPr>
          <w:rStyle w:val="Zstupntext"/>
          <w:color w:val="auto"/>
        </w:rPr>
        <w:t xml:space="preserve">Aplikačná prax pri zostavovaní súhrnnej účtovnej závierky, ktorej súhrnný celok predstavuje viac ako 8 000 účtovných jednotiek ukázala, že je potrebný primeraný čas na spracovanie údajov na nižších úrovniach konsolidácie. Zostavenie súhrnnej účtovnej závierky v rámci deviatich mesiacov bude zároveň v časovom súlade so spracovaním druhého kola notifikácie štatistických údajov pre Európsky štatistický úrad tzv. EDP notifikáciu.  </w:t>
      </w:r>
    </w:p>
    <w:p w14:paraId="1C6AC193" w14:textId="77777777" w:rsidR="00C145BC" w:rsidRPr="00607CBE" w:rsidRDefault="00C145BC" w:rsidP="00C145BC">
      <w:pPr>
        <w:pStyle w:val="Odsekzoznamu"/>
        <w:tabs>
          <w:tab w:val="left" w:pos="1134"/>
        </w:tabs>
        <w:ind w:left="0"/>
        <w:contextualSpacing w:val="0"/>
        <w:jc w:val="both"/>
        <w:rPr>
          <w:rStyle w:val="Zstupntext"/>
          <w:color w:val="auto"/>
        </w:rPr>
      </w:pPr>
    </w:p>
    <w:p w14:paraId="4690F207" w14:textId="77777777" w:rsidR="00C145BC" w:rsidRPr="00607CBE" w:rsidRDefault="00C145BC" w:rsidP="00C145BC">
      <w:pPr>
        <w:jc w:val="both"/>
        <w:rPr>
          <w:rStyle w:val="Zstupntext"/>
          <w:color w:val="auto"/>
        </w:rPr>
      </w:pPr>
      <w:r w:rsidRPr="00607CBE">
        <w:rPr>
          <w:rStyle w:val="Zstupntext"/>
          <w:b/>
          <w:color w:val="auto"/>
        </w:rPr>
        <w:t>K bodu 3</w:t>
      </w:r>
      <w:r w:rsidRPr="00607CBE">
        <w:rPr>
          <w:rStyle w:val="Zstupntext"/>
          <w:color w:val="auto"/>
        </w:rPr>
        <w:t> (§ 19 ods. 4)</w:t>
      </w:r>
    </w:p>
    <w:p w14:paraId="41A1D747" w14:textId="77777777" w:rsidR="00C145BC" w:rsidRPr="00607CBE" w:rsidRDefault="00C145BC" w:rsidP="00C145BC">
      <w:pPr>
        <w:tabs>
          <w:tab w:val="left" w:pos="1134"/>
        </w:tabs>
        <w:jc w:val="both"/>
        <w:rPr>
          <w:bCs/>
        </w:rPr>
      </w:pPr>
      <w:r w:rsidRPr="00607CBE">
        <w:rPr>
          <w:rStyle w:val="Zstupntext"/>
          <w:color w:val="auto"/>
        </w:rPr>
        <w:t xml:space="preserve">V nadväznosti na požiadavku smernice Európskeho parlamentu a Rady </w:t>
      </w:r>
      <w:r w:rsidRPr="00607CBE">
        <w:rPr>
          <w:bCs/>
        </w:rPr>
        <w:t>(EÚ) 2021/2101</w:t>
      </w:r>
      <w:r w:rsidRPr="00607CBE">
        <w:rPr>
          <w:bCs/>
        </w:rPr>
        <w:br/>
        <w:t>z 24. novembra 2021, ktorou sa mení smernica 2013/34/EÚ, pokiaľ ide o zverejňovanie informácií o dani z príjmov určitými podnikmi a pobočkami (Ú. v. EÚ L 429, 1.12.2021)  sa s cieľom zabezpečiť informovanie verejnosti o dodržiavaní ustanovení upravujúcich ukladanie správy s informáciami o dani z príjmov ustanovuje nová povinnosť pre štatutárneho audítora resp. audítorskú spoločnosť.</w:t>
      </w:r>
    </w:p>
    <w:p w14:paraId="78CC855F" w14:textId="77777777" w:rsidR="00C145BC" w:rsidRPr="00607CBE" w:rsidRDefault="00C145BC" w:rsidP="00C145BC">
      <w:pPr>
        <w:tabs>
          <w:tab w:val="left" w:pos="1134"/>
        </w:tabs>
        <w:jc w:val="both"/>
        <w:rPr>
          <w:bCs/>
        </w:rPr>
      </w:pPr>
    </w:p>
    <w:p w14:paraId="592591C2" w14:textId="77777777" w:rsidR="00C145BC" w:rsidRPr="00607CBE" w:rsidRDefault="00C145BC" w:rsidP="00C145BC">
      <w:pPr>
        <w:jc w:val="both"/>
        <w:rPr>
          <w:rStyle w:val="Zstupntext"/>
          <w:color w:val="auto"/>
        </w:rPr>
      </w:pPr>
      <w:r w:rsidRPr="00607CBE">
        <w:rPr>
          <w:rStyle w:val="Zstupntext"/>
          <w:b/>
          <w:color w:val="auto"/>
        </w:rPr>
        <w:t xml:space="preserve">K bodu 4 </w:t>
      </w:r>
      <w:r w:rsidRPr="00607CBE">
        <w:rPr>
          <w:rStyle w:val="Zstupntext"/>
          <w:color w:val="auto"/>
        </w:rPr>
        <w:t>(§ 20 ods. 2)</w:t>
      </w:r>
    </w:p>
    <w:p w14:paraId="1155B03F" w14:textId="77777777" w:rsidR="00C145BC" w:rsidRPr="00607CBE" w:rsidRDefault="00C145BC" w:rsidP="00C145BC">
      <w:pPr>
        <w:pStyle w:val="Odsekzoznamu"/>
        <w:tabs>
          <w:tab w:val="left" w:pos="993"/>
        </w:tabs>
        <w:ind w:left="0"/>
        <w:jc w:val="both"/>
        <w:rPr>
          <w:rStyle w:val="Zstupntext"/>
          <w:color w:val="auto"/>
        </w:rPr>
      </w:pPr>
      <w:r w:rsidRPr="00607CBE">
        <w:rPr>
          <w:rStyle w:val="Zstupntext"/>
          <w:color w:val="auto"/>
        </w:rPr>
        <w:t>Ide o legislatívno-technickú úpravu v nadväznosti na úpravu v bode 9.</w:t>
      </w:r>
    </w:p>
    <w:p w14:paraId="1F572287" w14:textId="77777777" w:rsidR="00C145BC" w:rsidRPr="00607CBE" w:rsidRDefault="00C145BC" w:rsidP="00C145BC">
      <w:pPr>
        <w:jc w:val="both"/>
        <w:rPr>
          <w:rStyle w:val="Zstupntext"/>
          <w:b/>
          <w:color w:val="auto"/>
        </w:rPr>
      </w:pPr>
    </w:p>
    <w:p w14:paraId="6CD44D03" w14:textId="77777777" w:rsidR="00C145BC" w:rsidRPr="00607CBE" w:rsidRDefault="00C145BC" w:rsidP="00C145BC">
      <w:pPr>
        <w:jc w:val="both"/>
        <w:rPr>
          <w:rStyle w:val="Zstupntext"/>
          <w:color w:val="auto"/>
        </w:rPr>
      </w:pPr>
      <w:r w:rsidRPr="00607CBE">
        <w:rPr>
          <w:rStyle w:val="Zstupntext"/>
          <w:b/>
          <w:color w:val="auto"/>
        </w:rPr>
        <w:t>K bodu 5</w:t>
      </w:r>
      <w:r w:rsidRPr="00607CBE">
        <w:rPr>
          <w:rStyle w:val="Zstupntext"/>
          <w:color w:val="auto"/>
        </w:rPr>
        <w:t> (§ 20 ods. 3 písm. e)</w:t>
      </w:r>
    </w:p>
    <w:p w14:paraId="279B603B" w14:textId="77777777" w:rsidR="00C145BC" w:rsidRPr="00607CBE" w:rsidRDefault="00C145BC" w:rsidP="00C145BC">
      <w:pPr>
        <w:tabs>
          <w:tab w:val="left" w:pos="1134"/>
        </w:tabs>
        <w:contextualSpacing/>
        <w:jc w:val="both"/>
        <w:rPr>
          <w:rStyle w:val="Zstupntext"/>
          <w:color w:val="auto"/>
        </w:rPr>
      </w:pPr>
      <w:r w:rsidRPr="00607CBE">
        <w:rPr>
          <w:rStyle w:val="Zstupntext"/>
          <w:color w:val="auto"/>
        </w:rPr>
        <w:t>Upresnenie textu v nadväznosti na čl. 34 smernice 2013/34/EÚ v platnom znení.</w:t>
      </w:r>
    </w:p>
    <w:p w14:paraId="0EC77FE5" w14:textId="77777777" w:rsidR="00C145BC" w:rsidRPr="00607CBE" w:rsidRDefault="00C145BC" w:rsidP="00C145BC">
      <w:pPr>
        <w:tabs>
          <w:tab w:val="left" w:pos="1134"/>
        </w:tabs>
        <w:jc w:val="both"/>
        <w:rPr>
          <w:rStyle w:val="Zstupntext"/>
          <w:b/>
          <w:color w:val="auto"/>
        </w:rPr>
      </w:pPr>
    </w:p>
    <w:p w14:paraId="16821A1C" w14:textId="77777777" w:rsidR="00C145BC" w:rsidRPr="00607CBE" w:rsidRDefault="00C145BC" w:rsidP="00C145BC">
      <w:pPr>
        <w:tabs>
          <w:tab w:val="left" w:pos="1134"/>
        </w:tabs>
        <w:jc w:val="both"/>
        <w:rPr>
          <w:rStyle w:val="Zstupntext"/>
          <w:color w:val="auto"/>
        </w:rPr>
      </w:pPr>
      <w:r w:rsidRPr="00607CBE">
        <w:rPr>
          <w:rStyle w:val="Zstupntext"/>
          <w:b/>
          <w:color w:val="auto"/>
        </w:rPr>
        <w:t>K bodu 6  </w:t>
      </w:r>
      <w:r w:rsidRPr="00607CBE">
        <w:rPr>
          <w:rStyle w:val="Zstupntext"/>
          <w:color w:val="auto"/>
        </w:rPr>
        <w:t>(§ 20 ods. 7)</w:t>
      </w:r>
    </w:p>
    <w:p w14:paraId="18305434" w14:textId="7F84BAE7" w:rsidR="00C145BC" w:rsidRPr="00607CBE" w:rsidRDefault="00C145BC" w:rsidP="00C145BC">
      <w:pPr>
        <w:pStyle w:val="Odsekzoznamu"/>
        <w:ind w:left="0"/>
        <w:jc w:val="both"/>
        <w:rPr>
          <w:rStyle w:val="Zstupntext"/>
          <w:color w:val="auto"/>
        </w:rPr>
      </w:pPr>
      <w:r w:rsidRPr="00607CBE">
        <w:rPr>
          <w:rStyle w:val="Zstupntext"/>
          <w:color w:val="auto"/>
        </w:rPr>
        <w:t xml:space="preserve">V súlade so smernicou </w:t>
      </w:r>
      <w:r w:rsidRPr="00607CBE">
        <w:t>Európskeho parlamentu a Rady</w:t>
      </w:r>
      <w:r w:rsidRPr="00607CBE">
        <w:rPr>
          <w:rStyle w:val="Zstupntext"/>
          <w:color w:val="auto"/>
        </w:rPr>
        <w:t xml:space="preserve"> 2004/25/ES </w:t>
      </w:r>
      <w:r w:rsidRPr="00607CBE">
        <w:t xml:space="preserve">z 21. apríla 2004 </w:t>
      </w:r>
      <w:r w:rsidRPr="00607CBE">
        <w:rPr>
          <w:rStyle w:val="Zstupntext"/>
          <w:color w:val="auto"/>
        </w:rPr>
        <w:t>o ponukách na prevzatie</w:t>
      </w:r>
      <w:r w:rsidRPr="00607CBE">
        <w:t xml:space="preserve"> (Ú. v. ES L 142, 30.4.2004;  Mimoriadne vydanie Ú. v. EÚ</w:t>
      </w:r>
      <w:r w:rsidR="009A0A03">
        <w:t xml:space="preserve"> </w:t>
      </w:r>
      <w:r w:rsidRPr="00607CBE">
        <w:t>kap. 17/zv. 2) v platnom znení</w:t>
      </w:r>
      <w:r w:rsidRPr="00607CBE">
        <w:rPr>
          <w:rStyle w:val="Zstupntext"/>
          <w:color w:val="auto"/>
        </w:rPr>
        <w:t xml:space="preserve"> sa spresňuje, že informačné povinnosti vo výročnej správe sa vzťahujú len na  účtovné jednotky, ktoré emitovali cenné papiere, pričom tieto sú prijaté na obchodovanie na regulovanom trhu členského štátu a týka sa ich ponuka na prevzatie. </w:t>
      </w:r>
    </w:p>
    <w:p w14:paraId="111B12EE" w14:textId="77777777" w:rsidR="00C145BC" w:rsidRPr="00607CBE" w:rsidRDefault="00C145BC" w:rsidP="00C145BC">
      <w:pPr>
        <w:pStyle w:val="Odsekzoznamu"/>
        <w:ind w:left="0"/>
        <w:jc w:val="both"/>
        <w:rPr>
          <w:rStyle w:val="Zstupntext"/>
          <w:color w:val="auto"/>
        </w:rPr>
      </w:pPr>
    </w:p>
    <w:p w14:paraId="56B1E53D" w14:textId="77777777" w:rsidR="00C145BC" w:rsidRPr="00607CBE" w:rsidRDefault="00C145BC" w:rsidP="00C145BC">
      <w:pPr>
        <w:tabs>
          <w:tab w:val="left" w:pos="1134"/>
        </w:tabs>
        <w:jc w:val="both"/>
        <w:rPr>
          <w:rStyle w:val="Zstupntext"/>
          <w:color w:val="auto"/>
        </w:rPr>
      </w:pPr>
      <w:r w:rsidRPr="00607CBE">
        <w:rPr>
          <w:rStyle w:val="Zstupntext"/>
          <w:b/>
          <w:color w:val="auto"/>
        </w:rPr>
        <w:t>K bodu 8</w:t>
      </w:r>
    </w:p>
    <w:p w14:paraId="01B43885" w14:textId="77777777" w:rsidR="00C145BC" w:rsidRPr="00607CBE" w:rsidRDefault="00C145BC" w:rsidP="00C145BC">
      <w:pPr>
        <w:pStyle w:val="Odsekzoznamu"/>
        <w:ind w:left="0"/>
        <w:jc w:val="both"/>
        <w:rPr>
          <w:rStyle w:val="Zstupntext"/>
          <w:color w:val="auto"/>
        </w:rPr>
      </w:pPr>
      <w:r w:rsidRPr="00607CBE">
        <w:rPr>
          <w:rStyle w:val="Zstupntext"/>
          <w:color w:val="auto"/>
        </w:rPr>
        <w:t xml:space="preserve">§ 20 ods. 8 </w:t>
      </w:r>
    </w:p>
    <w:p w14:paraId="79E8F43F" w14:textId="77777777" w:rsidR="00C145BC" w:rsidRPr="00607CBE" w:rsidRDefault="00C145BC" w:rsidP="00C145BC">
      <w:pPr>
        <w:pStyle w:val="Odsekzoznamu"/>
        <w:ind w:left="0"/>
        <w:jc w:val="both"/>
        <w:rPr>
          <w:rStyle w:val="Zstupntext"/>
          <w:color w:val="auto"/>
        </w:rPr>
      </w:pPr>
      <w:r w:rsidRPr="00607CBE">
        <w:rPr>
          <w:rStyle w:val="Zstupntext"/>
          <w:color w:val="auto"/>
        </w:rPr>
        <w:t>V súvislosti s úpravou v bode 6 sa tiež spresňuje obsah vysvetľujúcej správy.</w:t>
      </w:r>
    </w:p>
    <w:p w14:paraId="78EEFBFD" w14:textId="77777777" w:rsidR="00C145BC" w:rsidRPr="00607CBE" w:rsidRDefault="00C145BC" w:rsidP="00C145BC">
      <w:pPr>
        <w:pStyle w:val="Odsekzoznamu"/>
        <w:ind w:left="0"/>
        <w:jc w:val="both"/>
        <w:rPr>
          <w:rStyle w:val="Zstupntext"/>
          <w:color w:val="auto"/>
        </w:rPr>
      </w:pPr>
    </w:p>
    <w:p w14:paraId="0346076F" w14:textId="77777777" w:rsidR="00C145BC" w:rsidRPr="00607CBE" w:rsidRDefault="00C145BC" w:rsidP="00C145BC">
      <w:pPr>
        <w:pStyle w:val="Odsekzoznamu"/>
        <w:ind w:left="0"/>
        <w:jc w:val="both"/>
        <w:rPr>
          <w:rStyle w:val="Zstupntext"/>
          <w:color w:val="auto"/>
        </w:rPr>
      </w:pPr>
      <w:r w:rsidRPr="00607CBE">
        <w:rPr>
          <w:rStyle w:val="Zstupntext"/>
          <w:color w:val="auto"/>
        </w:rPr>
        <w:t>§ 20 ods. 9</w:t>
      </w:r>
    </w:p>
    <w:p w14:paraId="3097DDCE" w14:textId="77777777" w:rsidR="00C145BC" w:rsidRPr="00607CBE" w:rsidRDefault="00C145BC" w:rsidP="00C145BC">
      <w:pPr>
        <w:pStyle w:val="Odsekzoznamu"/>
        <w:tabs>
          <w:tab w:val="left" w:pos="1134"/>
        </w:tabs>
        <w:spacing w:after="120"/>
        <w:ind w:left="0"/>
        <w:jc w:val="both"/>
        <w:rPr>
          <w:rStyle w:val="Zstupntext"/>
          <w:color w:val="auto"/>
        </w:rPr>
      </w:pPr>
      <w:r w:rsidRPr="00607CBE">
        <w:rPr>
          <w:rStyle w:val="Zstupntext"/>
          <w:color w:val="auto"/>
        </w:rPr>
        <w:t>V nadväznosti na smernicu 2014/95/EÚ v platnom znení, ktorá upravuje povinnosť pre subjekty verejného záujmu s počtom zamestnancov vyšším ako 500 uvádzať vo výročnej správe aj nefinančné informácie o vývoji, konaní, pozícii a o vplyve činnosti účtovnej jednotky na environmentálnu, sociálnu a zamestnaneckú oblasť, informáciu o dodržiavaní ľudských práv a informáciu o boji proti korupcii a úplatkárstvu, sa doplňujú veľkostné podmienky, za akých je subjekt verejného záujmu povinný túto povinnosť splniť.</w:t>
      </w:r>
    </w:p>
    <w:p w14:paraId="4D24EF52" w14:textId="77777777" w:rsidR="00C145BC" w:rsidRPr="00607CBE" w:rsidRDefault="00C145BC" w:rsidP="00C145BC">
      <w:pPr>
        <w:pStyle w:val="Odsekzoznamu"/>
        <w:ind w:left="0"/>
        <w:jc w:val="both"/>
        <w:rPr>
          <w:rStyle w:val="Zstupntext"/>
          <w:color w:val="auto"/>
        </w:rPr>
      </w:pPr>
    </w:p>
    <w:p w14:paraId="1CFDF236" w14:textId="77777777" w:rsidR="00C145BC" w:rsidRPr="00607CBE" w:rsidRDefault="00C145BC" w:rsidP="00C145BC">
      <w:pPr>
        <w:tabs>
          <w:tab w:val="left" w:pos="1134"/>
        </w:tabs>
        <w:jc w:val="both"/>
        <w:rPr>
          <w:rStyle w:val="Zstupntext"/>
          <w:color w:val="auto"/>
        </w:rPr>
      </w:pPr>
      <w:r w:rsidRPr="00607CBE">
        <w:rPr>
          <w:rStyle w:val="Zstupntext"/>
          <w:b/>
          <w:color w:val="auto"/>
        </w:rPr>
        <w:t>K bodu 9 </w:t>
      </w:r>
      <w:r w:rsidRPr="00607CBE">
        <w:rPr>
          <w:rStyle w:val="Zstupntext"/>
          <w:color w:val="auto"/>
        </w:rPr>
        <w:t>(§ 20 ods. 10)</w:t>
      </w:r>
    </w:p>
    <w:p w14:paraId="5541B7CA" w14:textId="77777777" w:rsidR="00C145BC" w:rsidRPr="00607CBE" w:rsidRDefault="00C145BC" w:rsidP="00C145BC">
      <w:pPr>
        <w:tabs>
          <w:tab w:val="left" w:pos="1134"/>
        </w:tabs>
        <w:jc w:val="both"/>
        <w:rPr>
          <w:rStyle w:val="Zstupntext"/>
          <w:color w:val="auto"/>
        </w:rPr>
      </w:pPr>
      <w:r w:rsidRPr="00607CBE">
        <w:rPr>
          <w:rStyle w:val="Zstupntext"/>
          <w:color w:val="auto"/>
        </w:rPr>
        <w:t>Legislatívno-technická úprava v nadväznosti na bod 8.</w:t>
      </w:r>
    </w:p>
    <w:p w14:paraId="5534A6BC" w14:textId="77777777" w:rsidR="00C145BC" w:rsidRPr="00607CBE" w:rsidRDefault="00C145BC" w:rsidP="00C145BC">
      <w:pPr>
        <w:pStyle w:val="Odsekzoznamu"/>
        <w:spacing w:line="256" w:lineRule="auto"/>
        <w:ind w:left="0"/>
        <w:jc w:val="both"/>
        <w:rPr>
          <w:rStyle w:val="Zstupntext"/>
          <w:b/>
          <w:color w:val="auto"/>
        </w:rPr>
      </w:pPr>
    </w:p>
    <w:p w14:paraId="22BBBE51" w14:textId="77777777" w:rsidR="00607CBE" w:rsidRDefault="00607CBE" w:rsidP="00C145BC">
      <w:pPr>
        <w:pStyle w:val="Odsekzoznamu"/>
        <w:ind w:left="0"/>
        <w:jc w:val="both"/>
        <w:rPr>
          <w:rStyle w:val="Zstupntext"/>
          <w:b/>
          <w:color w:val="auto"/>
        </w:rPr>
      </w:pPr>
    </w:p>
    <w:p w14:paraId="178100B9" w14:textId="77777777" w:rsidR="00607CBE" w:rsidRDefault="00607CBE" w:rsidP="00C145BC">
      <w:pPr>
        <w:pStyle w:val="Odsekzoznamu"/>
        <w:ind w:left="0"/>
        <w:jc w:val="both"/>
        <w:rPr>
          <w:rStyle w:val="Zstupntext"/>
          <w:b/>
          <w:color w:val="auto"/>
        </w:rPr>
      </w:pPr>
    </w:p>
    <w:p w14:paraId="5FED58C8" w14:textId="77777777" w:rsidR="00C145BC" w:rsidRPr="00607CBE" w:rsidRDefault="00C145BC" w:rsidP="00C145BC">
      <w:pPr>
        <w:pStyle w:val="Odsekzoznamu"/>
        <w:ind w:left="0"/>
        <w:jc w:val="both"/>
        <w:rPr>
          <w:rStyle w:val="Zstupntext"/>
          <w:color w:val="auto"/>
        </w:rPr>
      </w:pPr>
      <w:r w:rsidRPr="00607CBE">
        <w:rPr>
          <w:rStyle w:val="Zstupntext"/>
          <w:b/>
          <w:color w:val="auto"/>
        </w:rPr>
        <w:lastRenderedPageBreak/>
        <w:t xml:space="preserve">K bodu 10 </w:t>
      </w:r>
      <w:r w:rsidRPr="00607CBE">
        <w:rPr>
          <w:rStyle w:val="Zstupntext"/>
          <w:color w:val="auto"/>
        </w:rPr>
        <w:t>(§ 20 ods. 11 až 13 a 16)</w:t>
      </w:r>
    </w:p>
    <w:p w14:paraId="2F73CC5F" w14:textId="77777777" w:rsidR="00C145BC" w:rsidRPr="00607CBE" w:rsidRDefault="00C145BC" w:rsidP="00C145BC">
      <w:pPr>
        <w:jc w:val="both"/>
        <w:rPr>
          <w:rStyle w:val="Zstupntext"/>
          <w:color w:val="auto"/>
        </w:rPr>
      </w:pPr>
      <w:r w:rsidRPr="00607CBE">
        <w:rPr>
          <w:rStyle w:val="Zstupntext"/>
          <w:color w:val="auto"/>
        </w:rPr>
        <w:t xml:space="preserve">Ide o legislatívno-technickú úpravu vzhľadom na rozšírenie požiadaviek upravených v </w:t>
      </w:r>
      <w:r w:rsidRPr="00607CBE">
        <w:rPr>
          <w:rStyle w:val="Zstupntext"/>
          <w:color w:val="auto"/>
        </w:rPr>
        <w:br/>
        <w:t>§ 20 ods. 9 a 10.</w:t>
      </w:r>
    </w:p>
    <w:p w14:paraId="08741894" w14:textId="77777777" w:rsidR="00C145BC" w:rsidRPr="00607CBE" w:rsidRDefault="00C145BC" w:rsidP="00C145BC">
      <w:pPr>
        <w:jc w:val="both"/>
        <w:rPr>
          <w:rStyle w:val="Zstupntext"/>
          <w:b/>
          <w:color w:val="auto"/>
        </w:rPr>
      </w:pPr>
    </w:p>
    <w:p w14:paraId="68DFA4DA" w14:textId="77777777" w:rsidR="00C145BC" w:rsidRPr="00607CBE" w:rsidRDefault="00C145BC" w:rsidP="00C145BC">
      <w:pPr>
        <w:jc w:val="both"/>
        <w:rPr>
          <w:rStyle w:val="Zstupntext"/>
          <w:color w:val="auto"/>
        </w:rPr>
      </w:pPr>
      <w:r w:rsidRPr="00607CBE">
        <w:rPr>
          <w:rStyle w:val="Zstupntext"/>
          <w:b/>
          <w:color w:val="auto"/>
        </w:rPr>
        <w:t>K bodu 11</w:t>
      </w:r>
      <w:r w:rsidRPr="00607CBE">
        <w:rPr>
          <w:rStyle w:val="Zstupntext"/>
          <w:color w:val="auto"/>
        </w:rPr>
        <w:t xml:space="preserve"> (§ 20 ods. 14)</w:t>
      </w:r>
    </w:p>
    <w:p w14:paraId="66C43D26" w14:textId="77777777" w:rsidR="00C145BC" w:rsidRPr="00607CBE" w:rsidRDefault="00C145BC" w:rsidP="00C145BC">
      <w:pPr>
        <w:pStyle w:val="Odsekzoznamu"/>
        <w:ind w:left="0"/>
        <w:jc w:val="both"/>
        <w:rPr>
          <w:rStyle w:val="Zstupntext"/>
          <w:color w:val="auto"/>
        </w:rPr>
      </w:pPr>
      <w:r w:rsidRPr="00607CBE">
        <w:rPr>
          <w:rStyle w:val="Zstupntext"/>
          <w:color w:val="auto"/>
        </w:rPr>
        <w:t>Doplňuje sa požiadavka splnenia podmienok za dve bezprostredne po sebe nasledujúce účtovné obdobia.</w:t>
      </w:r>
    </w:p>
    <w:p w14:paraId="116AC19C" w14:textId="77777777" w:rsidR="00C145BC" w:rsidRPr="00607CBE" w:rsidRDefault="00C145BC" w:rsidP="00C145BC">
      <w:pPr>
        <w:pStyle w:val="Odsekzoznamu"/>
        <w:ind w:left="0"/>
        <w:jc w:val="both"/>
        <w:rPr>
          <w:rStyle w:val="Zstupntext"/>
          <w:color w:val="auto"/>
        </w:rPr>
      </w:pPr>
    </w:p>
    <w:p w14:paraId="4792393D" w14:textId="77777777" w:rsidR="00C145BC" w:rsidRPr="00607CBE" w:rsidRDefault="00C145BC" w:rsidP="00C145BC">
      <w:pPr>
        <w:pStyle w:val="Odsekzoznamu"/>
        <w:ind w:left="0"/>
        <w:jc w:val="both"/>
        <w:rPr>
          <w:rStyle w:val="Zstupntext"/>
          <w:color w:val="auto"/>
        </w:rPr>
      </w:pPr>
      <w:r w:rsidRPr="00607CBE">
        <w:rPr>
          <w:rStyle w:val="Zstupntext"/>
          <w:b/>
          <w:color w:val="auto"/>
        </w:rPr>
        <w:t>K bodu 12</w:t>
      </w:r>
      <w:r w:rsidRPr="00607CBE">
        <w:rPr>
          <w:rStyle w:val="Zstupntext"/>
          <w:color w:val="auto"/>
        </w:rPr>
        <w:t xml:space="preserve"> (§ 20 ods. 15)</w:t>
      </w:r>
    </w:p>
    <w:p w14:paraId="4FAAC282" w14:textId="77777777" w:rsidR="00C145BC" w:rsidRPr="00607CBE" w:rsidRDefault="00C145BC" w:rsidP="00C145BC">
      <w:pPr>
        <w:pStyle w:val="Odsekzoznamu"/>
        <w:tabs>
          <w:tab w:val="left" w:pos="993"/>
        </w:tabs>
        <w:ind w:left="0"/>
        <w:jc w:val="both"/>
        <w:rPr>
          <w:rStyle w:val="Zstupntext"/>
          <w:color w:val="auto"/>
        </w:rPr>
      </w:pPr>
      <w:r w:rsidRPr="00607CBE">
        <w:rPr>
          <w:rStyle w:val="Zstupntext"/>
          <w:color w:val="auto"/>
        </w:rPr>
        <w:t>Ide o legislatívno-technickú úpravu v nadväznosti na úpravu v bode 9.</w:t>
      </w:r>
    </w:p>
    <w:p w14:paraId="64F4DDE6" w14:textId="77777777" w:rsidR="00C145BC" w:rsidRPr="00607CBE" w:rsidRDefault="00C145BC" w:rsidP="00C145BC">
      <w:pPr>
        <w:jc w:val="both"/>
        <w:rPr>
          <w:rStyle w:val="Zstupntext"/>
          <w:color w:val="auto"/>
        </w:rPr>
      </w:pPr>
    </w:p>
    <w:p w14:paraId="20F1B73E" w14:textId="77777777" w:rsidR="00C145BC" w:rsidRPr="00607CBE" w:rsidRDefault="00C145BC" w:rsidP="00C145BC">
      <w:pPr>
        <w:jc w:val="both"/>
        <w:rPr>
          <w:rStyle w:val="Zstupntext"/>
          <w:color w:val="auto"/>
        </w:rPr>
      </w:pPr>
      <w:r w:rsidRPr="00607CBE">
        <w:rPr>
          <w:rStyle w:val="Zstupntext"/>
          <w:b/>
          <w:color w:val="auto"/>
        </w:rPr>
        <w:t>K bodu 13</w:t>
      </w:r>
      <w:r w:rsidRPr="00607CBE">
        <w:rPr>
          <w:rStyle w:val="Zstupntext"/>
          <w:color w:val="auto"/>
        </w:rPr>
        <w:t xml:space="preserve"> (§ 20 ods. 17)</w:t>
      </w:r>
    </w:p>
    <w:p w14:paraId="740F9492" w14:textId="77777777" w:rsidR="00C145BC" w:rsidRPr="00607CBE" w:rsidRDefault="00C145BC" w:rsidP="00C145BC">
      <w:pPr>
        <w:spacing w:after="240"/>
        <w:jc w:val="both"/>
        <w:rPr>
          <w:rStyle w:val="Zstupntext"/>
          <w:color w:val="auto"/>
        </w:rPr>
      </w:pPr>
      <w:r w:rsidRPr="00607CBE">
        <w:rPr>
          <w:rStyle w:val="Zstupntext"/>
          <w:color w:val="auto"/>
        </w:rPr>
        <w:t>Legislatívno-technická úprava v nadväznosti na bod 3 návrhu.</w:t>
      </w:r>
    </w:p>
    <w:p w14:paraId="14C39715" w14:textId="77777777" w:rsidR="00C145BC" w:rsidRPr="00607CBE" w:rsidRDefault="00C145BC" w:rsidP="00C145BC">
      <w:pPr>
        <w:spacing w:before="120"/>
        <w:jc w:val="both"/>
        <w:rPr>
          <w:rStyle w:val="Zstupntext"/>
          <w:color w:val="auto"/>
        </w:rPr>
      </w:pPr>
      <w:r w:rsidRPr="00607CBE">
        <w:rPr>
          <w:rStyle w:val="Zstupntext"/>
          <w:b/>
          <w:color w:val="auto"/>
        </w:rPr>
        <w:t>K bodu 14</w:t>
      </w:r>
      <w:r w:rsidRPr="00607CBE">
        <w:rPr>
          <w:rStyle w:val="Zstupntext"/>
          <w:color w:val="auto"/>
        </w:rPr>
        <w:t xml:space="preserve"> (§ 21 až 21f)</w:t>
      </w:r>
    </w:p>
    <w:p w14:paraId="2E87C5CA" w14:textId="77777777" w:rsidR="00C145BC" w:rsidRPr="00607CBE" w:rsidRDefault="00C145BC" w:rsidP="00C145BC">
      <w:pPr>
        <w:jc w:val="both"/>
        <w:rPr>
          <w:rStyle w:val="Zstupntext"/>
          <w:color w:val="auto"/>
        </w:rPr>
      </w:pPr>
      <w:r w:rsidRPr="00607CBE">
        <w:rPr>
          <w:rStyle w:val="Zstupntext"/>
          <w:color w:val="auto"/>
        </w:rPr>
        <w:t>Navrhujú sa nové § 21 až 21f, ktorými sa transponuje čl. 48a, čl. 48b, čl. 48d, čl. 48e a čl. 48g smernice (EÚ) 2021/2101.</w:t>
      </w:r>
    </w:p>
    <w:p w14:paraId="29BBA2F6" w14:textId="77777777" w:rsidR="00C145BC" w:rsidRPr="00607CBE" w:rsidRDefault="00C145BC" w:rsidP="00C145BC">
      <w:pPr>
        <w:tabs>
          <w:tab w:val="left" w:pos="1134"/>
        </w:tabs>
        <w:jc w:val="both"/>
        <w:rPr>
          <w:bCs/>
        </w:rPr>
      </w:pPr>
    </w:p>
    <w:p w14:paraId="1E678346" w14:textId="77777777" w:rsidR="00C145BC" w:rsidRPr="00607CBE" w:rsidRDefault="00C145BC" w:rsidP="00C145BC">
      <w:pPr>
        <w:tabs>
          <w:tab w:val="left" w:pos="1134"/>
        </w:tabs>
        <w:jc w:val="both"/>
        <w:rPr>
          <w:bCs/>
        </w:rPr>
      </w:pPr>
      <w:r w:rsidRPr="00607CBE">
        <w:rPr>
          <w:bCs/>
        </w:rPr>
        <w:t>§ 21</w:t>
      </w:r>
    </w:p>
    <w:p w14:paraId="0423C7FC" w14:textId="77777777" w:rsidR="00C145BC" w:rsidRPr="00607CBE" w:rsidRDefault="00C145BC" w:rsidP="00C145BC">
      <w:pPr>
        <w:tabs>
          <w:tab w:val="left" w:pos="1134"/>
        </w:tabs>
        <w:jc w:val="both"/>
        <w:rPr>
          <w:bCs/>
        </w:rPr>
      </w:pPr>
      <w:r w:rsidRPr="00607CBE">
        <w:rPr>
          <w:bCs/>
        </w:rPr>
        <w:t xml:space="preserve">Na účely správy s informáciami o dani z príjmov sú v nadväznosti na povinnosť uložiť takúto správu do registra účtovných závierok a do zbierky listín obchodného registra zadefinované základné pojmy ako konečná materská účtovná jednotka a samostatná účtovná jednotka. V tejto súvislosti je v nadväznosti na pojem „podnik“ používaný smernicou 2013/34/EÚ v platnom znení ustáleným právnym pojmom v SR „účtovná jednotka“, ktorý bol prvýkrát zavedený zákonom č. 563/1991 Zb. o účtovníctve. </w:t>
      </w:r>
    </w:p>
    <w:p w14:paraId="6BBBC0D2" w14:textId="77777777" w:rsidR="00C145BC" w:rsidRPr="00607CBE" w:rsidRDefault="00C145BC" w:rsidP="00C145BC">
      <w:pPr>
        <w:tabs>
          <w:tab w:val="left" w:pos="1134"/>
        </w:tabs>
        <w:jc w:val="both"/>
        <w:rPr>
          <w:bCs/>
        </w:rPr>
      </w:pPr>
    </w:p>
    <w:p w14:paraId="1CE133EC" w14:textId="77777777" w:rsidR="00C145BC" w:rsidRPr="00607CBE" w:rsidRDefault="00C145BC" w:rsidP="00C145BC">
      <w:pPr>
        <w:spacing w:after="240"/>
        <w:jc w:val="both"/>
        <w:rPr>
          <w:rStyle w:val="Zstupntext"/>
          <w:color w:val="auto"/>
        </w:rPr>
      </w:pPr>
      <w:r w:rsidRPr="00607CBE">
        <w:rPr>
          <w:rStyle w:val="Zstupntext"/>
          <w:color w:val="auto"/>
        </w:rPr>
        <w:t>Zavádza sa pojem „zahraničný subjekt“,  ktorým je zahraničná právnická osoba so sídlom mimo územia členských štátov, ktorej právna forma je obdobná právnej forme obchodnej spoločnosti, čo zodpovedá pojmu „podnik, na ktorý sa nevzťahuje vnútroštátne právo“, ktorý používa smernica (EÚ) 2021/2101 a to vo vzťahu k veľkým dcérskym účtovným jednotkám (§ 21b) a organizačným zložkám (§ 21c) a ich zahraničných konečných materských subjektov resp. zahraničných samostatných subjektov.</w:t>
      </w:r>
    </w:p>
    <w:p w14:paraId="0691B37D" w14:textId="77777777" w:rsidR="00C145BC" w:rsidRPr="00607CBE" w:rsidRDefault="00C145BC" w:rsidP="00C145BC">
      <w:pPr>
        <w:tabs>
          <w:tab w:val="left" w:pos="1134"/>
        </w:tabs>
        <w:jc w:val="both"/>
        <w:rPr>
          <w:bCs/>
        </w:rPr>
      </w:pPr>
      <w:r w:rsidRPr="00607CBE">
        <w:rPr>
          <w:bCs/>
        </w:rPr>
        <w:t xml:space="preserve">§ 21a </w:t>
      </w:r>
    </w:p>
    <w:p w14:paraId="1E9F7237" w14:textId="77777777" w:rsidR="00C145BC" w:rsidRPr="00607CBE" w:rsidRDefault="00C145BC" w:rsidP="00C145BC">
      <w:pPr>
        <w:tabs>
          <w:tab w:val="left" w:pos="1134"/>
        </w:tabs>
        <w:jc w:val="both"/>
        <w:rPr>
          <w:bCs/>
        </w:rPr>
      </w:pPr>
      <w:r w:rsidRPr="00607CBE">
        <w:rPr>
          <w:bCs/>
        </w:rPr>
        <w:t xml:space="preserve">V súlade so smernicou (EÚ) 2021/2101 sa ustanovujú podmienky, ktorých splnením vzniká konečnej materskej účtovnej jednotke a samostatnej účtovnej jednotke povinnosť vyhotoviť správu s informáciami o dani z príjmov a uložiť ju do registra účtovných závierok a do zbierky listín obchodného registra. </w:t>
      </w:r>
    </w:p>
    <w:p w14:paraId="65ED7D79" w14:textId="77777777" w:rsidR="00C145BC" w:rsidRPr="00607CBE" w:rsidRDefault="00C145BC" w:rsidP="00C145BC">
      <w:pPr>
        <w:tabs>
          <w:tab w:val="left" w:pos="1134"/>
        </w:tabs>
        <w:jc w:val="both"/>
        <w:rPr>
          <w:bCs/>
        </w:rPr>
      </w:pPr>
    </w:p>
    <w:p w14:paraId="62F36E76" w14:textId="77777777" w:rsidR="00C145BC" w:rsidRPr="00607CBE" w:rsidRDefault="00C145BC" w:rsidP="00C145BC">
      <w:pPr>
        <w:tabs>
          <w:tab w:val="left" w:pos="1134"/>
        </w:tabs>
        <w:jc w:val="both"/>
        <w:rPr>
          <w:rStyle w:val="Zstupntext"/>
          <w:color w:val="auto"/>
        </w:rPr>
      </w:pPr>
      <w:r w:rsidRPr="00607CBE">
        <w:rPr>
          <w:bCs/>
        </w:rPr>
        <w:t>Ak sa individuálna účtovná závierka samostatnej účtovnej jednotky zostavuje  podľa § 17 zákona, je posudzovanou veľkostnou podmienkou suma čistého obratu vykázaná v tejto účtovnej závierke. Pri účtovnej závierke, ktorá sa podľa § 17a  alebo § 22 zákona zostavuje v súlade s osobitnými predpismi (</w:t>
      </w:r>
      <w:proofErr w:type="spellStart"/>
      <w:r w:rsidRPr="00607CBE">
        <w:rPr>
          <w:bCs/>
        </w:rPr>
        <w:t>t.j</w:t>
      </w:r>
      <w:proofErr w:type="spellEnd"/>
      <w:r w:rsidRPr="00607CBE">
        <w:rPr>
          <w:bCs/>
        </w:rPr>
        <w:t>. v súlade s medzinárodnými štandardami finančného výkazníctva (IFRS) prijatými EÚ), je posudzovanou veľkostnou podmienkou vykázaná suma výnosov (</w:t>
      </w:r>
      <w:proofErr w:type="spellStart"/>
      <w:r w:rsidRPr="00607CBE">
        <w:rPr>
          <w:bCs/>
        </w:rPr>
        <w:t>revenue</w:t>
      </w:r>
      <w:proofErr w:type="spellEnd"/>
      <w:r w:rsidRPr="00607CBE">
        <w:rPr>
          <w:bCs/>
        </w:rPr>
        <w:t xml:space="preserve">)  resp. konsolidovaných výnosov dosiahnutých z bežnej činnosti (tržby), ktoré obsahovo zodpovedajú čistému obratu a sú v rámci klasifikácie nákladov podľa bodu 102 alebo 103 medzinárodného účtovného štandardu 1 (Prezentácia účtovnej závierky) vykazované na prvom riadku.  </w:t>
      </w:r>
      <w:r w:rsidRPr="00607CBE">
        <w:rPr>
          <w:rStyle w:val="Zstupntext"/>
          <w:color w:val="auto"/>
        </w:rPr>
        <w:t>Keďže pojem „</w:t>
      </w:r>
      <w:proofErr w:type="spellStart"/>
      <w:r w:rsidRPr="00607CBE">
        <w:rPr>
          <w:rStyle w:val="Zstupntext"/>
          <w:color w:val="auto"/>
        </w:rPr>
        <w:t>revenue</w:t>
      </w:r>
      <w:proofErr w:type="spellEnd"/>
      <w:r w:rsidRPr="00607CBE">
        <w:rPr>
          <w:rStyle w:val="Zstupntext"/>
          <w:color w:val="auto"/>
        </w:rPr>
        <w:t>“ je definovaný v Koncepčnom rámci pre finančné vykazovanie (</w:t>
      </w:r>
      <w:proofErr w:type="spellStart"/>
      <w:r w:rsidRPr="00607CBE">
        <w:rPr>
          <w:rStyle w:val="Zstupntext"/>
          <w:color w:val="auto"/>
        </w:rPr>
        <w:t>Conceptual</w:t>
      </w:r>
      <w:proofErr w:type="spellEnd"/>
      <w:r w:rsidRPr="00607CBE">
        <w:rPr>
          <w:rStyle w:val="Zstupntext"/>
          <w:color w:val="auto"/>
        </w:rPr>
        <w:t xml:space="preserve"> </w:t>
      </w:r>
      <w:proofErr w:type="spellStart"/>
      <w:r w:rsidRPr="00607CBE">
        <w:rPr>
          <w:rStyle w:val="Zstupntext"/>
          <w:color w:val="auto"/>
        </w:rPr>
        <w:t>Framework</w:t>
      </w:r>
      <w:proofErr w:type="spellEnd"/>
      <w:r w:rsidRPr="00607CBE">
        <w:rPr>
          <w:rStyle w:val="Zstupntext"/>
          <w:color w:val="auto"/>
        </w:rPr>
        <w:t xml:space="preserve"> </w:t>
      </w:r>
      <w:proofErr w:type="spellStart"/>
      <w:r w:rsidRPr="00607CBE">
        <w:rPr>
          <w:rStyle w:val="Zstupntext"/>
          <w:color w:val="auto"/>
        </w:rPr>
        <w:t>for</w:t>
      </w:r>
      <w:proofErr w:type="spellEnd"/>
      <w:r w:rsidRPr="00607CBE">
        <w:rPr>
          <w:rStyle w:val="Zstupntext"/>
          <w:color w:val="auto"/>
        </w:rPr>
        <w:t xml:space="preserve"> </w:t>
      </w:r>
      <w:proofErr w:type="spellStart"/>
      <w:r w:rsidRPr="00607CBE">
        <w:rPr>
          <w:rStyle w:val="Zstupntext"/>
          <w:color w:val="auto"/>
        </w:rPr>
        <w:t>Financial</w:t>
      </w:r>
      <w:proofErr w:type="spellEnd"/>
      <w:r w:rsidRPr="00607CBE">
        <w:rPr>
          <w:rStyle w:val="Zstupntext"/>
          <w:color w:val="auto"/>
        </w:rPr>
        <w:t xml:space="preserve"> </w:t>
      </w:r>
      <w:proofErr w:type="spellStart"/>
      <w:r w:rsidRPr="00607CBE">
        <w:rPr>
          <w:rStyle w:val="Zstupntext"/>
          <w:color w:val="auto"/>
        </w:rPr>
        <w:t>Reporting</w:t>
      </w:r>
      <w:proofErr w:type="spellEnd"/>
      <w:r w:rsidRPr="00607CBE">
        <w:rPr>
          <w:rStyle w:val="Zstupntext"/>
          <w:color w:val="auto"/>
        </w:rPr>
        <w:t xml:space="preserve">) vydaným IASB (Rada pre medzinárodné účtovné štandardy), ktorý ale nebol prijatý  Európskou úniou, použil sa v návrhu odkaz na medzinárodný účtovný štandard  1 (Prezentácia účtovnej závierky), ktorý </w:t>
      </w:r>
      <w:r w:rsidRPr="00607CBE">
        <w:rPr>
          <w:rStyle w:val="Zstupntext"/>
          <w:color w:val="auto"/>
        </w:rPr>
        <w:lastRenderedPageBreak/>
        <w:t>je súčasťou práva EÚ a bližšie upravuje pozíciu vykazovania tejto položky v rámci klasifikácie nákladov.</w:t>
      </w:r>
    </w:p>
    <w:p w14:paraId="2FE18719" w14:textId="77777777" w:rsidR="00C145BC" w:rsidRPr="00607CBE" w:rsidRDefault="00C145BC" w:rsidP="00C145BC">
      <w:pPr>
        <w:tabs>
          <w:tab w:val="left" w:pos="1134"/>
        </w:tabs>
        <w:jc w:val="both"/>
        <w:rPr>
          <w:bCs/>
        </w:rPr>
      </w:pPr>
    </w:p>
    <w:p w14:paraId="7A08A8F0" w14:textId="77777777" w:rsidR="00C145BC" w:rsidRPr="00607CBE" w:rsidRDefault="00C145BC" w:rsidP="00C145BC">
      <w:pPr>
        <w:tabs>
          <w:tab w:val="left" w:pos="1134"/>
        </w:tabs>
        <w:jc w:val="both"/>
        <w:rPr>
          <w:bCs/>
        </w:rPr>
      </w:pPr>
      <w:r w:rsidRPr="00607CBE">
        <w:rPr>
          <w:bCs/>
        </w:rPr>
        <w:t>Keďže náležitosti správy s informáciami o dani z príjmov vrátane ich usporiadania a označovania  (vzor)  budú nadväzovať na vykonávací akt Komisie, ktorého obsah v súčasnosti ešte nie je známy, navrhuje sa, aby náležitosti správy s informáciami o dani z príjmov neboli uvedené priamo v texte zákona, ale boli obsahom opatrenia, ktorého vydaním sa splnomocňuje Ministerstvo financií SR.</w:t>
      </w:r>
    </w:p>
    <w:p w14:paraId="3945FDBE" w14:textId="77777777" w:rsidR="00C145BC" w:rsidRPr="00607CBE" w:rsidRDefault="00C145BC" w:rsidP="00C145BC">
      <w:pPr>
        <w:tabs>
          <w:tab w:val="left" w:pos="1134"/>
        </w:tabs>
        <w:jc w:val="both"/>
        <w:rPr>
          <w:bCs/>
        </w:rPr>
      </w:pPr>
    </w:p>
    <w:p w14:paraId="4D2433EB" w14:textId="77777777" w:rsidR="00C145BC" w:rsidRPr="00607CBE" w:rsidRDefault="00C145BC" w:rsidP="00C145BC">
      <w:pPr>
        <w:jc w:val="both"/>
        <w:rPr>
          <w:rStyle w:val="Zstupntext"/>
          <w:color w:val="auto"/>
        </w:rPr>
      </w:pPr>
      <w:r w:rsidRPr="00607CBE">
        <w:rPr>
          <w:rStyle w:val="Zstupntext"/>
          <w:color w:val="auto"/>
        </w:rPr>
        <w:t xml:space="preserve">§ 21b </w:t>
      </w:r>
    </w:p>
    <w:p w14:paraId="00E8ACAB" w14:textId="77777777" w:rsidR="00C145BC" w:rsidRPr="00607CBE" w:rsidRDefault="00C145BC" w:rsidP="00C145BC">
      <w:pPr>
        <w:jc w:val="both"/>
        <w:rPr>
          <w:rStyle w:val="Zstupntext"/>
          <w:color w:val="auto"/>
        </w:rPr>
      </w:pPr>
      <w:r w:rsidRPr="00607CBE">
        <w:rPr>
          <w:rStyle w:val="Zstupntext"/>
          <w:color w:val="auto"/>
        </w:rPr>
        <w:t xml:space="preserve">V nadväznosti na smernicu (EÚ) 2021/2101 sa ustanovujú podmienky, na základe ktorých vzniká vybraným veľkým dcérskym účtovným jednotkám, ktoré sú obchodnými spoločnosťami,  povinnosť uložiť do registra účtovných závierok a do zbierky listín obchodného registra správu s informáciami o dani z príjmov týkajúcu sa ich zahraničného konečného materského subjektu spĺňajúceho navrhované veľkostné kritérium. V prípade, že dotknuté účtovné jednotky nebudú mať k dispozícii takúto správu s informáciami o dani z príjmov, vznikne im povinnosť v rámci im dostupných informácií takúto správu vyhotoviť a uložiť, pričom súčasťou tejto správy bude aj vyhlásenie deklarujúce tieto skutočnosti. </w:t>
      </w:r>
    </w:p>
    <w:p w14:paraId="7934DDFB" w14:textId="77777777" w:rsidR="00C145BC" w:rsidRPr="00607CBE" w:rsidRDefault="00C145BC" w:rsidP="00C145BC">
      <w:pPr>
        <w:jc w:val="both"/>
        <w:rPr>
          <w:rStyle w:val="Zstupntext"/>
          <w:color w:val="auto"/>
        </w:rPr>
      </w:pPr>
    </w:p>
    <w:p w14:paraId="7C34D96C" w14:textId="77777777" w:rsidR="00C145BC" w:rsidRPr="00607CBE" w:rsidRDefault="00C145BC" w:rsidP="00C145BC">
      <w:pPr>
        <w:jc w:val="both"/>
        <w:rPr>
          <w:rStyle w:val="Zstupntext"/>
          <w:color w:val="auto"/>
        </w:rPr>
      </w:pPr>
      <w:r w:rsidRPr="00607CBE">
        <w:rPr>
          <w:rStyle w:val="Zstupntext"/>
          <w:color w:val="auto"/>
        </w:rPr>
        <w:t xml:space="preserve">Z definície zahraničného subjektu  zároveň vyplýva, že povinnosť uloženia správy s informáciami o dani z príjmov sa nebude vzťahovať  na také veľké dcérske účtovné jednotky, ktorých konečný materský subjekt má sídlo v niektorom z členských štátov, keďže správu s informáciami o dani z príjmov vyhotoví tento ich konečný materský subjekt, ak mu táto povinnosť vznikne  v súlade s právom členského štátu, v ktorom má sídlo a ktorým daný členský štát transponoval smernicu (EÚ) 2021/2101 do svojho vnútroštátneho práva.  Uvedené obdobne platí aj vo vzťahu k organizačnej zložke zahraničnej právnickej osoby so sídlom v niektorom z členských štátov. </w:t>
      </w:r>
    </w:p>
    <w:p w14:paraId="1285F78D" w14:textId="77777777" w:rsidR="00C145BC" w:rsidRPr="00607CBE" w:rsidRDefault="00C145BC" w:rsidP="00C145BC">
      <w:pPr>
        <w:jc w:val="both"/>
        <w:rPr>
          <w:rStyle w:val="Zstupntext"/>
          <w:color w:val="auto"/>
        </w:rPr>
      </w:pPr>
    </w:p>
    <w:p w14:paraId="3876A4AE" w14:textId="77777777" w:rsidR="00C145BC" w:rsidRPr="00607CBE" w:rsidRDefault="00C145BC" w:rsidP="00C145BC">
      <w:pPr>
        <w:jc w:val="both"/>
        <w:rPr>
          <w:rStyle w:val="Zstupntext"/>
          <w:color w:val="auto"/>
        </w:rPr>
      </w:pPr>
      <w:r w:rsidRPr="00607CBE">
        <w:rPr>
          <w:rStyle w:val="Zstupntext"/>
          <w:color w:val="auto"/>
        </w:rPr>
        <w:t>§ 21c</w:t>
      </w:r>
    </w:p>
    <w:p w14:paraId="3A98737D" w14:textId="77777777" w:rsidR="00C145BC" w:rsidRPr="00607CBE" w:rsidRDefault="00C145BC" w:rsidP="00C145BC">
      <w:pPr>
        <w:jc w:val="both"/>
        <w:rPr>
          <w:rStyle w:val="Zstupntext"/>
          <w:color w:val="auto"/>
        </w:rPr>
      </w:pPr>
      <w:r w:rsidRPr="00607CBE">
        <w:rPr>
          <w:rStyle w:val="Zstupntext"/>
          <w:color w:val="auto"/>
        </w:rPr>
        <w:t xml:space="preserve">V súlade so smernicou (EÚ) 2021/2101 sa navrhujú podmienky pre organizačné zložky zahraničného subjektu, na základe ktorých im vzniká povinnosť uložiť do registra účtovných závierok a do zbierky listín obchodného registra správy s informáciami o dani z príjmov týkajúcej sa ich zahraničného konečného materského subjektu alebo zahraničného samostatného subjektu, ktoré spĺňajú veľkostné kritérium výnosov 750 mil.  eur počas dvoch bezprostredne po sebe nasledujúcich účtovných období. </w:t>
      </w:r>
    </w:p>
    <w:p w14:paraId="059358CE" w14:textId="77777777" w:rsidR="00C145BC" w:rsidRPr="00607CBE" w:rsidRDefault="00C145BC" w:rsidP="00C145BC">
      <w:pPr>
        <w:jc w:val="both"/>
        <w:rPr>
          <w:rStyle w:val="Zstupntext"/>
          <w:color w:val="auto"/>
        </w:rPr>
      </w:pPr>
    </w:p>
    <w:p w14:paraId="00C29AE0" w14:textId="77777777" w:rsidR="00C145BC" w:rsidRPr="00607CBE" w:rsidRDefault="00C145BC" w:rsidP="00C145BC">
      <w:pPr>
        <w:jc w:val="both"/>
        <w:rPr>
          <w:rStyle w:val="Zstupntext"/>
          <w:color w:val="auto"/>
        </w:rPr>
      </w:pPr>
      <w:r w:rsidRPr="00607CBE">
        <w:rPr>
          <w:rStyle w:val="Zstupntext"/>
          <w:color w:val="auto"/>
        </w:rPr>
        <w:t>V súlade so zásadou proporcionality vzniká povinnosť uloženia správy s informáciami o dani z príjmov organizačnej zložke zahraničného subjektu až od určitej veľkosti, pričom zároveň zahraničný subjekt nemá na území SR veľkú dcérsku účtovnú jednotku a  na území EÚ nemá dcérsky subjekt s určitou veľkosťou. Pri posudzovaní veľkosti dcérskeho subjektu so sídlom v niektorom z členských štátov sa berú do úvahy veľkostné kritériá ustanovené právnym predpisom členského štátu, v ktorom má dcérsky subjekt sídlo  a ktoré nadväzujú na príslušné ustanovenia čl. 3 smernice 2013/34/EÚ v platnom znení upravujúce veľkostné kritériá pre stredne veľký podnik a veľký podnik.</w:t>
      </w:r>
    </w:p>
    <w:p w14:paraId="44BC3427" w14:textId="77777777" w:rsidR="00C145BC" w:rsidRPr="00607CBE" w:rsidRDefault="00C145BC" w:rsidP="00C145BC">
      <w:pPr>
        <w:jc w:val="both"/>
        <w:rPr>
          <w:rStyle w:val="Zstupntext"/>
          <w:color w:val="auto"/>
        </w:rPr>
      </w:pPr>
    </w:p>
    <w:p w14:paraId="03299F87" w14:textId="77777777" w:rsidR="00C145BC" w:rsidRPr="00607CBE" w:rsidRDefault="00C145BC" w:rsidP="00C145BC">
      <w:pPr>
        <w:jc w:val="both"/>
        <w:rPr>
          <w:rStyle w:val="Zstupntext"/>
          <w:color w:val="auto"/>
        </w:rPr>
      </w:pPr>
      <w:r w:rsidRPr="00607CBE">
        <w:rPr>
          <w:rStyle w:val="Zstupntext"/>
          <w:color w:val="auto"/>
        </w:rPr>
        <w:t>§ 21d</w:t>
      </w:r>
    </w:p>
    <w:p w14:paraId="6ED9B76F" w14:textId="77777777" w:rsidR="00C145BC" w:rsidRPr="00607CBE" w:rsidRDefault="00C145BC" w:rsidP="00C145BC">
      <w:pPr>
        <w:jc w:val="both"/>
        <w:rPr>
          <w:rStyle w:val="Zstupntext"/>
          <w:color w:val="auto"/>
        </w:rPr>
      </w:pPr>
      <w:r w:rsidRPr="00607CBE">
        <w:rPr>
          <w:rStyle w:val="Zstupntext"/>
          <w:color w:val="auto"/>
        </w:rPr>
        <w:t xml:space="preserve">Navrhujú sa podmienky oslobodenia pre účtovné jednotky, ktorým vznikla povinnosť uloženia správy s informáciami o dani z príjmov týkajúcej sa ich zahraničného konečného materského subjektu alebo zahraničného samostatného subjektu podľa § 21b alebo § 21c zákona. V zmysle smernice (EÚ) 2021/2101  sa povinnosť uloženia správy s informáciami o dani z príjmov týkajúcej sa zahraničného konečného materského subjektu, ktorý spĺňa kritérium konsolidovaných výnosov, vzťahuje na všetky jeho dcérske subjekty resp. dcérske účtovné jednotky,  ktoré majú sídlo v EÚ  resp. v SR a spĺňajú určené veľkostné podmienky. Podľa navrhovaného ustanovenia je veľká dcérska účtovná jednotka oslobodená od povinnosti uložiť správu s informáciami o dani z príjmov týkajúcu sa jej zahraničného </w:t>
      </w:r>
      <w:r w:rsidRPr="00607CBE">
        <w:rPr>
          <w:rStyle w:val="Zstupntext"/>
          <w:color w:val="auto"/>
        </w:rPr>
        <w:lastRenderedPageBreak/>
        <w:t>konečného materského subjektu, ak túto správu namiesto nej uloží v súlade so zákonom iná jedna veľká dcérska účtovná jednotka resp. v súlade so smernicou (EÚ) 2021/2101 jeden dcérsky subjekt, ktorým tiež vznikla povinnosť uloženia tejto správy, ktorá sa  týka toho istého zahraničného konečného materského subjektu,  pri dodržaní ostatných podmienok. Obdobne sa oslobodenie uplatní pri organizačných zložkách zahraničného subjektu.</w:t>
      </w:r>
    </w:p>
    <w:p w14:paraId="315F22C6" w14:textId="77777777" w:rsidR="00C145BC" w:rsidRPr="00607CBE" w:rsidRDefault="00C145BC" w:rsidP="00C145BC">
      <w:pPr>
        <w:jc w:val="both"/>
        <w:rPr>
          <w:rStyle w:val="Zstupntext"/>
          <w:color w:val="auto"/>
        </w:rPr>
      </w:pPr>
    </w:p>
    <w:p w14:paraId="29C5E3AB" w14:textId="77777777" w:rsidR="00C145BC" w:rsidRPr="00607CBE" w:rsidRDefault="00C145BC" w:rsidP="00C145BC">
      <w:pPr>
        <w:jc w:val="both"/>
        <w:rPr>
          <w:rStyle w:val="Zstupntext"/>
          <w:color w:val="auto"/>
        </w:rPr>
      </w:pPr>
      <w:r w:rsidRPr="00607CBE">
        <w:rPr>
          <w:rStyle w:val="Zstupntext"/>
          <w:color w:val="auto"/>
        </w:rPr>
        <w:t xml:space="preserve">V odseku 3 sa navrhuje, aby povinnosť konečnej materskej účtovnej jednotky a samostatnej účtovnej jednotky  (§ 21a ods. 5), veľkej dcérskej  účtovnej jednotky (§ 21b ods. 1) a organizačnej zložky zahraničného subjektu (§ 21c ods. 1)  uložiť správu s informáciami o dani z príjmov do zbierky listín obchodného registra sa  považovala  za splnenú uložením tejto správy v registri účtovných závierok  podľa § 23a ods. 11 zákona tak, ako je to pri iných  dokumentoch podľa § 23 ods. 2 zákona, ktoré sa ukladajú do zbierky listín  obchodného registra (napr. individuálna účtovná závierka v nadväznosti na § 40 ods. 1 až 4 zákona č. 513/1991 Zb. Obchodný zákonník v znení neskorších predpisov). Návrhom sa v súlade s § 23b ods. 3 zákona zároveň zabezpečí automatizované ukladanie správy s informáciami o dani z príjmov do zbierky listín obchodného registra  pri dodržaní princípu „jedenkrát a dosť“. </w:t>
      </w:r>
    </w:p>
    <w:p w14:paraId="27BBD384" w14:textId="77777777" w:rsidR="00C145BC" w:rsidRPr="00607CBE" w:rsidRDefault="00C145BC" w:rsidP="00C145BC">
      <w:pPr>
        <w:jc w:val="both"/>
        <w:rPr>
          <w:rStyle w:val="Zstupntext"/>
          <w:color w:val="auto"/>
        </w:rPr>
      </w:pPr>
    </w:p>
    <w:p w14:paraId="6BAE31DD" w14:textId="77777777" w:rsidR="00C145BC" w:rsidRPr="00607CBE" w:rsidRDefault="00C145BC" w:rsidP="00C145BC">
      <w:pPr>
        <w:jc w:val="both"/>
        <w:rPr>
          <w:rStyle w:val="Zstupntext"/>
          <w:color w:val="auto"/>
        </w:rPr>
      </w:pPr>
      <w:r w:rsidRPr="00607CBE">
        <w:rPr>
          <w:rStyle w:val="Zstupntext"/>
          <w:color w:val="auto"/>
        </w:rPr>
        <w:t>§ 21e</w:t>
      </w:r>
    </w:p>
    <w:p w14:paraId="14BBCCFF" w14:textId="77777777" w:rsidR="00C145BC" w:rsidRPr="00607CBE" w:rsidRDefault="00C145BC" w:rsidP="00C145BC">
      <w:pPr>
        <w:jc w:val="both"/>
        <w:rPr>
          <w:rStyle w:val="Zstupntext"/>
          <w:color w:val="auto"/>
        </w:rPr>
      </w:pPr>
      <w:r w:rsidRPr="00607CBE">
        <w:rPr>
          <w:rStyle w:val="Zstupntext"/>
          <w:color w:val="auto"/>
        </w:rPr>
        <w:t xml:space="preserve">Účtovným jednotkám, ktorým vznikla povinnosť uloženia správy s informáciami o dani z príjmov podľa § 21a až 21c, sa ustanovuje povinnosť zverejnenia  tejto  správy aj na ich webovom sídle, pričom s cieľom odstránenia dvojitého zverejňovania sa v navrhovanom § 21e ods. 3  na základe dobrovoľnej transpozície čl. 48d ods. 3 smernice (EÚ) 2021/2101  ustanovujú v súlade cit. smernicou aj podmienky oslobodenia od  povinnosti zverejnenia na webom sídle. </w:t>
      </w:r>
    </w:p>
    <w:p w14:paraId="03B400B9" w14:textId="77777777" w:rsidR="00C145BC" w:rsidRPr="00607CBE" w:rsidRDefault="00C145BC" w:rsidP="00C145BC">
      <w:pPr>
        <w:jc w:val="both"/>
        <w:rPr>
          <w:rStyle w:val="Zstupntext"/>
          <w:color w:val="auto"/>
        </w:rPr>
      </w:pPr>
    </w:p>
    <w:p w14:paraId="2B8C6185" w14:textId="77777777" w:rsidR="00C145BC" w:rsidRPr="00607CBE" w:rsidRDefault="00C145BC" w:rsidP="00C145BC">
      <w:pPr>
        <w:jc w:val="both"/>
        <w:rPr>
          <w:rStyle w:val="Zstupntext"/>
          <w:color w:val="auto"/>
        </w:rPr>
      </w:pPr>
      <w:r w:rsidRPr="00607CBE">
        <w:rPr>
          <w:rStyle w:val="Zstupntext"/>
          <w:color w:val="auto"/>
        </w:rPr>
        <w:t>§ 21f</w:t>
      </w:r>
    </w:p>
    <w:p w14:paraId="4385FA84" w14:textId="77777777" w:rsidR="00C145BC" w:rsidRPr="00607CBE" w:rsidRDefault="00C145BC" w:rsidP="00C145BC">
      <w:pPr>
        <w:jc w:val="both"/>
        <w:rPr>
          <w:rStyle w:val="Zstupntext"/>
          <w:color w:val="auto"/>
        </w:rPr>
      </w:pPr>
      <w:r w:rsidRPr="00607CBE">
        <w:rPr>
          <w:rStyle w:val="Zstupntext"/>
          <w:color w:val="auto"/>
        </w:rPr>
        <w:t xml:space="preserve">Vzhľadom na možnosť len obmedzených poznatkov o obsahu správy s informáciami o dani z príjmov vyhotovenej zahraničným konečným materským subjektom alebo zahraničným samostatným subjektom vrátane možnej obmedzenej schopnosti získať takéto informácie alebo takúto správu od zahraničného konečného materského subjektu alebo zahraničného samostatného subjektu sa obmedzuje zodpovednosť  účtovných jednotiek v súvislosti s povinnosťou  uloženia správy s informáciami o dani z príjmov vzniknutou podľa § 21b alebo § 21c. </w:t>
      </w:r>
    </w:p>
    <w:p w14:paraId="05E87392" w14:textId="77777777" w:rsidR="00C145BC" w:rsidRPr="00607CBE" w:rsidRDefault="00C145BC" w:rsidP="00C145BC">
      <w:pPr>
        <w:jc w:val="both"/>
        <w:rPr>
          <w:rStyle w:val="Zstupntext"/>
          <w:color w:val="auto"/>
        </w:rPr>
      </w:pPr>
    </w:p>
    <w:p w14:paraId="41A664CE" w14:textId="77777777" w:rsidR="00C145BC" w:rsidRPr="00607CBE" w:rsidRDefault="00C145BC" w:rsidP="00C145BC">
      <w:pPr>
        <w:tabs>
          <w:tab w:val="left" w:pos="1134"/>
        </w:tabs>
        <w:jc w:val="both"/>
        <w:rPr>
          <w:rStyle w:val="Zstupntext"/>
          <w:color w:val="auto"/>
        </w:rPr>
      </w:pPr>
      <w:r w:rsidRPr="00607CBE">
        <w:rPr>
          <w:rStyle w:val="Zstupntext"/>
          <w:b/>
          <w:color w:val="auto"/>
        </w:rPr>
        <w:t>K bodu 16</w:t>
      </w:r>
      <w:r w:rsidRPr="00607CBE">
        <w:rPr>
          <w:rStyle w:val="Zstupntext"/>
          <w:color w:val="auto"/>
        </w:rPr>
        <w:t xml:space="preserve"> (§ 22a ods. 1 písm. f)</w:t>
      </w:r>
    </w:p>
    <w:p w14:paraId="27761897" w14:textId="77777777" w:rsidR="00C145BC" w:rsidRPr="00607CBE" w:rsidRDefault="00C145BC" w:rsidP="00C145BC">
      <w:pPr>
        <w:jc w:val="both"/>
      </w:pPr>
      <w:r w:rsidRPr="00607CBE">
        <w:t>Vznikom novej právnej formy resp. transformáciou rozpočtových a príspevkových organizácií ústrednej správy na verejné výskumné inštitúcie (ďalej len ,,</w:t>
      </w:r>
      <w:proofErr w:type="spellStart"/>
      <w:r w:rsidRPr="00607CBE">
        <w:t>v.v.i</w:t>
      </w:r>
      <w:proofErr w:type="spellEnd"/>
      <w:r w:rsidRPr="00607CBE">
        <w:t xml:space="preserve">.“) dochádza k prevodu prioritného majetku štátu do týchto subjektov, pričom sú stále splnené podmienky kontroly zo strany zakladateľa </w:t>
      </w:r>
      <w:proofErr w:type="spellStart"/>
      <w:r w:rsidRPr="00607CBE">
        <w:t>v.v.i</w:t>
      </w:r>
      <w:proofErr w:type="spellEnd"/>
      <w:r w:rsidRPr="00607CBE">
        <w:t xml:space="preserve">. nad činnosťou a majetkom </w:t>
      </w:r>
      <w:proofErr w:type="spellStart"/>
      <w:r w:rsidRPr="00607CBE">
        <w:t>v.v.i</w:t>
      </w:r>
      <w:proofErr w:type="spellEnd"/>
      <w:r w:rsidRPr="00607CBE">
        <w:t xml:space="preserve">. Z pohľadu medzinárodných účtovných štandardov upravujúcich účtovnú konsolidáciu nie je podstatná právna forma organizácie v konsolidovanom celku subjektu verejnej správy, ale miera kontroly nad týmito organizáciami zo strany subjektu verejnej správy napr. správcu kapitoly štátneho rozpočtu. Kontrola nad </w:t>
      </w:r>
      <w:proofErr w:type="spellStart"/>
      <w:r w:rsidRPr="00607CBE">
        <w:t>v.v.i</w:t>
      </w:r>
      <w:proofErr w:type="spellEnd"/>
      <w:r w:rsidRPr="00607CBE">
        <w:t>. zo strany svojho zakladateľa je preukázateľná z pohľadu ustanovení zákona o </w:t>
      </w:r>
      <w:proofErr w:type="spellStart"/>
      <w:r w:rsidRPr="00607CBE">
        <w:t>v.v.i</w:t>
      </w:r>
      <w:proofErr w:type="spellEnd"/>
      <w:r w:rsidRPr="00607CBE">
        <w:t xml:space="preserve">., napríklad v oblasti založenia, splynutia, zlúčenia alebo zrušenia </w:t>
      </w:r>
      <w:proofErr w:type="spellStart"/>
      <w:r w:rsidRPr="00607CBE">
        <w:t>v.v.i</w:t>
      </w:r>
      <w:proofErr w:type="spellEnd"/>
      <w:r w:rsidRPr="00607CBE">
        <w:t xml:space="preserve">., v oblasti menovania a odvolávania riaditeľa, členov správnej a dozornej rady, rozhodovaní o vklade prioritného majetku štátu a podobne.   </w:t>
      </w:r>
    </w:p>
    <w:p w14:paraId="6E32F177" w14:textId="77777777" w:rsidR="00CB5B45" w:rsidRDefault="00CB5B45" w:rsidP="00C145BC">
      <w:pPr>
        <w:tabs>
          <w:tab w:val="left" w:pos="1134"/>
        </w:tabs>
        <w:jc w:val="both"/>
        <w:rPr>
          <w:rStyle w:val="Zstupntext"/>
          <w:b/>
          <w:color w:val="auto"/>
        </w:rPr>
      </w:pPr>
    </w:p>
    <w:p w14:paraId="789A25F4" w14:textId="77777777" w:rsidR="00C145BC" w:rsidRPr="00607CBE" w:rsidRDefault="00C145BC" w:rsidP="00C145BC">
      <w:pPr>
        <w:tabs>
          <w:tab w:val="left" w:pos="1134"/>
        </w:tabs>
        <w:jc w:val="both"/>
        <w:rPr>
          <w:rStyle w:val="Zstupntext"/>
          <w:color w:val="auto"/>
        </w:rPr>
      </w:pPr>
      <w:r w:rsidRPr="00607CBE">
        <w:rPr>
          <w:rStyle w:val="Zstupntext"/>
          <w:b/>
          <w:color w:val="auto"/>
        </w:rPr>
        <w:t>K bodu 18</w:t>
      </w:r>
      <w:r w:rsidRPr="00607CBE">
        <w:rPr>
          <w:rStyle w:val="Zstupntext"/>
          <w:color w:val="auto"/>
        </w:rPr>
        <w:t xml:space="preserve"> (§ 23 ods. 2)</w:t>
      </w:r>
    </w:p>
    <w:p w14:paraId="4CAEFE52" w14:textId="77777777" w:rsidR="00C145BC" w:rsidRPr="00607CBE" w:rsidRDefault="00C145BC" w:rsidP="00C145BC">
      <w:pPr>
        <w:jc w:val="both"/>
        <w:rPr>
          <w:rStyle w:val="Zstupntext"/>
          <w:color w:val="auto"/>
        </w:rPr>
      </w:pPr>
      <w:r w:rsidRPr="00607CBE">
        <w:rPr>
          <w:rStyle w:val="Zstupntext"/>
          <w:color w:val="auto"/>
        </w:rPr>
        <w:t xml:space="preserve">V nadväznosti na smernicu (EÚ) 2021/2101 a požiadavku transparentnosti sa medzi dokumenty, ktoré sú obsahom registra účtovných závierok, dopĺňa správa s informáciami o dani z príjmov. </w:t>
      </w:r>
    </w:p>
    <w:p w14:paraId="705F7337" w14:textId="77777777" w:rsidR="00C145BC" w:rsidRPr="00607CBE" w:rsidRDefault="00C145BC" w:rsidP="00C145BC">
      <w:pPr>
        <w:tabs>
          <w:tab w:val="left" w:pos="993"/>
        </w:tabs>
        <w:jc w:val="both"/>
        <w:rPr>
          <w:rStyle w:val="Zstupntext"/>
          <w:b/>
          <w:color w:val="auto"/>
        </w:rPr>
      </w:pPr>
    </w:p>
    <w:p w14:paraId="18D4069C" w14:textId="77777777" w:rsidR="00C145BC" w:rsidRPr="00607CBE" w:rsidRDefault="00C145BC" w:rsidP="00C145BC">
      <w:pPr>
        <w:tabs>
          <w:tab w:val="left" w:pos="993"/>
        </w:tabs>
        <w:jc w:val="both"/>
        <w:rPr>
          <w:rStyle w:val="Zstupntext"/>
          <w:color w:val="auto"/>
        </w:rPr>
      </w:pPr>
      <w:r w:rsidRPr="00607CBE">
        <w:rPr>
          <w:rStyle w:val="Zstupntext"/>
          <w:b/>
          <w:color w:val="auto"/>
        </w:rPr>
        <w:t>K bodu 20</w:t>
      </w:r>
      <w:r w:rsidRPr="00607CBE">
        <w:rPr>
          <w:rStyle w:val="Zstupntext"/>
          <w:color w:val="auto"/>
        </w:rPr>
        <w:t> (§ 23a ods. 9)</w:t>
      </w:r>
    </w:p>
    <w:p w14:paraId="190E4B71" w14:textId="77777777" w:rsidR="00C145BC" w:rsidRPr="00607CBE" w:rsidRDefault="00C145BC" w:rsidP="00C145BC">
      <w:pPr>
        <w:pStyle w:val="Odsekzoznamu"/>
        <w:ind w:left="0"/>
        <w:contextualSpacing w:val="0"/>
        <w:jc w:val="both"/>
        <w:rPr>
          <w:rStyle w:val="Zstupntext"/>
          <w:color w:val="auto"/>
        </w:rPr>
      </w:pPr>
      <w:r w:rsidRPr="00607CBE">
        <w:rPr>
          <w:rStyle w:val="Zstupntext"/>
          <w:color w:val="auto"/>
        </w:rPr>
        <w:t xml:space="preserve">Ustanovenie sa precizuje v nadväznosti na povinnosť ukladania správy s informáciami o dani z príjmov týkajúcej sa zahraničného konečného materského subjektu prípadne zahraničného </w:t>
      </w:r>
      <w:r w:rsidRPr="00607CBE">
        <w:rPr>
          <w:rStyle w:val="Zstupntext"/>
          <w:color w:val="auto"/>
        </w:rPr>
        <w:lastRenderedPageBreak/>
        <w:t xml:space="preserve">samostatného subjektu do registra účtovných závierok a obmedzenú zodpovednosť dotknutých účtovných jednotiek navrhovanú v § 21f, ktoré tieto správy do registra účtovných závierok ukladajú. </w:t>
      </w:r>
    </w:p>
    <w:p w14:paraId="5470ED70" w14:textId="77777777" w:rsidR="00C145BC" w:rsidRPr="00607CBE" w:rsidRDefault="00C145BC" w:rsidP="00C145BC">
      <w:pPr>
        <w:pStyle w:val="Odsekzoznamu"/>
        <w:ind w:left="0"/>
        <w:contextualSpacing w:val="0"/>
        <w:jc w:val="both"/>
        <w:rPr>
          <w:rStyle w:val="Zstupntext"/>
          <w:color w:val="auto"/>
        </w:rPr>
      </w:pPr>
    </w:p>
    <w:p w14:paraId="0B51D528" w14:textId="77777777" w:rsidR="00C145BC" w:rsidRPr="00607CBE" w:rsidRDefault="00C145BC" w:rsidP="00C145BC">
      <w:pPr>
        <w:tabs>
          <w:tab w:val="left" w:pos="993"/>
        </w:tabs>
        <w:jc w:val="both"/>
        <w:rPr>
          <w:rStyle w:val="Zstupntext"/>
          <w:color w:val="auto"/>
        </w:rPr>
      </w:pPr>
      <w:r w:rsidRPr="00607CBE">
        <w:rPr>
          <w:rStyle w:val="Zstupntext"/>
          <w:b/>
          <w:color w:val="auto"/>
        </w:rPr>
        <w:t xml:space="preserve">K bodom 21 a 22 </w:t>
      </w:r>
      <w:r w:rsidRPr="00607CBE">
        <w:rPr>
          <w:rStyle w:val="Zstupntext"/>
          <w:color w:val="auto"/>
        </w:rPr>
        <w:t>(§ 23a ods. 11, § 23b ods. 1)</w:t>
      </w:r>
    </w:p>
    <w:p w14:paraId="5D6B0F7C" w14:textId="77777777" w:rsidR="00C145BC" w:rsidRPr="00607CBE" w:rsidRDefault="00C145BC" w:rsidP="00C145BC">
      <w:pPr>
        <w:tabs>
          <w:tab w:val="left" w:pos="1134"/>
        </w:tabs>
        <w:jc w:val="both"/>
        <w:rPr>
          <w:bCs/>
        </w:rPr>
      </w:pPr>
      <w:r w:rsidRPr="00607CBE">
        <w:rPr>
          <w:rStyle w:val="Zstupntext"/>
          <w:color w:val="auto"/>
        </w:rPr>
        <w:t xml:space="preserve">V súlade so smernicou (EÚ) 2021/2101 sa ustanovuje lehota na uloženie správy  s informáciami o dani z príjmov do registra účtovných závierok. Zároveň sa navrhuje, aby elektronický formát správy s informáciami o dani z príjmov bol ustanovený opatrením, </w:t>
      </w:r>
      <w:r w:rsidRPr="00607CBE">
        <w:rPr>
          <w:bCs/>
        </w:rPr>
        <w:t xml:space="preserve"> ktorého vydaním sa splnomocňuje Ministerstvo financií SR.</w:t>
      </w:r>
    </w:p>
    <w:p w14:paraId="6F3DEB79" w14:textId="77777777" w:rsidR="00C145BC" w:rsidRPr="00607CBE" w:rsidRDefault="00C145BC" w:rsidP="00C145BC">
      <w:pPr>
        <w:tabs>
          <w:tab w:val="left" w:pos="993"/>
        </w:tabs>
        <w:jc w:val="both"/>
        <w:rPr>
          <w:rStyle w:val="Zstupntext"/>
          <w:b/>
          <w:color w:val="auto"/>
        </w:rPr>
      </w:pPr>
    </w:p>
    <w:p w14:paraId="357F8295" w14:textId="77777777" w:rsidR="00C145BC" w:rsidRPr="00607CBE" w:rsidRDefault="00C145BC" w:rsidP="00C145BC">
      <w:pPr>
        <w:tabs>
          <w:tab w:val="left" w:pos="993"/>
        </w:tabs>
        <w:jc w:val="both"/>
        <w:rPr>
          <w:rStyle w:val="Zstupntext"/>
          <w:color w:val="auto"/>
        </w:rPr>
      </w:pPr>
      <w:r w:rsidRPr="00607CBE">
        <w:rPr>
          <w:rStyle w:val="Zstupntext"/>
          <w:b/>
          <w:color w:val="auto"/>
        </w:rPr>
        <w:t xml:space="preserve">K bodu 23 </w:t>
      </w:r>
      <w:r w:rsidRPr="00607CBE">
        <w:rPr>
          <w:rStyle w:val="Zstupntext"/>
          <w:color w:val="auto"/>
        </w:rPr>
        <w:t>(§ 27 ods. 5 písm. b)</w:t>
      </w:r>
    </w:p>
    <w:p w14:paraId="77C17142" w14:textId="77777777" w:rsidR="00C145BC" w:rsidRPr="00607CBE" w:rsidRDefault="00C145BC" w:rsidP="00C145BC">
      <w:pPr>
        <w:tabs>
          <w:tab w:val="left" w:pos="993"/>
        </w:tabs>
        <w:jc w:val="both"/>
        <w:rPr>
          <w:rStyle w:val="Zstupntext"/>
          <w:color w:val="auto"/>
        </w:rPr>
      </w:pPr>
      <w:r w:rsidRPr="00607CBE">
        <w:rPr>
          <w:rStyle w:val="Zstupntext"/>
          <w:color w:val="auto"/>
        </w:rPr>
        <w:t>Precizovanie textu vyplývajúce z potrieb aplikačnej praxe.</w:t>
      </w:r>
    </w:p>
    <w:p w14:paraId="5322D6BA" w14:textId="77777777" w:rsidR="00C145BC" w:rsidRPr="00607CBE" w:rsidRDefault="00C145BC" w:rsidP="00C145BC">
      <w:pPr>
        <w:tabs>
          <w:tab w:val="left" w:pos="993"/>
        </w:tabs>
        <w:jc w:val="both"/>
        <w:rPr>
          <w:rStyle w:val="Zstupntext"/>
          <w:b/>
          <w:color w:val="auto"/>
        </w:rPr>
      </w:pPr>
    </w:p>
    <w:p w14:paraId="7A94912E" w14:textId="77777777" w:rsidR="00C145BC" w:rsidRPr="00607CBE" w:rsidRDefault="00C145BC" w:rsidP="00C145BC">
      <w:pPr>
        <w:tabs>
          <w:tab w:val="left" w:pos="993"/>
        </w:tabs>
        <w:jc w:val="both"/>
        <w:rPr>
          <w:rStyle w:val="Zstupntext"/>
          <w:color w:val="auto"/>
        </w:rPr>
      </w:pPr>
      <w:r w:rsidRPr="00607CBE">
        <w:rPr>
          <w:rStyle w:val="Zstupntext"/>
          <w:b/>
          <w:color w:val="auto"/>
        </w:rPr>
        <w:t>K bodu 24</w:t>
      </w:r>
      <w:r w:rsidRPr="00607CBE">
        <w:rPr>
          <w:rStyle w:val="Zstupntext"/>
          <w:color w:val="auto"/>
        </w:rPr>
        <w:t xml:space="preserve"> (§ 29 ods. 3)</w:t>
      </w:r>
    </w:p>
    <w:p w14:paraId="30929C54" w14:textId="77777777" w:rsidR="00C145BC" w:rsidRPr="00607CBE" w:rsidRDefault="00C145BC" w:rsidP="00C145BC">
      <w:pPr>
        <w:jc w:val="both"/>
      </w:pPr>
      <w:r w:rsidRPr="00607CBE">
        <w:t xml:space="preserve">Pre účtovné jednotky verejnej správy (štátne rozpočtové organizácie, štátne príspevkové organizácie, štátne fondy, obce, vyššie územné celky a rozpočtové a príspevkové organizácie v ich zriaďovateľskej pôsobnosti) sa na základe odporúčaní aplikačnej praxe a výsledkov auditu konsolidovanej účtovnej závierky ústrednej správy navrhuje zvýšenie periodicity inventarizácie dlhodobého hmotného majetku za účelom lepšej ochrany majetku štátu, obce a vyššieho územného celku ako aj zvýšenia kvality dát v účtovnej závierke. </w:t>
      </w:r>
    </w:p>
    <w:p w14:paraId="03841DDB" w14:textId="77777777" w:rsidR="00C145BC" w:rsidRPr="00607CBE" w:rsidRDefault="00C145BC" w:rsidP="00C145BC">
      <w:pPr>
        <w:tabs>
          <w:tab w:val="left" w:pos="993"/>
        </w:tabs>
        <w:jc w:val="both"/>
        <w:rPr>
          <w:rStyle w:val="Zstupntext"/>
          <w:color w:val="auto"/>
        </w:rPr>
      </w:pPr>
    </w:p>
    <w:p w14:paraId="7E7A1E24" w14:textId="77777777" w:rsidR="00C145BC" w:rsidRPr="00607CBE" w:rsidRDefault="00C145BC" w:rsidP="00C145BC">
      <w:pPr>
        <w:tabs>
          <w:tab w:val="left" w:pos="993"/>
        </w:tabs>
        <w:jc w:val="both"/>
        <w:rPr>
          <w:rStyle w:val="Zstupntext"/>
          <w:color w:val="auto"/>
        </w:rPr>
      </w:pPr>
      <w:r w:rsidRPr="00607CBE">
        <w:rPr>
          <w:rStyle w:val="Zstupntext"/>
          <w:b/>
          <w:color w:val="auto"/>
        </w:rPr>
        <w:t xml:space="preserve">K bodu 25 </w:t>
      </w:r>
      <w:r w:rsidRPr="00607CBE">
        <w:rPr>
          <w:rStyle w:val="Zstupntext"/>
          <w:color w:val="auto"/>
        </w:rPr>
        <w:t>(§ 31 ods. 8)</w:t>
      </w:r>
    </w:p>
    <w:p w14:paraId="2DE34523" w14:textId="77777777" w:rsidR="00C145BC" w:rsidRPr="00607CBE" w:rsidRDefault="00C145BC" w:rsidP="00C145BC">
      <w:pPr>
        <w:tabs>
          <w:tab w:val="left" w:pos="993"/>
        </w:tabs>
        <w:jc w:val="both"/>
        <w:rPr>
          <w:rStyle w:val="Zstupntext"/>
          <w:color w:val="auto"/>
        </w:rPr>
      </w:pPr>
      <w:r w:rsidRPr="00607CBE">
        <w:rPr>
          <w:rStyle w:val="Zstupntext"/>
          <w:color w:val="auto"/>
        </w:rPr>
        <w:t>Dopĺňa sa  ustanovenie týkajúce sa výzvy daňového úradu na predloženie účtovných záznamov účtovnej jednotky, pričom v súlade s § 38 ods. 8 zákona sa na lehotu uplatnia ustanovenia § 27 až 29 zákona č. 563/2009 Z. z. o správe daní (daňový poriadok) a o zmene a doplnení niektorých zákonov v znení neskorších predpisov.</w:t>
      </w:r>
    </w:p>
    <w:p w14:paraId="02E02583" w14:textId="77777777" w:rsidR="00C145BC" w:rsidRPr="00607CBE" w:rsidRDefault="00C145BC" w:rsidP="00C145BC">
      <w:pPr>
        <w:tabs>
          <w:tab w:val="left" w:pos="993"/>
        </w:tabs>
        <w:jc w:val="both"/>
        <w:rPr>
          <w:rStyle w:val="Zstupntext"/>
          <w:b/>
          <w:color w:val="auto"/>
        </w:rPr>
      </w:pPr>
    </w:p>
    <w:p w14:paraId="6C0BC53D" w14:textId="77777777" w:rsidR="00C145BC" w:rsidRPr="00607CBE" w:rsidRDefault="00C145BC" w:rsidP="00C145BC">
      <w:pPr>
        <w:tabs>
          <w:tab w:val="left" w:pos="993"/>
        </w:tabs>
        <w:jc w:val="both"/>
        <w:rPr>
          <w:rStyle w:val="Zstupntext"/>
          <w:color w:val="auto"/>
        </w:rPr>
      </w:pPr>
      <w:r w:rsidRPr="00607CBE">
        <w:rPr>
          <w:rStyle w:val="Zstupntext"/>
          <w:b/>
          <w:color w:val="auto"/>
        </w:rPr>
        <w:t>K bodu 26</w:t>
      </w:r>
      <w:r w:rsidRPr="00607CBE">
        <w:rPr>
          <w:rStyle w:val="Zstupntext"/>
          <w:color w:val="auto"/>
        </w:rPr>
        <w:t xml:space="preserve"> (§ 35 ods. 3)</w:t>
      </w:r>
    </w:p>
    <w:p w14:paraId="1A9AAD46" w14:textId="77777777" w:rsidR="00C145BC" w:rsidRPr="00607CBE" w:rsidRDefault="00C145BC" w:rsidP="00C145BC">
      <w:pPr>
        <w:jc w:val="both"/>
        <w:rPr>
          <w:rStyle w:val="Zstupntext"/>
          <w:color w:val="auto"/>
        </w:rPr>
      </w:pPr>
      <w:r w:rsidRPr="00607CBE">
        <w:rPr>
          <w:rStyle w:val="Zstupntext"/>
          <w:color w:val="auto"/>
        </w:rPr>
        <w:t>Dopĺňa sa ustanovenie upravujúce lehoty uchovávania účtovných záznamov o správu s informáciami o dani z príjmov, pričom sa navrhuje lehota 5 rokov v súlade s požiadavkou  na dobu, počas ktorej má byť správa s informáciami o dani z príjmov uverejnená na webovom sídle dotknutej účtovnej jednotky podľa § 21e.</w:t>
      </w:r>
    </w:p>
    <w:p w14:paraId="3AF6276E" w14:textId="77777777" w:rsidR="00C145BC" w:rsidRPr="00607CBE" w:rsidRDefault="00C145BC" w:rsidP="00C145BC">
      <w:pPr>
        <w:jc w:val="both"/>
        <w:rPr>
          <w:rStyle w:val="Zstupntext"/>
          <w:color w:val="auto"/>
        </w:rPr>
      </w:pPr>
    </w:p>
    <w:p w14:paraId="10536800" w14:textId="77777777" w:rsidR="00C145BC" w:rsidRPr="00607CBE" w:rsidRDefault="00C145BC" w:rsidP="00C145BC">
      <w:pPr>
        <w:jc w:val="both"/>
        <w:rPr>
          <w:rStyle w:val="Zstupntext"/>
          <w:color w:val="auto"/>
        </w:rPr>
      </w:pPr>
      <w:r w:rsidRPr="00607CBE">
        <w:rPr>
          <w:rStyle w:val="Zstupntext"/>
          <w:b/>
          <w:color w:val="auto"/>
        </w:rPr>
        <w:t xml:space="preserve">K bodom 27 a 29 </w:t>
      </w:r>
      <w:r w:rsidRPr="00607CBE">
        <w:rPr>
          <w:rStyle w:val="Zstupntext"/>
          <w:color w:val="auto"/>
        </w:rPr>
        <w:t>(§ 38 ods. 1 písm. k), § 38 ods. 2 písm. e)</w:t>
      </w:r>
    </w:p>
    <w:p w14:paraId="6AC994F3" w14:textId="77777777" w:rsidR="00C145BC" w:rsidRPr="00607CBE" w:rsidRDefault="00C145BC" w:rsidP="00C145BC">
      <w:pPr>
        <w:jc w:val="both"/>
        <w:rPr>
          <w:rStyle w:val="Zstupntext"/>
          <w:color w:val="auto"/>
        </w:rPr>
      </w:pPr>
      <w:r w:rsidRPr="00607CBE">
        <w:rPr>
          <w:rStyle w:val="Zstupntext"/>
          <w:color w:val="auto"/>
        </w:rPr>
        <w:t xml:space="preserve">Navrhuje sa sankcia za nepredloženie účtovných záznamov na výzvu daňového úradu. </w:t>
      </w:r>
    </w:p>
    <w:p w14:paraId="52641D05" w14:textId="77777777" w:rsidR="00C145BC" w:rsidRPr="00607CBE" w:rsidRDefault="00C145BC" w:rsidP="00C145BC">
      <w:pPr>
        <w:jc w:val="both"/>
        <w:rPr>
          <w:rStyle w:val="Zstupntext"/>
          <w:color w:val="auto"/>
        </w:rPr>
      </w:pPr>
    </w:p>
    <w:p w14:paraId="65BA34A3" w14:textId="77777777" w:rsidR="00C145BC" w:rsidRPr="00607CBE" w:rsidRDefault="00C145BC" w:rsidP="00C145BC">
      <w:pPr>
        <w:pStyle w:val="Odsekzoznamu"/>
        <w:ind w:left="0"/>
        <w:contextualSpacing w:val="0"/>
        <w:jc w:val="both"/>
        <w:rPr>
          <w:rStyle w:val="Zstupntext"/>
          <w:color w:val="auto"/>
        </w:rPr>
      </w:pPr>
      <w:r w:rsidRPr="00607CBE">
        <w:rPr>
          <w:rStyle w:val="Zstupntext"/>
          <w:b/>
          <w:color w:val="auto"/>
        </w:rPr>
        <w:t>K bodom 28 a 30</w:t>
      </w:r>
      <w:r w:rsidRPr="00607CBE">
        <w:rPr>
          <w:rStyle w:val="Zstupntext"/>
          <w:color w:val="auto"/>
        </w:rPr>
        <w:t> (§ 38 ods. 1 písm. o), § 38 ods. 2 písm. g)</w:t>
      </w:r>
    </w:p>
    <w:p w14:paraId="338239AA" w14:textId="77777777" w:rsidR="00C145BC" w:rsidRPr="00607CBE" w:rsidRDefault="00C145BC" w:rsidP="00CB5B45">
      <w:pPr>
        <w:jc w:val="both"/>
        <w:rPr>
          <w:rStyle w:val="Zstupntext"/>
          <w:color w:val="auto"/>
        </w:rPr>
      </w:pPr>
      <w:r w:rsidRPr="00607CBE">
        <w:rPr>
          <w:rStyle w:val="Zstupntext"/>
          <w:color w:val="auto"/>
        </w:rPr>
        <w:t xml:space="preserve">V nadväznosti na požiadavky smernice (EÚ) 2021/2101 sa dopĺňajú sankčné ustanovenia týkajúce sa nedodržania požiadaviek na uvádzanie náležitostí správy s informáciami o dani z príjmov ustanovených opatrením a porušenia povinností uložiť a zverejniť správu s informáciami o dani z príjmov. </w:t>
      </w:r>
    </w:p>
    <w:p w14:paraId="25EB108B" w14:textId="77777777" w:rsidR="00C145BC" w:rsidRPr="00607CBE" w:rsidRDefault="00C145BC" w:rsidP="00C145BC">
      <w:pPr>
        <w:jc w:val="both"/>
        <w:rPr>
          <w:rStyle w:val="Zstupntext"/>
          <w:b/>
          <w:color w:val="auto"/>
        </w:rPr>
      </w:pPr>
    </w:p>
    <w:p w14:paraId="45E6598C" w14:textId="77777777" w:rsidR="00C145BC" w:rsidRPr="00607CBE" w:rsidRDefault="00C145BC" w:rsidP="00C145BC">
      <w:pPr>
        <w:jc w:val="both"/>
        <w:rPr>
          <w:rStyle w:val="Zstupntext"/>
          <w:b/>
          <w:color w:val="auto"/>
        </w:rPr>
      </w:pPr>
      <w:r w:rsidRPr="00607CBE">
        <w:rPr>
          <w:rStyle w:val="Zstupntext"/>
          <w:b/>
          <w:color w:val="auto"/>
        </w:rPr>
        <w:t>K bodu 31</w:t>
      </w:r>
    </w:p>
    <w:p w14:paraId="31061A6A" w14:textId="77777777" w:rsidR="00C145BC" w:rsidRPr="00607CBE" w:rsidRDefault="00C145BC" w:rsidP="00C145BC">
      <w:pPr>
        <w:jc w:val="both"/>
        <w:rPr>
          <w:rStyle w:val="Zstupntext"/>
          <w:color w:val="auto"/>
        </w:rPr>
      </w:pPr>
      <w:r w:rsidRPr="00607CBE">
        <w:rPr>
          <w:rStyle w:val="Zstupntext"/>
          <w:color w:val="auto"/>
        </w:rPr>
        <w:t>§ 39y</w:t>
      </w:r>
    </w:p>
    <w:p w14:paraId="52302415" w14:textId="77777777" w:rsidR="00C145BC" w:rsidRPr="00607CBE" w:rsidRDefault="00C145BC" w:rsidP="00C145BC">
      <w:pPr>
        <w:pStyle w:val="Odsekzoznamu"/>
        <w:keepNext/>
        <w:ind w:left="0"/>
        <w:jc w:val="both"/>
        <w:rPr>
          <w:rStyle w:val="Zstupntext"/>
          <w:color w:val="auto"/>
        </w:rPr>
      </w:pPr>
      <w:r w:rsidRPr="00607CBE">
        <w:rPr>
          <w:rStyle w:val="Zstupntext"/>
          <w:color w:val="auto"/>
        </w:rPr>
        <w:t>Prechodné ustanovenie upravuje prvé použitie ustanovení o výročnej správe nadväzne na úpravy v § 20 ods. 7 až 17 pri vyhotovení výročnej správy za účtovné obdobie, ktoré končí 31. decembra 2022.</w:t>
      </w:r>
    </w:p>
    <w:p w14:paraId="1BE50FB9" w14:textId="77777777" w:rsidR="00C145BC" w:rsidRPr="00607CBE" w:rsidRDefault="00C145BC" w:rsidP="00C145BC">
      <w:pPr>
        <w:jc w:val="both"/>
        <w:rPr>
          <w:rStyle w:val="Zstupntext"/>
          <w:color w:val="auto"/>
        </w:rPr>
      </w:pPr>
    </w:p>
    <w:p w14:paraId="3D98FABB" w14:textId="77777777" w:rsidR="00C145BC" w:rsidRPr="00607CBE" w:rsidRDefault="00C145BC" w:rsidP="00C145BC">
      <w:pPr>
        <w:jc w:val="both"/>
        <w:rPr>
          <w:rStyle w:val="Zstupntext"/>
          <w:color w:val="auto"/>
        </w:rPr>
      </w:pPr>
      <w:r w:rsidRPr="00607CBE">
        <w:rPr>
          <w:rStyle w:val="Zstupntext"/>
          <w:color w:val="auto"/>
        </w:rPr>
        <w:t>§ 39z</w:t>
      </w:r>
    </w:p>
    <w:p w14:paraId="30D7BF90" w14:textId="77777777" w:rsidR="00C145BC" w:rsidRPr="00607CBE" w:rsidRDefault="00C145BC" w:rsidP="00C145BC">
      <w:pPr>
        <w:jc w:val="both"/>
        <w:rPr>
          <w:rStyle w:val="Zstupntext"/>
          <w:color w:val="auto"/>
        </w:rPr>
      </w:pPr>
      <w:r w:rsidRPr="00607CBE">
        <w:rPr>
          <w:rStyle w:val="Zstupntext"/>
          <w:color w:val="auto"/>
        </w:rPr>
        <w:t>Dopĺňa sa prechodné ustanovenie v nadväznosti na doplnenie pokuty za nevyhovenie výzve daňového úradu podľa navrhovaného § 31 ods. 8 zákona.</w:t>
      </w:r>
    </w:p>
    <w:p w14:paraId="5FDCB2CE" w14:textId="77777777" w:rsidR="00C145BC" w:rsidRPr="00607CBE" w:rsidRDefault="00C145BC" w:rsidP="00C145BC">
      <w:pPr>
        <w:jc w:val="both"/>
        <w:rPr>
          <w:rStyle w:val="Zstupntext"/>
          <w:color w:val="auto"/>
        </w:rPr>
      </w:pPr>
    </w:p>
    <w:p w14:paraId="30C46B38" w14:textId="77777777" w:rsidR="00C145BC" w:rsidRPr="00607CBE" w:rsidRDefault="00C145BC" w:rsidP="00C145BC">
      <w:pPr>
        <w:jc w:val="both"/>
        <w:rPr>
          <w:rStyle w:val="Zstupntext"/>
          <w:color w:val="auto"/>
        </w:rPr>
      </w:pPr>
      <w:r w:rsidRPr="00607CBE">
        <w:rPr>
          <w:rStyle w:val="Zstupntext"/>
          <w:color w:val="auto"/>
        </w:rPr>
        <w:lastRenderedPageBreak/>
        <w:t>§ 39za</w:t>
      </w:r>
    </w:p>
    <w:p w14:paraId="7A5209C6" w14:textId="77777777" w:rsidR="00C145BC" w:rsidRPr="00607CBE" w:rsidRDefault="00C145BC" w:rsidP="00C145BC">
      <w:pPr>
        <w:jc w:val="both"/>
        <w:rPr>
          <w:rStyle w:val="Zstupntext"/>
          <w:color w:val="auto"/>
        </w:rPr>
      </w:pPr>
      <w:r w:rsidRPr="00607CBE">
        <w:rPr>
          <w:rStyle w:val="Zstupntext"/>
          <w:color w:val="auto"/>
        </w:rPr>
        <w:t>V súlade s čl. 48g smernice (EÚ) 2021/2101 sa navrhuje, aby sa ustanovenia týkajúce sa správy s informáciami o dani z príjmov prvýkrát uplatnili pri ukladaní takejto správy za účtovné obdobie začínajúce 22. júna 2024 a neskôr. Zároveň sa dopĺňajú  prechodné ustanovenia týkajúce sa porušení povinností súvisiacich so správou s informáciami o dani z príjmov.</w:t>
      </w:r>
    </w:p>
    <w:p w14:paraId="384DE73E" w14:textId="77777777" w:rsidR="00C145BC" w:rsidRPr="00607CBE" w:rsidRDefault="00C145BC" w:rsidP="00C145BC">
      <w:pPr>
        <w:jc w:val="both"/>
        <w:rPr>
          <w:rStyle w:val="Zstupntext"/>
          <w:color w:val="auto"/>
        </w:rPr>
      </w:pPr>
    </w:p>
    <w:p w14:paraId="1FAD082C" w14:textId="77777777" w:rsidR="00C145BC" w:rsidRPr="00607CBE" w:rsidRDefault="00C145BC" w:rsidP="00C145BC">
      <w:pPr>
        <w:jc w:val="both"/>
        <w:rPr>
          <w:rStyle w:val="Zstupntext"/>
          <w:b/>
          <w:color w:val="auto"/>
        </w:rPr>
      </w:pPr>
      <w:r w:rsidRPr="00607CBE">
        <w:rPr>
          <w:rStyle w:val="Zstupntext"/>
          <w:b/>
          <w:color w:val="auto"/>
        </w:rPr>
        <w:t>K bodu 32</w:t>
      </w:r>
    </w:p>
    <w:p w14:paraId="4C1F40DF" w14:textId="77777777" w:rsidR="00C145BC" w:rsidRPr="00607CBE" w:rsidRDefault="00C145BC" w:rsidP="00C145BC">
      <w:pPr>
        <w:jc w:val="both"/>
        <w:rPr>
          <w:rStyle w:val="Zstupntext"/>
          <w:color w:val="auto"/>
        </w:rPr>
      </w:pPr>
      <w:r w:rsidRPr="00607CBE">
        <w:rPr>
          <w:rStyle w:val="Zstupntext"/>
          <w:color w:val="auto"/>
        </w:rPr>
        <w:t>Transpozičná príloha sa dopĺňa o novú smernicu (EÚ) 2021/2101.</w:t>
      </w:r>
    </w:p>
    <w:p w14:paraId="66089063" w14:textId="77777777" w:rsidR="00C145BC" w:rsidRPr="00607CBE" w:rsidRDefault="00C145BC" w:rsidP="00C145BC">
      <w:pPr>
        <w:pStyle w:val="Odsekzoznamu"/>
        <w:tabs>
          <w:tab w:val="left" w:pos="1701"/>
        </w:tabs>
        <w:ind w:left="0"/>
        <w:contextualSpacing w:val="0"/>
        <w:jc w:val="both"/>
        <w:rPr>
          <w:rStyle w:val="Zstupntext"/>
          <w:b/>
          <w:color w:val="auto"/>
        </w:rPr>
      </w:pPr>
    </w:p>
    <w:p w14:paraId="71981CF3" w14:textId="77777777" w:rsidR="00C145BC" w:rsidRPr="00607CBE" w:rsidRDefault="00C145BC" w:rsidP="00C145BC">
      <w:pPr>
        <w:pStyle w:val="Odsekzoznamu"/>
        <w:tabs>
          <w:tab w:val="left" w:pos="1701"/>
        </w:tabs>
        <w:ind w:left="0"/>
        <w:contextualSpacing w:val="0"/>
        <w:jc w:val="both"/>
        <w:rPr>
          <w:rStyle w:val="Zstupntext"/>
          <w:b/>
          <w:color w:val="auto"/>
        </w:rPr>
      </w:pPr>
      <w:r w:rsidRPr="00607CBE">
        <w:rPr>
          <w:rStyle w:val="Zstupntext"/>
          <w:b/>
          <w:color w:val="auto"/>
        </w:rPr>
        <w:t xml:space="preserve">K čl. II </w:t>
      </w:r>
      <w:r w:rsidRPr="00607CBE">
        <w:rPr>
          <w:rStyle w:val="Zstupntext"/>
          <w:color w:val="auto"/>
        </w:rPr>
        <w:t>(zákon č. 513/1991 Zb.)</w:t>
      </w:r>
    </w:p>
    <w:p w14:paraId="739B8132" w14:textId="77777777" w:rsidR="00C145BC" w:rsidRPr="00607CBE" w:rsidRDefault="00C145BC" w:rsidP="00C145BC">
      <w:pPr>
        <w:pStyle w:val="Odsekzoznamu"/>
        <w:tabs>
          <w:tab w:val="left" w:pos="1701"/>
        </w:tabs>
        <w:ind w:left="0"/>
        <w:contextualSpacing w:val="0"/>
        <w:jc w:val="both"/>
        <w:rPr>
          <w:rStyle w:val="Zstupntext"/>
          <w:color w:val="auto"/>
        </w:rPr>
      </w:pPr>
      <w:r w:rsidRPr="00607CBE">
        <w:rPr>
          <w:rStyle w:val="Zstupntext"/>
          <w:color w:val="auto"/>
        </w:rPr>
        <w:t>Navrhovanými ustanoveniami sa transponuje čl. 48e ods. 1 smernice (EÚ) 2021/2101, čím sa kolektívna zodpovednosť rozširuje o povinnosti vyhotoviť a uložiť správu s informáciami o dani z príjmov, ktoré vyplývajú z navrhovanej novely zákona o účtovníctve (§ 21a  a  § 21e). Zároveň sa upravuje aj transpozičná príloha.</w:t>
      </w:r>
    </w:p>
    <w:p w14:paraId="2FB86329" w14:textId="77777777" w:rsidR="00C145BC" w:rsidRPr="00607CBE" w:rsidRDefault="00C145BC" w:rsidP="00C145BC">
      <w:pPr>
        <w:pStyle w:val="Odsekzoznamu"/>
        <w:tabs>
          <w:tab w:val="left" w:pos="1701"/>
        </w:tabs>
        <w:ind w:left="0"/>
        <w:contextualSpacing w:val="0"/>
        <w:jc w:val="both"/>
        <w:rPr>
          <w:rStyle w:val="Zstupntext"/>
          <w:b/>
          <w:color w:val="auto"/>
        </w:rPr>
      </w:pPr>
    </w:p>
    <w:p w14:paraId="4FC0E972" w14:textId="77777777" w:rsidR="00C145BC" w:rsidRPr="00607CBE" w:rsidRDefault="00C145BC" w:rsidP="00C145BC">
      <w:pPr>
        <w:pStyle w:val="Odsekzoznamu"/>
        <w:tabs>
          <w:tab w:val="left" w:pos="1701"/>
        </w:tabs>
        <w:ind w:left="0"/>
        <w:contextualSpacing w:val="0"/>
        <w:jc w:val="both"/>
        <w:rPr>
          <w:rStyle w:val="Zstupntext"/>
          <w:b/>
          <w:color w:val="auto"/>
        </w:rPr>
      </w:pPr>
      <w:r w:rsidRPr="00607CBE">
        <w:rPr>
          <w:rStyle w:val="Zstupntext"/>
          <w:b/>
          <w:color w:val="auto"/>
        </w:rPr>
        <w:t>K čl. III</w:t>
      </w:r>
    </w:p>
    <w:p w14:paraId="36C8942E" w14:textId="77777777" w:rsidR="00C145BC" w:rsidRPr="00607CBE" w:rsidRDefault="00C145BC" w:rsidP="00C145BC">
      <w:pPr>
        <w:pStyle w:val="Odsekzoznamu"/>
        <w:tabs>
          <w:tab w:val="left" w:pos="1701"/>
        </w:tabs>
        <w:ind w:left="0"/>
        <w:contextualSpacing w:val="0"/>
        <w:jc w:val="both"/>
        <w:rPr>
          <w:rStyle w:val="Zstupntext"/>
          <w:b/>
          <w:color w:val="auto"/>
        </w:rPr>
      </w:pPr>
      <w:r w:rsidRPr="00607CBE">
        <w:rPr>
          <w:rStyle w:val="Zstupntext"/>
          <w:color w:val="auto"/>
        </w:rPr>
        <w:t>Navrhuje sa delená účinnosť zákona. Pre novelizačné body čl. I a novelizačné body čl. II, ktorými sa transponuje smernica (EÚ) 2021/2101, sa v súlade s transpozičnou lehotou navrhuje účinnosť od 22. júna 2023. Najskoršia účinnosť 31. decembra 2022 sa navrhuje pre novelizačné body čl. I, ktoré predstavujú pre dotknuté účtovné jednotky zníženie ich administratívnej záťaže. Ostatné novelizačné body  čl. I nadobúdajú účinnosť 1. januára 2023.</w:t>
      </w:r>
    </w:p>
    <w:p w14:paraId="47E9736A" w14:textId="77777777" w:rsidR="00C145BC" w:rsidRPr="00607CBE" w:rsidRDefault="00C145BC" w:rsidP="00C145BC">
      <w:pPr>
        <w:pStyle w:val="Normlnywebov"/>
        <w:spacing w:before="0" w:beforeAutospacing="0" w:after="120" w:afterAutospacing="0"/>
        <w:ind w:firstLine="709"/>
        <w:jc w:val="both"/>
      </w:pPr>
    </w:p>
    <w:p w14:paraId="47BAA765" w14:textId="2A938DE1" w:rsidR="00C145BC" w:rsidRDefault="00607CBE" w:rsidP="00607CBE">
      <w:pPr>
        <w:pStyle w:val="Normlnywebov"/>
        <w:spacing w:before="0" w:beforeAutospacing="0" w:after="120" w:afterAutospacing="0"/>
        <w:jc w:val="both"/>
      </w:pPr>
      <w:r>
        <w:t>Bratislava 2</w:t>
      </w:r>
      <w:r w:rsidR="009A0A03">
        <w:t>5</w:t>
      </w:r>
      <w:r>
        <w:t>. augusta 2022</w:t>
      </w:r>
    </w:p>
    <w:p w14:paraId="44D0D668" w14:textId="77777777" w:rsidR="00607CBE" w:rsidRDefault="00607CBE" w:rsidP="00607CBE">
      <w:pPr>
        <w:pStyle w:val="Normlnywebov"/>
        <w:spacing w:before="0" w:beforeAutospacing="0" w:after="120" w:afterAutospacing="0"/>
        <w:jc w:val="both"/>
      </w:pPr>
    </w:p>
    <w:p w14:paraId="0E394F4E" w14:textId="77777777" w:rsidR="00607CBE" w:rsidRDefault="00607CBE" w:rsidP="00607CBE">
      <w:pPr>
        <w:pStyle w:val="Normlnywebov"/>
        <w:spacing w:before="0" w:beforeAutospacing="0" w:after="120" w:afterAutospacing="0"/>
        <w:jc w:val="both"/>
      </w:pPr>
    </w:p>
    <w:p w14:paraId="12894268" w14:textId="77777777" w:rsidR="007F1D75" w:rsidRDefault="007F1D75" w:rsidP="00607CBE">
      <w:pPr>
        <w:pStyle w:val="Normlnywebov"/>
        <w:spacing w:before="0" w:beforeAutospacing="0" w:after="120" w:afterAutospacing="0"/>
        <w:jc w:val="both"/>
      </w:pPr>
    </w:p>
    <w:p w14:paraId="6E64E80B" w14:textId="77777777" w:rsidR="00607CBE" w:rsidRDefault="00607CBE" w:rsidP="00607CBE">
      <w:pPr>
        <w:pStyle w:val="Normlnywebov"/>
        <w:spacing w:before="0" w:beforeAutospacing="0" w:after="120" w:afterAutospacing="0"/>
        <w:jc w:val="both"/>
      </w:pPr>
    </w:p>
    <w:p w14:paraId="47A426EC" w14:textId="04BBF068" w:rsidR="00607CBE" w:rsidRPr="00607CBE" w:rsidRDefault="00607CBE" w:rsidP="00607CBE">
      <w:pPr>
        <w:pStyle w:val="Normlnywebov"/>
        <w:spacing w:before="0" w:beforeAutospacing="0" w:after="120" w:afterAutospacing="0"/>
        <w:jc w:val="center"/>
        <w:rPr>
          <w:b/>
        </w:rPr>
      </w:pPr>
      <w:r w:rsidRPr="00607CBE">
        <w:rPr>
          <w:b/>
        </w:rPr>
        <w:t xml:space="preserve">Eduard </w:t>
      </w:r>
      <w:proofErr w:type="spellStart"/>
      <w:r w:rsidRPr="00607CBE">
        <w:rPr>
          <w:b/>
        </w:rPr>
        <w:t>Heger</w:t>
      </w:r>
      <w:proofErr w:type="spellEnd"/>
      <w:r w:rsidR="00010609">
        <w:rPr>
          <w:b/>
        </w:rPr>
        <w:t xml:space="preserve"> </w:t>
      </w:r>
      <w:r w:rsidR="0057046A">
        <w:rPr>
          <w:b/>
        </w:rPr>
        <w:t>v. r.</w:t>
      </w:r>
    </w:p>
    <w:p w14:paraId="7F75FF6D" w14:textId="66FF46EB" w:rsidR="00607CBE" w:rsidRPr="00607CBE" w:rsidRDefault="00607CBE" w:rsidP="00607CBE">
      <w:pPr>
        <w:pStyle w:val="Normlnywebov"/>
        <w:spacing w:before="0" w:beforeAutospacing="0" w:after="120" w:afterAutospacing="0"/>
        <w:jc w:val="center"/>
      </w:pPr>
      <w:r>
        <w:t>predseda vlády Slovenskej republiky</w:t>
      </w:r>
    </w:p>
    <w:p w14:paraId="5EB4AE46" w14:textId="77777777" w:rsidR="00C145BC" w:rsidRDefault="00C145BC" w:rsidP="00C145BC">
      <w:pPr>
        <w:pStyle w:val="Normlnywebov"/>
        <w:spacing w:before="0" w:beforeAutospacing="0" w:after="120" w:afterAutospacing="0"/>
        <w:ind w:firstLine="709"/>
        <w:jc w:val="both"/>
      </w:pPr>
    </w:p>
    <w:p w14:paraId="2F807713" w14:textId="77777777" w:rsidR="00607CBE" w:rsidRDefault="00607CBE" w:rsidP="00C145BC">
      <w:pPr>
        <w:pStyle w:val="Normlnywebov"/>
        <w:spacing w:before="0" w:beforeAutospacing="0" w:after="120" w:afterAutospacing="0"/>
        <w:ind w:firstLine="709"/>
        <w:jc w:val="both"/>
      </w:pPr>
    </w:p>
    <w:p w14:paraId="74981A72" w14:textId="77777777" w:rsidR="00607CBE" w:rsidRDefault="00607CBE" w:rsidP="00C145BC">
      <w:pPr>
        <w:pStyle w:val="Normlnywebov"/>
        <w:spacing w:before="0" w:beforeAutospacing="0" w:after="120" w:afterAutospacing="0"/>
        <w:ind w:firstLine="709"/>
        <w:jc w:val="both"/>
      </w:pPr>
    </w:p>
    <w:p w14:paraId="6A5095C3" w14:textId="77777777" w:rsidR="00607CBE" w:rsidRDefault="00607CBE" w:rsidP="00C145BC">
      <w:pPr>
        <w:pStyle w:val="Normlnywebov"/>
        <w:spacing w:before="0" w:beforeAutospacing="0" w:after="120" w:afterAutospacing="0"/>
        <w:ind w:firstLine="709"/>
        <w:jc w:val="both"/>
      </w:pPr>
    </w:p>
    <w:p w14:paraId="308E455D" w14:textId="39026F11" w:rsidR="00607CBE" w:rsidRPr="00607CBE" w:rsidRDefault="00607CBE" w:rsidP="00607CBE">
      <w:pPr>
        <w:pStyle w:val="Normlnywebov"/>
        <w:spacing w:before="0" w:beforeAutospacing="0" w:after="120" w:afterAutospacing="0"/>
        <w:jc w:val="center"/>
        <w:rPr>
          <w:b/>
        </w:rPr>
      </w:pPr>
      <w:r w:rsidRPr="00607CBE">
        <w:rPr>
          <w:b/>
        </w:rPr>
        <w:t>Igor Matovič</w:t>
      </w:r>
      <w:r w:rsidR="00010609">
        <w:rPr>
          <w:b/>
        </w:rPr>
        <w:t xml:space="preserve"> </w:t>
      </w:r>
      <w:r w:rsidR="0057046A">
        <w:rPr>
          <w:b/>
        </w:rPr>
        <w:t>v. r.</w:t>
      </w:r>
      <w:bookmarkStart w:id="2" w:name="_GoBack"/>
      <w:bookmarkEnd w:id="2"/>
    </w:p>
    <w:p w14:paraId="0DE70C1F" w14:textId="6C5C644B" w:rsidR="00607CBE" w:rsidRDefault="00607CBE" w:rsidP="00607CBE">
      <w:pPr>
        <w:pStyle w:val="Normlnywebov"/>
        <w:spacing w:before="0" w:beforeAutospacing="0" w:after="120" w:afterAutospacing="0"/>
        <w:jc w:val="center"/>
      </w:pPr>
      <w:r>
        <w:t>podpredseda vlády a minister financií Slovenskej republiky</w:t>
      </w:r>
    </w:p>
    <w:p w14:paraId="09C30F4A" w14:textId="77777777" w:rsidR="00CB5B45" w:rsidRPr="00607CBE" w:rsidRDefault="00CB5B45" w:rsidP="00607CBE">
      <w:pPr>
        <w:pStyle w:val="Normlnywebov"/>
        <w:spacing w:before="0" w:beforeAutospacing="0" w:after="120" w:afterAutospacing="0"/>
        <w:jc w:val="center"/>
      </w:pPr>
    </w:p>
    <w:p w14:paraId="74C5DEF1" w14:textId="77777777" w:rsidR="00C145BC" w:rsidRPr="00607CBE" w:rsidRDefault="00C145BC"/>
    <w:p w14:paraId="4746D1E0" w14:textId="77777777" w:rsidR="00861281" w:rsidRPr="00607CBE" w:rsidRDefault="00861281"/>
    <w:sectPr w:rsidR="00861281" w:rsidRPr="00607CBE" w:rsidSect="00C145BC">
      <w:pgSz w:w="11906" w:h="16838"/>
      <w:pgMar w:top="1418"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0C48" w16cex:dateUtc="2022-01-07T06:55:00Z"/>
  <w16cex:commentExtensible w16cex:durableId="25880C49" w16cex:dateUtc="2022-01-07T12:50:00Z"/>
  <w16cex:commentExtensible w16cex:durableId="258810B7" w16cex:dateUtc="2022-01-11T13:20:00Z"/>
  <w16cex:commentExtensible w16cex:durableId="258810CB" w16cex:dateUtc="2022-01-11T1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1790F7" w16cid:durableId="25880C48"/>
  <w16cid:commentId w16cid:paraId="1DD45220" w16cid:durableId="25880C49"/>
  <w16cid:commentId w16cid:paraId="5D0B2B2F" w16cid:durableId="258810B7"/>
  <w16cid:commentId w16cid:paraId="2A2D94AD" w16cid:durableId="258810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0ECBF" w14:textId="77777777" w:rsidR="003A73D9" w:rsidRDefault="003A73D9" w:rsidP="004905FD">
      <w:r>
        <w:separator/>
      </w:r>
    </w:p>
  </w:endnote>
  <w:endnote w:type="continuationSeparator" w:id="0">
    <w:p w14:paraId="3EDD95FE" w14:textId="77777777" w:rsidR="003A73D9" w:rsidRDefault="003A73D9" w:rsidP="0049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9DD91" w14:textId="77777777" w:rsidR="00244950" w:rsidRDefault="0024495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14:paraId="5FD5C217" w14:textId="77777777" w:rsidR="00244950" w:rsidRDefault="00244950">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A8989" w14:textId="77777777" w:rsidR="00244950" w:rsidRDefault="00244950">
    <w:pPr>
      <w:pStyle w:val="Pta"/>
      <w:jc w:val="right"/>
    </w:pPr>
    <w:r>
      <w:fldChar w:fldCharType="begin"/>
    </w:r>
    <w:r>
      <w:instrText>PAGE   \* MERGEFORMAT</w:instrText>
    </w:r>
    <w:r>
      <w:fldChar w:fldCharType="separate"/>
    </w:r>
    <w:r w:rsidR="0057046A">
      <w:rPr>
        <w:noProof/>
      </w:rPr>
      <w:t>11</w:t>
    </w:r>
    <w:r>
      <w:fldChar w:fldCharType="end"/>
    </w:r>
  </w:p>
  <w:p w14:paraId="571B04F7" w14:textId="77777777" w:rsidR="00244950" w:rsidRDefault="00244950">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DB61" w14:textId="77777777" w:rsidR="00244950" w:rsidRDefault="00244950">
    <w:pPr>
      <w:pStyle w:val="Pta"/>
      <w:jc w:val="right"/>
    </w:pPr>
    <w:r>
      <w:fldChar w:fldCharType="begin"/>
    </w:r>
    <w:r>
      <w:instrText>PAGE   \* MERGEFORMAT</w:instrText>
    </w:r>
    <w:r>
      <w:fldChar w:fldCharType="separate"/>
    </w:r>
    <w:r>
      <w:rPr>
        <w:noProof/>
      </w:rPr>
      <w:t>0</w:t>
    </w:r>
    <w:r>
      <w:fldChar w:fldCharType="end"/>
    </w:r>
  </w:p>
  <w:p w14:paraId="5085EA6F" w14:textId="77777777" w:rsidR="00244950" w:rsidRDefault="00244950">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350114"/>
      <w:docPartObj>
        <w:docPartGallery w:val="Page Numbers (Bottom of Page)"/>
        <w:docPartUnique/>
      </w:docPartObj>
    </w:sdtPr>
    <w:sdtEndPr/>
    <w:sdtContent>
      <w:p w14:paraId="00C862D4" w14:textId="3F72E132" w:rsidR="00244950" w:rsidRDefault="00244950">
        <w:pPr>
          <w:pStyle w:val="Pta"/>
          <w:jc w:val="right"/>
        </w:pPr>
        <w:r>
          <w:fldChar w:fldCharType="begin"/>
        </w:r>
        <w:r>
          <w:instrText>PAGE   \* MERGEFORMAT</w:instrText>
        </w:r>
        <w:r>
          <w:fldChar w:fldCharType="separate"/>
        </w:r>
        <w:r w:rsidR="0057046A">
          <w:rPr>
            <w:noProof/>
          </w:rPr>
          <w:t>14</w:t>
        </w:r>
        <w:r>
          <w:fldChar w:fldCharType="end"/>
        </w:r>
      </w:p>
    </w:sdtContent>
  </w:sdt>
  <w:p w14:paraId="4455D123" w14:textId="77777777" w:rsidR="00244950" w:rsidRDefault="00244950">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893166"/>
      <w:docPartObj>
        <w:docPartGallery w:val="Page Numbers (Bottom of Page)"/>
        <w:docPartUnique/>
      </w:docPartObj>
    </w:sdtPr>
    <w:sdtEndPr/>
    <w:sdtContent>
      <w:p w14:paraId="3C89EDBC" w14:textId="40F8BE2D" w:rsidR="00244950" w:rsidRDefault="00244950">
        <w:pPr>
          <w:pStyle w:val="Pta"/>
          <w:jc w:val="right"/>
        </w:pPr>
        <w:r>
          <w:fldChar w:fldCharType="begin"/>
        </w:r>
        <w:r>
          <w:instrText>PAGE   \* MERGEFORMAT</w:instrText>
        </w:r>
        <w:r>
          <w:fldChar w:fldCharType="separate"/>
        </w:r>
        <w:r w:rsidR="0057046A">
          <w:rPr>
            <w:noProof/>
          </w:rPr>
          <w:t>16</w:t>
        </w:r>
        <w:r>
          <w:fldChar w:fldCharType="end"/>
        </w:r>
      </w:p>
    </w:sdtContent>
  </w:sdt>
  <w:p w14:paraId="5E6C4720" w14:textId="77777777" w:rsidR="00244950" w:rsidRDefault="00244950">
    <w:pPr>
      <w:pStyle w:val="Pt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9664369"/>
      <w:docPartObj>
        <w:docPartGallery w:val="Page Numbers (Bottom of Page)"/>
        <w:docPartUnique/>
      </w:docPartObj>
    </w:sdtPr>
    <w:sdtEndPr/>
    <w:sdtContent>
      <w:p w14:paraId="67837E7C" w14:textId="77777777" w:rsidR="00244950" w:rsidRDefault="00244950">
        <w:pPr>
          <w:pStyle w:val="Pta"/>
          <w:jc w:val="right"/>
        </w:pPr>
        <w:r>
          <w:fldChar w:fldCharType="begin"/>
        </w:r>
        <w:r>
          <w:instrText>PAGE   \* MERGEFORMAT</w:instrText>
        </w:r>
        <w:r>
          <w:fldChar w:fldCharType="separate"/>
        </w:r>
        <w:r w:rsidR="0057046A">
          <w:rPr>
            <w:noProof/>
          </w:rPr>
          <w:t>30</w:t>
        </w:r>
        <w:r>
          <w:fldChar w:fldCharType="end"/>
        </w:r>
      </w:p>
    </w:sdtContent>
  </w:sdt>
  <w:p w14:paraId="3A985747" w14:textId="77777777" w:rsidR="00244950" w:rsidRDefault="0024495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BA048" w14:textId="77777777" w:rsidR="003A73D9" w:rsidRDefault="003A73D9" w:rsidP="004905FD">
      <w:r>
        <w:separator/>
      </w:r>
    </w:p>
  </w:footnote>
  <w:footnote w:type="continuationSeparator" w:id="0">
    <w:p w14:paraId="48E4193F" w14:textId="77777777" w:rsidR="003A73D9" w:rsidRDefault="003A73D9" w:rsidP="00490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AA03" w14:textId="77777777" w:rsidR="00244950" w:rsidRDefault="00244950" w:rsidP="00861281">
    <w:pPr>
      <w:pStyle w:val="Hlavika"/>
      <w:jc w:val="right"/>
    </w:pPr>
    <w:r>
      <w:t>Príloha č. 2</w:t>
    </w:r>
  </w:p>
  <w:p w14:paraId="1142EA4B" w14:textId="77777777" w:rsidR="00244950" w:rsidRPr="00EB59C8" w:rsidRDefault="00244950" w:rsidP="00861281">
    <w:pPr>
      <w:pStyle w:val="Hlavik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B5074" w14:textId="77777777" w:rsidR="00244950" w:rsidRPr="000A15AE" w:rsidRDefault="00244950" w:rsidP="00861281">
    <w:pPr>
      <w:pStyle w:val="Hlavika"/>
      <w:jc w:val="right"/>
    </w:pPr>
    <w:r>
      <w:t>Príloha č.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45B3" w14:textId="77777777" w:rsidR="00244950" w:rsidRPr="006045CB" w:rsidRDefault="00244950" w:rsidP="00607CBE">
    <w:pPr>
      <w:pStyle w:val="Hlavik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94C50" w14:textId="77777777" w:rsidR="00244950" w:rsidRPr="006045CB" w:rsidRDefault="00244950" w:rsidP="00607CB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F399A"/>
    <w:multiLevelType w:val="hybridMultilevel"/>
    <w:tmpl w:val="2C262342"/>
    <w:lvl w:ilvl="0" w:tplc="600623A0">
      <w:start w:val="6"/>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727A82"/>
    <w:multiLevelType w:val="hybridMultilevel"/>
    <w:tmpl w:val="3B663F68"/>
    <w:lvl w:ilvl="0" w:tplc="9604BF9A">
      <w:start w:val="3"/>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17794191"/>
    <w:multiLevelType w:val="hybridMultilevel"/>
    <w:tmpl w:val="889C51A8"/>
    <w:lvl w:ilvl="0" w:tplc="C44055BC">
      <w:numFmt w:val="bullet"/>
      <w:lvlText w:val="-"/>
      <w:lvlJc w:val="left"/>
      <w:pPr>
        <w:ind w:left="360" w:hanging="360"/>
      </w:pPr>
      <w:rPr>
        <w:rFonts w:ascii="Times New Roman" w:eastAsia="Calibri" w:hAnsi="Times New Roman" w:cs="Times New Roman"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cs="Courier New" w:hint="default"/>
      </w:rPr>
    </w:lvl>
    <w:lvl w:ilvl="8" w:tplc="041B0005">
      <w:start w:val="1"/>
      <w:numFmt w:val="bullet"/>
      <w:lvlText w:val=""/>
      <w:lvlJc w:val="left"/>
      <w:pPr>
        <w:ind w:left="6120" w:hanging="360"/>
      </w:pPr>
      <w:rPr>
        <w:rFonts w:ascii="Wingdings" w:hAnsi="Wingdings" w:hint="default"/>
      </w:rPr>
    </w:lvl>
  </w:abstractNum>
  <w:abstractNum w:abstractNumId="3" w15:restartNumberingAfterBreak="0">
    <w:nsid w:val="1A8E6991"/>
    <w:multiLevelType w:val="hybridMultilevel"/>
    <w:tmpl w:val="49C21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716B1"/>
    <w:multiLevelType w:val="hybridMultilevel"/>
    <w:tmpl w:val="5748F35C"/>
    <w:lvl w:ilvl="0" w:tplc="3D705E68">
      <w:start w:val="2"/>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5" w15:restartNumberingAfterBreak="0">
    <w:nsid w:val="40653335"/>
    <w:multiLevelType w:val="multilevel"/>
    <w:tmpl w:val="89842180"/>
    <w:lvl w:ilvl="0">
      <w:start w:val="1"/>
      <w:numFmt w:val="decimal"/>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3723E31"/>
    <w:multiLevelType w:val="hybridMultilevel"/>
    <w:tmpl w:val="BA7CB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77230B"/>
    <w:multiLevelType w:val="multilevel"/>
    <w:tmpl w:val="B8AE66F8"/>
    <w:lvl w:ilvl="0">
      <w:start w:val="2"/>
      <w:numFmt w:val="lowerLetter"/>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8" w15:restartNumberingAfterBreak="0">
    <w:nsid w:val="4E067BF5"/>
    <w:multiLevelType w:val="hybridMultilevel"/>
    <w:tmpl w:val="DAFA37DE"/>
    <w:lvl w:ilvl="0" w:tplc="041B0001">
      <w:start w:val="1"/>
      <w:numFmt w:val="bullet"/>
      <w:lvlText w:val=""/>
      <w:lvlJc w:val="left"/>
      <w:pPr>
        <w:ind w:left="1117" w:hanging="360"/>
      </w:pPr>
      <w:rPr>
        <w:rFonts w:ascii="Symbol" w:hAnsi="Symbol" w:hint="default"/>
      </w:rPr>
    </w:lvl>
    <w:lvl w:ilvl="1" w:tplc="041B0003" w:tentative="1">
      <w:start w:val="1"/>
      <w:numFmt w:val="bullet"/>
      <w:lvlText w:val="o"/>
      <w:lvlJc w:val="left"/>
      <w:pPr>
        <w:ind w:left="1837" w:hanging="360"/>
      </w:pPr>
      <w:rPr>
        <w:rFonts w:ascii="Courier New" w:hAnsi="Courier New" w:hint="default"/>
      </w:rPr>
    </w:lvl>
    <w:lvl w:ilvl="2" w:tplc="041B0005" w:tentative="1">
      <w:start w:val="1"/>
      <w:numFmt w:val="bullet"/>
      <w:lvlText w:val=""/>
      <w:lvlJc w:val="left"/>
      <w:pPr>
        <w:ind w:left="2557" w:hanging="360"/>
      </w:pPr>
      <w:rPr>
        <w:rFonts w:ascii="Wingdings" w:hAnsi="Wingdings" w:hint="default"/>
      </w:rPr>
    </w:lvl>
    <w:lvl w:ilvl="3" w:tplc="041B0001" w:tentative="1">
      <w:start w:val="1"/>
      <w:numFmt w:val="bullet"/>
      <w:lvlText w:val=""/>
      <w:lvlJc w:val="left"/>
      <w:pPr>
        <w:ind w:left="3277" w:hanging="360"/>
      </w:pPr>
      <w:rPr>
        <w:rFonts w:ascii="Symbol" w:hAnsi="Symbol" w:hint="default"/>
      </w:rPr>
    </w:lvl>
    <w:lvl w:ilvl="4" w:tplc="041B0003" w:tentative="1">
      <w:start w:val="1"/>
      <w:numFmt w:val="bullet"/>
      <w:lvlText w:val="o"/>
      <w:lvlJc w:val="left"/>
      <w:pPr>
        <w:ind w:left="3997" w:hanging="360"/>
      </w:pPr>
      <w:rPr>
        <w:rFonts w:ascii="Courier New" w:hAnsi="Courier New" w:hint="default"/>
      </w:rPr>
    </w:lvl>
    <w:lvl w:ilvl="5" w:tplc="041B0005" w:tentative="1">
      <w:start w:val="1"/>
      <w:numFmt w:val="bullet"/>
      <w:lvlText w:val=""/>
      <w:lvlJc w:val="left"/>
      <w:pPr>
        <w:ind w:left="4717" w:hanging="360"/>
      </w:pPr>
      <w:rPr>
        <w:rFonts w:ascii="Wingdings" w:hAnsi="Wingdings" w:hint="default"/>
      </w:rPr>
    </w:lvl>
    <w:lvl w:ilvl="6" w:tplc="041B0001" w:tentative="1">
      <w:start w:val="1"/>
      <w:numFmt w:val="bullet"/>
      <w:lvlText w:val=""/>
      <w:lvlJc w:val="left"/>
      <w:pPr>
        <w:ind w:left="5437" w:hanging="360"/>
      </w:pPr>
      <w:rPr>
        <w:rFonts w:ascii="Symbol" w:hAnsi="Symbol" w:hint="default"/>
      </w:rPr>
    </w:lvl>
    <w:lvl w:ilvl="7" w:tplc="041B0003" w:tentative="1">
      <w:start w:val="1"/>
      <w:numFmt w:val="bullet"/>
      <w:lvlText w:val="o"/>
      <w:lvlJc w:val="left"/>
      <w:pPr>
        <w:ind w:left="6157" w:hanging="360"/>
      </w:pPr>
      <w:rPr>
        <w:rFonts w:ascii="Courier New" w:hAnsi="Courier New" w:hint="default"/>
      </w:rPr>
    </w:lvl>
    <w:lvl w:ilvl="8" w:tplc="041B0005" w:tentative="1">
      <w:start w:val="1"/>
      <w:numFmt w:val="bullet"/>
      <w:lvlText w:val=""/>
      <w:lvlJc w:val="left"/>
      <w:pPr>
        <w:ind w:left="6877" w:hanging="360"/>
      </w:pPr>
      <w:rPr>
        <w:rFonts w:ascii="Wingdings" w:hAnsi="Wingdings" w:hint="default"/>
      </w:rPr>
    </w:lvl>
  </w:abstractNum>
  <w:abstractNum w:abstractNumId="9" w15:restartNumberingAfterBreak="0">
    <w:nsid w:val="57B27F5D"/>
    <w:multiLevelType w:val="hybridMultilevel"/>
    <w:tmpl w:val="D7B0FDA0"/>
    <w:lvl w:ilvl="0" w:tplc="E3A0330C">
      <w:start w:val="3"/>
      <w:numFmt w:val="lowerLetter"/>
      <w:lvlText w:val="%1)"/>
      <w:lvlJc w:val="left"/>
      <w:pPr>
        <w:tabs>
          <w:tab w:val="num" w:pos="757"/>
        </w:tabs>
        <w:ind w:left="75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C9B77D4"/>
    <w:multiLevelType w:val="multilevel"/>
    <w:tmpl w:val="9B6C2164"/>
    <w:lvl w:ilvl="0">
      <w:start w:val="4"/>
      <w:numFmt w:val="decimal"/>
      <w:lvlText w:val="%1."/>
      <w:lvlJc w:val="left"/>
      <w:pPr>
        <w:tabs>
          <w:tab w:val="num" w:pos="0"/>
        </w:tabs>
        <w:ind w:left="425" w:hanging="425"/>
      </w:pPr>
      <w:rPr>
        <w:rFonts w:cs="Times New Roman" w:hint="default"/>
        <w:b/>
        <w:bCs/>
      </w:rPr>
    </w:lvl>
    <w:lvl w:ilvl="1">
      <w:start w:val="1"/>
      <w:numFmt w:val="lowerLetter"/>
      <w:lvlText w:val="%2)"/>
      <w:lvlJc w:val="left"/>
      <w:pPr>
        <w:tabs>
          <w:tab w:val="num" w:pos="397"/>
        </w:tabs>
        <w:ind w:left="850" w:hanging="425"/>
      </w:pPr>
      <w:rPr>
        <w:rFonts w:cs="Times New Roman" w:hint="default"/>
      </w:rPr>
    </w:lvl>
    <w:lvl w:ilvl="2">
      <w:start w:val="1"/>
      <w:numFmt w:val="decimal"/>
      <w:lvlText w:val="%3.)"/>
      <w:lvlJc w:val="left"/>
      <w:pPr>
        <w:tabs>
          <w:tab w:val="num" w:pos="0"/>
        </w:tabs>
        <w:ind w:left="1275" w:hanging="425"/>
      </w:pPr>
      <w:rPr>
        <w:rFonts w:cs="Times New Roman" w:hint="default"/>
      </w:rPr>
    </w:lvl>
    <w:lvl w:ilvl="3">
      <w:start w:val="1"/>
      <w:numFmt w:val="lowerLetter"/>
      <w:lvlText w:val="%4)"/>
      <w:lvlJc w:val="left"/>
      <w:pPr>
        <w:tabs>
          <w:tab w:val="num" w:pos="0"/>
        </w:tabs>
        <w:ind w:left="1983" w:hanging="708"/>
      </w:pPr>
      <w:rPr>
        <w:rFonts w:cs="Times New Roman" w:hint="default"/>
      </w:rPr>
    </w:lvl>
    <w:lvl w:ilvl="4">
      <w:start w:val="1"/>
      <w:numFmt w:val="decimal"/>
      <w:lvlText w:val="(%5)"/>
      <w:lvlJc w:val="left"/>
      <w:pPr>
        <w:tabs>
          <w:tab w:val="num" w:pos="0"/>
        </w:tabs>
        <w:ind w:left="2691" w:hanging="708"/>
      </w:pPr>
      <w:rPr>
        <w:rFonts w:cs="Times New Roman" w:hint="default"/>
      </w:rPr>
    </w:lvl>
    <w:lvl w:ilvl="5">
      <w:start w:val="1"/>
      <w:numFmt w:val="lowerLetter"/>
      <w:lvlText w:val="(%6)"/>
      <w:lvlJc w:val="left"/>
      <w:pPr>
        <w:tabs>
          <w:tab w:val="num" w:pos="0"/>
        </w:tabs>
        <w:ind w:left="3399" w:hanging="708"/>
      </w:pPr>
      <w:rPr>
        <w:rFonts w:cs="Times New Roman" w:hint="default"/>
      </w:rPr>
    </w:lvl>
    <w:lvl w:ilvl="6">
      <w:start w:val="1"/>
      <w:numFmt w:val="lowerRoman"/>
      <w:lvlText w:val="(%7)"/>
      <w:lvlJc w:val="left"/>
      <w:pPr>
        <w:tabs>
          <w:tab w:val="num" w:pos="0"/>
        </w:tabs>
        <w:ind w:left="4107" w:hanging="708"/>
      </w:pPr>
      <w:rPr>
        <w:rFonts w:cs="Times New Roman" w:hint="default"/>
      </w:rPr>
    </w:lvl>
    <w:lvl w:ilvl="7">
      <w:start w:val="1"/>
      <w:numFmt w:val="lowerLetter"/>
      <w:lvlText w:val="(%8)"/>
      <w:lvlJc w:val="left"/>
      <w:pPr>
        <w:tabs>
          <w:tab w:val="num" w:pos="0"/>
        </w:tabs>
        <w:ind w:left="4815" w:hanging="708"/>
      </w:pPr>
      <w:rPr>
        <w:rFonts w:cs="Times New Roman" w:hint="default"/>
      </w:rPr>
    </w:lvl>
    <w:lvl w:ilvl="8">
      <w:start w:val="1"/>
      <w:numFmt w:val="lowerRoman"/>
      <w:lvlText w:val="(%9)"/>
      <w:lvlJc w:val="left"/>
      <w:pPr>
        <w:tabs>
          <w:tab w:val="num" w:pos="0"/>
        </w:tabs>
        <w:ind w:left="5523" w:hanging="708"/>
      </w:pPr>
      <w:rPr>
        <w:rFonts w:cs="Times New Roman" w:hint="default"/>
      </w:rPr>
    </w:lvl>
  </w:abstractNum>
  <w:abstractNum w:abstractNumId="12" w15:restartNumberingAfterBreak="0">
    <w:nsid w:val="5D0B44FF"/>
    <w:multiLevelType w:val="hybridMultilevel"/>
    <w:tmpl w:val="38349D9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B625AE5"/>
    <w:multiLevelType w:val="singleLevel"/>
    <w:tmpl w:val="422ABF2A"/>
    <w:lvl w:ilvl="0">
      <w:start w:val="1"/>
      <w:numFmt w:val="decimal"/>
      <w:lvlText w:val="%1."/>
      <w:lvlJc w:val="left"/>
      <w:pPr>
        <w:tabs>
          <w:tab w:val="num" w:pos="360"/>
        </w:tabs>
        <w:ind w:left="360" w:hanging="360"/>
      </w:pPr>
      <w:rPr>
        <w:rFonts w:cs="Times New Roman" w:hint="default"/>
      </w:rPr>
    </w:lvl>
  </w:abstractNum>
  <w:abstractNum w:abstractNumId="14" w15:restartNumberingAfterBreak="0">
    <w:nsid w:val="76031A77"/>
    <w:multiLevelType w:val="hybridMultilevel"/>
    <w:tmpl w:val="B15A6F0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7BDE54EF"/>
    <w:multiLevelType w:val="hybridMultilevel"/>
    <w:tmpl w:val="D700D3B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7F721CE8"/>
    <w:multiLevelType w:val="hybridMultilevel"/>
    <w:tmpl w:val="17824640"/>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15"/>
  </w:num>
  <w:num w:numId="2">
    <w:abstractNumId w:val="3"/>
  </w:num>
  <w:num w:numId="3">
    <w:abstractNumId w:val="6"/>
  </w:num>
  <w:num w:numId="4">
    <w:abstractNumId w:val="14"/>
  </w:num>
  <w:num w:numId="5">
    <w:abstractNumId w:val="5"/>
  </w:num>
  <w:num w:numId="6">
    <w:abstractNumId w:val="0"/>
  </w:num>
  <w:num w:numId="7">
    <w:abstractNumId w:val="2"/>
  </w:num>
  <w:num w:numId="8">
    <w:abstractNumId w:val="13"/>
  </w:num>
  <w:num w:numId="9">
    <w:abstractNumId w:val="11"/>
  </w:num>
  <w:num w:numId="10">
    <w:abstractNumId w:val="7"/>
  </w:num>
  <w:num w:numId="11">
    <w:abstractNumId w:val="8"/>
  </w:num>
  <w:num w:numId="12">
    <w:abstractNumId w:val="12"/>
  </w:num>
  <w:num w:numId="13">
    <w:abstractNumId w:val="9"/>
  </w:num>
  <w:num w:numId="14">
    <w:abstractNumId w:val="1"/>
  </w:num>
  <w:num w:numId="15">
    <w:abstractNumId w:val="16"/>
  </w:num>
  <w:num w:numId="16">
    <w:abstractNumId w:val="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237"/>
    <w:rsid w:val="00007ACA"/>
    <w:rsid w:val="00010609"/>
    <w:rsid w:val="000440A1"/>
    <w:rsid w:val="00054C00"/>
    <w:rsid w:val="0005512E"/>
    <w:rsid w:val="00061F7F"/>
    <w:rsid w:val="00073217"/>
    <w:rsid w:val="00095967"/>
    <w:rsid w:val="000B53F5"/>
    <w:rsid w:val="000D0E14"/>
    <w:rsid w:val="000F4BBB"/>
    <w:rsid w:val="000F7A96"/>
    <w:rsid w:val="00130C9B"/>
    <w:rsid w:val="001806B8"/>
    <w:rsid w:val="00182D68"/>
    <w:rsid w:val="001A2DAD"/>
    <w:rsid w:val="001B1571"/>
    <w:rsid w:val="001D30CB"/>
    <w:rsid w:val="001E0480"/>
    <w:rsid w:val="0023384F"/>
    <w:rsid w:val="00242E37"/>
    <w:rsid w:val="00244950"/>
    <w:rsid w:val="0025318C"/>
    <w:rsid w:val="002544B9"/>
    <w:rsid w:val="002F749C"/>
    <w:rsid w:val="00312CDA"/>
    <w:rsid w:val="00321FA6"/>
    <w:rsid w:val="003569B6"/>
    <w:rsid w:val="00364CD5"/>
    <w:rsid w:val="00375AC7"/>
    <w:rsid w:val="0039792E"/>
    <w:rsid w:val="003A73D9"/>
    <w:rsid w:val="003B4264"/>
    <w:rsid w:val="003D3D17"/>
    <w:rsid w:val="00417411"/>
    <w:rsid w:val="0043189D"/>
    <w:rsid w:val="00432D88"/>
    <w:rsid w:val="004905FD"/>
    <w:rsid w:val="004A781B"/>
    <w:rsid w:val="004B1AF5"/>
    <w:rsid w:val="004C0526"/>
    <w:rsid w:val="004C2ACD"/>
    <w:rsid w:val="00523087"/>
    <w:rsid w:val="00527DF1"/>
    <w:rsid w:val="00536042"/>
    <w:rsid w:val="00540AEA"/>
    <w:rsid w:val="00556D63"/>
    <w:rsid w:val="005657EB"/>
    <w:rsid w:val="0057046A"/>
    <w:rsid w:val="00575775"/>
    <w:rsid w:val="005A6CAF"/>
    <w:rsid w:val="005B10B6"/>
    <w:rsid w:val="005C54C4"/>
    <w:rsid w:val="005D4B4C"/>
    <w:rsid w:val="005D4DA4"/>
    <w:rsid w:val="00602529"/>
    <w:rsid w:val="00607CBE"/>
    <w:rsid w:val="00633A65"/>
    <w:rsid w:val="0065375C"/>
    <w:rsid w:val="00672237"/>
    <w:rsid w:val="00675D62"/>
    <w:rsid w:val="006824D3"/>
    <w:rsid w:val="00696013"/>
    <w:rsid w:val="00697212"/>
    <w:rsid w:val="006B5F15"/>
    <w:rsid w:val="006C1AC8"/>
    <w:rsid w:val="006C7E54"/>
    <w:rsid w:val="006E2698"/>
    <w:rsid w:val="00730CF7"/>
    <w:rsid w:val="007421E6"/>
    <w:rsid w:val="00745872"/>
    <w:rsid w:val="00751FEF"/>
    <w:rsid w:val="007F1D3D"/>
    <w:rsid w:val="007F1D75"/>
    <w:rsid w:val="00814932"/>
    <w:rsid w:val="00861281"/>
    <w:rsid w:val="00871D82"/>
    <w:rsid w:val="00875053"/>
    <w:rsid w:val="00876F69"/>
    <w:rsid w:val="00880735"/>
    <w:rsid w:val="0088212D"/>
    <w:rsid w:val="00894836"/>
    <w:rsid w:val="00896E32"/>
    <w:rsid w:val="008B5C5C"/>
    <w:rsid w:val="009028CA"/>
    <w:rsid w:val="00906FE2"/>
    <w:rsid w:val="009500AA"/>
    <w:rsid w:val="009A0A03"/>
    <w:rsid w:val="009B28C4"/>
    <w:rsid w:val="009E121C"/>
    <w:rsid w:val="009F14A8"/>
    <w:rsid w:val="00A26F38"/>
    <w:rsid w:val="00A47D93"/>
    <w:rsid w:val="00A5572B"/>
    <w:rsid w:val="00B053F1"/>
    <w:rsid w:val="00B86B50"/>
    <w:rsid w:val="00B87AC6"/>
    <w:rsid w:val="00B92411"/>
    <w:rsid w:val="00B96C7E"/>
    <w:rsid w:val="00BA1AD1"/>
    <w:rsid w:val="00BD71C4"/>
    <w:rsid w:val="00BE5385"/>
    <w:rsid w:val="00BF6BA5"/>
    <w:rsid w:val="00C05642"/>
    <w:rsid w:val="00C145BC"/>
    <w:rsid w:val="00C25D20"/>
    <w:rsid w:val="00C41C66"/>
    <w:rsid w:val="00C51300"/>
    <w:rsid w:val="00C71909"/>
    <w:rsid w:val="00C86A0B"/>
    <w:rsid w:val="00CB1424"/>
    <w:rsid w:val="00CB4A10"/>
    <w:rsid w:val="00CB5B45"/>
    <w:rsid w:val="00CF75FA"/>
    <w:rsid w:val="00D02919"/>
    <w:rsid w:val="00D43128"/>
    <w:rsid w:val="00D533F0"/>
    <w:rsid w:val="00D70FCE"/>
    <w:rsid w:val="00DA7747"/>
    <w:rsid w:val="00DC1174"/>
    <w:rsid w:val="00DC61D8"/>
    <w:rsid w:val="00DE55CE"/>
    <w:rsid w:val="00E0602B"/>
    <w:rsid w:val="00E13EE0"/>
    <w:rsid w:val="00E158E9"/>
    <w:rsid w:val="00E670B9"/>
    <w:rsid w:val="00E67D98"/>
    <w:rsid w:val="00E7453A"/>
    <w:rsid w:val="00E7511B"/>
    <w:rsid w:val="00E82F09"/>
    <w:rsid w:val="00EA6F7E"/>
    <w:rsid w:val="00EB7FA9"/>
    <w:rsid w:val="00EC45BB"/>
    <w:rsid w:val="00ED40F3"/>
    <w:rsid w:val="00F02043"/>
    <w:rsid w:val="00F11D2A"/>
    <w:rsid w:val="00F23710"/>
    <w:rsid w:val="00F54052"/>
    <w:rsid w:val="00F651A4"/>
    <w:rsid w:val="00F673A7"/>
    <w:rsid w:val="00FA438F"/>
    <w:rsid w:val="00FB4B28"/>
    <w:rsid w:val="00FC3E0D"/>
    <w:rsid w:val="00FC75AD"/>
    <w:rsid w:val="00FE167C"/>
    <w:rsid w:val="00FE797F"/>
    <w:rsid w:val="00FF70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A45D"/>
  <w15:chartTrackingRefBased/>
  <w15:docId w15:val="{6E36EBE6-55C9-4732-B1D4-C9F89F08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72237"/>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672237"/>
    <w:pPr>
      <w:ind w:left="720"/>
      <w:contextualSpacing/>
    </w:pPr>
  </w:style>
  <w:style w:type="character" w:styleId="Hypertextovprepojenie">
    <w:name w:val="Hyperlink"/>
    <w:basedOn w:val="Predvolenpsmoodseku"/>
    <w:uiPriority w:val="99"/>
    <w:unhideWhenUsed/>
    <w:rsid w:val="00672237"/>
    <w:rPr>
      <w:color w:val="0000FF"/>
      <w:u w:val="single"/>
    </w:rPr>
  </w:style>
  <w:style w:type="character" w:customStyle="1" w:styleId="OdsekzoznamuChar">
    <w:name w:val="Odsek zoznamu Char"/>
    <w:aliases w:val="body Char,Odsek zoznamu2 Char"/>
    <w:basedOn w:val="Predvolenpsmoodseku"/>
    <w:link w:val="Odsekzoznamu"/>
    <w:uiPriority w:val="34"/>
    <w:locked/>
    <w:rsid w:val="00672237"/>
    <w:rPr>
      <w:rFonts w:ascii="Times New Roman" w:eastAsia="Times New Roman" w:hAnsi="Times New Roman" w:cs="Times New Roman"/>
      <w:sz w:val="24"/>
      <w:szCs w:val="24"/>
      <w:lang w:eastAsia="sk-SK"/>
    </w:rPr>
  </w:style>
  <w:style w:type="table" w:customStyle="1" w:styleId="Mriekatabuky1">
    <w:name w:val="Mriežka tabuľky1"/>
    <w:basedOn w:val="Normlnatabuka"/>
    <w:next w:val="Mriekatabuky"/>
    <w:uiPriority w:val="59"/>
    <w:unhideWhenUsed/>
    <w:rsid w:val="00672237"/>
    <w:pPr>
      <w:spacing w:after="0" w:line="240" w:lineRule="auto"/>
    </w:pPr>
    <w:rPr>
      <w:rFonts w:ascii="Arial" w:eastAsia="Arial" w:hAnsi="Arial" w:cs="Arial"/>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672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3569B6"/>
    <w:rPr>
      <w:sz w:val="16"/>
      <w:szCs w:val="16"/>
    </w:rPr>
  </w:style>
  <w:style w:type="paragraph" w:styleId="Textkomentra">
    <w:name w:val="annotation text"/>
    <w:basedOn w:val="Normlny"/>
    <w:link w:val="TextkomentraChar"/>
    <w:uiPriority w:val="99"/>
    <w:semiHidden/>
    <w:unhideWhenUsed/>
    <w:rsid w:val="003569B6"/>
    <w:pPr>
      <w:suppressAutoHyphens/>
    </w:pPr>
    <w:rPr>
      <w:sz w:val="20"/>
      <w:szCs w:val="20"/>
      <w:lang w:eastAsia="ar-SA"/>
    </w:rPr>
  </w:style>
  <w:style w:type="character" w:customStyle="1" w:styleId="TextkomentraChar">
    <w:name w:val="Text komentára Char"/>
    <w:basedOn w:val="Predvolenpsmoodseku"/>
    <w:link w:val="Textkomentra"/>
    <w:uiPriority w:val="99"/>
    <w:semiHidden/>
    <w:rsid w:val="003569B6"/>
    <w:rPr>
      <w:rFonts w:ascii="Times New Roman" w:eastAsia="Times New Roman" w:hAnsi="Times New Roman" w:cs="Times New Roman"/>
      <w:sz w:val="20"/>
      <w:szCs w:val="20"/>
      <w:lang w:eastAsia="ar-SA"/>
    </w:rPr>
  </w:style>
  <w:style w:type="paragraph" w:styleId="Textbubliny">
    <w:name w:val="Balloon Text"/>
    <w:basedOn w:val="Normlny"/>
    <w:link w:val="TextbublinyChar"/>
    <w:uiPriority w:val="99"/>
    <w:semiHidden/>
    <w:unhideWhenUsed/>
    <w:rsid w:val="003569B6"/>
    <w:rPr>
      <w:rFonts w:ascii="Segoe UI" w:hAnsi="Segoe UI" w:cs="Segoe UI"/>
      <w:sz w:val="18"/>
      <w:szCs w:val="18"/>
    </w:rPr>
  </w:style>
  <w:style w:type="character" w:customStyle="1" w:styleId="TextbublinyChar">
    <w:name w:val="Text bubliny Char"/>
    <w:basedOn w:val="Predvolenpsmoodseku"/>
    <w:link w:val="Textbubliny"/>
    <w:uiPriority w:val="99"/>
    <w:semiHidden/>
    <w:rsid w:val="003569B6"/>
    <w:rPr>
      <w:rFonts w:ascii="Segoe UI" w:eastAsia="Times New Roman" w:hAnsi="Segoe UI" w:cs="Segoe UI"/>
      <w:sz w:val="18"/>
      <w:szCs w:val="18"/>
      <w:lang w:eastAsia="sk-SK"/>
    </w:rPr>
  </w:style>
  <w:style w:type="paragraph" w:styleId="Predmetkomentra">
    <w:name w:val="annotation subject"/>
    <w:basedOn w:val="Textkomentra"/>
    <w:next w:val="Textkomentra"/>
    <w:link w:val="PredmetkomentraChar"/>
    <w:uiPriority w:val="99"/>
    <w:semiHidden/>
    <w:unhideWhenUsed/>
    <w:rsid w:val="00D02919"/>
    <w:pPr>
      <w:suppressAutoHyphens w:val="0"/>
    </w:pPr>
    <w:rPr>
      <w:b/>
      <w:bCs/>
      <w:lang w:eastAsia="sk-SK"/>
    </w:rPr>
  </w:style>
  <w:style w:type="character" w:customStyle="1" w:styleId="PredmetkomentraChar">
    <w:name w:val="Predmet komentára Char"/>
    <w:basedOn w:val="TextkomentraChar"/>
    <w:link w:val="Predmetkomentra"/>
    <w:uiPriority w:val="99"/>
    <w:semiHidden/>
    <w:rsid w:val="00D02919"/>
    <w:rPr>
      <w:rFonts w:ascii="Times New Roman" w:eastAsia="Times New Roman" w:hAnsi="Times New Roman" w:cs="Times New Roman"/>
      <w:b/>
      <w:bCs/>
      <w:sz w:val="20"/>
      <w:szCs w:val="20"/>
      <w:lang w:eastAsia="sk-SK"/>
    </w:rPr>
  </w:style>
  <w:style w:type="paragraph" w:styleId="Revzia">
    <w:name w:val="Revision"/>
    <w:hidden/>
    <w:uiPriority w:val="99"/>
    <w:semiHidden/>
    <w:rsid w:val="006C7E54"/>
    <w:pPr>
      <w:spacing w:after="0" w:line="240" w:lineRule="auto"/>
    </w:pPr>
    <w:rPr>
      <w:rFonts w:ascii="Times New Roman" w:eastAsia="Times New Roman" w:hAnsi="Times New Roman" w:cs="Times New Roman"/>
      <w:sz w:val="24"/>
      <w:szCs w:val="24"/>
      <w:lang w:eastAsia="sk-SK"/>
    </w:rPr>
  </w:style>
  <w:style w:type="character" w:customStyle="1" w:styleId="UnresolvedMention">
    <w:name w:val="Unresolved Mention"/>
    <w:basedOn w:val="Predvolenpsmoodseku"/>
    <w:uiPriority w:val="99"/>
    <w:semiHidden/>
    <w:unhideWhenUsed/>
    <w:rsid w:val="00312CDA"/>
    <w:rPr>
      <w:color w:val="605E5C"/>
      <w:shd w:val="clear" w:color="auto" w:fill="E1DFDD"/>
    </w:rPr>
  </w:style>
  <w:style w:type="paragraph" w:styleId="Normlnywebov">
    <w:name w:val="Normal (Web)"/>
    <w:aliases w:val="webb"/>
    <w:basedOn w:val="Normlny"/>
    <w:uiPriority w:val="99"/>
    <w:qFormat/>
    <w:rsid w:val="004905FD"/>
    <w:pPr>
      <w:spacing w:before="100" w:beforeAutospacing="1" w:after="100" w:afterAutospacing="1"/>
    </w:pPr>
  </w:style>
  <w:style w:type="character" w:styleId="Siln">
    <w:name w:val="Strong"/>
    <w:uiPriority w:val="22"/>
    <w:qFormat/>
    <w:rsid w:val="004905FD"/>
    <w:rPr>
      <w:b/>
      <w:bCs/>
    </w:rPr>
  </w:style>
  <w:style w:type="paragraph" w:styleId="Hlavika">
    <w:name w:val="header"/>
    <w:basedOn w:val="Normlny"/>
    <w:link w:val="HlavikaChar"/>
    <w:uiPriority w:val="99"/>
    <w:unhideWhenUsed/>
    <w:rsid w:val="004905FD"/>
    <w:pPr>
      <w:tabs>
        <w:tab w:val="center" w:pos="4536"/>
        <w:tab w:val="right" w:pos="9072"/>
      </w:tabs>
    </w:pPr>
  </w:style>
  <w:style w:type="character" w:customStyle="1" w:styleId="HlavikaChar">
    <w:name w:val="Hlavička Char"/>
    <w:basedOn w:val="Predvolenpsmoodseku"/>
    <w:link w:val="Hlavika"/>
    <w:uiPriority w:val="99"/>
    <w:rsid w:val="004905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905FD"/>
    <w:pPr>
      <w:tabs>
        <w:tab w:val="center" w:pos="4536"/>
        <w:tab w:val="right" w:pos="9072"/>
      </w:tabs>
    </w:pPr>
  </w:style>
  <w:style w:type="character" w:customStyle="1" w:styleId="PtaChar">
    <w:name w:val="Päta Char"/>
    <w:basedOn w:val="Predvolenpsmoodseku"/>
    <w:link w:val="Pta"/>
    <w:uiPriority w:val="99"/>
    <w:rsid w:val="004905FD"/>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861281"/>
    <w:rPr>
      <w:rFonts w:cs="Times New Roman"/>
    </w:rPr>
  </w:style>
  <w:style w:type="character" w:styleId="Zstupntext">
    <w:name w:val="Placeholder Text"/>
    <w:aliases w:val="Text zástupného symbolu"/>
    <w:basedOn w:val="Predvolenpsmoodseku"/>
    <w:uiPriority w:val="99"/>
    <w:semiHidden/>
    <w:rsid w:val="00861281"/>
    <w:rPr>
      <w:rFonts w:ascii="Times New Roman" w:hAnsi="Times New Roman" w:cs="Times New Roman"/>
      <w:color w:val="808080"/>
    </w:rPr>
  </w:style>
  <w:style w:type="paragraph" w:styleId="Zarkazkladnhotextu">
    <w:name w:val="Body Text Indent"/>
    <w:basedOn w:val="Normlny"/>
    <w:link w:val="ZarkazkladnhotextuChar"/>
    <w:uiPriority w:val="99"/>
    <w:rsid w:val="00C145BC"/>
    <w:pPr>
      <w:ind w:firstLine="340"/>
      <w:jc w:val="both"/>
    </w:pPr>
    <w:rPr>
      <w:szCs w:val="20"/>
    </w:rPr>
  </w:style>
  <w:style w:type="character" w:customStyle="1" w:styleId="ZarkazkladnhotextuChar">
    <w:name w:val="Zarážka základného textu Char"/>
    <w:basedOn w:val="Predvolenpsmoodseku"/>
    <w:link w:val="Zarkazkladnhotextu"/>
    <w:uiPriority w:val="99"/>
    <w:rsid w:val="00C145BC"/>
    <w:rPr>
      <w:rFonts w:ascii="Times New Roman" w:eastAsia="Times New Roman" w:hAnsi="Times New Roman" w:cs="Times New Roman"/>
      <w:sz w:val="24"/>
      <w:szCs w:val="20"/>
      <w:lang w:eastAsia="sk-SK"/>
    </w:rPr>
  </w:style>
  <w:style w:type="paragraph" w:customStyle="1" w:styleId="Zkladntext">
    <w:name w:val="Zkladn text"/>
    <w:rsid w:val="00C145BC"/>
    <w:pPr>
      <w:widowControl w:val="0"/>
      <w:autoSpaceDE w:val="0"/>
      <w:autoSpaceDN w:val="0"/>
      <w:spacing w:after="0" w:line="240" w:lineRule="auto"/>
    </w:pPr>
    <w:rPr>
      <w:rFonts w:ascii="Times New Roman" w:eastAsia="Times New Roman" w:hAnsi="Times New Roman" w:cs="Times New Roman"/>
      <w:color w:val="000000"/>
      <w:sz w:val="20"/>
      <w:szCs w:val="20"/>
      <w:lang w:eastAsia="sk-SK"/>
    </w:rPr>
  </w:style>
  <w:style w:type="paragraph" w:styleId="Zkladntext0">
    <w:name w:val="Body Text"/>
    <w:basedOn w:val="Normlny"/>
    <w:link w:val="ZkladntextChar"/>
    <w:uiPriority w:val="99"/>
    <w:unhideWhenUsed/>
    <w:rsid w:val="00C145BC"/>
    <w:pPr>
      <w:spacing w:after="120"/>
    </w:pPr>
  </w:style>
  <w:style w:type="character" w:customStyle="1" w:styleId="ZkladntextChar">
    <w:name w:val="Základný text Char"/>
    <w:basedOn w:val="Predvolenpsmoodseku"/>
    <w:link w:val="Zkladntext0"/>
    <w:uiPriority w:val="99"/>
    <w:rsid w:val="00C145BC"/>
    <w:rPr>
      <w:rFonts w:ascii="Times New Roman" w:eastAsia="Times New Roman" w:hAnsi="Times New Roman" w:cs="Times New Roman"/>
      <w:sz w:val="24"/>
      <w:szCs w:val="24"/>
      <w:lang w:eastAsia="sk-SK"/>
    </w:rPr>
  </w:style>
  <w:style w:type="character" w:customStyle="1" w:styleId="awspan1">
    <w:name w:val="awspan1"/>
    <w:basedOn w:val="Predvolenpsmoodseku"/>
    <w:rsid w:val="00C145BC"/>
    <w:rPr>
      <w:rFonts w:cs="Times New Roman"/>
      <w:color w:val="000000"/>
      <w:sz w:val="24"/>
      <w:szCs w:val="24"/>
    </w:rPr>
  </w:style>
  <w:style w:type="table" w:customStyle="1" w:styleId="Mriekatabuky2">
    <w:name w:val="Mriežka tabuľky2"/>
    <w:basedOn w:val="Normlnatabuka"/>
    <w:next w:val="Mriekatabuky"/>
    <w:uiPriority w:val="59"/>
    <w:rsid w:val="00C14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07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mhsr.sk/podnikatelske-prostredie/lepsia-regulacia/regulacne-zatazenie/kalkulacka-nakladov-regulaci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registeruz.sk" TargetMode="External"/><Relationship Id="rId4" Type="http://schemas.openxmlformats.org/officeDocument/2006/relationships/styles" Target="styles.xml"/><Relationship Id="rId9" Type="http://schemas.openxmlformats.org/officeDocument/2006/relationships/hyperlink" Target="mailto:ingrid.salkovicova@mfsr.sk"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vybraných-vplyvov"/>
    <f:field ref="objsubject" par="" edit="true" text=""/>
    <f:field ref="objcreatedby" par="" text="Jokmanová, Diana, Mgr."/>
    <f:field ref="objcreatedat" par="" text="24.1.2022 16:48:47"/>
    <f:field ref="objchangedby" par="" text="Administrator, System"/>
    <f:field ref="objmodifiedat" par="" text="24.1.2022 16:48:4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2402700A-EABD-4B81-989A-2522FFEEA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31</Pages>
  <Words>11051</Words>
  <Characters>62992</Characters>
  <Application>Microsoft Office Word</Application>
  <DocSecurity>0</DocSecurity>
  <Lines>524</Lines>
  <Paragraphs>147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73896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Salkovicova Ingrid</dc:creator>
  <cp:keywords/>
  <dc:description/>
  <cp:lastModifiedBy>Matulova Silvia</cp:lastModifiedBy>
  <cp:revision>12</cp:revision>
  <cp:lastPrinted>2022-08-25T14:06:00Z</cp:lastPrinted>
  <dcterms:created xsi:type="dcterms:W3CDTF">2022-08-18T13:24:00Z</dcterms:created>
  <dcterms:modified xsi:type="dcterms:W3CDTF">2022-08-26T06:11:00Z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Občianske právo_x000d_
Ochrana spotrebiteľa</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Diana Jokmanová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o ochrane spotrebiteľa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Úlohy B.24 a B.25 uznesenia vlády SR č. 491/2019,_x000d_
úloha B.8 uznesenia vlády SR č. 468/2020,_x000d_
úloha C.1 uznesenia vlády SR č. 547/2020,_x000d_
úloha B.1 uznesenia vlády SR č. 340/2021</vt:lpwstr>
  </property>
  <property fmtid="{D5CDD505-2E9C-101B-9397-08002B2CF9AE}" pid="23" name="FSC#SKEDITIONSLOVLEX@103.510:plnynazovpredpis">
    <vt:lpwstr> Zákon o ochrane spotrebiteľa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12146/2022-2062-05788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LP/2022/39</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24. 1. 2022</vt:lpwstr>
  </property>
  <property fmtid="{D5CDD505-2E9C-101B-9397-08002B2CF9AE}" pid="151" name="FSC#COOSYSTEM@1.1:Container">
    <vt:lpwstr>COO.2145.1000.3.4800363</vt:lpwstr>
  </property>
  <property fmtid="{D5CDD505-2E9C-101B-9397-08002B2CF9AE}" pid="152" name="FSC#FSCFOLIO@1.1001:docpropproject">
    <vt:lpwstr/>
  </property>
</Properties>
</file>