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A63C" w14:textId="77777777" w:rsidR="007C6D70" w:rsidRPr="007C6D70" w:rsidRDefault="007C6D70" w:rsidP="007C6D70">
      <w:pPr>
        <w:jc w:val="center"/>
        <w:rPr>
          <w:rFonts w:ascii="Times New Roman" w:hAnsi="Times New Roman" w:cs="Times New Roman"/>
        </w:rPr>
      </w:pPr>
      <w:r w:rsidRPr="007C6D70">
        <w:rPr>
          <w:rFonts w:ascii="Times New Roman" w:hAnsi="Times New Roman" w:cs="Times New Roman"/>
        </w:rPr>
        <w:t>NÁVRH</w:t>
      </w:r>
    </w:p>
    <w:p w14:paraId="0F9229D6" w14:textId="77777777" w:rsidR="007C6D70" w:rsidRPr="007C6D70" w:rsidRDefault="007C6D70" w:rsidP="007C6D70">
      <w:pPr>
        <w:jc w:val="center"/>
        <w:rPr>
          <w:rFonts w:ascii="Times New Roman" w:hAnsi="Times New Roman" w:cs="Times New Roman"/>
        </w:rPr>
      </w:pPr>
    </w:p>
    <w:p w14:paraId="755BA8A4" w14:textId="77777777" w:rsidR="007C6D70" w:rsidRPr="007C6D70" w:rsidRDefault="007C6D70" w:rsidP="007C6D70">
      <w:pPr>
        <w:tabs>
          <w:tab w:val="left" w:pos="6120"/>
        </w:tabs>
        <w:jc w:val="center"/>
        <w:rPr>
          <w:rFonts w:ascii="Times New Roman" w:hAnsi="Times New Roman" w:cs="Times New Roman"/>
          <w:b/>
        </w:rPr>
      </w:pPr>
      <w:r w:rsidRPr="007C6D70">
        <w:rPr>
          <w:rFonts w:ascii="Times New Roman" w:hAnsi="Times New Roman" w:cs="Times New Roman"/>
          <w:b/>
        </w:rPr>
        <w:t>VYHLÁŠKA</w:t>
      </w:r>
    </w:p>
    <w:p w14:paraId="58619ABB" w14:textId="77777777" w:rsidR="007C6D70" w:rsidRPr="007C6D70" w:rsidRDefault="007C6D70" w:rsidP="007C6D70">
      <w:pPr>
        <w:tabs>
          <w:tab w:val="left" w:pos="6120"/>
        </w:tabs>
        <w:jc w:val="center"/>
        <w:rPr>
          <w:rFonts w:ascii="Times New Roman" w:hAnsi="Times New Roman" w:cs="Times New Roman"/>
          <w:b/>
        </w:rPr>
      </w:pPr>
    </w:p>
    <w:p w14:paraId="3379DB37" w14:textId="77777777" w:rsidR="007C6D70" w:rsidRPr="007C6D70" w:rsidRDefault="007C6D70" w:rsidP="007C6D70">
      <w:pPr>
        <w:tabs>
          <w:tab w:val="left" w:pos="6120"/>
        </w:tabs>
        <w:jc w:val="center"/>
        <w:rPr>
          <w:rFonts w:ascii="Times New Roman" w:hAnsi="Times New Roman" w:cs="Times New Roman"/>
          <w:b/>
        </w:rPr>
      </w:pPr>
      <w:r w:rsidRPr="007C6D70">
        <w:rPr>
          <w:rFonts w:ascii="Times New Roman" w:hAnsi="Times New Roman" w:cs="Times New Roman"/>
          <w:b/>
        </w:rPr>
        <w:t>Ministerstva zdravotníctva Slovenskej republiky</w:t>
      </w:r>
    </w:p>
    <w:p w14:paraId="64DB9A4E" w14:textId="77777777" w:rsidR="007C6D70" w:rsidRPr="007C6D70" w:rsidRDefault="007C6D70" w:rsidP="007C6D70">
      <w:pPr>
        <w:tabs>
          <w:tab w:val="left" w:pos="6120"/>
        </w:tabs>
        <w:jc w:val="center"/>
        <w:rPr>
          <w:rFonts w:ascii="Times New Roman" w:hAnsi="Times New Roman" w:cs="Times New Roman"/>
          <w:b/>
        </w:rPr>
      </w:pPr>
    </w:p>
    <w:p w14:paraId="57BB8D8F" w14:textId="77777777" w:rsidR="007C6D70" w:rsidRPr="007C6D70" w:rsidRDefault="007C6D70" w:rsidP="007C6D70">
      <w:pPr>
        <w:jc w:val="center"/>
        <w:rPr>
          <w:rFonts w:ascii="Times New Roman" w:hAnsi="Times New Roman" w:cs="Times New Roman"/>
          <w:b/>
        </w:rPr>
      </w:pPr>
      <w:r w:rsidRPr="007C6D70">
        <w:rPr>
          <w:rFonts w:ascii="Times New Roman" w:hAnsi="Times New Roman" w:cs="Times New Roman"/>
          <w:b/>
        </w:rPr>
        <w:t>z ..............2022,</w:t>
      </w:r>
    </w:p>
    <w:p w14:paraId="51327E04" w14:textId="77777777" w:rsidR="007C6D70" w:rsidRPr="007C6D70" w:rsidRDefault="007C6D70" w:rsidP="007C6D70">
      <w:pPr>
        <w:jc w:val="center"/>
        <w:rPr>
          <w:rFonts w:ascii="Times New Roman" w:hAnsi="Times New Roman" w:cs="Times New Roman"/>
          <w:b/>
        </w:rPr>
      </w:pPr>
    </w:p>
    <w:p w14:paraId="19193BD8" w14:textId="77777777" w:rsidR="007C6D70" w:rsidRPr="007C6D70" w:rsidRDefault="007C6D70" w:rsidP="007C6D70">
      <w:pPr>
        <w:contextualSpacing/>
        <w:jc w:val="center"/>
        <w:rPr>
          <w:rFonts w:ascii="Times New Roman" w:hAnsi="Times New Roman" w:cs="Times New Roman"/>
          <w:b/>
        </w:rPr>
      </w:pPr>
      <w:r w:rsidRPr="007C6D70">
        <w:rPr>
          <w:rFonts w:ascii="Times New Roman" w:hAnsi="Times New Roman" w:cs="Times New Roman"/>
          <w:b/>
        </w:rPr>
        <w:t>ktorou sa mení a dopĺňa vyhláška Ministerstva zdravotníctva Slovenskej republiky  č. 264/2012 Z. z., ktorou sa ustanovujú podrobnosti o zaraďovaní poistencov do farmaceuticko-nákladových skupín</w:t>
      </w:r>
    </w:p>
    <w:p w14:paraId="78197F85" w14:textId="77777777" w:rsidR="007C6D70" w:rsidRPr="007C6D70" w:rsidRDefault="007C6D70" w:rsidP="007C6D70">
      <w:pPr>
        <w:jc w:val="center"/>
        <w:rPr>
          <w:rFonts w:ascii="Times New Roman" w:hAnsi="Times New Roman" w:cs="Times New Roman"/>
          <w:b/>
        </w:rPr>
      </w:pPr>
    </w:p>
    <w:p w14:paraId="053DF80C" w14:textId="77777777" w:rsidR="007C6D70" w:rsidRPr="007C6D70" w:rsidRDefault="007C6D70" w:rsidP="007C6D70">
      <w:pPr>
        <w:jc w:val="both"/>
        <w:rPr>
          <w:rFonts w:ascii="Times New Roman" w:hAnsi="Times New Roman" w:cs="Times New Roman"/>
        </w:rPr>
      </w:pPr>
      <w:r w:rsidRPr="007C6D70">
        <w:rPr>
          <w:rFonts w:ascii="Times New Roman" w:hAnsi="Times New Roman" w:cs="Times New Roman"/>
        </w:rPr>
        <w:t xml:space="preserve">Ministerstvo zdravotníctva Slovenskej republiky podľa § 28 ods. 16 písm. d) zákona č. 580/2004 Z. z. o zdravotnom poistení a o zmene a doplnení zákona č. 95/2002 Z. z. o poisťovníctve a o zmene a doplnení niektorých zákonov v znení neskorších predpisov po dohode s Ministerstvom financií Slovenskej republiky ustanovuje: </w:t>
      </w:r>
    </w:p>
    <w:p w14:paraId="35619909" w14:textId="77777777" w:rsidR="007C6D70" w:rsidRPr="007C6D70" w:rsidRDefault="007C6D70" w:rsidP="007C6D70">
      <w:pPr>
        <w:jc w:val="center"/>
        <w:rPr>
          <w:rFonts w:ascii="Times New Roman" w:hAnsi="Times New Roman" w:cs="Times New Roman"/>
          <w:b/>
        </w:rPr>
      </w:pPr>
    </w:p>
    <w:p w14:paraId="7C38BC57" w14:textId="77777777" w:rsidR="007C6D70" w:rsidRPr="007C6D70" w:rsidRDefault="007C6D70" w:rsidP="007C6D70">
      <w:pPr>
        <w:jc w:val="center"/>
        <w:rPr>
          <w:rFonts w:ascii="Times New Roman" w:hAnsi="Times New Roman" w:cs="Times New Roman"/>
          <w:b/>
        </w:rPr>
      </w:pPr>
      <w:r w:rsidRPr="007C6D70">
        <w:rPr>
          <w:rFonts w:ascii="Times New Roman" w:hAnsi="Times New Roman" w:cs="Times New Roman"/>
          <w:b/>
        </w:rPr>
        <w:t>Čl. I</w:t>
      </w:r>
    </w:p>
    <w:p w14:paraId="279E6026" w14:textId="77777777" w:rsidR="007C6D70" w:rsidRPr="007C6D70" w:rsidRDefault="007C6D70" w:rsidP="007C6D70">
      <w:pPr>
        <w:jc w:val="both"/>
        <w:rPr>
          <w:rFonts w:ascii="Times New Roman" w:hAnsi="Times New Roman" w:cs="Times New Roman"/>
        </w:rPr>
      </w:pPr>
    </w:p>
    <w:p w14:paraId="01DB661A" w14:textId="77777777" w:rsidR="007C6D70" w:rsidRPr="007C6D70" w:rsidRDefault="007C6D70" w:rsidP="007C6D70">
      <w:pPr>
        <w:widowControl w:val="0"/>
        <w:autoSpaceDE w:val="0"/>
        <w:autoSpaceDN w:val="0"/>
        <w:adjustRightInd w:val="0"/>
        <w:jc w:val="both"/>
        <w:rPr>
          <w:rFonts w:ascii="Times New Roman" w:hAnsi="Times New Roman" w:cs="Times New Roman"/>
        </w:rPr>
      </w:pPr>
      <w:r w:rsidRPr="007C6D70">
        <w:rPr>
          <w:rFonts w:ascii="Times New Roman" w:hAnsi="Times New Roman" w:cs="Times New Roman"/>
        </w:rPr>
        <w:t>Vyhláška Ministerstva zdravotníctva Slovenskej republiky č. 264/2012, ktorou sa ustanovujú podrobnosti o zaraďovaní poistencov do farmaceuticko-nákladových skupín sa mení a dopĺňa takto:</w:t>
      </w:r>
    </w:p>
    <w:p w14:paraId="58E8B42F" w14:textId="77777777" w:rsidR="007C6D70" w:rsidRPr="007C6D70" w:rsidRDefault="007C6D70" w:rsidP="007C6D70">
      <w:pPr>
        <w:widowControl w:val="0"/>
        <w:autoSpaceDE w:val="0"/>
        <w:autoSpaceDN w:val="0"/>
        <w:adjustRightInd w:val="0"/>
        <w:jc w:val="both"/>
        <w:rPr>
          <w:rFonts w:ascii="Times New Roman" w:hAnsi="Times New Roman" w:cs="Times New Roman"/>
        </w:rPr>
      </w:pPr>
    </w:p>
    <w:p w14:paraId="72554684"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p>
    <w:p w14:paraId="4C7F25D2"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r w:rsidRPr="007C6D70">
        <w:rPr>
          <w:rFonts w:ascii="Times New Roman" w:hAnsi="Times New Roman" w:cs="Times New Roman"/>
        </w:rPr>
        <w:t>1. V § 2 ods. 1 sa na konci pripája čiarka a slová „ak v odseku 2 nie je ustanovené inak“.</w:t>
      </w:r>
    </w:p>
    <w:p w14:paraId="44DACA79"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p>
    <w:p w14:paraId="18964DFD"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r w:rsidRPr="007C6D70">
        <w:rPr>
          <w:rFonts w:ascii="Times New Roman" w:hAnsi="Times New Roman" w:cs="Times New Roman"/>
        </w:rPr>
        <w:t>2. V § 2 sa za odsek 1 vkladá nový odsek 2, ktorý znie:</w:t>
      </w:r>
    </w:p>
    <w:p w14:paraId="593AA811"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p>
    <w:p w14:paraId="3A4E871E"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r w:rsidRPr="007C6D70">
        <w:rPr>
          <w:rFonts w:ascii="Times New Roman" w:hAnsi="Times New Roman" w:cs="Times New Roman"/>
        </w:rPr>
        <w:t>„(2) Poistenec vo veku do dovŕšenia 18 rokov veku sa zaradí do farmaceuticko-nákladových skupín AST, DEP, EPI a PSY, ak mu počas 12 za sebou nasledujúcich kalendárnych mesiacov predchádzajúcich kalendárnemu mesiacu, za ktorý sa vykonáva mesačné prerozdeľovanie, bolo vydaných alebo podaných aspoň 91 štandardných dávok liečiva v kategorizovaných liekoch v ATC skupinách, ktoré definujú farmaceuticko-nákladové skupiny AST, DEP, EPI a PSY.“.</w:t>
      </w:r>
    </w:p>
    <w:p w14:paraId="71A255CC"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p>
    <w:p w14:paraId="7BC27362"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r w:rsidRPr="007C6D70">
        <w:rPr>
          <w:rFonts w:ascii="Times New Roman" w:hAnsi="Times New Roman" w:cs="Times New Roman"/>
        </w:rPr>
        <w:t>Doterajšie odseky 2 až 4 sa označujú ako odseky 3 až 5.</w:t>
      </w:r>
    </w:p>
    <w:p w14:paraId="6DD1759A" w14:textId="77777777" w:rsidR="007C6D70" w:rsidRPr="007C6D70" w:rsidRDefault="007C6D70" w:rsidP="007C6D70">
      <w:pPr>
        <w:widowControl w:val="0"/>
        <w:autoSpaceDE w:val="0"/>
        <w:autoSpaceDN w:val="0"/>
        <w:adjustRightInd w:val="0"/>
        <w:contextualSpacing/>
        <w:jc w:val="both"/>
        <w:rPr>
          <w:rFonts w:ascii="Times New Roman" w:hAnsi="Times New Roman" w:cs="Times New Roman"/>
        </w:rPr>
      </w:pPr>
    </w:p>
    <w:p w14:paraId="179990A8" w14:textId="77777777" w:rsidR="007C6D70" w:rsidRPr="007C6D70" w:rsidRDefault="007C6D70" w:rsidP="007C6D70">
      <w:pPr>
        <w:widowControl w:val="0"/>
        <w:autoSpaceDE w:val="0"/>
        <w:jc w:val="center"/>
        <w:rPr>
          <w:rFonts w:ascii="Times New Roman" w:hAnsi="Times New Roman" w:cs="Times New Roman"/>
          <w:b/>
        </w:rPr>
      </w:pPr>
    </w:p>
    <w:p w14:paraId="794F2C4F" w14:textId="77777777" w:rsidR="007C6D70" w:rsidRPr="007C6D70" w:rsidRDefault="007C6D70" w:rsidP="007C6D70">
      <w:pPr>
        <w:widowControl w:val="0"/>
        <w:autoSpaceDE w:val="0"/>
        <w:jc w:val="center"/>
        <w:rPr>
          <w:rFonts w:ascii="Times New Roman" w:hAnsi="Times New Roman" w:cs="Times New Roman"/>
          <w:b/>
        </w:rPr>
      </w:pPr>
      <w:r w:rsidRPr="007C6D70">
        <w:rPr>
          <w:rFonts w:ascii="Times New Roman" w:hAnsi="Times New Roman" w:cs="Times New Roman"/>
          <w:b/>
        </w:rPr>
        <w:t>Čl. II</w:t>
      </w:r>
    </w:p>
    <w:p w14:paraId="6D63C423" w14:textId="77777777" w:rsidR="007C6D70" w:rsidRPr="007C6D70" w:rsidRDefault="007C6D70" w:rsidP="007C6D70">
      <w:pPr>
        <w:widowControl w:val="0"/>
        <w:autoSpaceDE w:val="0"/>
        <w:jc w:val="both"/>
        <w:rPr>
          <w:rFonts w:ascii="Times New Roman" w:hAnsi="Times New Roman" w:cs="Times New Roman"/>
        </w:rPr>
      </w:pPr>
    </w:p>
    <w:p w14:paraId="27687338" w14:textId="77777777" w:rsidR="007C6D70" w:rsidRPr="007C6D70" w:rsidRDefault="007C6D70" w:rsidP="007C6D70">
      <w:pPr>
        <w:widowControl w:val="0"/>
        <w:autoSpaceDE w:val="0"/>
        <w:jc w:val="center"/>
        <w:rPr>
          <w:rFonts w:ascii="Times New Roman" w:hAnsi="Times New Roman" w:cs="Times New Roman"/>
        </w:rPr>
      </w:pPr>
      <w:r w:rsidRPr="007C6D70">
        <w:rPr>
          <w:rFonts w:ascii="Times New Roman" w:hAnsi="Times New Roman" w:cs="Times New Roman"/>
        </w:rPr>
        <w:t>Táto vyhláška nadobúda účinnosť 1. decembra 2022.</w:t>
      </w:r>
    </w:p>
    <w:p w14:paraId="711FCDD1" w14:textId="77777777" w:rsidR="007C6D70" w:rsidRPr="007C6D70" w:rsidRDefault="007C6D70" w:rsidP="003268C3">
      <w:pPr>
        <w:jc w:val="center"/>
        <w:rPr>
          <w:rFonts w:ascii="Times New Roman" w:eastAsia="Times New Roman" w:hAnsi="Times New Roman" w:cs="Times New Roman"/>
          <w:b/>
          <w:bCs/>
          <w:color w:val="000000"/>
        </w:rPr>
      </w:pPr>
    </w:p>
    <w:p w14:paraId="1A6CBCA3" w14:textId="77777777" w:rsidR="007C6D70" w:rsidRPr="007C6D70" w:rsidRDefault="007C6D70">
      <w:pPr>
        <w:rPr>
          <w:rFonts w:ascii="Times New Roman" w:eastAsia="Times New Roman" w:hAnsi="Times New Roman" w:cs="Times New Roman"/>
          <w:b/>
          <w:bCs/>
          <w:color w:val="000000"/>
        </w:rPr>
      </w:pPr>
      <w:r w:rsidRPr="007C6D70">
        <w:rPr>
          <w:rFonts w:ascii="Times New Roman" w:eastAsia="Times New Roman" w:hAnsi="Times New Roman" w:cs="Times New Roman"/>
          <w:b/>
          <w:bCs/>
          <w:color w:val="000000"/>
        </w:rPr>
        <w:br w:type="page"/>
      </w:r>
    </w:p>
    <w:p w14:paraId="6FE72BDB" w14:textId="03DEEE68" w:rsidR="007C6D70" w:rsidRPr="007C6D70" w:rsidRDefault="007C6D70" w:rsidP="003268C3">
      <w:pPr>
        <w:jc w:val="center"/>
        <w:rPr>
          <w:rFonts w:ascii="Times New Roman" w:eastAsia="Times New Roman" w:hAnsi="Times New Roman" w:cs="Times New Roman"/>
          <w:b/>
          <w:bCs/>
          <w:color w:val="000000"/>
        </w:rPr>
      </w:pPr>
      <w:r w:rsidRPr="007C6D70">
        <w:rPr>
          <w:rFonts w:ascii="Times New Roman" w:eastAsia="Times New Roman" w:hAnsi="Times New Roman" w:cs="Times New Roman"/>
          <w:b/>
          <w:bCs/>
          <w:color w:val="000000"/>
        </w:rPr>
        <w:lastRenderedPageBreak/>
        <w:t>Konsolidované znenie</w:t>
      </w:r>
    </w:p>
    <w:p w14:paraId="197DA2E5" w14:textId="77777777" w:rsidR="007C6D70" w:rsidRPr="007C6D70" w:rsidRDefault="007C6D70" w:rsidP="003268C3">
      <w:pPr>
        <w:jc w:val="center"/>
        <w:rPr>
          <w:rFonts w:ascii="Times New Roman" w:eastAsia="Times New Roman" w:hAnsi="Times New Roman" w:cs="Times New Roman"/>
          <w:b/>
          <w:bCs/>
          <w:color w:val="000000"/>
        </w:rPr>
      </w:pPr>
    </w:p>
    <w:p w14:paraId="7E570C20" w14:textId="7906EB4B" w:rsidR="00704878" w:rsidRPr="007C6D70" w:rsidRDefault="003268C3" w:rsidP="003268C3">
      <w:pPr>
        <w:jc w:val="center"/>
        <w:rPr>
          <w:rFonts w:ascii="Times New Roman" w:eastAsia="Times New Roman" w:hAnsi="Times New Roman" w:cs="Times New Roman"/>
          <w:b/>
          <w:bCs/>
          <w:color w:val="000000"/>
        </w:rPr>
      </w:pPr>
      <w:r w:rsidRPr="007C6D70">
        <w:rPr>
          <w:rFonts w:ascii="Times New Roman" w:eastAsia="Times New Roman" w:hAnsi="Times New Roman" w:cs="Times New Roman"/>
          <w:b/>
          <w:bCs/>
          <w:color w:val="000000"/>
        </w:rPr>
        <w:t>Návrh</w:t>
      </w:r>
    </w:p>
    <w:p w14:paraId="6C79194A" w14:textId="77777777" w:rsidR="00704878" w:rsidRPr="007C6D70" w:rsidRDefault="00704878" w:rsidP="003268C3">
      <w:pPr>
        <w:jc w:val="center"/>
        <w:rPr>
          <w:rFonts w:ascii="Times New Roman" w:eastAsia="Times New Roman" w:hAnsi="Times New Roman" w:cs="Times New Roman"/>
          <w:b/>
          <w:bCs/>
          <w:color w:val="000000"/>
        </w:rPr>
      </w:pPr>
    </w:p>
    <w:p w14:paraId="7CCC1AD9" w14:textId="77777777" w:rsidR="00704878" w:rsidRPr="007C6D70" w:rsidRDefault="00704878" w:rsidP="003268C3">
      <w:pPr>
        <w:jc w:val="center"/>
        <w:rPr>
          <w:rFonts w:ascii="Times New Roman" w:eastAsia="Times New Roman" w:hAnsi="Times New Roman" w:cs="Times New Roman"/>
          <w:b/>
          <w:bCs/>
          <w:color w:val="000000"/>
        </w:rPr>
      </w:pPr>
      <w:r w:rsidRPr="007C6D70">
        <w:rPr>
          <w:rFonts w:ascii="Times New Roman" w:eastAsia="Times New Roman" w:hAnsi="Times New Roman" w:cs="Times New Roman"/>
          <w:b/>
          <w:bCs/>
          <w:color w:val="000000"/>
        </w:rPr>
        <w:t>VYHLÁŠKA</w:t>
      </w:r>
    </w:p>
    <w:p w14:paraId="3D2EF77C" w14:textId="77777777" w:rsidR="00704878" w:rsidRPr="007C6D70" w:rsidRDefault="00704878" w:rsidP="003268C3">
      <w:pPr>
        <w:jc w:val="center"/>
        <w:rPr>
          <w:rFonts w:ascii="Times New Roman" w:eastAsia="Times New Roman" w:hAnsi="Times New Roman" w:cs="Times New Roman"/>
          <w:b/>
          <w:bCs/>
          <w:color w:val="000000"/>
        </w:rPr>
      </w:pPr>
    </w:p>
    <w:p w14:paraId="4DD9253D" w14:textId="77777777" w:rsidR="00704878" w:rsidRPr="007C6D70" w:rsidRDefault="00704878" w:rsidP="003268C3">
      <w:pPr>
        <w:jc w:val="center"/>
        <w:rPr>
          <w:rFonts w:ascii="Times New Roman" w:eastAsia="Times New Roman" w:hAnsi="Times New Roman" w:cs="Times New Roman"/>
          <w:b/>
          <w:bCs/>
          <w:color w:val="000000"/>
        </w:rPr>
      </w:pPr>
      <w:r w:rsidRPr="007C6D70">
        <w:rPr>
          <w:rFonts w:ascii="Times New Roman" w:eastAsia="Times New Roman" w:hAnsi="Times New Roman" w:cs="Times New Roman"/>
          <w:b/>
          <w:bCs/>
          <w:color w:val="000000"/>
        </w:rPr>
        <w:t>Ministerstva zdravotníctva Slovenskej republiky</w:t>
      </w:r>
    </w:p>
    <w:p w14:paraId="1E768328" w14:textId="77777777" w:rsidR="00704878" w:rsidRPr="007C6D70" w:rsidRDefault="00704878" w:rsidP="003268C3">
      <w:pPr>
        <w:jc w:val="center"/>
        <w:rPr>
          <w:rFonts w:ascii="Times New Roman" w:eastAsia="Times New Roman" w:hAnsi="Times New Roman" w:cs="Times New Roman"/>
          <w:b/>
          <w:color w:val="494949"/>
        </w:rPr>
      </w:pPr>
    </w:p>
    <w:p w14:paraId="439261E2" w14:textId="4D090304" w:rsidR="00704878" w:rsidRPr="007C6D70" w:rsidRDefault="003268C3" w:rsidP="003268C3">
      <w:pPr>
        <w:jc w:val="center"/>
        <w:rPr>
          <w:rFonts w:ascii="Times New Roman" w:eastAsia="Times New Roman" w:hAnsi="Times New Roman" w:cs="Times New Roman"/>
          <w:b/>
          <w:color w:val="000000" w:themeColor="text1"/>
        </w:rPr>
      </w:pPr>
      <w:r w:rsidRPr="007C6D70">
        <w:rPr>
          <w:rFonts w:ascii="Times New Roman" w:eastAsia="Times New Roman" w:hAnsi="Times New Roman" w:cs="Times New Roman"/>
          <w:b/>
          <w:color w:val="000000" w:themeColor="text1"/>
        </w:rPr>
        <w:t>z ......</w:t>
      </w:r>
      <w:r w:rsidR="00704878" w:rsidRPr="007C6D70">
        <w:rPr>
          <w:rFonts w:ascii="Times New Roman" w:eastAsia="Times New Roman" w:hAnsi="Times New Roman" w:cs="Times New Roman"/>
          <w:b/>
          <w:color w:val="000000" w:themeColor="text1"/>
        </w:rPr>
        <w:t>2022,</w:t>
      </w:r>
    </w:p>
    <w:p w14:paraId="6965AD24" w14:textId="77777777" w:rsidR="00704878" w:rsidRPr="007C6D70" w:rsidRDefault="00704878" w:rsidP="003268C3">
      <w:pPr>
        <w:jc w:val="center"/>
        <w:rPr>
          <w:rFonts w:ascii="Times New Roman" w:eastAsia="Times New Roman" w:hAnsi="Times New Roman" w:cs="Times New Roman"/>
          <w:b/>
          <w:bCs/>
          <w:color w:val="000000" w:themeColor="text1"/>
        </w:rPr>
      </w:pPr>
    </w:p>
    <w:p w14:paraId="785B81E3" w14:textId="6A1E9AD9" w:rsidR="00704878" w:rsidRPr="007C6D70" w:rsidRDefault="00704878" w:rsidP="003268C3">
      <w:pPr>
        <w:jc w:val="center"/>
        <w:rPr>
          <w:rFonts w:ascii="Times New Roman" w:eastAsia="Times New Roman" w:hAnsi="Times New Roman" w:cs="Times New Roman"/>
          <w:b/>
          <w:bCs/>
          <w:color w:val="000000" w:themeColor="text1"/>
        </w:rPr>
      </w:pPr>
      <w:r w:rsidRPr="007C6D70">
        <w:rPr>
          <w:rFonts w:ascii="Times New Roman" w:eastAsia="Times New Roman" w:hAnsi="Times New Roman" w:cs="Times New Roman"/>
          <w:b/>
          <w:bCs/>
          <w:color w:val="000000" w:themeColor="text1"/>
        </w:rPr>
        <w:t>ktorou sa ustanovujú podrobnosti o zaraďovaní poistencov do farmaceuticko-nákladových skupín</w:t>
      </w:r>
    </w:p>
    <w:p w14:paraId="0FF905D7" w14:textId="77777777" w:rsidR="00704878" w:rsidRPr="007C6D70" w:rsidRDefault="00704878" w:rsidP="00704878">
      <w:pPr>
        <w:jc w:val="both"/>
        <w:rPr>
          <w:rFonts w:ascii="Times New Roman" w:eastAsia="Times New Roman" w:hAnsi="Times New Roman" w:cs="Times New Roman"/>
          <w:color w:val="000000" w:themeColor="text1"/>
        </w:rPr>
      </w:pPr>
    </w:p>
    <w:p w14:paraId="6992DAD9" w14:textId="7CB03BF4"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Ministerstvo zdravotníctva Slovenskej republiky podľa </w:t>
      </w:r>
      <w:hyperlink r:id="rId7" w:anchor="paragraf-28.odsek-14.pismeno-d" w:tooltip="Odkaz na predpis alebo ustanovenie" w:history="1">
        <w:r w:rsidRPr="007C6D70">
          <w:rPr>
            <w:rFonts w:ascii="Times New Roman" w:eastAsia="Times New Roman" w:hAnsi="Times New Roman" w:cs="Times New Roman"/>
            <w:iCs/>
            <w:color w:val="000000" w:themeColor="text1"/>
          </w:rPr>
          <w:t>§ 28 ods. 14 písm. d) zákona č. 580/2004 Z. z.</w:t>
        </w:r>
      </w:hyperlink>
      <w:r w:rsidRPr="007C6D70">
        <w:rPr>
          <w:rFonts w:ascii="Times New Roman" w:eastAsia="Times New Roman" w:hAnsi="Times New Roman" w:cs="Times New Roman"/>
          <w:color w:val="000000" w:themeColor="text1"/>
        </w:rPr>
        <w:t> o zdravotnom poistení a o zmene a doplnení zákona č. 95/2002 Z. z. o poisťovníctve a o zmene a doplnení niektorých zákonov v znení zákona č. 185/2012 Z. z. (ďalej len „zákon“) po dohode s Ministerstvom financií Slovenskej republiky ustanovuje: </w:t>
      </w:r>
    </w:p>
    <w:p w14:paraId="2218B859" w14:textId="77777777" w:rsidR="00704878" w:rsidRPr="007C6D70" w:rsidRDefault="00704878" w:rsidP="00704878">
      <w:pPr>
        <w:jc w:val="both"/>
        <w:rPr>
          <w:rFonts w:ascii="Times New Roman" w:eastAsia="Times New Roman" w:hAnsi="Times New Roman" w:cs="Times New Roman"/>
          <w:b/>
          <w:bCs/>
          <w:color w:val="000000" w:themeColor="text1"/>
        </w:rPr>
      </w:pPr>
    </w:p>
    <w:p w14:paraId="41E29A90" w14:textId="3F184B97" w:rsidR="00704878" w:rsidRPr="007C6D70" w:rsidRDefault="00704878" w:rsidP="003268C3">
      <w:pPr>
        <w:jc w:val="center"/>
        <w:rPr>
          <w:rFonts w:ascii="Times New Roman" w:eastAsia="Times New Roman" w:hAnsi="Times New Roman" w:cs="Times New Roman"/>
          <w:b/>
          <w:bCs/>
          <w:color w:val="000000" w:themeColor="text1"/>
        </w:rPr>
      </w:pPr>
      <w:r w:rsidRPr="007C6D70">
        <w:rPr>
          <w:rFonts w:ascii="Times New Roman" w:eastAsia="Times New Roman" w:hAnsi="Times New Roman" w:cs="Times New Roman"/>
          <w:b/>
          <w:bCs/>
          <w:color w:val="000000" w:themeColor="text1"/>
        </w:rPr>
        <w:t>§ 1</w:t>
      </w:r>
    </w:p>
    <w:p w14:paraId="2131519A" w14:textId="77777777" w:rsidR="00704878" w:rsidRPr="007C6D70" w:rsidRDefault="00704878" w:rsidP="00704878">
      <w:pPr>
        <w:jc w:val="both"/>
        <w:rPr>
          <w:rFonts w:ascii="Times New Roman" w:eastAsia="Times New Roman" w:hAnsi="Times New Roman" w:cs="Times New Roman"/>
          <w:color w:val="000000" w:themeColor="text1"/>
        </w:rPr>
      </w:pPr>
    </w:p>
    <w:p w14:paraId="7E29B97C" w14:textId="4A593B9A"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(1)</w:t>
      </w:r>
      <w:r w:rsidR="004E7C62"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Ak poistenec zdravotnej poisťovne splnil kritériá podľa </w:t>
      </w:r>
      <w:hyperlink r:id="rId8" w:anchor="paragraf-27b.odsek-2" w:tooltip="Odkaz na predpis alebo ustanovenie" w:history="1">
        <w:r w:rsidRPr="007C6D70">
          <w:rPr>
            <w:rFonts w:ascii="Times New Roman" w:eastAsia="Times New Roman" w:hAnsi="Times New Roman" w:cs="Times New Roman"/>
            <w:iCs/>
            <w:color w:val="000000" w:themeColor="text1"/>
          </w:rPr>
          <w:t>§ 27b ods. 2 a 3 zákona</w:t>
        </w:r>
      </w:hyperlink>
      <w:r w:rsidRPr="007C6D70">
        <w:rPr>
          <w:rFonts w:ascii="Times New Roman" w:eastAsia="Times New Roman" w:hAnsi="Times New Roman" w:cs="Times New Roman"/>
          <w:color w:val="000000" w:themeColor="text1"/>
        </w:rPr>
        <w:t> pre zaradenie do farmaceuticko-nákladovej skupiny a bol poistencom aspoň jeden deň kalendárneho mesiaca, zaradí sa do príslušnej farmaceuticko-nákladovej skupiny počas celého kalendárneho mesiaca. </w:t>
      </w:r>
    </w:p>
    <w:p w14:paraId="5A1817F5" w14:textId="77777777" w:rsidR="00704878" w:rsidRPr="007C6D70" w:rsidRDefault="00704878" w:rsidP="00704878">
      <w:pPr>
        <w:jc w:val="both"/>
        <w:rPr>
          <w:rFonts w:ascii="Times New Roman" w:eastAsia="Times New Roman" w:hAnsi="Times New Roman" w:cs="Times New Roman"/>
          <w:color w:val="000000" w:themeColor="text1"/>
        </w:rPr>
      </w:pPr>
    </w:p>
    <w:p w14:paraId="08F0ABD5" w14:textId="2D8F9452"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(2)</w:t>
      </w:r>
      <w:r w:rsidR="004E7C62"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Pri zaradení poistenca do farmaceuticko-nákladovej skupiny sa vychádza z údajov, ktoré má zdravotná poisťovňa k dispozícii v účtovnej evidencii, na účtoch poistencov a z údajov oznámených inou zdravotnou poisťovňou pri výmene údajov z účtov poistencov ku dňu, ku ktorému sú údaje nahlasované. </w:t>
      </w:r>
    </w:p>
    <w:p w14:paraId="06794EE3" w14:textId="77777777" w:rsidR="00704878" w:rsidRPr="007C6D70" w:rsidRDefault="00704878" w:rsidP="00704878">
      <w:pPr>
        <w:jc w:val="both"/>
        <w:rPr>
          <w:rFonts w:ascii="Times New Roman" w:eastAsia="Times New Roman" w:hAnsi="Times New Roman" w:cs="Times New Roman"/>
          <w:color w:val="000000" w:themeColor="text1"/>
        </w:rPr>
      </w:pPr>
    </w:p>
    <w:p w14:paraId="608DFD6E" w14:textId="157C1D2D"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(3)</w:t>
      </w:r>
      <w:r w:rsidR="004E7C62"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Poistenci, ktorí boli zdravotnou poisťovňou zaradení do farmaceuticko-nákladovej skupiny a ktorí ani jeden deň obdobia, za ktorý sa vykonáva prerozdeľovanie poistného, nie sú v centrálnom registri poistencov evidovaní ako poistenci príslušnej zdravotnej poisťovne, sa z tohto zoznamu vyradia. </w:t>
      </w:r>
    </w:p>
    <w:p w14:paraId="3EDA373A" w14:textId="77777777" w:rsidR="00704878" w:rsidRPr="007C6D70" w:rsidRDefault="00704878" w:rsidP="00704878">
      <w:pPr>
        <w:jc w:val="both"/>
        <w:rPr>
          <w:rFonts w:ascii="Times New Roman" w:eastAsia="Times New Roman" w:hAnsi="Times New Roman" w:cs="Times New Roman"/>
          <w:b/>
          <w:bCs/>
          <w:color w:val="000000" w:themeColor="text1"/>
        </w:rPr>
      </w:pPr>
    </w:p>
    <w:p w14:paraId="4240495D" w14:textId="76D4053F" w:rsidR="00704878" w:rsidRPr="007C6D70" w:rsidRDefault="00704878" w:rsidP="003268C3">
      <w:pPr>
        <w:jc w:val="center"/>
        <w:rPr>
          <w:rFonts w:ascii="Times New Roman" w:eastAsia="Times New Roman" w:hAnsi="Times New Roman" w:cs="Times New Roman"/>
          <w:b/>
          <w:bCs/>
          <w:color w:val="000000" w:themeColor="text1"/>
        </w:rPr>
      </w:pPr>
      <w:r w:rsidRPr="007C6D70">
        <w:rPr>
          <w:rFonts w:ascii="Times New Roman" w:eastAsia="Times New Roman" w:hAnsi="Times New Roman" w:cs="Times New Roman"/>
          <w:b/>
          <w:bCs/>
          <w:color w:val="000000" w:themeColor="text1"/>
        </w:rPr>
        <w:t>§ 2</w:t>
      </w:r>
    </w:p>
    <w:p w14:paraId="312B6261" w14:textId="77777777" w:rsidR="00704878" w:rsidRPr="007C6D70" w:rsidRDefault="00704878" w:rsidP="00704878">
      <w:pPr>
        <w:jc w:val="both"/>
        <w:rPr>
          <w:rFonts w:ascii="Times New Roman" w:eastAsia="Times New Roman" w:hAnsi="Times New Roman" w:cs="Times New Roman"/>
          <w:color w:val="000000" w:themeColor="text1"/>
        </w:rPr>
      </w:pPr>
    </w:p>
    <w:p w14:paraId="615E876A" w14:textId="00DEFB76"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(1)</w:t>
      </w:r>
      <w:r w:rsidR="004E7C62"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Poistenca nemožno zaradiť do farmaceuticko-nákladovej skupiny, ak mu počas 12 za sebou nasledujúcich kalendárnych mesiacov predchádzajúcich kalendárnemu mesiacu, za ktorý sa vykonáva mesačné prerozdeľovanie (ďalej len „sledované obdobie“), nebolo vydaných alebo podaných aspoň 181 štandardných dávok liečiva v kategorizovaných liekoch v ATC skupinách, ktoré definujú túto jednu farmaceuticko-nákladovú skupinu bez ohľadu na diagnózu. </w:t>
      </w:r>
    </w:p>
    <w:p w14:paraId="7CFA285F" w14:textId="1F0647A0" w:rsidR="00704878" w:rsidRPr="007C6D70" w:rsidRDefault="00704878" w:rsidP="00704878">
      <w:pPr>
        <w:jc w:val="both"/>
        <w:rPr>
          <w:rFonts w:ascii="Times New Roman" w:eastAsia="Times New Roman" w:hAnsi="Times New Roman" w:cs="Times New Roman"/>
          <w:color w:val="000000" w:themeColor="text1"/>
        </w:rPr>
      </w:pPr>
      <w:bookmarkStart w:id="0" w:name="_GoBack"/>
      <w:bookmarkEnd w:id="0"/>
    </w:p>
    <w:p w14:paraId="3A11497F" w14:textId="65056A19"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(2)</w:t>
      </w:r>
      <w:r w:rsidR="004E7C62"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Poistenca vo veku do dovŕšenia 18 rokov možno zaradiť do farmaceuticko-nákladových skupín AST, DEP, EPI a PSY, ak mu počas 12 za sebou nasledujúcich kalendárnych mesiacov predchádzajúcich kalendárnemu mesiacu, za ktorý sa vykonáva mesačné prerozdeľovanie, bolo vydaných alebo podaných aspoň 91 štandardných dávok liečiva v kategorizovaných liekoch v ATC skupinách, ktoré definujú farmaceuticko-nákladové skupiny AST, DEP, EPI a PSY.</w:t>
      </w:r>
    </w:p>
    <w:p w14:paraId="212E2FB2" w14:textId="77777777" w:rsidR="00704878" w:rsidRPr="007C6D70" w:rsidRDefault="00704878" w:rsidP="00704878">
      <w:pPr>
        <w:jc w:val="both"/>
        <w:rPr>
          <w:rFonts w:ascii="Times New Roman" w:eastAsia="Times New Roman" w:hAnsi="Times New Roman" w:cs="Times New Roman"/>
          <w:color w:val="000000" w:themeColor="text1"/>
        </w:rPr>
      </w:pPr>
    </w:p>
    <w:p w14:paraId="2EC2AE17" w14:textId="2AB76657"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lastRenderedPageBreak/>
        <w:t>(3)</w:t>
      </w:r>
      <w:r w:rsidR="004E7C62"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Za vydané alebo podané štandardné dávky liečiva sa považujú len tie, ktoré sú k dátumu spracúvania podkladov zdravotnou poisťovňou uhradené. Ak sa štandardná dávka liečiva v priebehu sledovaného obdobia zmenila, použije sa posledná známa štandardná dávka liečiva pre daný liek v čase zaraďovania poistenca. Ak je liek zaradený v Zozname kategorizovaných liekov iba časť sledovaného obdobia, liek sa použije na účely zaraďovania poistencov do farmaceuticko-nákladových skupín iba v tom období, keď bol zaradený v Zozname kategorizovaných liekov. </w:t>
      </w:r>
    </w:p>
    <w:p w14:paraId="28D4DBFC" w14:textId="77777777" w:rsidR="00704878" w:rsidRPr="007C6D70" w:rsidRDefault="00704878" w:rsidP="00704878">
      <w:pPr>
        <w:jc w:val="both"/>
        <w:rPr>
          <w:rFonts w:ascii="Times New Roman" w:eastAsia="Times New Roman" w:hAnsi="Times New Roman" w:cs="Times New Roman"/>
          <w:color w:val="000000" w:themeColor="text1"/>
        </w:rPr>
      </w:pPr>
    </w:p>
    <w:p w14:paraId="1E0EA70D" w14:textId="60509FF4"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(4)</w:t>
      </w:r>
      <w:r w:rsidR="00B06BE7"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Počty štandardných dávok liečiva v ATC skupinách, ktoré definujú jednu farmaceuticko-nákladovú skupinu, sa sčítavajú, ak v zozname farmaceuticko-nákladových skupín nie je uvedené inak. </w:t>
      </w:r>
    </w:p>
    <w:p w14:paraId="17D857F2" w14:textId="77777777" w:rsidR="00704878" w:rsidRPr="007C6D70" w:rsidRDefault="00704878" w:rsidP="00704878">
      <w:pPr>
        <w:jc w:val="both"/>
        <w:rPr>
          <w:rFonts w:ascii="Times New Roman" w:eastAsia="Times New Roman" w:hAnsi="Times New Roman" w:cs="Times New Roman"/>
          <w:color w:val="000000" w:themeColor="text1"/>
        </w:rPr>
      </w:pPr>
    </w:p>
    <w:p w14:paraId="1F52A927" w14:textId="0C4280B8" w:rsidR="00704878" w:rsidRPr="007C6D70" w:rsidRDefault="00704878" w:rsidP="00704878">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(5)</w:t>
      </w:r>
      <w:r w:rsidR="00B06BE7" w:rsidRPr="007C6D70">
        <w:rPr>
          <w:rFonts w:ascii="Times New Roman" w:eastAsia="Times New Roman" w:hAnsi="Times New Roman" w:cs="Times New Roman"/>
          <w:color w:val="000000" w:themeColor="text1"/>
        </w:rPr>
        <w:t xml:space="preserve"> </w:t>
      </w:r>
      <w:r w:rsidRPr="007C6D70">
        <w:rPr>
          <w:rFonts w:ascii="Times New Roman" w:eastAsia="Times New Roman" w:hAnsi="Times New Roman" w:cs="Times New Roman"/>
          <w:color w:val="000000" w:themeColor="text1"/>
        </w:rPr>
        <w:t>Pre každého poistenca a pre každú farmaceuticko-nákladovú skupinu sa vypočíta počet štandardných dávok liečiva ako súčet súčinov štandardných dávok liečiva pre jedno balenie liekov a počtu balení liekov. </w:t>
      </w:r>
    </w:p>
    <w:p w14:paraId="19CF41B4" w14:textId="77777777" w:rsidR="00704878" w:rsidRPr="007C6D70" w:rsidRDefault="00704878" w:rsidP="00704878">
      <w:pPr>
        <w:jc w:val="both"/>
        <w:rPr>
          <w:rFonts w:ascii="Times New Roman" w:eastAsia="Times New Roman" w:hAnsi="Times New Roman" w:cs="Times New Roman"/>
          <w:b/>
          <w:bCs/>
          <w:color w:val="000000" w:themeColor="text1"/>
        </w:rPr>
      </w:pPr>
    </w:p>
    <w:p w14:paraId="412FEDF2" w14:textId="61B28CC5" w:rsidR="00704878" w:rsidRPr="007C6D70" w:rsidRDefault="00704878" w:rsidP="003268C3">
      <w:pPr>
        <w:jc w:val="center"/>
        <w:rPr>
          <w:rFonts w:ascii="Times New Roman" w:eastAsia="Times New Roman" w:hAnsi="Times New Roman" w:cs="Times New Roman"/>
          <w:b/>
          <w:bCs/>
          <w:color w:val="000000" w:themeColor="text1"/>
        </w:rPr>
      </w:pPr>
      <w:r w:rsidRPr="007C6D70">
        <w:rPr>
          <w:rFonts w:ascii="Times New Roman" w:eastAsia="Times New Roman" w:hAnsi="Times New Roman" w:cs="Times New Roman"/>
          <w:b/>
          <w:bCs/>
          <w:color w:val="000000" w:themeColor="text1"/>
        </w:rPr>
        <w:t>§ 3</w:t>
      </w:r>
    </w:p>
    <w:p w14:paraId="2E9549C7" w14:textId="77777777" w:rsidR="00B06BE7" w:rsidRPr="007C6D70" w:rsidRDefault="00B06BE7" w:rsidP="00097B21">
      <w:pPr>
        <w:jc w:val="both"/>
        <w:rPr>
          <w:rFonts w:ascii="Times New Roman" w:eastAsia="Times New Roman" w:hAnsi="Times New Roman" w:cs="Times New Roman"/>
          <w:color w:val="000000" w:themeColor="text1"/>
        </w:rPr>
      </w:pPr>
    </w:p>
    <w:p w14:paraId="75DC8B20" w14:textId="62D4290A" w:rsidR="0062493A" w:rsidRPr="007C6D70" w:rsidRDefault="00704878" w:rsidP="00097B21">
      <w:pPr>
        <w:jc w:val="both"/>
        <w:rPr>
          <w:rFonts w:ascii="Times New Roman" w:eastAsia="Times New Roman" w:hAnsi="Times New Roman" w:cs="Times New Roman"/>
          <w:color w:val="000000" w:themeColor="text1"/>
        </w:rPr>
      </w:pPr>
      <w:r w:rsidRPr="007C6D70">
        <w:rPr>
          <w:rFonts w:ascii="Times New Roman" w:eastAsia="Times New Roman" w:hAnsi="Times New Roman" w:cs="Times New Roman"/>
          <w:color w:val="000000" w:themeColor="text1"/>
        </w:rPr>
        <w:t xml:space="preserve">Táto vyhláška nadobúda účinnosť </w:t>
      </w:r>
      <w:r w:rsidR="00B06BE7" w:rsidRPr="007C6D70">
        <w:rPr>
          <w:rFonts w:ascii="Times New Roman" w:eastAsia="Times New Roman" w:hAnsi="Times New Roman" w:cs="Times New Roman"/>
          <w:color w:val="000000" w:themeColor="text1"/>
        </w:rPr>
        <w:t>1</w:t>
      </w:r>
      <w:r w:rsidRPr="007C6D70">
        <w:rPr>
          <w:rFonts w:ascii="Times New Roman" w:eastAsia="Times New Roman" w:hAnsi="Times New Roman" w:cs="Times New Roman"/>
          <w:color w:val="000000" w:themeColor="text1"/>
        </w:rPr>
        <w:t xml:space="preserve">. </w:t>
      </w:r>
      <w:r w:rsidR="00B06BE7" w:rsidRPr="007C6D70">
        <w:rPr>
          <w:rFonts w:ascii="Times New Roman" w:eastAsia="Times New Roman" w:hAnsi="Times New Roman" w:cs="Times New Roman"/>
          <w:color w:val="000000" w:themeColor="text1"/>
        </w:rPr>
        <w:t>novembra</w:t>
      </w:r>
      <w:r w:rsidRPr="007C6D70">
        <w:rPr>
          <w:rFonts w:ascii="Times New Roman" w:eastAsia="Times New Roman" w:hAnsi="Times New Roman" w:cs="Times New Roman"/>
          <w:color w:val="000000" w:themeColor="text1"/>
        </w:rPr>
        <w:t xml:space="preserve"> 20</w:t>
      </w:r>
      <w:r w:rsidR="00B06BE7" w:rsidRPr="007C6D70">
        <w:rPr>
          <w:rFonts w:ascii="Times New Roman" w:eastAsia="Times New Roman" w:hAnsi="Times New Roman" w:cs="Times New Roman"/>
          <w:color w:val="000000" w:themeColor="text1"/>
        </w:rPr>
        <w:t>22</w:t>
      </w:r>
      <w:r w:rsidRPr="007C6D70">
        <w:rPr>
          <w:rFonts w:ascii="Times New Roman" w:eastAsia="Times New Roman" w:hAnsi="Times New Roman" w:cs="Times New Roman"/>
          <w:color w:val="000000" w:themeColor="text1"/>
        </w:rPr>
        <w:t>.</w:t>
      </w:r>
    </w:p>
    <w:p w14:paraId="00374824" w14:textId="63D748F2" w:rsidR="003268C3" w:rsidRPr="007C6D70" w:rsidRDefault="003268C3" w:rsidP="00097B21">
      <w:pPr>
        <w:jc w:val="both"/>
        <w:rPr>
          <w:rFonts w:ascii="Times New Roman" w:eastAsia="Times New Roman" w:hAnsi="Times New Roman" w:cs="Times New Roman"/>
          <w:color w:val="000000" w:themeColor="text1"/>
        </w:rPr>
      </w:pPr>
    </w:p>
    <w:p w14:paraId="62C2E6D6" w14:textId="77777777" w:rsidR="003268C3" w:rsidRPr="007C6D70" w:rsidRDefault="003268C3" w:rsidP="003268C3">
      <w:pPr>
        <w:jc w:val="center"/>
        <w:rPr>
          <w:rFonts w:ascii="Times New Roman" w:eastAsia="Times New Roman" w:hAnsi="Times New Roman" w:cs="Times New Roman"/>
          <w:color w:val="000000" w:themeColor="text1"/>
        </w:rPr>
      </w:pPr>
    </w:p>
    <w:p w14:paraId="45834CED" w14:textId="592B0746" w:rsidR="003268C3" w:rsidRPr="007C6D70" w:rsidRDefault="003268C3" w:rsidP="003268C3">
      <w:pPr>
        <w:jc w:val="center"/>
        <w:rPr>
          <w:rFonts w:ascii="Times New Roman" w:eastAsia="Times New Roman" w:hAnsi="Times New Roman" w:cs="Times New Roman"/>
          <w:b/>
          <w:color w:val="000000" w:themeColor="text1"/>
        </w:rPr>
      </w:pPr>
      <w:r w:rsidRPr="007C6D70">
        <w:rPr>
          <w:rFonts w:ascii="Times New Roman" w:eastAsia="Times New Roman" w:hAnsi="Times New Roman" w:cs="Times New Roman"/>
          <w:b/>
          <w:color w:val="000000" w:themeColor="text1"/>
        </w:rPr>
        <w:t>Vladimír Lengvarský, v. r.</w:t>
      </w:r>
    </w:p>
    <w:p w14:paraId="55164AC6" w14:textId="77777777" w:rsidR="003268C3" w:rsidRPr="007C6D70" w:rsidRDefault="003268C3" w:rsidP="00097B21">
      <w:pPr>
        <w:jc w:val="both"/>
        <w:rPr>
          <w:rFonts w:ascii="Times New Roman" w:eastAsia="Times New Roman" w:hAnsi="Times New Roman" w:cs="Times New Roman"/>
          <w:color w:val="000000" w:themeColor="text1"/>
        </w:rPr>
      </w:pPr>
    </w:p>
    <w:sectPr w:rsidR="003268C3" w:rsidRPr="007C6D70" w:rsidSect="00C3017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78"/>
    <w:rsid w:val="00032520"/>
    <w:rsid w:val="00097B21"/>
    <w:rsid w:val="003268C3"/>
    <w:rsid w:val="004E7C62"/>
    <w:rsid w:val="0062493A"/>
    <w:rsid w:val="00704878"/>
    <w:rsid w:val="007C6D70"/>
    <w:rsid w:val="00A30552"/>
    <w:rsid w:val="00B06BE7"/>
    <w:rsid w:val="00C30172"/>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B3DE"/>
  <w15:chartTrackingRefBased/>
  <w15:docId w15:val="{ED1D0E69-FB84-E546-B15C-27E76912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704878"/>
  </w:style>
  <w:style w:type="character" w:styleId="Hypertextovprepojenie">
    <w:name w:val="Hyperlink"/>
    <w:basedOn w:val="Predvolenpsmoodseku"/>
    <w:uiPriority w:val="99"/>
    <w:semiHidden/>
    <w:unhideWhenUsed/>
    <w:rsid w:val="00704878"/>
    <w:rPr>
      <w:color w:val="0000FF"/>
      <w:u w:val="single"/>
    </w:rPr>
  </w:style>
  <w:style w:type="paragraph" w:styleId="Odsekzoznamu">
    <w:name w:val="List Paragraph"/>
    <w:basedOn w:val="Normlny"/>
    <w:uiPriority w:val="34"/>
    <w:qFormat/>
    <w:rsid w:val="004E7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342673">
      <w:bodyDiv w:val="1"/>
      <w:marLeft w:val="0"/>
      <w:marRight w:val="0"/>
      <w:marTop w:val="0"/>
      <w:marBottom w:val="0"/>
      <w:divBdr>
        <w:top w:val="none" w:sz="0" w:space="0" w:color="auto"/>
        <w:left w:val="none" w:sz="0" w:space="0" w:color="auto"/>
        <w:bottom w:val="none" w:sz="0" w:space="0" w:color="auto"/>
        <w:right w:val="none" w:sz="0" w:space="0" w:color="auto"/>
      </w:divBdr>
      <w:divsChild>
        <w:div w:id="1374042332">
          <w:marLeft w:val="0"/>
          <w:marRight w:val="0"/>
          <w:marTop w:val="0"/>
          <w:marBottom w:val="240"/>
          <w:divBdr>
            <w:top w:val="none" w:sz="0" w:space="0" w:color="auto"/>
            <w:left w:val="none" w:sz="0" w:space="0" w:color="auto"/>
            <w:bottom w:val="none" w:sz="0" w:space="0" w:color="auto"/>
            <w:right w:val="none" w:sz="0" w:space="0" w:color="auto"/>
          </w:divBdr>
        </w:div>
        <w:div w:id="1780950181">
          <w:marLeft w:val="0"/>
          <w:marRight w:val="0"/>
          <w:marTop w:val="100"/>
          <w:marBottom w:val="100"/>
          <w:divBdr>
            <w:top w:val="none" w:sz="0" w:space="0" w:color="auto"/>
            <w:left w:val="none" w:sz="0" w:space="0" w:color="auto"/>
            <w:bottom w:val="none" w:sz="0" w:space="0" w:color="auto"/>
            <w:right w:val="none" w:sz="0" w:space="0" w:color="auto"/>
          </w:divBdr>
        </w:div>
        <w:div w:id="1802071454">
          <w:marLeft w:val="0"/>
          <w:marRight w:val="0"/>
          <w:marTop w:val="0"/>
          <w:marBottom w:val="300"/>
          <w:divBdr>
            <w:top w:val="none" w:sz="0" w:space="0" w:color="auto"/>
            <w:left w:val="none" w:sz="0" w:space="0" w:color="auto"/>
            <w:bottom w:val="single" w:sz="6" w:space="8" w:color="EFEFEF"/>
            <w:right w:val="none" w:sz="0" w:space="0" w:color="auto"/>
          </w:divBdr>
        </w:div>
        <w:div w:id="940644266">
          <w:marLeft w:val="255"/>
          <w:marRight w:val="0"/>
          <w:marTop w:val="75"/>
          <w:marBottom w:val="0"/>
          <w:divBdr>
            <w:top w:val="none" w:sz="0" w:space="0" w:color="auto"/>
            <w:left w:val="none" w:sz="0" w:space="0" w:color="auto"/>
            <w:bottom w:val="none" w:sz="0" w:space="0" w:color="auto"/>
            <w:right w:val="none" w:sz="0" w:space="0" w:color="auto"/>
          </w:divBdr>
          <w:divsChild>
            <w:div w:id="2023119278">
              <w:marLeft w:val="0"/>
              <w:marRight w:val="75"/>
              <w:marTop w:val="0"/>
              <w:marBottom w:val="0"/>
              <w:divBdr>
                <w:top w:val="none" w:sz="0" w:space="0" w:color="auto"/>
                <w:left w:val="none" w:sz="0" w:space="0" w:color="auto"/>
                <w:bottom w:val="none" w:sz="0" w:space="0" w:color="auto"/>
                <w:right w:val="none" w:sz="0" w:space="0" w:color="auto"/>
              </w:divBdr>
            </w:div>
            <w:div w:id="91513119">
              <w:marLeft w:val="255"/>
              <w:marRight w:val="0"/>
              <w:marTop w:val="75"/>
              <w:marBottom w:val="0"/>
              <w:divBdr>
                <w:top w:val="none" w:sz="0" w:space="0" w:color="auto"/>
                <w:left w:val="none" w:sz="0" w:space="0" w:color="auto"/>
                <w:bottom w:val="none" w:sz="0" w:space="0" w:color="auto"/>
                <w:right w:val="none" w:sz="0" w:space="0" w:color="auto"/>
              </w:divBdr>
            </w:div>
            <w:div w:id="2088070411">
              <w:marLeft w:val="255"/>
              <w:marRight w:val="0"/>
              <w:marTop w:val="75"/>
              <w:marBottom w:val="0"/>
              <w:divBdr>
                <w:top w:val="none" w:sz="0" w:space="0" w:color="auto"/>
                <w:left w:val="none" w:sz="0" w:space="0" w:color="auto"/>
                <w:bottom w:val="none" w:sz="0" w:space="0" w:color="auto"/>
                <w:right w:val="none" w:sz="0" w:space="0" w:color="auto"/>
              </w:divBdr>
            </w:div>
            <w:div w:id="1568226636">
              <w:marLeft w:val="255"/>
              <w:marRight w:val="0"/>
              <w:marTop w:val="75"/>
              <w:marBottom w:val="0"/>
              <w:divBdr>
                <w:top w:val="none" w:sz="0" w:space="0" w:color="auto"/>
                <w:left w:val="none" w:sz="0" w:space="0" w:color="auto"/>
                <w:bottom w:val="none" w:sz="0" w:space="0" w:color="auto"/>
                <w:right w:val="none" w:sz="0" w:space="0" w:color="auto"/>
              </w:divBdr>
            </w:div>
          </w:divsChild>
        </w:div>
        <w:div w:id="1776636671">
          <w:marLeft w:val="255"/>
          <w:marRight w:val="0"/>
          <w:marTop w:val="75"/>
          <w:marBottom w:val="0"/>
          <w:divBdr>
            <w:top w:val="none" w:sz="0" w:space="0" w:color="auto"/>
            <w:left w:val="none" w:sz="0" w:space="0" w:color="auto"/>
            <w:bottom w:val="none" w:sz="0" w:space="0" w:color="auto"/>
            <w:right w:val="none" w:sz="0" w:space="0" w:color="auto"/>
          </w:divBdr>
          <w:divsChild>
            <w:div w:id="1527058210">
              <w:marLeft w:val="0"/>
              <w:marRight w:val="75"/>
              <w:marTop w:val="0"/>
              <w:marBottom w:val="0"/>
              <w:divBdr>
                <w:top w:val="none" w:sz="0" w:space="0" w:color="auto"/>
                <w:left w:val="none" w:sz="0" w:space="0" w:color="auto"/>
                <w:bottom w:val="none" w:sz="0" w:space="0" w:color="auto"/>
                <w:right w:val="none" w:sz="0" w:space="0" w:color="auto"/>
              </w:divBdr>
            </w:div>
            <w:div w:id="360085884">
              <w:marLeft w:val="255"/>
              <w:marRight w:val="0"/>
              <w:marTop w:val="75"/>
              <w:marBottom w:val="0"/>
              <w:divBdr>
                <w:top w:val="none" w:sz="0" w:space="0" w:color="auto"/>
                <w:left w:val="none" w:sz="0" w:space="0" w:color="auto"/>
                <w:bottom w:val="none" w:sz="0" w:space="0" w:color="auto"/>
                <w:right w:val="none" w:sz="0" w:space="0" w:color="auto"/>
              </w:divBdr>
            </w:div>
            <w:div w:id="766655765">
              <w:marLeft w:val="255"/>
              <w:marRight w:val="0"/>
              <w:marTop w:val="75"/>
              <w:marBottom w:val="0"/>
              <w:divBdr>
                <w:top w:val="none" w:sz="0" w:space="0" w:color="auto"/>
                <w:left w:val="none" w:sz="0" w:space="0" w:color="auto"/>
                <w:bottom w:val="none" w:sz="0" w:space="0" w:color="auto"/>
                <w:right w:val="none" w:sz="0" w:space="0" w:color="auto"/>
              </w:divBdr>
            </w:div>
            <w:div w:id="1641614915">
              <w:marLeft w:val="255"/>
              <w:marRight w:val="0"/>
              <w:marTop w:val="75"/>
              <w:marBottom w:val="0"/>
              <w:divBdr>
                <w:top w:val="none" w:sz="0" w:space="0" w:color="auto"/>
                <w:left w:val="none" w:sz="0" w:space="0" w:color="auto"/>
                <w:bottom w:val="none" w:sz="0" w:space="0" w:color="auto"/>
                <w:right w:val="none" w:sz="0" w:space="0" w:color="auto"/>
              </w:divBdr>
            </w:div>
            <w:div w:id="440958801">
              <w:marLeft w:val="255"/>
              <w:marRight w:val="0"/>
              <w:marTop w:val="75"/>
              <w:marBottom w:val="0"/>
              <w:divBdr>
                <w:top w:val="none" w:sz="0" w:space="0" w:color="auto"/>
                <w:left w:val="none" w:sz="0" w:space="0" w:color="auto"/>
                <w:bottom w:val="none" w:sz="0" w:space="0" w:color="auto"/>
                <w:right w:val="none" w:sz="0" w:space="0" w:color="auto"/>
              </w:divBdr>
            </w:div>
          </w:divsChild>
        </w:div>
        <w:div w:id="215438397">
          <w:marLeft w:val="255"/>
          <w:marRight w:val="0"/>
          <w:marTop w:val="75"/>
          <w:marBottom w:val="0"/>
          <w:divBdr>
            <w:top w:val="none" w:sz="0" w:space="0" w:color="auto"/>
            <w:left w:val="none" w:sz="0" w:space="0" w:color="auto"/>
            <w:bottom w:val="none" w:sz="0" w:space="0" w:color="auto"/>
            <w:right w:val="none" w:sz="0" w:space="0" w:color="auto"/>
          </w:divBdr>
          <w:divsChild>
            <w:div w:id="310182137">
              <w:marLeft w:val="0"/>
              <w:marRight w:val="75"/>
              <w:marTop w:val="0"/>
              <w:marBottom w:val="0"/>
              <w:divBdr>
                <w:top w:val="none" w:sz="0" w:space="0" w:color="auto"/>
                <w:left w:val="none" w:sz="0" w:space="0" w:color="auto"/>
                <w:bottom w:val="none" w:sz="0" w:space="0" w:color="auto"/>
                <w:right w:val="none" w:sz="0" w:space="0" w:color="auto"/>
              </w:divBdr>
            </w:div>
            <w:div w:id="179983669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4054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0/" TargetMode="External"/><Relationship Id="rId3" Type="http://schemas.openxmlformats.org/officeDocument/2006/relationships/customXml" Target="../customXml/item3.xml"/><Relationship Id="rId7" Type="http://schemas.openxmlformats.org/officeDocument/2006/relationships/hyperlink" Target="https://www.slov-lex.sk/pravne-predpisy/SK/ZZ/2004/5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7BBE2DE9A5E74E814FF3E5463BF0D6" ma:contentTypeVersion="14" ma:contentTypeDescription="Create a new document." ma:contentTypeScope="" ma:versionID="0f0d3a1c0cd869e6cbbb92217bef7491">
  <xsd:schema xmlns:xsd="http://www.w3.org/2001/XMLSchema" xmlns:xs="http://www.w3.org/2001/XMLSchema" xmlns:p="http://schemas.microsoft.com/office/2006/metadata/properties" xmlns:ns2="edc73f9c-70d1-469b-b150-495011438330" xmlns:ns3="a0f9ce57-fc3a-405c-8e87-f3d63b00eeb1" targetNamespace="http://schemas.microsoft.com/office/2006/metadata/properties" ma:root="true" ma:fieldsID="66c4bdd9461f28f856581ce9312b0c7c" ns2:_="" ns3:_="">
    <xsd:import namespace="edc73f9c-70d1-469b-b150-495011438330"/>
    <xsd:import namespace="a0f9ce57-fc3a-405c-8e87-f3d63b00ee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23ec41-69b3-4140-9436-a0cc3b050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9ce57-fc3a-405c-8e87-f3d63b00ee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f088b9-a397-4e95-9903-d6471ec57d62}" ma:internalName="TaxCatchAll" ma:showField="CatchAllData" ma:web="a0f9ce57-fc3a-405c-8e87-f3d63b00ee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c73f9c-70d1-469b-b150-495011438330">
      <Terms xmlns="http://schemas.microsoft.com/office/infopath/2007/PartnerControls"/>
    </lcf76f155ced4ddcb4097134ff3c332f>
    <TaxCatchAll xmlns="a0f9ce57-fc3a-405c-8e87-f3d63b00ee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9E73D-A1D6-4F95-8668-ACCCEDE1B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a0f9ce57-fc3a-405c-8e87-f3d63b00e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F66A9-EA66-42CB-881F-D38195D4652E}">
  <ds:schemaRefs>
    <ds:schemaRef ds:uri="http://schemas.microsoft.com/office/2006/metadata/properties"/>
    <ds:schemaRef ds:uri="http://schemas.microsoft.com/office/infopath/2007/PartnerControls"/>
    <ds:schemaRef ds:uri="edc73f9c-70d1-469b-b150-495011438330"/>
    <ds:schemaRef ds:uri="a0f9ce57-fc3a-405c-8e87-f3d63b00eeb1"/>
  </ds:schemaRefs>
</ds:datastoreItem>
</file>

<file path=customXml/itemProps3.xml><?xml version="1.0" encoding="utf-8"?>
<ds:datastoreItem xmlns:ds="http://schemas.openxmlformats.org/officeDocument/2006/customXml" ds:itemID="{F079B368-59F0-4695-87EA-4E590AEB4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Červený Jakub</dc:creator>
  <cp:keywords/>
  <dc:description/>
  <cp:lastModifiedBy>Földesová Motajová Zuzana</cp:lastModifiedBy>
  <cp:revision>6</cp:revision>
  <dcterms:created xsi:type="dcterms:W3CDTF">2022-05-31T12:09:00Z</dcterms:created>
  <dcterms:modified xsi:type="dcterms:W3CDTF">2022-08-08T14:48:00Z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0x010100107BBE2DE9A5E74E814FF3E5463BF0D6</vt:lpwstr>
  </property>
  <property fmtid="{D5CDD505-2E9C-101B-9397-08002B2CF9AE}" pid="3" name="MediaServiceImageTags">
    <vt:lpwstr/>
  </property>
</Properties>
</file>