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1E116" w14:textId="77777777" w:rsidR="00F070DC" w:rsidRPr="00F070DC" w:rsidRDefault="00F070DC" w:rsidP="00F070DC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F070DC">
        <w:rPr>
          <w:rFonts w:ascii="Times New Roman" w:hAnsi="Times New Roman" w:cs="Times New Roman"/>
        </w:rPr>
        <w:t>(NÁVRH)</w:t>
      </w:r>
    </w:p>
    <w:p w14:paraId="39B4E275" w14:textId="77777777" w:rsidR="00F070DC" w:rsidRPr="00F070DC" w:rsidRDefault="00F070DC" w:rsidP="00F070DC">
      <w:pPr>
        <w:jc w:val="both"/>
        <w:rPr>
          <w:rFonts w:ascii="Times New Roman" w:hAnsi="Times New Roman" w:cs="Times New Roman"/>
        </w:rPr>
      </w:pPr>
    </w:p>
    <w:p w14:paraId="6B6077B2" w14:textId="77777777" w:rsidR="00F070DC" w:rsidRPr="00F070DC" w:rsidRDefault="00F070DC" w:rsidP="00F070DC">
      <w:pPr>
        <w:tabs>
          <w:tab w:val="left" w:pos="6120"/>
        </w:tabs>
        <w:jc w:val="center"/>
        <w:rPr>
          <w:rFonts w:ascii="Times New Roman" w:hAnsi="Times New Roman" w:cs="Times New Roman"/>
          <w:b/>
        </w:rPr>
      </w:pPr>
      <w:r w:rsidRPr="00F070DC">
        <w:rPr>
          <w:rFonts w:ascii="Times New Roman" w:hAnsi="Times New Roman" w:cs="Times New Roman"/>
          <w:b/>
        </w:rPr>
        <w:t xml:space="preserve">VYHLÁŠKA </w:t>
      </w:r>
    </w:p>
    <w:p w14:paraId="6EDCD5A8" w14:textId="77777777" w:rsidR="00F070DC" w:rsidRPr="00F070DC" w:rsidRDefault="00F070DC" w:rsidP="00F070DC">
      <w:pPr>
        <w:tabs>
          <w:tab w:val="left" w:pos="6120"/>
        </w:tabs>
        <w:jc w:val="center"/>
        <w:rPr>
          <w:rFonts w:ascii="Times New Roman" w:hAnsi="Times New Roman" w:cs="Times New Roman"/>
          <w:b/>
        </w:rPr>
      </w:pPr>
    </w:p>
    <w:p w14:paraId="28FD80C0" w14:textId="77777777" w:rsidR="00F070DC" w:rsidRPr="00F070DC" w:rsidRDefault="00F070DC" w:rsidP="00F070DC">
      <w:pPr>
        <w:tabs>
          <w:tab w:val="left" w:pos="6120"/>
        </w:tabs>
        <w:jc w:val="center"/>
        <w:rPr>
          <w:rFonts w:ascii="Times New Roman" w:hAnsi="Times New Roman" w:cs="Times New Roman"/>
          <w:b/>
        </w:rPr>
      </w:pPr>
      <w:r w:rsidRPr="00F070DC">
        <w:rPr>
          <w:rFonts w:ascii="Times New Roman" w:hAnsi="Times New Roman" w:cs="Times New Roman"/>
          <w:b/>
        </w:rPr>
        <w:t>Ministerstva zdravotníctva Slovenskej republiky</w:t>
      </w:r>
    </w:p>
    <w:p w14:paraId="2040FCD3" w14:textId="77777777" w:rsidR="00F070DC" w:rsidRPr="00F070DC" w:rsidRDefault="00F070DC" w:rsidP="00F070DC">
      <w:pPr>
        <w:tabs>
          <w:tab w:val="left" w:pos="6120"/>
        </w:tabs>
        <w:jc w:val="center"/>
        <w:rPr>
          <w:rFonts w:ascii="Times New Roman" w:hAnsi="Times New Roman" w:cs="Times New Roman"/>
          <w:b/>
        </w:rPr>
      </w:pPr>
    </w:p>
    <w:p w14:paraId="782FF188" w14:textId="77777777" w:rsidR="00F070DC" w:rsidRPr="00F070DC" w:rsidRDefault="00F070DC" w:rsidP="00F070DC">
      <w:pPr>
        <w:jc w:val="center"/>
        <w:rPr>
          <w:rFonts w:ascii="Times New Roman" w:hAnsi="Times New Roman" w:cs="Times New Roman"/>
          <w:b/>
        </w:rPr>
      </w:pPr>
      <w:r w:rsidRPr="00F070DC">
        <w:rPr>
          <w:rFonts w:ascii="Times New Roman" w:hAnsi="Times New Roman" w:cs="Times New Roman"/>
          <w:b/>
        </w:rPr>
        <w:t>z ..............2022,</w:t>
      </w:r>
    </w:p>
    <w:p w14:paraId="6251E82A" w14:textId="77777777" w:rsidR="00F070DC" w:rsidRPr="00F070DC" w:rsidRDefault="00F070DC" w:rsidP="00F070DC">
      <w:pPr>
        <w:jc w:val="center"/>
        <w:rPr>
          <w:rFonts w:ascii="Times New Roman" w:hAnsi="Times New Roman" w:cs="Times New Roman"/>
          <w:b/>
        </w:rPr>
      </w:pPr>
    </w:p>
    <w:p w14:paraId="7B44738A" w14:textId="3D1B35F6" w:rsidR="00F070DC" w:rsidRPr="00F070DC" w:rsidRDefault="00F070DC" w:rsidP="00BF3B9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F070D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ktorou sa ustanovujú podrobnosti o kritériách na zaradenie </w:t>
      </w:r>
      <w:r w:rsidR="00933EF1" w:rsidRPr="00933EF1">
        <w:rPr>
          <w:rFonts w:ascii="Times New Roman" w:eastAsia="Times New Roman" w:hAnsi="Times New Roman" w:cs="Times New Roman"/>
          <w:b/>
          <w:bCs/>
          <w:color w:val="000000" w:themeColor="text1"/>
        </w:rPr>
        <w:t>diagnózy podľa Medzinárodnej klasifikácie chorôb</w:t>
      </w:r>
      <w:r w:rsidR="00933EF1">
        <w:rPr>
          <w:rFonts w:ascii="Times New Roman" w:eastAsia="Times New Roman" w:hAnsi="Times New Roman" w:cs="Times New Roman"/>
          <w:b/>
          <w:bCs/>
          <w:color w:val="000000" w:themeColor="text1"/>
        </w:rPr>
        <w:t>,</w:t>
      </w:r>
      <w:r w:rsidR="00933EF1" w:rsidRPr="00933EF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00F070DC">
        <w:rPr>
          <w:rFonts w:ascii="Times New Roman" w:eastAsia="Times New Roman" w:hAnsi="Times New Roman" w:cs="Times New Roman"/>
          <w:b/>
          <w:bCs/>
          <w:color w:val="000000" w:themeColor="text1"/>
        </w:rPr>
        <w:t>farmaceuticko-nákladovej skupiny, diagnostickej nákladovej skupiny</w:t>
      </w:r>
      <w:r w:rsidR="00933EF1">
        <w:rPr>
          <w:rFonts w:ascii="Times New Roman" w:eastAsia="Times New Roman" w:hAnsi="Times New Roman" w:cs="Times New Roman"/>
          <w:b/>
          <w:bCs/>
          <w:color w:val="000000" w:themeColor="text1"/>
        </w:rPr>
        <w:t>, zdravotníckej pomôcky</w:t>
      </w:r>
      <w:r w:rsidRPr="00F070D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a nákladovej skupiny zdravotníckych pomôcok do </w:t>
      </w:r>
      <w:r w:rsidR="00933EF1" w:rsidRPr="00933EF1">
        <w:rPr>
          <w:rFonts w:ascii="Times New Roman" w:eastAsia="Times New Roman" w:hAnsi="Times New Roman" w:cs="Times New Roman"/>
          <w:b/>
          <w:bCs/>
          <w:color w:val="000000" w:themeColor="text1"/>
        </w:rPr>
        <w:t>zoznamu diagnostických skupín</w:t>
      </w:r>
      <w:r w:rsidR="00933EF1">
        <w:rPr>
          <w:rFonts w:ascii="Times New Roman" w:eastAsia="Times New Roman" w:hAnsi="Times New Roman" w:cs="Times New Roman"/>
          <w:b/>
          <w:bCs/>
          <w:color w:val="000000" w:themeColor="text1"/>
        </w:rPr>
        <w:t>,</w:t>
      </w:r>
      <w:r w:rsidR="00933EF1" w:rsidRPr="00933EF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00F070D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zoznamu farmaceuticko-nákladových skupín, </w:t>
      </w:r>
      <w:r w:rsidR="00933EF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zoznamu </w:t>
      </w:r>
      <w:r w:rsidRPr="00F070DC">
        <w:rPr>
          <w:rFonts w:ascii="Times New Roman" w:eastAsia="Times New Roman" w:hAnsi="Times New Roman" w:cs="Times New Roman"/>
          <w:b/>
          <w:bCs/>
          <w:color w:val="000000" w:themeColor="text1"/>
        </w:rPr>
        <w:t>diagnosticko-nákladových skupín</w:t>
      </w:r>
      <w:r w:rsidR="00933EF1">
        <w:rPr>
          <w:rFonts w:ascii="Times New Roman" w:eastAsia="Times New Roman" w:hAnsi="Times New Roman" w:cs="Times New Roman"/>
          <w:b/>
          <w:bCs/>
          <w:color w:val="000000" w:themeColor="text1"/>
        </w:rPr>
        <w:t>, zoznamu zdravotníckych pomôcok</w:t>
      </w:r>
      <w:r w:rsidR="00C60463">
        <w:rPr>
          <w:rFonts w:ascii="Times New Roman" w:eastAsia="Times New Roman" w:hAnsi="Times New Roman" w:cs="Times New Roman"/>
          <w:b/>
          <w:bCs/>
          <w:color w:val="000000" w:themeColor="text1"/>
        </w:rPr>
        <w:t>,</w:t>
      </w:r>
      <w:r w:rsidRPr="00F070D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933EF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zoznamu </w:t>
      </w:r>
      <w:r w:rsidRPr="00F070D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nákladových skupín zdravotníckych pomôcok a na </w:t>
      </w:r>
      <w:r w:rsidR="00933EF1">
        <w:rPr>
          <w:rFonts w:ascii="Times New Roman" w:eastAsia="Times New Roman" w:hAnsi="Times New Roman" w:cs="Times New Roman"/>
          <w:b/>
          <w:bCs/>
          <w:color w:val="000000" w:themeColor="text1"/>
        </w:rPr>
        <w:t>ich</w:t>
      </w:r>
      <w:r w:rsidR="00933EF1" w:rsidRPr="00F070D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00F070D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vyradenie z </w:t>
      </w:r>
      <w:r w:rsidR="00933EF1">
        <w:rPr>
          <w:rFonts w:ascii="Times New Roman" w:eastAsia="Times New Roman" w:hAnsi="Times New Roman" w:cs="Times New Roman"/>
          <w:b/>
          <w:bCs/>
          <w:color w:val="000000" w:themeColor="text1"/>
        </w:rPr>
        <w:t>týchto zoznamov</w:t>
      </w:r>
      <w:r w:rsidR="00C6046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a popis </w:t>
      </w:r>
      <w:r w:rsidR="00C60463" w:rsidRPr="00C60463">
        <w:rPr>
          <w:rFonts w:ascii="Times New Roman" w:eastAsia="Times New Roman" w:hAnsi="Times New Roman" w:cs="Times New Roman"/>
          <w:b/>
          <w:bCs/>
          <w:color w:val="000000" w:themeColor="text1"/>
        </w:rPr>
        <w:t>použitia metódy F-test nulovej hypotézy</w:t>
      </w:r>
    </w:p>
    <w:p w14:paraId="0C115EA3" w14:textId="77777777" w:rsidR="00F070DC" w:rsidRPr="00F070DC" w:rsidRDefault="00F070DC" w:rsidP="00F070DC">
      <w:pPr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11683D1A" w14:textId="16A00665" w:rsidR="00F070DC" w:rsidRPr="00F070DC" w:rsidRDefault="00F070DC" w:rsidP="00F070DC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070DC">
        <w:rPr>
          <w:rFonts w:ascii="Times New Roman" w:eastAsia="Times New Roman" w:hAnsi="Times New Roman" w:cs="Times New Roman"/>
          <w:color w:val="000000" w:themeColor="text1"/>
        </w:rPr>
        <w:t>Ministerstvo zdravotníctva Slovenskej republiky podľa </w:t>
      </w:r>
      <w:r w:rsidR="00353C7E">
        <w:rPr>
          <w:rFonts w:ascii="Times New Roman" w:eastAsia="Times New Roman" w:hAnsi="Times New Roman" w:cs="Times New Roman"/>
          <w:color w:val="000000" w:themeColor="text1"/>
        </w:rPr>
        <w:t xml:space="preserve">§ 27b ods. 11 a </w:t>
      </w:r>
      <w:hyperlink r:id="rId8" w:anchor="paragraf-28.odsek-14.pismeno-c" w:tooltip="Odkaz na predpis alebo ustanovenie" w:history="1">
        <w:r w:rsidRPr="00F070DC">
          <w:rPr>
            <w:rFonts w:ascii="Times New Roman" w:eastAsia="Times New Roman" w:hAnsi="Times New Roman" w:cs="Times New Roman"/>
            <w:iCs/>
            <w:color w:val="000000" w:themeColor="text1"/>
          </w:rPr>
          <w:t>§ 28 ods. 16 písm. c)</w:t>
        </w:r>
        <w:r w:rsidR="007B73CF">
          <w:rPr>
            <w:rFonts w:ascii="Times New Roman" w:eastAsia="Times New Roman" w:hAnsi="Times New Roman" w:cs="Times New Roman"/>
            <w:iCs/>
            <w:color w:val="000000" w:themeColor="text1"/>
          </w:rPr>
          <w:t>, e) a f)</w:t>
        </w:r>
        <w:r w:rsidRPr="00F070DC">
          <w:rPr>
            <w:rFonts w:ascii="Times New Roman" w:eastAsia="Times New Roman" w:hAnsi="Times New Roman" w:cs="Times New Roman"/>
            <w:iCs/>
            <w:color w:val="000000" w:themeColor="text1"/>
          </w:rPr>
          <w:t xml:space="preserve"> zákona č. 580/2004 Z. z.</w:t>
        </w:r>
      </w:hyperlink>
      <w:r w:rsidRPr="00F070DC">
        <w:rPr>
          <w:rFonts w:ascii="Times New Roman" w:eastAsia="Times New Roman" w:hAnsi="Times New Roman" w:cs="Times New Roman"/>
          <w:color w:val="000000" w:themeColor="text1"/>
        </w:rPr>
        <w:t> o zdravotnom poistení a o zmene a doplnení zákona č. 95/2002 Z. z. o poisťovníctve a o zmene a doplnení niektorých zákonov v znení neskorších predpisov v znení zákona č. 185/2012 Z. z. (ďalej len „zákon“) po dohode s Ministerstvom financií Slovenskej republiky ustanovuje: </w:t>
      </w:r>
    </w:p>
    <w:p w14:paraId="19EACC8E" w14:textId="77777777" w:rsidR="00F070DC" w:rsidRPr="00F070DC" w:rsidRDefault="00F070DC" w:rsidP="00F070DC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6FCD686" w14:textId="5F7EAE1F" w:rsidR="00F070DC" w:rsidRPr="00F070DC" w:rsidRDefault="00F070DC" w:rsidP="00F070DC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F070DC">
        <w:rPr>
          <w:rFonts w:ascii="Times New Roman" w:eastAsia="Times New Roman" w:hAnsi="Times New Roman" w:cs="Times New Roman"/>
          <w:b/>
          <w:bCs/>
          <w:color w:val="000000" w:themeColor="text1"/>
        </w:rPr>
        <w:t>§ 1</w:t>
      </w:r>
    </w:p>
    <w:p w14:paraId="561B2268" w14:textId="77777777" w:rsidR="00F070DC" w:rsidRDefault="00F070DC" w:rsidP="00F070DC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05FF450F" w14:textId="4BC1F6B5" w:rsidR="001473B0" w:rsidRPr="001473B0" w:rsidRDefault="001473B0" w:rsidP="001473B0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070DC">
        <w:rPr>
          <w:rFonts w:ascii="Times New Roman" w:eastAsia="Times New Roman" w:hAnsi="Times New Roman" w:cs="Times New Roman"/>
          <w:color w:val="000000" w:themeColor="text1"/>
        </w:rPr>
        <w:t xml:space="preserve">Na základe kritéria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na priemerné </w:t>
      </w:r>
      <w:r w:rsidRPr="00F070DC">
        <w:rPr>
          <w:rFonts w:ascii="Times New Roman" w:eastAsia="Times New Roman" w:hAnsi="Times New Roman" w:cs="Times New Roman"/>
          <w:color w:val="000000" w:themeColor="text1"/>
        </w:rPr>
        <w:t xml:space="preserve">dodatočné náklady na farmaceuticko-nákladovú skupinu sa zo zoznamu farmaceuticko-nákladových skupín vyraďuje taká farmaceuticko-nákladová skupina, pri ktorej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priemerné </w:t>
      </w:r>
      <w:r w:rsidRPr="00F070DC">
        <w:rPr>
          <w:rFonts w:ascii="Times New Roman" w:eastAsia="Times New Roman" w:hAnsi="Times New Roman" w:cs="Times New Roman"/>
          <w:color w:val="000000" w:themeColor="text1"/>
        </w:rPr>
        <w:t xml:space="preserve">dodatočné náklady sú nižšie ako 15% priemerných populačných nákladov na poistenca.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Priemerné dodatočné náklady na farmaceuticko-nákladovú skupinu sa vypočítajú </w:t>
      </w:r>
      <w:r w:rsidR="004B10E7">
        <w:rPr>
          <w:rFonts w:ascii="Times New Roman" w:eastAsia="Times New Roman" w:hAnsi="Times New Roman" w:cs="Times New Roman"/>
          <w:color w:val="000000" w:themeColor="text1"/>
        </w:rPr>
        <w:t>podľa § 27b odseku 5 zákona č. 580/2004 Z. z.</w:t>
      </w:r>
      <w:r w:rsidRPr="001473B0">
        <w:rPr>
          <w:rFonts w:ascii="Times New Roman" w:eastAsia="Times New Roman" w:hAnsi="Times New Roman" w:cs="Times New Roman"/>
          <w:color w:val="000000" w:themeColor="text1"/>
        </w:rPr>
        <w:br/>
      </w:r>
    </w:p>
    <w:p w14:paraId="3E255AA3" w14:textId="77777777" w:rsidR="00EB0712" w:rsidRDefault="00F070DC" w:rsidP="00EB0712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473B0">
        <w:rPr>
          <w:rFonts w:ascii="Times New Roman" w:eastAsia="Times New Roman" w:hAnsi="Times New Roman" w:cs="Times New Roman"/>
          <w:color w:val="000000" w:themeColor="text1"/>
        </w:rPr>
        <w:t xml:space="preserve">Zo zoznamu </w:t>
      </w:r>
      <w:bookmarkStart w:id="1" w:name="OLE_LINK33"/>
      <w:bookmarkStart w:id="2" w:name="OLE_LINK34"/>
      <w:r w:rsidRPr="001473B0">
        <w:rPr>
          <w:rFonts w:ascii="Times New Roman" w:eastAsia="Times New Roman" w:hAnsi="Times New Roman" w:cs="Times New Roman"/>
          <w:color w:val="000000" w:themeColor="text1"/>
        </w:rPr>
        <w:t xml:space="preserve">farmaceuticko-nákladových skupín </w:t>
      </w:r>
      <w:bookmarkEnd w:id="1"/>
      <w:bookmarkEnd w:id="2"/>
      <w:r w:rsidRPr="001473B0">
        <w:rPr>
          <w:rFonts w:ascii="Times New Roman" w:eastAsia="Times New Roman" w:hAnsi="Times New Roman" w:cs="Times New Roman"/>
          <w:color w:val="000000" w:themeColor="text1"/>
        </w:rPr>
        <w:t xml:space="preserve">sa vyraďuje taká farmaceuticko-nákladová skupina, pri ktorej je podiel jej </w:t>
      </w:r>
      <w:r w:rsidR="001473B0" w:rsidRPr="001473B0">
        <w:rPr>
          <w:rFonts w:ascii="Times New Roman" w:eastAsia="Times New Roman" w:hAnsi="Times New Roman" w:cs="Times New Roman"/>
          <w:color w:val="000000" w:themeColor="text1"/>
        </w:rPr>
        <w:t xml:space="preserve">celkových ročných </w:t>
      </w:r>
      <w:r w:rsidRPr="001473B0">
        <w:rPr>
          <w:rFonts w:ascii="Times New Roman" w:eastAsia="Times New Roman" w:hAnsi="Times New Roman" w:cs="Times New Roman"/>
          <w:color w:val="000000" w:themeColor="text1"/>
        </w:rPr>
        <w:t xml:space="preserve">dodatočných nákladov na celkových nákladoch na zdravotnú starostlivosť menej ako 0,01%. </w:t>
      </w:r>
      <w:r w:rsidR="001473B0" w:rsidRPr="001473B0">
        <w:rPr>
          <w:rFonts w:ascii="Times New Roman" w:eastAsia="Times New Roman" w:hAnsi="Times New Roman" w:cs="Times New Roman"/>
          <w:color w:val="000000" w:themeColor="text1"/>
        </w:rPr>
        <w:t>Celkové ročné dodatočné náklady farmaceuticko-nákladovej skupiny sa vypočítajú ako</w:t>
      </w:r>
      <w:r w:rsidR="004B10E7">
        <w:rPr>
          <w:rFonts w:ascii="Times New Roman" w:eastAsia="Times New Roman" w:hAnsi="Times New Roman" w:cs="Times New Roman"/>
          <w:color w:val="000000" w:themeColor="text1"/>
        </w:rPr>
        <w:t xml:space="preserve"> priemerné dodatočné náklady na farmaceuticko-nákladovú skupinu podľa odseku 1 vynásobené počtom mesiacov ktoré boli poistenci zaradený do tejto farmaceuticko-nákladovej skupiny evidovaný v zdravotnej poisťovni.</w:t>
      </w:r>
      <w:r w:rsidR="001473B0" w:rsidRPr="001473B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473B0" w:rsidRPr="001473B0">
        <w:rPr>
          <w:rFonts w:ascii="Times New Roman" w:eastAsia="Times New Roman" w:hAnsi="Times New Roman" w:cs="Times New Roman"/>
          <w:color w:val="000000" w:themeColor="text1"/>
        </w:rPr>
        <w:br/>
      </w:r>
      <w:bookmarkStart w:id="3" w:name="OLE_LINK35"/>
      <w:bookmarkStart w:id="4" w:name="OLE_LINK36"/>
    </w:p>
    <w:p w14:paraId="28CF8BFA" w14:textId="7FA34BFB" w:rsidR="009E5608" w:rsidRDefault="00F070DC" w:rsidP="009E5608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B0712">
        <w:rPr>
          <w:rFonts w:ascii="Times New Roman" w:eastAsia="Times New Roman" w:hAnsi="Times New Roman" w:cs="Times New Roman"/>
          <w:color w:val="000000" w:themeColor="text1"/>
        </w:rPr>
        <w:t xml:space="preserve">Zo zoznamu farmaceuticko-nákladových skupín sa vyraďuje taká farmaceuticko-nákladová skupina, ktorej F-test nulovej hypotézy, že daný koeficient dodatočných nákladov farmaceuticko-nákladovej skupiny je rovný 0 je štatisticky významný aspoň na hladine významnosti 0,01, pri výpočte lineárnej regresie so </w:t>
      </w:r>
      <w:r w:rsidR="00D83525">
        <w:rPr>
          <w:rFonts w:ascii="Times New Roman" w:eastAsia="Times New Roman" w:hAnsi="Times New Roman" w:cs="Times New Roman"/>
          <w:color w:val="000000" w:themeColor="text1"/>
        </w:rPr>
        <w:t>zostávajúcimi</w:t>
      </w:r>
      <w:r w:rsidR="00D83525" w:rsidRPr="000542D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EB0712">
        <w:rPr>
          <w:rFonts w:ascii="Times New Roman" w:eastAsia="Times New Roman" w:hAnsi="Times New Roman" w:cs="Times New Roman"/>
          <w:color w:val="000000" w:themeColor="text1"/>
        </w:rPr>
        <w:t>farma</w:t>
      </w:r>
      <w:r w:rsidR="00EB0712">
        <w:rPr>
          <w:rFonts w:ascii="Times New Roman" w:eastAsia="Times New Roman" w:hAnsi="Times New Roman" w:cs="Times New Roman"/>
          <w:color w:val="000000" w:themeColor="text1"/>
        </w:rPr>
        <w:t>ceuticko-nákladovými skupinami.</w:t>
      </w:r>
      <w:r w:rsidR="009E560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E5608" w:rsidRPr="00EB0712">
        <w:rPr>
          <w:rFonts w:ascii="Times New Roman" w:eastAsia="Times New Roman" w:hAnsi="Times New Roman" w:cs="Times New Roman"/>
          <w:color w:val="000000" w:themeColor="text1"/>
        </w:rPr>
        <w:t>Metodika F-testu je popísaná v prílohe.</w:t>
      </w:r>
      <w:r w:rsidR="009E5608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4D5B81E3" w14:textId="6D423F2D" w:rsidR="00EB0712" w:rsidRPr="009E5608" w:rsidRDefault="00EB0712" w:rsidP="009E5608">
      <w:pPr>
        <w:pStyle w:val="Odsekzoznamu"/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0514434B" w14:textId="2F5E2959" w:rsidR="009E5608" w:rsidRDefault="00EB0712" w:rsidP="009E5608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Farmaceuticko-nákadové skupiny sú testované v poradí od aktuálne najnákladnejšej ešte neotestovanej skupiny. V prípade vyradenia danej skupiny je proces priradenia farmaceuticko-nákladových skupín poistencom</w:t>
      </w:r>
      <w:r w:rsidR="009E5608">
        <w:rPr>
          <w:rFonts w:ascii="Times New Roman" w:eastAsia="Times New Roman" w:hAnsi="Times New Roman" w:cs="Times New Roman"/>
          <w:color w:val="000000" w:themeColor="text1"/>
        </w:rPr>
        <w:t xml:space="preserve"> podľa odseku 9 vyhlášky</w:t>
      </w:r>
      <w:r w:rsidR="000542D1">
        <w:rPr>
          <w:rFonts w:ascii="Times New Roman" w:eastAsia="Times New Roman" w:hAnsi="Times New Roman" w:cs="Times New Roman"/>
          <w:color w:val="000000" w:themeColor="text1"/>
        </w:rPr>
        <w:t xml:space="preserve"> č.</w:t>
      </w:r>
      <w:r w:rsidR="009E5608">
        <w:rPr>
          <w:rFonts w:ascii="Times New Roman" w:eastAsia="Times New Roman" w:hAnsi="Times New Roman" w:cs="Times New Roman"/>
          <w:color w:val="000000" w:themeColor="text1"/>
        </w:rPr>
        <w:t xml:space="preserve"> 266/2012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E5608">
        <w:rPr>
          <w:rFonts w:ascii="Times New Roman" w:eastAsia="Times New Roman" w:hAnsi="Times New Roman" w:cs="Times New Roman"/>
          <w:color w:val="000000" w:themeColor="text1"/>
        </w:rPr>
        <w:t xml:space="preserve">Z. z. </w:t>
      </w:r>
      <w:r>
        <w:rPr>
          <w:rFonts w:ascii="Times New Roman" w:eastAsia="Times New Roman" w:hAnsi="Times New Roman" w:cs="Times New Roman"/>
          <w:color w:val="000000" w:themeColor="text1"/>
        </w:rPr>
        <w:t>zopakovaný bez vyradených</w:t>
      </w:r>
      <w:r w:rsidR="009E5608">
        <w:rPr>
          <w:rFonts w:ascii="Times New Roman" w:eastAsia="Times New Roman" w:hAnsi="Times New Roman" w:cs="Times New Roman"/>
          <w:color w:val="000000" w:themeColor="text1"/>
        </w:rPr>
        <w:t xml:space="preserve"> farmaceuticko-nákladových skupín a lineárna regresia určujúca indexy rizika nákladov je vypočítaná znovu bez vyradených skupín a zostávajúce skupiny sú testované vhľadom na tento výpočet.</w:t>
      </w:r>
      <w:bookmarkEnd w:id="3"/>
      <w:bookmarkEnd w:id="4"/>
    </w:p>
    <w:p w14:paraId="75663E0E" w14:textId="77777777" w:rsidR="009E5608" w:rsidRPr="009E5608" w:rsidRDefault="009E5608" w:rsidP="009E5608">
      <w:pPr>
        <w:pStyle w:val="Odsekzoznamu"/>
        <w:rPr>
          <w:rFonts w:ascii="Times New Roman" w:eastAsia="Times New Roman" w:hAnsi="Times New Roman" w:cs="Times New Roman"/>
          <w:color w:val="000000" w:themeColor="text1"/>
        </w:rPr>
      </w:pPr>
    </w:p>
    <w:p w14:paraId="58FBEED8" w14:textId="0122B8A0" w:rsidR="00F070DC" w:rsidRPr="009E5608" w:rsidRDefault="00F070DC" w:rsidP="009E5608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E5608">
        <w:rPr>
          <w:rFonts w:ascii="Times New Roman" w:eastAsia="Times New Roman" w:hAnsi="Times New Roman" w:cs="Times New Roman"/>
          <w:color w:val="000000" w:themeColor="text1"/>
        </w:rPr>
        <w:t>Zo zoznamu farmaceuticko-nákladových skupín sa vyraďujú najprv ATC skupiny, pri ktorých podiel liekov, ktoré boli predpísané na choroby priradené farmaceuticko-nákladovej skupine, je menší ako 30%. Podiel liekov, ktoré boli predpísané na choroby priradené farmaceuticko-nákladovej skupine, sa vypočíta ako podiel štandardných dávok liečiva poskytnutých liekov v ATC skupine na skupinu priradených chorôb voči všetkým štandardným dávkam liečiva poskytnutých liekov v danej ATC skupine. Po vylúčení všetkých ATC skupín, ktoré nesplnili podmienku minimálne 30 % poskytnutých štandardných dávok liečiva na choroby priradené k farmaceuticko-nákladovej skupine, sa vypočíta podiel všetkých štandardných dávok liečiva poskytnutých liekov vo farmaceuticko-nákladovej skupine na skupinu priradených chorôb voči všetkým štandardným dávkam liečiva poskytnutých liekov v danej farmaceuticko-nákladovej skupine. Ak podiel liekov vo farmaceuticko-nákladovej skupine, ktoré boli predpísané na choroby priradené k danej farmaceuticko-nákladovej skupine, je menší ako 50 %, vyradí sa celá farmaceuticko-nákladová skupina. Toto kritérium sa použije len na tie farmaceuticko-nákladové skupiny, ktoré sú definované chorobou. </w:t>
      </w:r>
    </w:p>
    <w:p w14:paraId="655B8560" w14:textId="77777777" w:rsidR="00F070DC" w:rsidRDefault="00F070DC" w:rsidP="00F070DC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bookmarkStart w:id="5" w:name="OLE_LINK37"/>
      <w:bookmarkStart w:id="6" w:name="OLE_LINK38"/>
    </w:p>
    <w:p w14:paraId="46EEBAE0" w14:textId="08C4B84B" w:rsidR="009E5608" w:rsidRPr="001473B0" w:rsidRDefault="009E5608" w:rsidP="009E5608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070DC">
        <w:rPr>
          <w:rFonts w:ascii="Times New Roman" w:eastAsia="Times New Roman" w:hAnsi="Times New Roman" w:cs="Times New Roman"/>
          <w:color w:val="000000" w:themeColor="text1"/>
        </w:rPr>
        <w:t xml:space="preserve">Na základe kritéria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na priemerné </w:t>
      </w:r>
      <w:r w:rsidRPr="00F070DC">
        <w:rPr>
          <w:rFonts w:ascii="Times New Roman" w:eastAsia="Times New Roman" w:hAnsi="Times New Roman" w:cs="Times New Roman"/>
          <w:color w:val="000000" w:themeColor="text1"/>
        </w:rPr>
        <w:t xml:space="preserve">dodatočné náklady na </w:t>
      </w:r>
      <w:r>
        <w:rPr>
          <w:rFonts w:ascii="Times New Roman" w:eastAsia="Times New Roman" w:hAnsi="Times New Roman" w:cs="Times New Roman"/>
          <w:color w:val="000000" w:themeColor="text1"/>
        </w:rPr>
        <w:t>diagnosticko</w:t>
      </w:r>
      <w:r w:rsidRPr="00F070DC">
        <w:rPr>
          <w:rFonts w:ascii="Times New Roman" w:eastAsia="Times New Roman" w:hAnsi="Times New Roman" w:cs="Times New Roman"/>
          <w:color w:val="000000" w:themeColor="text1"/>
        </w:rPr>
        <w:t xml:space="preserve">-nákladovú skupinu sa zo zoznamu </w:t>
      </w:r>
      <w:r>
        <w:rPr>
          <w:rFonts w:ascii="Times New Roman" w:eastAsia="Times New Roman" w:hAnsi="Times New Roman" w:cs="Times New Roman"/>
          <w:color w:val="000000" w:themeColor="text1"/>
        </w:rPr>
        <w:t>diagnosticko</w:t>
      </w:r>
      <w:r w:rsidRPr="00F070DC">
        <w:rPr>
          <w:rFonts w:ascii="Times New Roman" w:eastAsia="Times New Roman" w:hAnsi="Times New Roman" w:cs="Times New Roman"/>
          <w:color w:val="000000" w:themeColor="text1"/>
        </w:rPr>
        <w:t xml:space="preserve">-nákladových skupín vyraďuje taká </w:t>
      </w:r>
      <w:r>
        <w:rPr>
          <w:rFonts w:ascii="Times New Roman" w:eastAsia="Times New Roman" w:hAnsi="Times New Roman" w:cs="Times New Roman"/>
          <w:color w:val="000000" w:themeColor="text1"/>
        </w:rPr>
        <w:t>diagnosticko</w:t>
      </w:r>
      <w:r w:rsidRPr="00F070DC">
        <w:rPr>
          <w:rFonts w:ascii="Times New Roman" w:eastAsia="Times New Roman" w:hAnsi="Times New Roman" w:cs="Times New Roman"/>
          <w:color w:val="000000" w:themeColor="text1"/>
        </w:rPr>
        <w:t xml:space="preserve">-nákladová skupina, pri ktorej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priemerné </w:t>
      </w:r>
      <w:r w:rsidRPr="00F070DC">
        <w:rPr>
          <w:rFonts w:ascii="Times New Roman" w:eastAsia="Times New Roman" w:hAnsi="Times New Roman" w:cs="Times New Roman"/>
          <w:color w:val="000000" w:themeColor="text1"/>
        </w:rPr>
        <w:t xml:space="preserve">dodatočné náklady sú nižšie ako 15% priemerných populačných nákladov na poistenca.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Priemerné dodatočné náklady na diagnosticko-nákladovú skupinu sa vypočítajú </w:t>
      </w:r>
      <w:r w:rsidR="000542D1">
        <w:rPr>
          <w:rFonts w:ascii="Times New Roman" w:eastAsia="Times New Roman" w:hAnsi="Times New Roman" w:cs="Times New Roman"/>
          <w:color w:val="000000" w:themeColor="text1"/>
        </w:rPr>
        <w:t>podľa § 27d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odseku </w:t>
      </w:r>
      <w:r w:rsidR="000542D1">
        <w:rPr>
          <w:rFonts w:ascii="Times New Roman" w:eastAsia="Times New Roman" w:hAnsi="Times New Roman" w:cs="Times New Roman"/>
          <w:color w:val="000000" w:themeColor="text1"/>
        </w:rPr>
        <w:t>8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zákona č. 580/2004 Z. z.</w:t>
      </w:r>
      <w:r w:rsidRPr="001473B0">
        <w:rPr>
          <w:rFonts w:ascii="Times New Roman" w:eastAsia="Times New Roman" w:hAnsi="Times New Roman" w:cs="Times New Roman"/>
          <w:color w:val="000000" w:themeColor="text1"/>
        </w:rPr>
        <w:br/>
      </w:r>
    </w:p>
    <w:p w14:paraId="4F83F891" w14:textId="40B07C2B" w:rsidR="009E5608" w:rsidRDefault="009E5608" w:rsidP="009E5608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473B0">
        <w:rPr>
          <w:rFonts w:ascii="Times New Roman" w:eastAsia="Times New Roman" w:hAnsi="Times New Roman" w:cs="Times New Roman"/>
          <w:color w:val="000000" w:themeColor="text1"/>
        </w:rPr>
        <w:t xml:space="preserve">Zo zoznamu </w:t>
      </w:r>
      <w:r w:rsidR="000542D1">
        <w:rPr>
          <w:rFonts w:ascii="Times New Roman" w:eastAsia="Times New Roman" w:hAnsi="Times New Roman" w:cs="Times New Roman"/>
          <w:color w:val="000000" w:themeColor="text1"/>
        </w:rPr>
        <w:t>diagnosticko</w:t>
      </w:r>
      <w:r w:rsidRPr="001473B0">
        <w:rPr>
          <w:rFonts w:ascii="Times New Roman" w:eastAsia="Times New Roman" w:hAnsi="Times New Roman" w:cs="Times New Roman"/>
          <w:color w:val="000000" w:themeColor="text1"/>
        </w:rPr>
        <w:t xml:space="preserve">-nákladových skupín sa vyraďuje taká </w:t>
      </w:r>
      <w:r w:rsidR="000542D1">
        <w:rPr>
          <w:rFonts w:ascii="Times New Roman" w:eastAsia="Times New Roman" w:hAnsi="Times New Roman" w:cs="Times New Roman"/>
          <w:color w:val="000000" w:themeColor="text1"/>
        </w:rPr>
        <w:t>diagnosticko</w:t>
      </w:r>
      <w:r w:rsidRPr="001473B0">
        <w:rPr>
          <w:rFonts w:ascii="Times New Roman" w:eastAsia="Times New Roman" w:hAnsi="Times New Roman" w:cs="Times New Roman"/>
          <w:color w:val="000000" w:themeColor="text1"/>
        </w:rPr>
        <w:t xml:space="preserve">-nákladová skupina, pri ktorej je podiel jej celkových ročných dodatočných nákladov na celkových nákladoch na zdravotnú starostlivosť menej ako 0,01%. Celkové ročné dodatočné náklady </w:t>
      </w:r>
      <w:r w:rsidR="000542D1">
        <w:rPr>
          <w:rFonts w:ascii="Times New Roman" w:eastAsia="Times New Roman" w:hAnsi="Times New Roman" w:cs="Times New Roman"/>
          <w:color w:val="000000" w:themeColor="text1"/>
        </w:rPr>
        <w:t>diagnosticko</w:t>
      </w:r>
      <w:r w:rsidRPr="001473B0">
        <w:rPr>
          <w:rFonts w:ascii="Times New Roman" w:eastAsia="Times New Roman" w:hAnsi="Times New Roman" w:cs="Times New Roman"/>
          <w:color w:val="000000" w:themeColor="text1"/>
        </w:rPr>
        <w:t>-nákladovej skupiny sa vypočítajú ako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priemerné dodatočné náklady na </w:t>
      </w:r>
      <w:r w:rsidR="000542D1">
        <w:rPr>
          <w:rFonts w:ascii="Times New Roman" w:eastAsia="Times New Roman" w:hAnsi="Times New Roman" w:cs="Times New Roman"/>
          <w:color w:val="000000" w:themeColor="text1"/>
        </w:rPr>
        <w:t>diagnosticko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-nákladovú skupinu podľa odseku 1 vynásobené počtom mesiacov ktoré boli poistenci zaradený do tejto </w:t>
      </w:r>
      <w:r w:rsidR="000542D1">
        <w:rPr>
          <w:rFonts w:ascii="Times New Roman" w:eastAsia="Times New Roman" w:hAnsi="Times New Roman" w:cs="Times New Roman"/>
          <w:color w:val="000000" w:themeColor="text1"/>
        </w:rPr>
        <w:t>diagnosticko</w:t>
      </w:r>
      <w:r>
        <w:rPr>
          <w:rFonts w:ascii="Times New Roman" w:eastAsia="Times New Roman" w:hAnsi="Times New Roman" w:cs="Times New Roman"/>
          <w:color w:val="000000" w:themeColor="text1"/>
        </w:rPr>
        <w:t>-nákladovej skupiny evidovaný v zdravotnej poisťovni.</w:t>
      </w:r>
      <w:r w:rsidRPr="001473B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1473B0">
        <w:rPr>
          <w:rFonts w:ascii="Times New Roman" w:eastAsia="Times New Roman" w:hAnsi="Times New Roman" w:cs="Times New Roman"/>
          <w:color w:val="000000" w:themeColor="text1"/>
        </w:rPr>
        <w:br/>
      </w:r>
    </w:p>
    <w:p w14:paraId="14E3C0AC" w14:textId="39AD7787" w:rsidR="009E5608" w:rsidRDefault="009E5608" w:rsidP="009E5608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B0712">
        <w:rPr>
          <w:rFonts w:ascii="Times New Roman" w:eastAsia="Times New Roman" w:hAnsi="Times New Roman" w:cs="Times New Roman"/>
          <w:color w:val="000000" w:themeColor="text1"/>
        </w:rPr>
        <w:t xml:space="preserve">Zo zoznamu </w:t>
      </w:r>
      <w:r w:rsidR="000542D1">
        <w:rPr>
          <w:rFonts w:ascii="Times New Roman" w:eastAsia="Times New Roman" w:hAnsi="Times New Roman" w:cs="Times New Roman"/>
          <w:color w:val="000000" w:themeColor="text1"/>
        </w:rPr>
        <w:t>diagnosticko</w:t>
      </w:r>
      <w:r w:rsidRPr="00EB0712">
        <w:rPr>
          <w:rFonts w:ascii="Times New Roman" w:eastAsia="Times New Roman" w:hAnsi="Times New Roman" w:cs="Times New Roman"/>
          <w:color w:val="000000" w:themeColor="text1"/>
        </w:rPr>
        <w:t xml:space="preserve">-nákladových skupín sa vyraďuje taká </w:t>
      </w:r>
      <w:r w:rsidR="000542D1">
        <w:rPr>
          <w:rFonts w:ascii="Times New Roman" w:eastAsia="Times New Roman" w:hAnsi="Times New Roman" w:cs="Times New Roman"/>
          <w:color w:val="000000" w:themeColor="text1"/>
        </w:rPr>
        <w:t>diagnosticko</w:t>
      </w:r>
      <w:r w:rsidRPr="00EB0712">
        <w:rPr>
          <w:rFonts w:ascii="Times New Roman" w:eastAsia="Times New Roman" w:hAnsi="Times New Roman" w:cs="Times New Roman"/>
          <w:color w:val="000000" w:themeColor="text1"/>
        </w:rPr>
        <w:t xml:space="preserve">-nákladová skupina, ktorej F-test nulovej hypotézy, že daný koeficient dodatočných nákladov </w:t>
      </w:r>
      <w:r w:rsidR="000542D1">
        <w:rPr>
          <w:rFonts w:ascii="Times New Roman" w:eastAsia="Times New Roman" w:hAnsi="Times New Roman" w:cs="Times New Roman"/>
          <w:color w:val="000000" w:themeColor="text1"/>
        </w:rPr>
        <w:t>diagnosticko</w:t>
      </w:r>
      <w:r w:rsidRPr="00EB0712">
        <w:rPr>
          <w:rFonts w:ascii="Times New Roman" w:eastAsia="Times New Roman" w:hAnsi="Times New Roman" w:cs="Times New Roman"/>
          <w:color w:val="000000" w:themeColor="text1"/>
        </w:rPr>
        <w:t xml:space="preserve">-nákladovej skupiny je rovný 0 je štatisticky významný aspoň na hladine významnosti 0,01, pri výpočte lineárnej regresie so </w:t>
      </w:r>
      <w:r w:rsidR="00D83525">
        <w:rPr>
          <w:rFonts w:ascii="Times New Roman" w:eastAsia="Times New Roman" w:hAnsi="Times New Roman" w:cs="Times New Roman"/>
          <w:color w:val="000000" w:themeColor="text1"/>
        </w:rPr>
        <w:t>zostávajúcimi</w:t>
      </w:r>
      <w:r w:rsidR="00D83525" w:rsidRPr="000542D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542D1">
        <w:rPr>
          <w:rFonts w:ascii="Times New Roman" w:eastAsia="Times New Roman" w:hAnsi="Times New Roman" w:cs="Times New Roman"/>
          <w:color w:val="000000" w:themeColor="text1"/>
        </w:rPr>
        <w:t>diagnosticko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-nákladovými skupinami. </w:t>
      </w:r>
      <w:r w:rsidRPr="00EB0712">
        <w:rPr>
          <w:rFonts w:ascii="Times New Roman" w:eastAsia="Times New Roman" w:hAnsi="Times New Roman" w:cs="Times New Roman"/>
          <w:color w:val="000000" w:themeColor="text1"/>
        </w:rPr>
        <w:t>Metodika F-testu je popísaná v prílohe.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06352D7" w14:textId="77777777" w:rsidR="009E5608" w:rsidRPr="009E5608" w:rsidRDefault="009E5608" w:rsidP="009E5608">
      <w:pPr>
        <w:pStyle w:val="Odsekzoznamu"/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D6DB919" w14:textId="32CF17B0" w:rsidR="009E5608" w:rsidRDefault="000542D1" w:rsidP="009E5608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Diagnosticko</w:t>
      </w:r>
      <w:r w:rsidR="009E5608">
        <w:rPr>
          <w:rFonts w:ascii="Times New Roman" w:eastAsia="Times New Roman" w:hAnsi="Times New Roman" w:cs="Times New Roman"/>
          <w:color w:val="000000" w:themeColor="text1"/>
        </w:rPr>
        <w:t>-nákadové skupiny sú testované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po otestovaní všetkých farmaceuticko-nákladových skupín</w:t>
      </w:r>
      <w:r w:rsidR="009E5608">
        <w:rPr>
          <w:rFonts w:ascii="Times New Roman" w:eastAsia="Times New Roman" w:hAnsi="Times New Roman" w:cs="Times New Roman"/>
          <w:color w:val="000000" w:themeColor="text1"/>
        </w:rPr>
        <w:t xml:space="preserve"> v poradí od aktuálne najnákladnejšej ešte neotestovanej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diagnosticko-nákladovej</w:t>
      </w:r>
      <w:r w:rsidR="009E5608">
        <w:rPr>
          <w:rFonts w:ascii="Times New Roman" w:eastAsia="Times New Roman" w:hAnsi="Times New Roman" w:cs="Times New Roman"/>
          <w:color w:val="000000" w:themeColor="text1"/>
        </w:rPr>
        <w:t xml:space="preserve"> skupiny. V prípade vyradenia danej skupiny je proces priradenia </w:t>
      </w:r>
      <w:r>
        <w:rPr>
          <w:rFonts w:ascii="Times New Roman" w:eastAsia="Times New Roman" w:hAnsi="Times New Roman" w:cs="Times New Roman"/>
          <w:color w:val="000000" w:themeColor="text1"/>
        </w:rPr>
        <w:t>diagnosticko</w:t>
      </w:r>
      <w:r w:rsidR="009E5608">
        <w:rPr>
          <w:rFonts w:ascii="Times New Roman" w:eastAsia="Times New Roman" w:hAnsi="Times New Roman" w:cs="Times New Roman"/>
          <w:color w:val="000000" w:themeColor="text1"/>
        </w:rPr>
        <w:t xml:space="preserve">-nákladových skupín poistencom podľa odseku </w:t>
      </w:r>
      <w:r>
        <w:rPr>
          <w:rFonts w:ascii="Times New Roman" w:eastAsia="Times New Roman" w:hAnsi="Times New Roman" w:cs="Times New Roman"/>
          <w:color w:val="000000" w:themeColor="text1"/>
        </w:rPr>
        <w:t>13</w:t>
      </w:r>
      <w:r w:rsidR="009E5608">
        <w:rPr>
          <w:rFonts w:ascii="Times New Roman" w:eastAsia="Times New Roman" w:hAnsi="Times New Roman" w:cs="Times New Roman"/>
          <w:color w:val="000000" w:themeColor="text1"/>
        </w:rPr>
        <w:t xml:space="preserve"> vyhlášky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č.</w:t>
      </w:r>
      <w:r w:rsidR="009E5608">
        <w:rPr>
          <w:rFonts w:ascii="Times New Roman" w:eastAsia="Times New Roman" w:hAnsi="Times New Roman" w:cs="Times New Roman"/>
          <w:color w:val="000000" w:themeColor="text1"/>
        </w:rPr>
        <w:t xml:space="preserve"> 266/2012 Z. z. zopakovaný bez vyradených </w:t>
      </w:r>
      <w:r>
        <w:rPr>
          <w:rFonts w:ascii="Times New Roman" w:eastAsia="Times New Roman" w:hAnsi="Times New Roman" w:cs="Times New Roman"/>
          <w:color w:val="000000" w:themeColor="text1"/>
        </w:rPr>
        <w:t>diagnosticko</w:t>
      </w:r>
      <w:r w:rsidR="009E5608">
        <w:rPr>
          <w:rFonts w:ascii="Times New Roman" w:eastAsia="Times New Roman" w:hAnsi="Times New Roman" w:cs="Times New Roman"/>
          <w:color w:val="000000" w:themeColor="text1"/>
        </w:rPr>
        <w:t>-nákladových skupín a lineárna regresia určujúca indexy rizika nákladov je vypočítaná znovu bez vyradených skupín a zostávajúce skupiny sú testované vhľadom na tento výpočet.</w:t>
      </w:r>
    </w:p>
    <w:p w14:paraId="3CE1A30D" w14:textId="77777777" w:rsidR="000542D1" w:rsidRPr="000542D1" w:rsidRDefault="000542D1" w:rsidP="000542D1">
      <w:pPr>
        <w:pStyle w:val="Odsekzoznamu"/>
        <w:rPr>
          <w:rFonts w:ascii="Times New Roman" w:eastAsia="Times New Roman" w:hAnsi="Times New Roman" w:cs="Times New Roman"/>
          <w:color w:val="000000" w:themeColor="text1"/>
        </w:rPr>
      </w:pPr>
    </w:p>
    <w:p w14:paraId="65A52F0F" w14:textId="429F9631" w:rsidR="000542D1" w:rsidRDefault="000542D1" w:rsidP="000542D1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070DC">
        <w:rPr>
          <w:rFonts w:ascii="Times New Roman" w:eastAsia="Times New Roman" w:hAnsi="Times New Roman" w:cs="Times New Roman"/>
          <w:color w:val="000000" w:themeColor="text1"/>
        </w:rPr>
        <w:t xml:space="preserve">Na základe kritéria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na priemerné </w:t>
      </w:r>
      <w:r w:rsidRPr="00F070DC">
        <w:rPr>
          <w:rFonts w:ascii="Times New Roman" w:eastAsia="Times New Roman" w:hAnsi="Times New Roman" w:cs="Times New Roman"/>
          <w:color w:val="000000" w:themeColor="text1"/>
        </w:rPr>
        <w:t>dodatočné náklady na nákladovú skupinu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zdravotníckych pomôcok</w:t>
      </w:r>
      <w:r w:rsidRPr="00F070DC">
        <w:rPr>
          <w:rFonts w:ascii="Times New Roman" w:eastAsia="Times New Roman" w:hAnsi="Times New Roman" w:cs="Times New Roman"/>
          <w:color w:val="000000" w:themeColor="text1"/>
        </w:rPr>
        <w:t xml:space="preserve"> sa zo zoznamu </w:t>
      </w:r>
      <w:r>
        <w:rPr>
          <w:rFonts w:ascii="Times New Roman" w:eastAsia="Times New Roman" w:hAnsi="Times New Roman" w:cs="Times New Roman"/>
          <w:color w:val="000000" w:themeColor="text1"/>
        </w:rPr>
        <w:t>nákladových skupí</w:t>
      </w:r>
      <w:r w:rsidRPr="00F070DC">
        <w:rPr>
          <w:rFonts w:ascii="Times New Roman" w:eastAsia="Times New Roman" w:hAnsi="Times New Roman" w:cs="Times New Roman"/>
          <w:color w:val="000000" w:themeColor="text1"/>
        </w:rPr>
        <w:t>n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zdravotníckych pomôcok</w:t>
      </w:r>
      <w:r w:rsidRPr="00F070DC">
        <w:rPr>
          <w:rFonts w:ascii="Times New Roman" w:eastAsia="Times New Roman" w:hAnsi="Times New Roman" w:cs="Times New Roman"/>
          <w:color w:val="000000" w:themeColor="text1"/>
        </w:rPr>
        <w:t xml:space="preserve"> vyraďuje taká </w:t>
      </w:r>
      <w:r>
        <w:rPr>
          <w:rFonts w:ascii="Times New Roman" w:eastAsia="Times New Roman" w:hAnsi="Times New Roman" w:cs="Times New Roman"/>
          <w:color w:val="000000" w:themeColor="text1"/>
        </w:rPr>
        <w:t>nákladová</w:t>
      </w:r>
      <w:r w:rsidRPr="00F070DC">
        <w:rPr>
          <w:rFonts w:ascii="Times New Roman" w:eastAsia="Times New Roman" w:hAnsi="Times New Roman" w:cs="Times New Roman"/>
          <w:color w:val="000000" w:themeColor="text1"/>
        </w:rPr>
        <w:t xml:space="preserve"> skupin</w:t>
      </w:r>
      <w:r>
        <w:rPr>
          <w:rFonts w:ascii="Times New Roman" w:eastAsia="Times New Roman" w:hAnsi="Times New Roman" w:cs="Times New Roman"/>
          <w:color w:val="000000" w:themeColor="text1"/>
        </w:rPr>
        <w:t>á zdravotníckych pomôcok</w:t>
      </w:r>
      <w:r w:rsidRPr="00F070DC">
        <w:rPr>
          <w:rFonts w:ascii="Times New Roman" w:eastAsia="Times New Roman" w:hAnsi="Times New Roman" w:cs="Times New Roman"/>
          <w:color w:val="000000" w:themeColor="text1"/>
        </w:rPr>
        <w:t xml:space="preserve">, pri ktorej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priemerné </w:t>
      </w:r>
      <w:r w:rsidRPr="00F070DC">
        <w:rPr>
          <w:rFonts w:ascii="Times New Roman" w:eastAsia="Times New Roman" w:hAnsi="Times New Roman" w:cs="Times New Roman"/>
          <w:color w:val="000000" w:themeColor="text1"/>
        </w:rPr>
        <w:t xml:space="preserve">dodatočné náklady sú nižšie ako 15% priemerných populačných nákladov na poistenca.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Priemerné </w:t>
      </w:r>
      <w:r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dodatočné náklady na </w:t>
      </w:r>
      <w:r w:rsidRPr="00F070DC">
        <w:rPr>
          <w:rFonts w:ascii="Times New Roman" w:eastAsia="Times New Roman" w:hAnsi="Times New Roman" w:cs="Times New Roman"/>
          <w:color w:val="000000" w:themeColor="text1"/>
        </w:rPr>
        <w:t>nákladovú skupinu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zdravotníckych pomôcok sa vypočítajú podľa § 27e odseku 7 zákona č. 580/2004 Z. z.</w:t>
      </w:r>
    </w:p>
    <w:p w14:paraId="0D0B495D" w14:textId="77777777" w:rsidR="000542D1" w:rsidRPr="000542D1" w:rsidRDefault="000542D1" w:rsidP="000542D1">
      <w:pPr>
        <w:pStyle w:val="Odsekzoznamu"/>
        <w:rPr>
          <w:rFonts w:ascii="Times New Roman" w:eastAsia="Times New Roman" w:hAnsi="Times New Roman" w:cs="Times New Roman"/>
          <w:color w:val="000000" w:themeColor="text1"/>
        </w:rPr>
      </w:pPr>
    </w:p>
    <w:p w14:paraId="0956E73B" w14:textId="77777777" w:rsidR="000542D1" w:rsidRDefault="000542D1" w:rsidP="00672E11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542D1">
        <w:rPr>
          <w:rFonts w:ascii="Times New Roman" w:eastAsia="Times New Roman" w:hAnsi="Times New Roman" w:cs="Times New Roman"/>
          <w:color w:val="000000" w:themeColor="text1"/>
        </w:rPr>
        <w:t xml:space="preserve">Zo zoznamu nákladových skupín zdravotníckych pomôcok sa vyraďuje taká nákladová skupiná zdravotníckych pomôcok, pri ktorej je podiel jej celkových ročných dodatočných nákladov na celkových nákladoch na zdravotnú starostlivosť menej ako 0,01%. Celkové ročné dodatočné náklady nákladovej skupiny zdravotníckych pomôcok sa vypočítajú ako priemerné dodatočné náklady na nákladovú skupinu zdravotníckych pomôcok podľa odseku 1 vynásobené počtom mesiacov ktoré boli poistenci zaradený do tejto nákladovej skupiny zdravotníckych pomôcok evidovaný v zdravotnej poisťovni. </w:t>
      </w:r>
    </w:p>
    <w:p w14:paraId="65F189B0" w14:textId="77777777" w:rsidR="000542D1" w:rsidRPr="000542D1" w:rsidRDefault="000542D1" w:rsidP="000542D1">
      <w:pPr>
        <w:pStyle w:val="Odsekzoznamu"/>
        <w:rPr>
          <w:rFonts w:ascii="Times New Roman" w:eastAsia="Times New Roman" w:hAnsi="Times New Roman" w:cs="Times New Roman"/>
          <w:color w:val="000000" w:themeColor="text1"/>
        </w:rPr>
      </w:pPr>
    </w:p>
    <w:p w14:paraId="3EC67BE9" w14:textId="76CF11D0" w:rsidR="000542D1" w:rsidRPr="000542D1" w:rsidRDefault="000542D1" w:rsidP="00353C7E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542D1">
        <w:rPr>
          <w:rFonts w:ascii="Times New Roman" w:eastAsia="Times New Roman" w:hAnsi="Times New Roman" w:cs="Times New Roman"/>
          <w:color w:val="000000" w:themeColor="text1"/>
        </w:rPr>
        <w:t xml:space="preserve">Zo zoznamu </w:t>
      </w:r>
      <w:r>
        <w:rPr>
          <w:rFonts w:ascii="Times New Roman" w:eastAsia="Times New Roman" w:hAnsi="Times New Roman" w:cs="Times New Roman"/>
          <w:color w:val="000000" w:themeColor="text1"/>
        </w:rPr>
        <w:t>nákladových skupín zdravotníckych pomôcok</w:t>
      </w:r>
      <w:r w:rsidRPr="000542D1">
        <w:rPr>
          <w:rFonts w:ascii="Times New Roman" w:eastAsia="Times New Roman" w:hAnsi="Times New Roman" w:cs="Times New Roman"/>
          <w:color w:val="000000" w:themeColor="text1"/>
        </w:rPr>
        <w:t xml:space="preserve"> sa vyraďuje taká </w:t>
      </w:r>
      <w:r>
        <w:rPr>
          <w:rFonts w:ascii="Times New Roman" w:eastAsia="Times New Roman" w:hAnsi="Times New Roman" w:cs="Times New Roman"/>
          <w:color w:val="000000" w:themeColor="text1"/>
        </w:rPr>
        <w:t>nákladová</w:t>
      </w:r>
      <w:r w:rsidRPr="00F070DC">
        <w:rPr>
          <w:rFonts w:ascii="Times New Roman" w:eastAsia="Times New Roman" w:hAnsi="Times New Roman" w:cs="Times New Roman"/>
          <w:color w:val="000000" w:themeColor="text1"/>
        </w:rPr>
        <w:t xml:space="preserve"> skupin</w:t>
      </w:r>
      <w:r>
        <w:rPr>
          <w:rFonts w:ascii="Times New Roman" w:eastAsia="Times New Roman" w:hAnsi="Times New Roman" w:cs="Times New Roman"/>
          <w:color w:val="000000" w:themeColor="text1"/>
        </w:rPr>
        <w:t>a zdravotníckych pomôcok</w:t>
      </w:r>
      <w:r w:rsidRPr="000542D1">
        <w:rPr>
          <w:rFonts w:ascii="Times New Roman" w:eastAsia="Times New Roman" w:hAnsi="Times New Roman" w:cs="Times New Roman"/>
          <w:color w:val="000000" w:themeColor="text1"/>
        </w:rPr>
        <w:t xml:space="preserve">, ktorej F-test nulovej hypotézy, že daný koeficient dodatočných nákladov </w:t>
      </w:r>
      <w:r>
        <w:rPr>
          <w:rFonts w:ascii="Times New Roman" w:eastAsia="Times New Roman" w:hAnsi="Times New Roman" w:cs="Times New Roman"/>
          <w:color w:val="000000" w:themeColor="text1"/>
        </w:rPr>
        <w:t>nákladovej skupiny zdravotníckych pomôcok</w:t>
      </w:r>
      <w:r w:rsidRPr="000542D1">
        <w:rPr>
          <w:rFonts w:ascii="Times New Roman" w:eastAsia="Times New Roman" w:hAnsi="Times New Roman" w:cs="Times New Roman"/>
          <w:color w:val="000000" w:themeColor="text1"/>
        </w:rPr>
        <w:t xml:space="preserve"> je rovný 0 je štatisticky významný aspoň na hladine významnosti 0,01, pri výpočte lineárnej regresie so </w:t>
      </w:r>
      <w:r w:rsidR="00D83525">
        <w:rPr>
          <w:rFonts w:ascii="Times New Roman" w:eastAsia="Times New Roman" w:hAnsi="Times New Roman" w:cs="Times New Roman"/>
          <w:color w:val="000000" w:themeColor="text1"/>
        </w:rPr>
        <w:t>zostávajúcimi</w:t>
      </w:r>
      <w:r w:rsidRPr="000542D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83525">
        <w:rPr>
          <w:rFonts w:ascii="Times New Roman" w:eastAsia="Times New Roman" w:hAnsi="Times New Roman" w:cs="Times New Roman"/>
          <w:color w:val="000000" w:themeColor="text1"/>
        </w:rPr>
        <w:t>nákladovými skupinami zdravotníckych pomôcok</w:t>
      </w:r>
      <w:r w:rsidRPr="000542D1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353C7E" w:rsidRPr="00353C7E">
        <w:rPr>
          <w:rFonts w:ascii="Times New Roman" w:eastAsia="Times New Roman" w:hAnsi="Times New Roman" w:cs="Times New Roman"/>
          <w:color w:val="000000" w:themeColor="text1"/>
        </w:rPr>
        <w:t>Popis použitia metódy F-test nulovej hypotézy</w:t>
      </w:r>
      <w:r w:rsidR="00353C7E" w:rsidRPr="00353C7E" w:rsidDel="00353C7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0542D1">
        <w:rPr>
          <w:rFonts w:ascii="Times New Roman" w:eastAsia="Times New Roman" w:hAnsi="Times New Roman" w:cs="Times New Roman"/>
          <w:color w:val="000000" w:themeColor="text1"/>
        </w:rPr>
        <w:t xml:space="preserve">je </w:t>
      </w:r>
      <w:r w:rsidR="00353C7E">
        <w:rPr>
          <w:rFonts w:ascii="Times New Roman" w:eastAsia="Times New Roman" w:hAnsi="Times New Roman" w:cs="Times New Roman"/>
          <w:color w:val="000000" w:themeColor="text1"/>
        </w:rPr>
        <w:t xml:space="preserve">uvedený </w:t>
      </w:r>
      <w:r w:rsidRPr="000542D1">
        <w:rPr>
          <w:rFonts w:ascii="Times New Roman" w:eastAsia="Times New Roman" w:hAnsi="Times New Roman" w:cs="Times New Roman"/>
          <w:color w:val="000000" w:themeColor="text1"/>
        </w:rPr>
        <w:t xml:space="preserve">v prílohe. </w:t>
      </w:r>
    </w:p>
    <w:p w14:paraId="5F8C6BB0" w14:textId="77777777" w:rsidR="000542D1" w:rsidRPr="009E5608" w:rsidRDefault="000542D1" w:rsidP="000542D1">
      <w:pPr>
        <w:pStyle w:val="Odsekzoznamu"/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DCC97A0" w14:textId="3CA8A6A1" w:rsidR="000542D1" w:rsidRPr="000542D1" w:rsidRDefault="001229CF" w:rsidP="000542D1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Nákladové</w:t>
      </w:r>
      <w:r w:rsidRPr="000542D1">
        <w:rPr>
          <w:rFonts w:ascii="Times New Roman" w:eastAsia="Times New Roman" w:hAnsi="Times New Roman" w:cs="Times New Roman"/>
          <w:color w:val="000000" w:themeColor="text1"/>
        </w:rPr>
        <w:t xml:space="preserve"> skupin</w:t>
      </w:r>
      <w:r>
        <w:rPr>
          <w:rFonts w:ascii="Times New Roman" w:eastAsia="Times New Roman" w:hAnsi="Times New Roman" w:cs="Times New Roman"/>
          <w:color w:val="000000" w:themeColor="text1"/>
        </w:rPr>
        <w:t>y</w:t>
      </w:r>
      <w:r w:rsidRPr="000542D1">
        <w:rPr>
          <w:rFonts w:ascii="Times New Roman" w:eastAsia="Times New Roman" w:hAnsi="Times New Roman" w:cs="Times New Roman"/>
          <w:color w:val="000000" w:themeColor="text1"/>
        </w:rPr>
        <w:t xml:space="preserve"> zdravotníckych pomôcok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542D1">
        <w:rPr>
          <w:rFonts w:ascii="Times New Roman" w:eastAsia="Times New Roman" w:hAnsi="Times New Roman" w:cs="Times New Roman"/>
          <w:color w:val="000000" w:themeColor="text1"/>
        </w:rPr>
        <w:t>sú testované po otestovaní všetkých farmaceuticko-nákladových skupín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a diagnosticko-nákladových skupín</w:t>
      </w:r>
      <w:r w:rsidR="000542D1">
        <w:rPr>
          <w:rFonts w:ascii="Times New Roman" w:eastAsia="Times New Roman" w:hAnsi="Times New Roman" w:cs="Times New Roman"/>
          <w:color w:val="000000" w:themeColor="text1"/>
        </w:rPr>
        <w:t xml:space="preserve"> v poradí od aktuálne najnákladnejšej ešte neotestovanej </w:t>
      </w:r>
      <w:r>
        <w:rPr>
          <w:rFonts w:ascii="Times New Roman" w:eastAsia="Times New Roman" w:hAnsi="Times New Roman" w:cs="Times New Roman"/>
          <w:color w:val="000000" w:themeColor="text1"/>
        </w:rPr>
        <w:t>nákladovej skupiny</w:t>
      </w:r>
      <w:r w:rsidRPr="000542D1">
        <w:rPr>
          <w:rFonts w:ascii="Times New Roman" w:eastAsia="Times New Roman" w:hAnsi="Times New Roman" w:cs="Times New Roman"/>
          <w:color w:val="000000" w:themeColor="text1"/>
        </w:rPr>
        <w:t xml:space="preserve"> zdravotníckych pomôcok</w:t>
      </w:r>
      <w:r w:rsidR="000542D1">
        <w:rPr>
          <w:rFonts w:ascii="Times New Roman" w:eastAsia="Times New Roman" w:hAnsi="Times New Roman" w:cs="Times New Roman"/>
          <w:color w:val="000000" w:themeColor="text1"/>
        </w:rPr>
        <w:t xml:space="preserve">. V prípade vyradenia danej skupiny je proces priradenia </w:t>
      </w:r>
      <w:r>
        <w:rPr>
          <w:rFonts w:ascii="Times New Roman" w:eastAsia="Times New Roman" w:hAnsi="Times New Roman" w:cs="Times New Roman"/>
          <w:color w:val="000000" w:themeColor="text1"/>
        </w:rPr>
        <w:t>nákladových skupín</w:t>
      </w:r>
      <w:r w:rsidRPr="000542D1">
        <w:rPr>
          <w:rFonts w:ascii="Times New Roman" w:eastAsia="Times New Roman" w:hAnsi="Times New Roman" w:cs="Times New Roman"/>
          <w:color w:val="000000" w:themeColor="text1"/>
        </w:rPr>
        <w:t xml:space="preserve"> zdravotníckych pomôcok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542D1">
        <w:rPr>
          <w:rFonts w:ascii="Times New Roman" w:eastAsia="Times New Roman" w:hAnsi="Times New Roman" w:cs="Times New Roman"/>
          <w:color w:val="000000" w:themeColor="text1"/>
        </w:rPr>
        <w:t xml:space="preserve">poistencom podľa odseku </w:t>
      </w:r>
      <w:r>
        <w:rPr>
          <w:rFonts w:ascii="Times New Roman" w:eastAsia="Times New Roman" w:hAnsi="Times New Roman" w:cs="Times New Roman"/>
          <w:color w:val="000000" w:themeColor="text1"/>
        </w:rPr>
        <w:t>15</w:t>
      </w:r>
      <w:r w:rsidR="000542D1">
        <w:rPr>
          <w:rFonts w:ascii="Times New Roman" w:eastAsia="Times New Roman" w:hAnsi="Times New Roman" w:cs="Times New Roman"/>
          <w:color w:val="000000" w:themeColor="text1"/>
        </w:rPr>
        <w:t xml:space="preserve"> vyhlášky č. 266/2012 Z. z. zopakovaný bez vyradených </w:t>
      </w:r>
      <w:r w:rsidR="00FB7FB2">
        <w:rPr>
          <w:rFonts w:ascii="Times New Roman" w:eastAsia="Times New Roman" w:hAnsi="Times New Roman" w:cs="Times New Roman"/>
          <w:color w:val="000000" w:themeColor="text1"/>
        </w:rPr>
        <w:t>nákladových skupín</w:t>
      </w:r>
      <w:r w:rsidR="00FB7FB2" w:rsidRPr="000542D1">
        <w:rPr>
          <w:rFonts w:ascii="Times New Roman" w:eastAsia="Times New Roman" w:hAnsi="Times New Roman" w:cs="Times New Roman"/>
          <w:color w:val="000000" w:themeColor="text1"/>
        </w:rPr>
        <w:t xml:space="preserve"> zdravotníckych pomôcok</w:t>
      </w:r>
      <w:r w:rsidR="00FB7FB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542D1">
        <w:rPr>
          <w:rFonts w:ascii="Times New Roman" w:eastAsia="Times New Roman" w:hAnsi="Times New Roman" w:cs="Times New Roman"/>
          <w:color w:val="000000" w:themeColor="text1"/>
        </w:rPr>
        <w:t>a lineárna regresia určujúca indexy rizika nákladov je vypočítaná znovu bez vyradených skupín a zostávajúce skupiny sú testované vhľadom na tento výpočet.</w:t>
      </w:r>
    </w:p>
    <w:p w14:paraId="5406ABC2" w14:textId="270D5E7D" w:rsidR="00F070DC" w:rsidRPr="00F070DC" w:rsidRDefault="00F070DC" w:rsidP="00F070DC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bookmarkEnd w:id="5"/>
    <w:bookmarkEnd w:id="6"/>
    <w:p w14:paraId="6B4E6810" w14:textId="77777777" w:rsidR="00F070DC" w:rsidRPr="00F070DC" w:rsidRDefault="00F070DC" w:rsidP="00F070DC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EF822C5" w14:textId="5FB62FA3" w:rsidR="00F070DC" w:rsidRPr="00F070DC" w:rsidRDefault="00F070DC" w:rsidP="00F070DC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F070DC">
        <w:rPr>
          <w:rFonts w:ascii="Times New Roman" w:eastAsia="Times New Roman" w:hAnsi="Times New Roman" w:cs="Times New Roman"/>
          <w:b/>
          <w:bCs/>
          <w:color w:val="000000" w:themeColor="text1"/>
        </w:rPr>
        <w:t>§ 2</w:t>
      </w:r>
    </w:p>
    <w:p w14:paraId="305AAB9F" w14:textId="77777777" w:rsidR="00F070DC" w:rsidRPr="00F070DC" w:rsidRDefault="00F070DC" w:rsidP="00F070DC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F070DC">
        <w:rPr>
          <w:rFonts w:ascii="Times New Roman" w:eastAsia="Times New Roman" w:hAnsi="Times New Roman" w:cs="Times New Roman"/>
          <w:b/>
          <w:bCs/>
          <w:color w:val="000000" w:themeColor="text1"/>
        </w:rPr>
        <w:t>Zrušovacie ustanovenia</w:t>
      </w:r>
    </w:p>
    <w:p w14:paraId="72B6F17E" w14:textId="77777777" w:rsidR="00F070DC" w:rsidRPr="00F070DC" w:rsidRDefault="00F070DC" w:rsidP="00F070DC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176B440" w14:textId="39FB2493" w:rsidR="00F070DC" w:rsidRPr="00F070DC" w:rsidRDefault="00F070DC" w:rsidP="00F070DC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070DC">
        <w:rPr>
          <w:rFonts w:ascii="Times New Roman" w:eastAsia="Times New Roman" w:hAnsi="Times New Roman" w:cs="Times New Roman"/>
          <w:color w:val="000000" w:themeColor="text1"/>
        </w:rPr>
        <w:t>Zrušuje sa vyhláška Ministerstva zdravotníctva Slovenskej republiky č. 263/2012 Z. z. zo 7. septembra 2012, ktorou sa ustanovujú podrobnosti o kritériách na zaradenie farmaceuticko-nákladovej skupiny do zoznamu farmaceuticko-nákladových skupín a na jej vyradenie z tohto zoznamu.</w:t>
      </w:r>
    </w:p>
    <w:p w14:paraId="200B3206" w14:textId="77777777" w:rsidR="00F070DC" w:rsidRPr="00F070DC" w:rsidRDefault="00F070DC" w:rsidP="00F070DC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1EDCBA5" w14:textId="6F5B63A9" w:rsidR="00F070DC" w:rsidRPr="00F070DC" w:rsidRDefault="00F070DC" w:rsidP="00F070DC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F070DC">
        <w:rPr>
          <w:rFonts w:ascii="Times New Roman" w:eastAsia="Times New Roman" w:hAnsi="Times New Roman" w:cs="Times New Roman"/>
          <w:b/>
          <w:bCs/>
          <w:color w:val="000000" w:themeColor="text1"/>
        </w:rPr>
        <w:t>§ 3</w:t>
      </w:r>
    </w:p>
    <w:p w14:paraId="7AAA7552" w14:textId="77777777" w:rsidR="00F070DC" w:rsidRPr="00F070DC" w:rsidRDefault="00F070DC" w:rsidP="00F070DC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F070DC">
        <w:rPr>
          <w:rFonts w:ascii="Times New Roman" w:eastAsia="Times New Roman" w:hAnsi="Times New Roman" w:cs="Times New Roman"/>
          <w:b/>
          <w:bCs/>
          <w:color w:val="000000" w:themeColor="text1"/>
        </w:rPr>
        <w:t>Účinnosť</w:t>
      </w:r>
    </w:p>
    <w:p w14:paraId="2FB747BD" w14:textId="77777777" w:rsidR="00F070DC" w:rsidRPr="00F070DC" w:rsidRDefault="00F070DC" w:rsidP="00F070DC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863B8B5" w14:textId="688ACBBF" w:rsidR="00F070DC" w:rsidRPr="00F070DC" w:rsidRDefault="00F070DC" w:rsidP="00F070DC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070DC">
        <w:rPr>
          <w:rFonts w:ascii="Times New Roman" w:eastAsia="Times New Roman" w:hAnsi="Times New Roman" w:cs="Times New Roman"/>
          <w:color w:val="000000" w:themeColor="text1"/>
        </w:rPr>
        <w:t>Táto vyhláška nadobúda účinnosť 1. decembra 2022.</w:t>
      </w:r>
    </w:p>
    <w:p w14:paraId="23317EB5" w14:textId="0D691B0A" w:rsidR="00F070DC" w:rsidRDefault="00F070DC" w:rsidP="00F070DC">
      <w:pP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143EFA3E" w14:textId="4F12EB6C" w:rsidR="002A77C0" w:rsidRDefault="002A77C0" w:rsidP="00F070DC">
      <w:pP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23DE7257" w14:textId="27D540DC" w:rsidR="002A77C0" w:rsidRDefault="002A77C0" w:rsidP="00F070DC">
      <w:pP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3B25F5D0" w14:textId="77777777" w:rsidR="002A77C0" w:rsidRPr="00F070DC" w:rsidRDefault="002A77C0" w:rsidP="00F070DC">
      <w:pP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112EBC10" w14:textId="7ADB7F7A" w:rsidR="001A1F61" w:rsidRPr="002A77C0" w:rsidRDefault="001A1F61" w:rsidP="00F070DC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2A77C0">
        <w:rPr>
          <w:rFonts w:ascii="Times New Roman" w:eastAsia="Times New Roman" w:hAnsi="Times New Roman" w:cs="Times New Roman"/>
          <w:color w:val="000000" w:themeColor="text1"/>
        </w:rPr>
        <w:t>Vladimír Lengvarský</w:t>
      </w:r>
    </w:p>
    <w:p w14:paraId="51B65EEF" w14:textId="262C5296" w:rsidR="002A77C0" w:rsidRPr="002A77C0" w:rsidRDefault="002A77C0" w:rsidP="00F070DC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2A77C0">
        <w:rPr>
          <w:rFonts w:ascii="Times New Roman" w:eastAsia="Times New Roman" w:hAnsi="Times New Roman" w:cs="Times New Roman"/>
          <w:color w:val="000000" w:themeColor="text1"/>
        </w:rPr>
        <w:t>minister</w:t>
      </w:r>
    </w:p>
    <w:p w14:paraId="76F6F73C" w14:textId="77777777" w:rsidR="0062493A" w:rsidRPr="00F070DC" w:rsidRDefault="0062493A">
      <w:pPr>
        <w:rPr>
          <w:rFonts w:ascii="Times New Roman" w:hAnsi="Times New Roman" w:cs="Times New Roman"/>
          <w:b/>
          <w:color w:val="000000" w:themeColor="text1"/>
        </w:rPr>
      </w:pPr>
    </w:p>
    <w:p w14:paraId="739B1CF8" w14:textId="77777777" w:rsidR="001A1F61" w:rsidRPr="00F070DC" w:rsidRDefault="001A1F61">
      <w:pPr>
        <w:rPr>
          <w:rFonts w:ascii="Times New Roman" w:hAnsi="Times New Roman" w:cs="Times New Roman"/>
          <w:b/>
        </w:rPr>
      </w:pPr>
      <w:r w:rsidRPr="00F070DC">
        <w:rPr>
          <w:rFonts w:ascii="Times New Roman" w:hAnsi="Times New Roman" w:cs="Times New Roman"/>
          <w:b/>
        </w:rPr>
        <w:br w:type="page"/>
      </w:r>
    </w:p>
    <w:p w14:paraId="34E71575" w14:textId="77777777" w:rsidR="00353C7E" w:rsidRPr="00353C7E" w:rsidRDefault="00353C7E" w:rsidP="00353C7E">
      <w:pPr>
        <w:jc w:val="right"/>
        <w:rPr>
          <w:rFonts w:ascii="Times New Roman" w:hAnsi="Times New Roman" w:cs="Times New Roman"/>
        </w:rPr>
      </w:pPr>
      <w:r w:rsidRPr="00353C7E">
        <w:rPr>
          <w:rFonts w:ascii="Times New Roman" w:hAnsi="Times New Roman" w:cs="Times New Roman"/>
        </w:rPr>
        <w:t xml:space="preserve">Príloha k vyhláške </w:t>
      </w:r>
      <w:r w:rsidRPr="00353C7E">
        <w:rPr>
          <w:rFonts w:ascii="Times New Roman" w:hAnsi="Times New Roman" w:cs="Times New Roman"/>
          <w:bCs/>
        </w:rPr>
        <w:t>č. .../2022 Z. z.</w:t>
      </w:r>
    </w:p>
    <w:p w14:paraId="202EEA65" w14:textId="16B87146" w:rsidR="00353C7E" w:rsidRPr="00353C7E" w:rsidRDefault="00353C7E" w:rsidP="00353C7E">
      <w:pPr>
        <w:rPr>
          <w:rFonts w:ascii="Times New Roman" w:hAnsi="Times New Roman" w:cs="Times New Roman"/>
          <w:b/>
          <w:color w:val="000000" w:themeColor="text1"/>
        </w:rPr>
      </w:pPr>
      <w:r w:rsidRPr="00353C7E">
        <w:rPr>
          <w:rFonts w:ascii="Times New Roman" w:hAnsi="Times New Roman" w:cs="Times New Roman"/>
          <w:b/>
          <w:color w:val="000000" w:themeColor="text1"/>
        </w:rPr>
        <w:t xml:space="preserve">Popis použitia metódy </w:t>
      </w:r>
      <w:r>
        <w:rPr>
          <w:rFonts w:ascii="Times New Roman" w:hAnsi="Times New Roman" w:cs="Times New Roman"/>
          <w:b/>
          <w:color w:val="000000" w:themeColor="text1"/>
        </w:rPr>
        <w:t>F-test nulovej hypotézy</w:t>
      </w:r>
    </w:p>
    <w:p w14:paraId="389CC25E" w14:textId="77777777" w:rsidR="00236355" w:rsidRPr="00F070DC" w:rsidRDefault="00236355">
      <w:pPr>
        <w:rPr>
          <w:rFonts w:ascii="Times New Roman" w:hAnsi="Times New Roman" w:cs="Times New Roman"/>
          <w:color w:val="000000" w:themeColor="text1"/>
        </w:rPr>
      </w:pPr>
    </w:p>
    <w:p w14:paraId="470E1B50" w14:textId="77777777" w:rsidR="008505C7" w:rsidRDefault="008505C7" w:rsidP="008505C7">
      <w:pPr>
        <w:rPr>
          <w:rFonts w:ascii="Times New Roman" w:eastAsiaTheme="minorEastAsia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Ak sa odhadnutý vektor koeficientov označuje ako </w:t>
      </w:r>
      <m:oMath>
        <m:r>
          <w:rPr>
            <w:rFonts w:ascii="Cambria Math" w:hAnsi="Cambria Math" w:cs="Times New Roman"/>
            <w:color w:val="000000" w:themeColor="text1"/>
          </w:rPr>
          <m:t>b</m:t>
        </m:r>
      </m:oMath>
      <w:r>
        <w:rPr>
          <w:rFonts w:ascii="Times New Roman" w:eastAsiaTheme="minorEastAsia" w:hAnsi="Times New Roman" w:cs="Times New Roman"/>
          <w:color w:val="000000" w:themeColor="text1"/>
        </w:rPr>
        <w:t xml:space="preserve"> a odhadnutá robustná variančno-kovariančná matica ako </w:t>
      </w:r>
      <m:oMath>
        <m:r>
          <w:rPr>
            <w:rFonts w:ascii="Cambria Math" w:eastAsiaTheme="minorEastAsia" w:hAnsi="Cambria Math" w:cs="Times New Roman"/>
            <w:color w:val="000000" w:themeColor="text1"/>
          </w:rPr>
          <m:t>V</m:t>
        </m:r>
      </m:oMath>
      <w:r>
        <w:rPr>
          <w:rFonts w:ascii="Times New Roman" w:eastAsiaTheme="minorEastAsia" w:hAnsi="Times New Roman" w:cs="Times New Roman"/>
          <w:color w:val="000000" w:themeColor="text1"/>
        </w:rPr>
        <w:t xml:space="preserve">, tak </w:t>
      </w:r>
      <m:oMath>
        <m:r>
          <w:rPr>
            <w:rFonts w:ascii="Cambria Math" w:eastAsiaTheme="minorEastAsia" w:hAnsi="Cambria Math" w:cs="Times New Roman"/>
            <w:color w:val="000000" w:themeColor="text1"/>
          </w:rPr>
          <m:t>Rb</m:t>
        </m:r>
        <m:r>
          <w:rPr>
            <w:rFonts w:ascii="Cambria Math" w:eastAsiaTheme="minorEastAsia" w:hAnsi="Cambria Math" w:cs="Times New Roman"/>
            <w:color w:val="000000" w:themeColor="text1"/>
            <w:lang w:val="en-US"/>
          </w:rPr>
          <m:t>=r</m:t>
        </m:r>
      </m:oMath>
      <w:r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</w:rPr>
        <w:t xml:space="preserve">označuje sadu </w:t>
      </w:r>
      <m:oMath>
        <m:r>
          <w:rPr>
            <w:rFonts w:ascii="Cambria Math" w:eastAsiaTheme="minorEastAsia" w:hAnsi="Cambria Math" w:cs="Times New Roman"/>
            <w:color w:val="000000" w:themeColor="text1"/>
          </w:rPr>
          <m:t>q</m:t>
        </m:r>
      </m:oMath>
      <w:r>
        <w:rPr>
          <w:rFonts w:ascii="Times New Roman" w:eastAsiaTheme="minorEastAsia" w:hAnsi="Times New Roman" w:cs="Times New Roman"/>
          <w:color w:val="000000" w:themeColor="text1"/>
        </w:rPr>
        <w:t xml:space="preserve"> lineárnych hypotéz, ktoré sa testujú spoločne. Definujeme tiež počet sledovaní ako </w:t>
      </w:r>
      <m:oMath>
        <m:r>
          <w:rPr>
            <w:rFonts w:ascii="Cambria Math" w:eastAsiaTheme="minorEastAsia" w:hAnsi="Cambria Math" w:cs="Times New Roman"/>
            <w:color w:val="000000" w:themeColor="text1"/>
          </w:rPr>
          <m:t>N</m:t>
        </m:r>
      </m:oMath>
      <w:r>
        <w:rPr>
          <w:rFonts w:ascii="Times New Roman" w:eastAsiaTheme="minorEastAsia" w:hAnsi="Times New Roman" w:cs="Times New Roman"/>
          <w:color w:val="000000" w:themeColor="text1"/>
        </w:rPr>
        <w:t xml:space="preserve"> a počet parametrov celého modelu ako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lang w:val="en-US"/>
          </w:rPr>
          <m:t>.</m:t>
        </m:r>
      </m:oMath>
      <w:r>
        <w:rPr>
          <w:rFonts w:ascii="Times New Roman" w:eastAsiaTheme="minorEastAsia" w:hAnsi="Times New Roman" w:cs="Times New Roman"/>
          <w:color w:val="000000" w:themeColor="text1"/>
        </w:rPr>
        <w:t xml:space="preserve"> Waldova testovacia štatistika je definovaná ako:</w:t>
      </w:r>
    </w:p>
    <w:p w14:paraId="033AA947" w14:textId="77777777" w:rsidR="008505C7" w:rsidRDefault="008505C7" w:rsidP="008505C7">
      <w:pPr>
        <w:rPr>
          <w:rFonts w:ascii="Times New Roman" w:eastAsiaTheme="minorEastAsia" w:hAnsi="Times New Roman" w:cs="Times New Roman"/>
          <w:color w:val="000000" w:themeColor="text1"/>
        </w:rPr>
      </w:pPr>
    </w:p>
    <w:p w14:paraId="7C7CBAC4" w14:textId="77777777" w:rsidR="008505C7" w:rsidRPr="00A04F99" w:rsidRDefault="008505C7" w:rsidP="008505C7">
      <w:pPr>
        <w:rPr>
          <w:rFonts w:ascii="Times New Roman" w:eastAsiaTheme="minorEastAsia" w:hAnsi="Times New Roman" w:cs="Times New Roman"/>
          <w:i/>
          <w:color w:val="000000" w:themeColor="text1"/>
          <w:lang w:val="en-US"/>
        </w:rPr>
      </w:pPr>
      <m:oMathPara>
        <m:oMath>
          <m:r>
            <w:rPr>
              <w:rFonts w:ascii="Cambria Math" w:hAnsi="Cambria Math" w:cs="Times New Roman"/>
              <w:color w:val="000000" w:themeColor="text1"/>
            </w:rPr>
            <m:t>W</m:t>
          </m:r>
          <m:r>
            <w:rPr>
              <w:rFonts w:ascii="Cambria Math" w:hAnsi="Cambria Math" w:cs="Times New Roman"/>
              <w:color w:val="000000" w:themeColor="text1"/>
              <w:lang w:val="en-US"/>
            </w:rPr>
            <m:t>=(Rb-r)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 w:themeColor="text1"/>
                  <w:lang w:val="en-US"/>
                </w:rPr>
                <m:t>'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lang w:val="en-US"/>
                    </w:rPr>
                    <m:t>RV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lang w:val="en-US"/>
                        </w:rPr>
                        <m:t>'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="Times New Roman"/>
                  <w:color w:val="000000" w:themeColor="text1"/>
                  <w:lang w:val="en-US"/>
                </w:rPr>
                <m:t>-1</m:t>
              </m:r>
            </m:sup>
          </m:sSup>
          <m:r>
            <w:rPr>
              <w:rFonts w:ascii="Cambria Math" w:eastAsiaTheme="minorEastAsia" w:hAnsi="Cambria Math" w:cs="Times New Roman"/>
              <w:color w:val="000000" w:themeColor="text1"/>
              <w:lang w:val="en-US"/>
            </w:rPr>
            <m:t>(Rb-r)</m:t>
          </m:r>
        </m:oMath>
      </m:oMathPara>
    </w:p>
    <w:p w14:paraId="5815F753" w14:textId="77777777" w:rsidR="008505C7" w:rsidRDefault="008505C7" w:rsidP="008505C7">
      <w:pPr>
        <w:rPr>
          <w:rFonts w:ascii="Times New Roman" w:hAnsi="Times New Roman" w:cs="Times New Roman"/>
          <w:color w:val="000000" w:themeColor="text1"/>
        </w:rPr>
      </w:pPr>
    </w:p>
    <w:p w14:paraId="5DBE2150" w14:textId="77777777" w:rsidR="008505C7" w:rsidRDefault="008505C7" w:rsidP="008505C7">
      <w:pPr>
        <w:rPr>
          <w:rFonts w:ascii="Times New Roman" w:hAnsi="Times New Roman" w:cs="Times New Roman"/>
          <w:color w:val="000000" w:themeColor="text1"/>
        </w:rPr>
      </w:pPr>
      <w:r w:rsidRPr="00F070DC">
        <w:rPr>
          <w:rFonts w:ascii="Times New Roman" w:hAnsi="Times New Roman" w:cs="Times New Roman"/>
          <w:color w:val="000000" w:themeColor="text1"/>
        </w:rPr>
        <w:t>Testovacia F-štatistika je</w:t>
      </w:r>
      <w:r>
        <w:rPr>
          <w:rFonts w:ascii="Times New Roman" w:hAnsi="Times New Roman" w:cs="Times New Roman"/>
          <w:color w:val="000000" w:themeColor="text1"/>
        </w:rPr>
        <w:t xml:space="preserve"> potom</w:t>
      </w:r>
      <w:r w:rsidRPr="00F070DC">
        <w:rPr>
          <w:rFonts w:ascii="Times New Roman" w:hAnsi="Times New Roman" w:cs="Times New Roman"/>
          <w:color w:val="000000" w:themeColor="text1"/>
        </w:rPr>
        <w:t xml:space="preserve"> definovaná ako:</w:t>
      </w:r>
    </w:p>
    <w:p w14:paraId="6210E50F" w14:textId="77777777" w:rsidR="008505C7" w:rsidRDefault="008505C7" w:rsidP="008505C7">
      <w:pPr>
        <w:rPr>
          <w:rFonts w:ascii="Times New Roman" w:hAnsi="Times New Roman" w:cs="Times New Roman"/>
          <w:color w:val="000000" w:themeColor="text1"/>
        </w:rPr>
      </w:pPr>
    </w:p>
    <w:p w14:paraId="3D3058FA" w14:textId="77777777" w:rsidR="008505C7" w:rsidRPr="00A04F99" w:rsidRDefault="008505C7" w:rsidP="008505C7">
      <w:pPr>
        <w:rPr>
          <w:rFonts w:ascii="Times New Roman" w:hAnsi="Times New Roman" w:cs="Times New Roman"/>
          <w:color w:val="000000" w:themeColor="text1"/>
        </w:rPr>
      </w:pPr>
      <m:oMathPara>
        <m:oMath>
          <m:r>
            <w:rPr>
              <w:rFonts w:ascii="Cambria Math" w:hAnsi="Cambria Math" w:cs="Times New Roman"/>
              <w:color w:val="000000" w:themeColor="text1"/>
            </w:rPr>
            <m:t>F=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</w:rPr>
                <m:t>q</m:t>
              </m:r>
            </m:den>
          </m:f>
          <m:r>
            <w:rPr>
              <w:rFonts w:ascii="Cambria Math" w:hAnsi="Cambria Math" w:cs="Times New Roman"/>
              <w:color w:val="000000" w:themeColor="text1"/>
            </w:rPr>
            <m:t>W</m:t>
          </m:r>
        </m:oMath>
      </m:oMathPara>
    </w:p>
    <w:p w14:paraId="02D23136" w14:textId="77777777" w:rsidR="008505C7" w:rsidRPr="00F070DC" w:rsidRDefault="008505C7" w:rsidP="008505C7">
      <w:pPr>
        <w:rPr>
          <w:rFonts w:ascii="Times New Roman" w:hAnsi="Times New Roman" w:cs="Times New Roman"/>
          <w:color w:val="000000" w:themeColor="text1"/>
        </w:rPr>
      </w:pPr>
    </w:p>
    <w:p w14:paraId="54B6958B" w14:textId="77777777" w:rsidR="008505C7" w:rsidRDefault="008505C7" w:rsidP="008505C7">
      <w:pPr>
        <w:rPr>
          <w:rFonts w:ascii="Times New Roman" w:eastAsiaTheme="minorEastAsia" w:hAnsi="Times New Roman" w:cs="Times New Roman"/>
          <w:color w:val="000000" w:themeColor="text1"/>
        </w:rPr>
      </w:pPr>
      <w:r w:rsidRPr="00F070DC">
        <w:rPr>
          <w:rFonts w:ascii="Times New Roman" w:eastAsiaTheme="minorEastAsia" w:hAnsi="Times New Roman" w:cs="Times New Roman"/>
          <w:color w:val="000000" w:themeColor="text1"/>
        </w:rPr>
        <w:t xml:space="preserve">Nulová hypotéza je odmietnutá ak </w:t>
      </w:r>
      <m:oMath>
        <m:r>
          <w:rPr>
            <w:rFonts w:ascii="Cambria Math" w:hAnsi="Cambria Math" w:cs="Times New Roman"/>
            <w:color w:val="000000" w:themeColor="text1"/>
          </w:rPr>
          <m:t>F</m:t>
        </m:r>
      </m:oMath>
      <w:r w:rsidRPr="00F070DC">
        <w:rPr>
          <w:rFonts w:ascii="Times New Roman" w:eastAsiaTheme="minorEastAsia" w:hAnsi="Times New Roman" w:cs="Times New Roman"/>
          <w:color w:val="000000" w:themeColor="text1"/>
        </w:rPr>
        <w:t xml:space="preserve"> štatistika je väčšia ako kritická hodnota </w:t>
      </w:r>
      <m:oMath>
        <m:r>
          <w:rPr>
            <w:rFonts w:ascii="Cambria Math" w:hAnsi="Cambria Math" w:cs="Times New Roman"/>
            <w:color w:val="000000" w:themeColor="text1"/>
          </w:rPr>
          <m:t>F</m:t>
        </m:r>
      </m:oMath>
      <w:r w:rsidRPr="00F070DC">
        <w:rPr>
          <w:rFonts w:ascii="Times New Roman" w:eastAsiaTheme="minorEastAsia" w:hAnsi="Times New Roman" w:cs="Times New Roman"/>
          <w:color w:val="000000" w:themeColor="text1"/>
        </w:rPr>
        <w:t xml:space="preserve"> – rozdelenia</w:t>
      </w:r>
      <w:r>
        <w:rPr>
          <w:rFonts w:ascii="Times New Roman" w:eastAsiaTheme="minorEastAsia" w:hAnsi="Times New Roman" w:cs="Times New Roman"/>
          <w:color w:val="000000" w:themeColor="text1"/>
        </w:rPr>
        <w:t xml:space="preserve"> s </w:t>
      </w:r>
      <m:oMath>
        <m:r>
          <w:rPr>
            <w:rFonts w:ascii="Cambria Math" w:eastAsiaTheme="minorEastAsia" w:hAnsi="Cambria Math" w:cs="Times New Roman"/>
            <w:color w:val="000000" w:themeColor="text1"/>
          </w:rPr>
          <m:t>q</m:t>
        </m:r>
      </m:oMath>
      <w:r>
        <w:rPr>
          <w:rFonts w:ascii="Times New Roman" w:eastAsiaTheme="minorEastAsia" w:hAnsi="Times New Roman" w:cs="Times New Roman"/>
          <w:color w:val="000000" w:themeColor="text1"/>
        </w:rPr>
        <w:t xml:space="preserve"> a </w:t>
      </w:r>
      <m:oMath>
        <m:r>
          <w:rPr>
            <w:rFonts w:ascii="Cambria Math" w:eastAsiaTheme="minorEastAsia" w:hAnsi="Cambria Math" w:cs="Times New Roman"/>
            <w:color w:val="000000" w:themeColor="text1"/>
          </w:rPr>
          <m:t>d</m:t>
        </m:r>
      </m:oMath>
      <w:r>
        <w:rPr>
          <w:rFonts w:ascii="Times New Roman" w:eastAsiaTheme="minorEastAsia" w:hAnsi="Times New Roman" w:cs="Times New Roman"/>
          <w:color w:val="000000" w:themeColor="text1"/>
        </w:rPr>
        <w:t xml:space="preserve"> stupňami volnosti, kde </w:t>
      </w:r>
      <m:oMath>
        <m:r>
          <w:rPr>
            <w:rFonts w:ascii="Cambria Math" w:eastAsiaTheme="minorEastAsia" w:hAnsi="Cambria Math" w:cs="Times New Roman"/>
            <w:color w:val="000000" w:themeColor="text1"/>
          </w:rPr>
          <m:t>d</m:t>
        </m:r>
        <m:r>
          <w:rPr>
            <w:rFonts w:ascii="Cambria Math" w:eastAsiaTheme="minorEastAsia" w:hAnsi="Cambria Math" w:cs="Times New Roman"/>
            <w:color w:val="000000" w:themeColor="text1"/>
            <w:lang w:val="en-US"/>
          </w:rPr>
          <m:t>=N-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lang w:val="en-US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color w:val="000000" w:themeColor="text1"/>
          <w:lang w:val="en-US"/>
        </w:rPr>
        <w:t>,</w:t>
      </w:r>
      <w:r>
        <w:rPr>
          <w:rFonts w:ascii="Times New Roman" w:eastAsiaTheme="minorEastAsia" w:hAnsi="Times New Roman" w:cs="Times New Roman"/>
          <w:color w:val="000000" w:themeColor="text1"/>
        </w:rPr>
        <w:t xml:space="preserve">  </w:t>
      </w:r>
      <w:r w:rsidRPr="00F070DC">
        <w:rPr>
          <w:rFonts w:ascii="Times New Roman" w:eastAsiaTheme="minorEastAsia" w:hAnsi="Times New Roman" w:cs="Times New Roman"/>
          <w:color w:val="000000" w:themeColor="text1"/>
        </w:rPr>
        <w:t xml:space="preserve"> pre zvolenú pravdepodobnosť falošného odmietnutia, v tomto prípade 0.01.</w:t>
      </w:r>
    </w:p>
    <w:p w14:paraId="7B93E6C9" w14:textId="77777777" w:rsidR="008505C7" w:rsidRDefault="008505C7" w:rsidP="008505C7">
      <w:pPr>
        <w:rPr>
          <w:rFonts w:ascii="Times New Roman" w:hAnsi="Times New Roman" w:cs="Times New Roman"/>
          <w:color w:val="000000" w:themeColor="text1"/>
        </w:rPr>
      </w:pPr>
    </w:p>
    <w:p w14:paraId="7409B66F" w14:textId="77777777" w:rsidR="008505C7" w:rsidRDefault="008505C7" w:rsidP="008505C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Robustná variančno-kovariančná matica (známa tiež ako Eicker-White-Huber matica) použitá pri odhade modelu je definovaná ako:</w:t>
      </w:r>
    </w:p>
    <w:p w14:paraId="33A8C59F" w14:textId="77777777" w:rsidR="008505C7" w:rsidRDefault="008505C7" w:rsidP="008505C7">
      <w:pPr>
        <w:rPr>
          <w:rFonts w:ascii="Times New Roman" w:hAnsi="Times New Roman" w:cs="Times New Roman"/>
          <w:color w:val="000000" w:themeColor="text1"/>
        </w:rPr>
      </w:pPr>
    </w:p>
    <w:p w14:paraId="6CB243FE" w14:textId="77777777" w:rsidR="008505C7" w:rsidRPr="001B7ABB" w:rsidRDefault="008505C7" w:rsidP="008505C7">
      <w:pPr>
        <w:rPr>
          <w:rFonts w:ascii="Times New Roman" w:eastAsiaTheme="minorEastAsia" w:hAnsi="Times New Roman" w:cs="Times New Roman"/>
          <w:color w:val="000000" w:themeColor="text1"/>
          <w:lang w:val="en-US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lang w:val="en-US"/>
            </w:rPr>
            <m:t>V=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lang w:val="en-US"/>
                </w:rPr>
                <m:t>N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 w:themeColor="text1"/>
                          <w:lang w:val="en-US"/>
                        </w:rPr>
                        <m:t>N</m:t>
                      </m:r>
                    </m:den>
                  </m:f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lang w:val="en-US"/>
                        </w:rPr>
                        <m:t>i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lang w:val="en-US"/>
                            </w:rPr>
                            <m:t>i</m:t>
                          </m:r>
                        </m:sub>
                      </m:sSub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lang w:val="en-US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lang w:val="en-US"/>
                            </w:rPr>
                            <m:t>T</m:t>
                          </m:r>
                        </m:sup>
                      </m:sSubSup>
                    </m:e>
                  </m:nary>
                </m:e>
              </m:d>
            </m:e>
            <m:sup>
              <m:r>
                <w:rPr>
                  <w:rFonts w:ascii="Cambria Math" w:hAnsi="Cambria Math" w:cs="Times New Roman"/>
                  <w:color w:val="000000" w:themeColor="text1"/>
                  <w:lang w:val="en-US"/>
                </w:rPr>
                <m:t>-1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lang w:val="en-US"/>
                    </w:rPr>
                    <m:t>N</m:t>
                  </m:r>
                </m:den>
              </m:f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color w:val="000000" w:themeColor="text1"/>
                      <w:lang w:val="en-US"/>
                    </w:rPr>
                    <m:t>i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lang w:val="en-US"/>
                        </w:rPr>
                        <m:t>i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lang w:val="en-US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lang w:val="en-US"/>
                        </w:rPr>
                        <m:t>'</m:t>
                      </m:r>
                    </m:sup>
                  </m:sSubSup>
                </m:e>
              </m:nary>
              <m:acc>
                <m:acc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lang w:val="en-US"/>
                    </w:rPr>
                  </m:ctrlPr>
                </m:acc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lang w:val="en-US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lang w:val="en-US"/>
                        </w:rPr>
                        <m:t>2</m:t>
                      </m:r>
                    </m:sup>
                  </m:sSubSup>
                </m:e>
              </m:acc>
              <m:r>
                <w:rPr>
                  <w:rFonts w:ascii="Cambria Math" w:hAnsi="Cambria Math" w:cs="Times New Roman"/>
                  <w:color w:val="000000" w:themeColor="text1"/>
                  <w:lang w:val="en-US"/>
                </w:rPr>
                <m:t xml:space="preserve"> </m:t>
              </m:r>
            </m:e>
          </m:d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 w:themeColor="text1"/>
                          <w:lang w:val="en-US"/>
                        </w:rPr>
                        <m:t>N</m:t>
                      </m:r>
                    </m:den>
                  </m:f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lang w:val="en-US"/>
                        </w:rPr>
                        <m:t>i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lang w:val="en-US"/>
                            </w:rPr>
                            <m:t>i</m:t>
                          </m:r>
                        </m:sub>
                      </m:sSub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lang w:val="en-US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lang w:val="en-US"/>
                            </w:rPr>
                            <m:t>T</m:t>
                          </m:r>
                        </m:sup>
                      </m:sSubSup>
                    </m:e>
                  </m:nary>
                </m:e>
              </m:d>
            </m:e>
            <m:sup>
              <m:r>
                <w:rPr>
                  <w:rFonts w:ascii="Cambria Math" w:hAnsi="Cambria Math" w:cs="Times New Roman"/>
                  <w:color w:val="000000" w:themeColor="text1"/>
                  <w:lang w:val="en-US"/>
                </w:rPr>
                <m:t>-1</m:t>
              </m:r>
            </m:sup>
          </m:sSup>
        </m:oMath>
      </m:oMathPara>
    </w:p>
    <w:p w14:paraId="0DE7624F" w14:textId="77777777" w:rsidR="008505C7" w:rsidRDefault="008505C7" w:rsidP="008505C7">
      <w:pPr>
        <w:rPr>
          <w:rFonts w:ascii="Times New Roman" w:eastAsiaTheme="minorEastAsia" w:hAnsi="Times New Roman" w:cs="Times New Roman"/>
          <w:color w:val="000000" w:themeColor="text1"/>
          <w:lang w:val="en-US"/>
        </w:rPr>
      </w:pPr>
    </w:p>
    <w:p w14:paraId="00B32E12" w14:textId="77777777" w:rsidR="008505C7" w:rsidRPr="001B7ABB" w:rsidRDefault="008505C7" w:rsidP="008505C7">
      <w:pPr>
        <w:rPr>
          <w:rFonts w:ascii="Times New Roman" w:eastAsiaTheme="minorEastAsia" w:hAnsi="Times New Roman" w:cs="Times New Roman"/>
          <w:color w:val="000000" w:themeColor="text1"/>
          <w:lang w:val="en-US"/>
        </w:rPr>
      </w:pPr>
      <w:r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Kde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lang w:val="en-US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označuje sledované premenné v modeli a </w:t>
      </w:r>
      <m:oMath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val="en-US"/>
              </w:rPr>
              <m:t>u</m:t>
            </m:r>
          </m:e>
        </m:acc>
      </m:oMath>
      <w:r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označuje odhadnuté reziduá.</w:t>
      </w:r>
    </w:p>
    <w:p w14:paraId="7D0FB146" w14:textId="77777777" w:rsidR="00402817" w:rsidRPr="00F070DC" w:rsidRDefault="00402817" w:rsidP="008505C7">
      <w:pPr>
        <w:rPr>
          <w:rFonts w:ascii="Times New Roman" w:hAnsi="Times New Roman" w:cs="Times New Roman"/>
          <w:color w:val="000000" w:themeColor="text1"/>
        </w:rPr>
      </w:pPr>
    </w:p>
    <w:sectPr w:rsidR="00402817" w:rsidRPr="00F070DC" w:rsidSect="00C3017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0008C"/>
    <w:multiLevelType w:val="hybridMultilevel"/>
    <w:tmpl w:val="047E9C94"/>
    <w:lvl w:ilvl="0" w:tplc="811C7A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BE"/>
    <w:rsid w:val="00032520"/>
    <w:rsid w:val="00036DA4"/>
    <w:rsid w:val="000542D1"/>
    <w:rsid w:val="001229CF"/>
    <w:rsid w:val="001473B0"/>
    <w:rsid w:val="001A1F61"/>
    <w:rsid w:val="00236355"/>
    <w:rsid w:val="002A77C0"/>
    <w:rsid w:val="00353C7E"/>
    <w:rsid w:val="00402817"/>
    <w:rsid w:val="004B10E7"/>
    <w:rsid w:val="00556C25"/>
    <w:rsid w:val="0062493A"/>
    <w:rsid w:val="006A3E7B"/>
    <w:rsid w:val="00764CBE"/>
    <w:rsid w:val="007B73CF"/>
    <w:rsid w:val="008505C7"/>
    <w:rsid w:val="008C0C04"/>
    <w:rsid w:val="008C5CE8"/>
    <w:rsid w:val="00933EF1"/>
    <w:rsid w:val="0097494D"/>
    <w:rsid w:val="009E5608"/>
    <w:rsid w:val="00A30552"/>
    <w:rsid w:val="00B76803"/>
    <w:rsid w:val="00BF3B92"/>
    <w:rsid w:val="00C30172"/>
    <w:rsid w:val="00C60463"/>
    <w:rsid w:val="00D17239"/>
    <w:rsid w:val="00D83525"/>
    <w:rsid w:val="00DA779F"/>
    <w:rsid w:val="00E340FC"/>
    <w:rsid w:val="00EB0712"/>
    <w:rsid w:val="00F070DC"/>
    <w:rsid w:val="00F9005A"/>
    <w:rsid w:val="00FB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C15EF"/>
  <w15:chartTrackingRefBased/>
  <w15:docId w15:val="{AFA2053E-AD49-2342-97B2-8C28E5CB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4CB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764CBE"/>
  </w:style>
  <w:style w:type="character" w:styleId="Hypertextovprepojenie">
    <w:name w:val="Hyperlink"/>
    <w:basedOn w:val="Predvolenpsmoodseku"/>
    <w:uiPriority w:val="99"/>
    <w:semiHidden/>
    <w:unhideWhenUsed/>
    <w:rsid w:val="00764CBE"/>
    <w:rPr>
      <w:color w:val="0000FF"/>
      <w:u w:val="single"/>
    </w:rPr>
  </w:style>
  <w:style w:type="character" w:styleId="Zstupntext">
    <w:name w:val="Placeholder Text"/>
    <w:basedOn w:val="Predvolenpsmoodseku"/>
    <w:uiPriority w:val="99"/>
    <w:semiHidden/>
    <w:rsid w:val="00402817"/>
    <w:rPr>
      <w:color w:val="808080"/>
    </w:rPr>
  </w:style>
  <w:style w:type="paragraph" w:styleId="Odsekzoznamu">
    <w:name w:val="List Paragraph"/>
    <w:basedOn w:val="Normlny"/>
    <w:uiPriority w:val="34"/>
    <w:qFormat/>
    <w:rsid w:val="008C0C0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33E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3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136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22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26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61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39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832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5616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208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623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  <w:div w:id="6177555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5091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4467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686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1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44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431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231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7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0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686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373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096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9394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2017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553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659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10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  <w:div w:id="1817138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4/580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c73f9c-70d1-469b-b150-495011438330">
      <Terms xmlns="http://schemas.microsoft.com/office/infopath/2007/PartnerControls"/>
    </lcf76f155ced4ddcb4097134ff3c332f>
    <TaxCatchAll xmlns="a0f9ce57-fc3a-405c-8e87-f3d63b00ee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BBE2DE9A5E74E814FF3E5463BF0D6" ma:contentTypeVersion="14" ma:contentTypeDescription="Create a new document." ma:contentTypeScope="" ma:versionID="0f0d3a1c0cd869e6cbbb92217bef7491">
  <xsd:schema xmlns:xsd="http://www.w3.org/2001/XMLSchema" xmlns:xs="http://www.w3.org/2001/XMLSchema" xmlns:p="http://schemas.microsoft.com/office/2006/metadata/properties" xmlns:ns2="edc73f9c-70d1-469b-b150-495011438330" xmlns:ns3="a0f9ce57-fc3a-405c-8e87-f3d63b00eeb1" targetNamespace="http://schemas.microsoft.com/office/2006/metadata/properties" ma:root="true" ma:fieldsID="66c4bdd9461f28f856581ce9312b0c7c" ns2:_="" ns3:_="">
    <xsd:import namespace="edc73f9c-70d1-469b-b150-495011438330"/>
    <xsd:import namespace="a0f9ce57-fc3a-405c-8e87-f3d63b00ee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73f9c-70d1-469b-b150-495011438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a23ec41-69b3-4140-9436-a0cc3b050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9ce57-fc3a-405c-8e87-f3d63b00eeb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f088b9-a397-4e95-9903-d6471ec57d62}" ma:internalName="TaxCatchAll" ma:showField="CatchAllData" ma:web="a0f9ce57-fc3a-405c-8e87-f3d63b00ee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5246EE-247D-478A-BAD8-A721557027D1}">
  <ds:schemaRefs>
    <ds:schemaRef ds:uri="http://schemas.microsoft.com/office/2006/metadata/properties"/>
    <ds:schemaRef ds:uri="http://schemas.microsoft.com/office/infopath/2007/PartnerControls"/>
    <ds:schemaRef ds:uri="edc73f9c-70d1-469b-b150-495011438330"/>
    <ds:schemaRef ds:uri="a0f9ce57-fc3a-405c-8e87-f3d63b00eeb1"/>
  </ds:schemaRefs>
</ds:datastoreItem>
</file>

<file path=customXml/itemProps2.xml><?xml version="1.0" encoding="utf-8"?>
<ds:datastoreItem xmlns:ds="http://schemas.openxmlformats.org/officeDocument/2006/customXml" ds:itemID="{A67CFF47-6E66-4FA4-B63E-479D825B3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73f9c-70d1-469b-b150-495011438330"/>
    <ds:schemaRef ds:uri="a0f9ce57-fc3a-405c-8e87-f3d63b00e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1A062B-836B-4944-97B8-7304A17F4A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Červený Jakub</dc:creator>
  <cp:keywords/>
  <dc:description/>
  <cp:lastModifiedBy>Petra Krajčíriková</cp:lastModifiedBy>
  <cp:revision>5</cp:revision>
  <dcterms:created xsi:type="dcterms:W3CDTF">2022-08-19T11:03:00Z</dcterms:created>
  <dcterms:modified xsi:type="dcterms:W3CDTF">2022-08-25T11:01:00Z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0x010100107BBE2DE9A5E74E814FF3E5463BF0D6</vt:lpwstr>
  </property>
  <property fmtid="{D5CDD505-2E9C-101B-9397-08002B2CF9AE}" pid="3" name="MediaServiceImageTags">
    <vt:lpwstr/>
  </property>
</Properties>
</file>