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D6576" w14:textId="77777777" w:rsidR="002B6661" w:rsidRPr="002B6661" w:rsidRDefault="002B6661" w:rsidP="002B6661">
      <w:pPr>
        <w:spacing w:after="0"/>
        <w:jc w:val="center"/>
        <w:rPr>
          <w:rFonts w:ascii="Times New Roman" w:hAnsi="Times New Roman"/>
          <w:szCs w:val="24"/>
        </w:rPr>
      </w:pPr>
      <w:r w:rsidRPr="002B6661">
        <w:rPr>
          <w:rFonts w:ascii="Times New Roman" w:hAnsi="Times New Roman"/>
          <w:szCs w:val="24"/>
        </w:rPr>
        <w:t>(NÁVRH)</w:t>
      </w:r>
    </w:p>
    <w:p w14:paraId="7CFA53C7" w14:textId="77777777" w:rsidR="002B6661" w:rsidRPr="002B6661" w:rsidRDefault="002B6661" w:rsidP="002B6661">
      <w:pPr>
        <w:spacing w:after="0"/>
        <w:jc w:val="both"/>
        <w:rPr>
          <w:rFonts w:ascii="Times New Roman" w:hAnsi="Times New Roman"/>
          <w:szCs w:val="24"/>
        </w:rPr>
      </w:pPr>
    </w:p>
    <w:p w14:paraId="2A6CF96C" w14:textId="77777777" w:rsidR="002B6661" w:rsidRPr="002B6661" w:rsidRDefault="002B6661" w:rsidP="002B6661">
      <w:pPr>
        <w:tabs>
          <w:tab w:val="left" w:pos="6120"/>
        </w:tabs>
        <w:spacing w:after="0" w:line="240" w:lineRule="auto"/>
        <w:jc w:val="center"/>
        <w:rPr>
          <w:rFonts w:ascii="Times New Roman" w:hAnsi="Times New Roman"/>
          <w:b/>
        </w:rPr>
      </w:pPr>
      <w:r w:rsidRPr="002B6661">
        <w:rPr>
          <w:rFonts w:ascii="Times New Roman" w:hAnsi="Times New Roman"/>
          <w:b/>
        </w:rPr>
        <w:t xml:space="preserve">VYHLÁŠKA </w:t>
      </w:r>
    </w:p>
    <w:p w14:paraId="31A96F17" w14:textId="77777777" w:rsidR="002B6661" w:rsidRPr="002B6661" w:rsidRDefault="002B6661" w:rsidP="002B6661">
      <w:pPr>
        <w:spacing w:after="0" w:line="240" w:lineRule="auto"/>
        <w:jc w:val="center"/>
        <w:rPr>
          <w:rFonts w:ascii="Times New Roman" w:hAnsi="Times New Roman"/>
          <w:szCs w:val="24"/>
        </w:rPr>
      </w:pPr>
    </w:p>
    <w:p w14:paraId="4C178A70" w14:textId="77777777" w:rsidR="002B6661" w:rsidRPr="002B6661" w:rsidRDefault="002B6661" w:rsidP="002B6661">
      <w:pPr>
        <w:tabs>
          <w:tab w:val="left" w:pos="6120"/>
        </w:tabs>
        <w:spacing w:after="0" w:line="240" w:lineRule="auto"/>
        <w:jc w:val="center"/>
        <w:rPr>
          <w:rFonts w:ascii="Times New Roman" w:hAnsi="Times New Roman"/>
          <w:b/>
        </w:rPr>
      </w:pPr>
      <w:r w:rsidRPr="002B6661">
        <w:rPr>
          <w:rFonts w:ascii="Times New Roman" w:hAnsi="Times New Roman"/>
          <w:b/>
        </w:rPr>
        <w:t>Ministerstva zdravotníctva Slovenskej republiky</w:t>
      </w:r>
    </w:p>
    <w:p w14:paraId="3E26D6A9" w14:textId="77777777" w:rsidR="002B6661" w:rsidRPr="002B6661" w:rsidRDefault="002B6661" w:rsidP="002B6661">
      <w:pPr>
        <w:tabs>
          <w:tab w:val="left" w:pos="6120"/>
        </w:tabs>
        <w:spacing w:after="0" w:line="240" w:lineRule="auto"/>
        <w:jc w:val="center"/>
        <w:rPr>
          <w:rFonts w:ascii="Times New Roman" w:hAnsi="Times New Roman"/>
          <w:b/>
        </w:rPr>
      </w:pPr>
    </w:p>
    <w:p w14:paraId="7305E16A" w14:textId="77777777" w:rsidR="002B6661" w:rsidRPr="002B6661" w:rsidRDefault="002B6661" w:rsidP="002B6661">
      <w:pPr>
        <w:spacing w:after="0" w:line="240" w:lineRule="auto"/>
        <w:jc w:val="center"/>
        <w:rPr>
          <w:rFonts w:ascii="Times New Roman" w:hAnsi="Times New Roman"/>
          <w:b/>
        </w:rPr>
      </w:pPr>
      <w:r w:rsidRPr="002B6661">
        <w:rPr>
          <w:rFonts w:ascii="Times New Roman" w:hAnsi="Times New Roman"/>
          <w:b/>
        </w:rPr>
        <w:t>z ..............2022,</w:t>
      </w:r>
    </w:p>
    <w:p w14:paraId="43A59F69" w14:textId="77777777" w:rsidR="002B6661" w:rsidRPr="002B6661" w:rsidRDefault="002B6661" w:rsidP="002B6661">
      <w:pPr>
        <w:spacing w:after="0" w:line="240" w:lineRule="auto"/>
        <w:jc w:val="center"/>
        <w:rPr>
          <w:rFonts w:ascii="Times New Roman" w:hAnsi="Times New Roman"/>
          <w:b/>
        </w:rPr>
      </w:pPr>
    </w:p>
    <w:p w14:paraId="43E15B62" w14:textId="10C67C3A" w:rsidR="002B6661" w:rsidRPr="002B6661" w:rsidRDefault="002B6661" w:rsidP="002B6661">
      <w:pPr>
        <w:spacing w:after="0" w:line="240" w:lineRule="auto"/>
        <w:contextualSpacing/>
        <w:jc w:val="center"/>
        <w:rPr>
          <w:rFonts w:ascii="Times New Roman" w:hAnsi="Times New Roman"/>
          <w:b/>
        </w:rPr>
      </w:pPr>
      <w:r w:rsidRPr="002B6661">
        <w:rPr>
          <w:rFonts w:ascii="Times New Roman" w:hAnsi="Times New Roman"/>
          <w:b/>
        </w:rPr>
        <w:t>ktorou sa mení a dopĺňa vyhláška Ministerstva zdravotníctva Slovenskej republiky  č. 266/2012 Z. z., ktorou sa ustanovujú podrobnosti o výpočte indexu rizika nákladov v znení neskorších predpisov</w:t>
      </w:r>
      <w:r w:rsidR="00D2007E">
        <w:rPr>
          <w:rFonts w:ascii="Times New Roman" w:hAnsi="Times New Roman"/>
          <w:b/>
        </w:rPr>
        <w:t xml:space="preserve"> a</w:t>
      </w:r>
      <w:r w:rsidR="00D2007E" w:rsidRPr="00D2007E">
        <w:t xml:space="preserve"> </w:t>
      </w:r>
      <w:r w:rsidR="00D2007E">
        <w:rPr>
          <w:rFonts w:ascii="Times New Roman" w:hAnsi="Times New Roman"/>
          <w:b/>
        </w:rPr>
        <w:t>p</w:t>
      </w:r>
      <w:r w:rsidR="00D2007E" w:rsidRPr="00D2007E">
        <w:rPr>
          <w:rFonts w:ascii="Times New Roman" w:hAnsi="Times New Roman"/>
          <w:b/>
        </w:rPr>
        <w:t xml:space="preserve">opis použitia metódy hierarchického </w:t>
      </w:r>
      <w:proofErr w:type="spellStart"/>
      <w:r w:rsidR="00D2007E" w:rsidRPr="00D2007E">
        <w:rPr>
          <w:rFonts w:ascii="Times New Roman" w:hAnsi="Times New Roman"/>
          <w:b/>
        </w:rPr>
        <w:t>aglomeratívneho</w:t>
      </w:r>
      <w:proofErr w:type="spellEnd"/>
      <w:r w:rsidR="00D2007E" w:rsidRPr="00D2007E">
        <w:rPr>
          <w:rFonts w:ascii="Times New Roman" w:hAnsi="Times New Roman"/>
          <w:b/>
        </w:rPr>
        <w:t xml:space="preserve"> zhlukovania s </w:t>
      </w:r>
      <w:proofErr w:type="spellStart"/>
      <w:r w:rsidR="00D2007E" w:rsidRPr="00D2007E">
        <w:rPr>
          <w:rFonts w:ascii="Times New Roman" w:hAnsi="Times New Roman"/>
          <w:b/>
        </w:rPr>
        <w:t>Wardovým</w:t>
      </w:r>
      <w:proofErr w:type="spellEnd"/>
      <w:r w:rsidR="00D2007E" w:rsidRPr="00D2007E">
        <w:rPr>
          <w:rFonts w:ascii="Times New Roman" w:hAnsi="Times New Roman"/>
          <w:b/>
        </w:rPr>
        <w:t xml:space="preserve"> kritériom</w:t>
      </w:r>
    </w:p>
    <w:p w14:paraId="377B8915" w14:textId="77777777" w:rsidR="002B6661" w:rsidRPr="002B6661" w:rsidRDefault="002B6661" w:rsidP="002B6661">
      <w:pPr>
        <w:spacing w:after="0" w:line="240" w:lineRule="auto"/>
        <w:jc w:val="center"/>
        <w:rPr>
          <w:rFonts w:ascii="Times New Roman" w:hAnsi="Times New Roman"/>
          <w:b/>
        </w:rPr>
      </w:pPr>
    </w:p>
    <w:p w14:paraId="1946B33D" w14:textId="7DF32FB0" w:rsidR="002B6661" w:rsidRPr="002B6661" w:rsidRDefault="002B6661" w:rsidP="002B6661">
      <w:pPr>
        <w:spacing w:after="0" w:line="240" w:lineRule="auto"/>
        <w:jc w:val="both"/>
        <w:rPr>
          <w:rFonts w:ascii="Times New Roman" w:hAnsi="Times New Roman"/>
        </w:rPr>
      </w:pPr>
      <w:r w:rsidRPr="002B6661">
        <w:rPr>
          <w:rFonts w:ascii="Times New Roman" w:hAnsi="Times New Roman"/>
        </w:rPr>
        <w:t xml:space="preserve">Ministerstvo zdravotníctva Slovenskej republiky podľa </w:t>
      </w:r>
      <w:r w:rsidR="00CA0616">
        <w:rPr>
          <w:rFonts w:ascii="Times New Roman" w:hAnsi="Times New Roman"/>
        </w:rPr>
        <w:t xml:space="preserve">§ 27d ods. 2 a </w:t>
      </w:r>
      <w:r w:rsidRPr="002B6661">
        <w:rPr>
          <w:rFonts w:ascii="Times New Roman" w:hAnsi="Times New Roman"/>
        </w:rPr>
        <w:t xml:space="preserve">§ 28 ods. 16 písm. b) zákona č. 580/2004 Z. z. o zdravotnom poistení a o zmene a doplnení zákona č. 95/2002 Z. z. o poisťovníctve a o zmene a doplnení niektorých zákonov v znení neskorších predpisov po dohode s Ministerstvom financií Slovenskej republiky ustanovuje: </w:t>
      </w:r>
    </w:p>
    <w:p w14:paraId="4856DF03" w14:textId="77777777" w:rsidR="002B6661" w:rsidRPr="002B6661" w:rsidRDefault="002B6661" w:rsidP="002B6661">
      <w:pPr>
        <w:spacing w:after="0" w:line="240" w:lineRule="auto"/>
        <w:jc w:val="center"/>
        <w:rPr>
          <w:rFonts w:ascii="Times New Roman" w:hAnsi="Times New Roman"/>
          <w:b/>
        </w:rPr>
      </w:pPr>
    </w:p>
    <w:p w14:paraId="47B6443D" w14:textId="77777777" w:rsidR="002B6661" w:rsidRPr="002B6661" w:rsidRDefault="002B6661" w:rsidP="002B6661">
      <w:pPr>
        <w:spacing w:after="0" w:line="240" w:lineRule="auto"/>
        <w:jc w:val="center"/>
        <w:rPr>
          <w:rFonts w:ascii="Times New Roman" w:hAnsi="Times New Roman"/>
          <w:b/>
        </w:rPr>
      </w:pPr>
      <w:r w:rsidRPr="002B6661">
        <w:rPr>
          <w:rFonts w:ascii="Times New Roman" w:hAnsi="Times New Roman"/>
          <w:b/>
        </w:rPr>
        <w:t>Čl. I</w:t>
      </w:r>
    </w:p>
    <w:p w14:paraId="3664C34F" w14:textId="77777777" w:rsidR="002B6661" w:rsidRPr="002B6661" w:rsidRDefault="002B6661" w:rsidP="002B6661">
      <w:pPr>
        <w:spacing w:after="0" w:line="240" w:lineRule="auto"/>
        <w:jc w:val="both"/>
        <w:rPr>
          <w:rFonts w:ascii="Times New Roman" w:hAnsi="Times New Roman"/>
        </w:rPr>
      </w:pPr>
    </w:p>
    <w:p w14:paraId="52A57DCC" w14:textId="77777777" w:rsidR="002B6661" w:rsidRPr="002B6661" w:rsidRDefault="002B6661" w:rsidP="002B6661">
      <w:pPr>
        <w:widowControl w:val="0"/>
        <w:autoSpaceDE w:val="0"/>
        <w:autoSpaceDN w:val="0"/>
        <w:adjustRightInd w:val="0"/>
        <w:spacing w:after="0" w:line="240" w:lineRule="auto"/>
        <w:jc w:val="both"/>
        <w:rPr>
          <w:rFonts w:ascii="Times New Roman" w:hAnsi="Times New Roman"/>
        </w:rPr>
      </w:pPr>
      <w:r w:rsidRPr="002B6661">
        <w:rPr>
          <w:rFonts w:ascii="Times New Roman" w:hAnsi="Times New Roman"/>
        </w:rPr>
        <w:t>Vyhláška Ministerstva zdravotníctva Slovenskej republiky č. 266/2012, ktorou sa ustanovujú podrobnosti o výpočte indexu rizika nákladov v znení vyhlášky č. 73/2019 Z. z. a vyhlášky č. 419/2019 Z. z. sa mení a dopĺňa takto:</w:t>
      </w:r>
    </w:p>
    <w:p w14:paraId="31D7DB9E" w14:textId="77777777" w:rsidR="002B6661" w:rsidRPr="002B6661" w:rsidRDefault="002B6661" w:rsidP="002B6661">
      <w:pPr>
        <w:widowControl w:val="0"/>
        <w:autoSpaceDE w:val="0"/>
        <w:autoSpaceDN w:val="0"/>
        <w:adjustRightInd w:val="0"/>
        <w:spacing w:after="0" w:line="240" w:lineRule="auto"/>
        <w:jc w:val="both"/>
        <w:rPr>
          <w:rFonts w:ascii="Times New Roman" w:hAnsi="Times New Roman"/>
        </w:rPr>
      </w:pPr>
    </w:p>
    <w:p w14:paraId="41111470"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0D71ECFD" w14:textId="77777777" w:rsidR="00907E44" w:rsidRDefault="00907E44" w:rsidP="00A31CF5">
      <w:pPr>
        <w:widowControl w:val="0"/>
        <w:numPr>
          <w:ilvl w:val="0"/>
          <w:numId w:val="11"/>
        </w:numPr>
        <w:autoSpaceDE w:val="0"/>
        <w:autoSpaceDN w:val="0"/>
        <w:adjustRightInd w:val="0"/>
        <w:spacing w:after="0" w:line="240" w:lineRule="auto"/>
        <w:contextualSpacing/>
        <w:rPr>
          <w:rFonts w:ascii="Times New Roman" w:hAnsi="Times New Roman"/>
        </w:rPr>
      </w:pPr>
      <w:r>
        <w:rPr>
          <w:rFonts w:ascii="Times New Roman" w:hAnsi="Times New Roman"/>
        </w:rPr>
        <w:t>V § 1 odsek 7 znie:</w:t>
      </w:r>
    </w:p>
    <w:p w14:paraId="2B541F7F" w14:textId="238144D5" w:rsidR="00907E44" w:rsidRDefault="00907E44" w:rsidP="00907E44">
      <w:pPr>
        <w:widowControl w:val="0"/>
        <w:autoSpaceDE w:val="0"/>
        <w:autoSpaceDN w:val="0"/>
        <w:adjustRightInd w:val="0"/>
        <w:spacing w:after="0" w:line="240" w:lineRule="auto"/>
        <w:contextualSpacing/>
        <w:rPr>
          <w:rFonts w:ascii="Times New Roman" w:hAnsi="Times New Roman"/>
        </w:rPr>
      </w:pPr>
      <w:r w:rsidRPr="00907E44">
        <w:rPr>
          <w:rFonts w:ascii="Times New Roman" w:hAnsi="Times New Roman"/>
        </w:rPr>
        <w:t>(7) Demografické náklady sú definované ako vážené priemerné náklady na zdravotnú starostlivosť na základe zaradenia do skupiny podľa vekovej skupiny, pohlavia a typu platiteľa poistného počítané pre každú jedinečnú kombináciu vekovej skupiny, pohlavia a typu platiteľa poistného samostatne. Váhy sú definované ako počty mesiacov ktoré boli poistenci danej skupiny evidovaní v zdravotnej poisťovni.</w:t>
      </w:r>
      <w:r>
        <w:rPr>
          <w:rFonts w:ascii="Times New Roman" w:hAnsi="Times New Roman"/>
        </w:rPr>
        <w:t xml:space="preserve"> I</w:t>
      </w:r>
      <w:r w:rsidRPr="00907E44">
        <w:rPr>
          <w:rFonts w:ascii="Times New Roman" w:hAnsi="Times New Roman"/>
        </w:rPr>
        <w:t>ndex rizika nákladov, ktorý zohľadňuje len demografické náklady a určuje prínos tejto skupiny k celkovým priemerným nákladom (ďalej len „demografický index rizika nákladov“), sa počítajú na základe lineárnej regresnej analýzy z údajov všetkých poistencov, ktorá je vážená počtom mesiacov, v ktorých boli zaznamenané náklady pre každého jednotlivého poistenca. Do výpočtu vstupujú individuálne údaje podľa § 28 ods. 4 zákona. Demografické náklady a demografický index rizika nákladov sa určuje osobitne pre každú skupinu podľa § 28 ods. 3 písm. a) a b) zákona.</w:t>
      </w:r>
      <w:r>
        <w:rPr>
          <w:rFonts w:ascii="Times New Roman" w:hAnsi="Times New Roman"/>
        </w:rPr>
        <w:br/>
      </w:r>
    </w:p>
    <w:p w14:paraId="4749F6F0" w14:textId="206DB20B" w:rsidR="002B6661" w:rsidRPr="002B6661" w:rsidRDefault="002B6661" w:rsidP="00A31CF5">
      <w:pPr>
        <w:widowControl w:val="0"/>
        <w:numPr>
          <w:ilvl w:val="0"/>
          <w:numId w:val="11"/>
        </w:numPr>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V § 1 odsek 9 znie:</w:t>
      </w:r>
    </w:p>
    <w:p w14:paraId="7B931E64"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5601CDED"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„(9) Na účely určenia poradia nákladovej náročnosti farmaceuticko-nákladovej skupiny sa</w:t>
      </w:r>
    </w:p>
    <w:p w14:paraId="1E45D0A5" w14:textId="258EA30F" w:rsidR="002B6661" w:rsidRPr="002B6661" w:rsidRDefault="002B6661" w:rsidP="002B6661">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a) </w:t>
      </w:r>
      <w:r w:rsidR="00B66C3D" w:rsidRPr="00B66C3D">
        <w:rPr>
          <w:rFonts w:ascii="Times New Roman" w:hAnsi="Times New Roman"/>
        </w:rPr>
        <w:t>vypočítajú demografické náklady pre všetkých poist</w:t>
      </w:r>
      <w:r w:rsidR="00B66C3D">
        <w:rPr>
          <w:rFonts w:ascii="Times New Roman" w:hAnsi="Times New Roman"/>
        </w:rPr>
        <w:t>encov podľa odseku 7</w:t>
      </w:r>
      <w:r w:rsidRPr="002B6661">
        <w:rPr>
          <w:rFonts w:ascii="Times New Roman" w:hAnsi="Times New Roman"/>
        </w:rPr>
        <w:t>,</w:t>
      </w:r>
    </w:p>
    <w:p w14:paraId="776211B8" w14:textId="0AE49DB4" w:rsidR="002B6661" w:rsidRPr="002B6661" w:rsidRDefault="002B6661" w:rsidP="002B6661">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b) </w:t>
      </w:r>
      <w:r w:rsidR="00B66C3D" w:rsidRPr="00B66C3D">
        <w:rPr>
          <w:rFonts w:ascii="Times New Roman" w:hAnsi="Times New Roman"/>
        </w:rPr>
        <w:t>pre každého poistenca vypočítajú očistené náklady na zdravotnú starostlivosť ako rozdiel medzi jeho skutočnými nákladmi a demografickými nákladmi skupiny do ktorej patrí,</w:t>
      </w:r>
    </w:p>
    <w:p w14:paraId="0B8543AA" w14:textId="32FF3105" w:rsidR="00B66C3D" w:rsidRPr="00B66C3D" w:rsidRDefault="002B6661" w:rsidP="00B66C3D">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c) </w:t>
      </w:r>
      <w:r w:rsidR="00B66C3D" w:rsidRPr="00B66C3D">
        <w:rPr>
          <w:rFonts w:ascii="Times New Roman" w:hAnsi="Times New Roman"/>
        </w:rPr>
        <w:t>pre každú farmaceuticko-nákladovú skupinu vypočítajú priemerné náklady ako vážený priemer očistených nákladov všetkých poistencov zaradených do tejto farmaceuticko-nákladovej skupiny. Váhy sú definované ako počty mesiacov ktoré boli poistenci danej farmaceuticko-nákladovej skupiny evidovaní v zd</w:t>
      </w:r>
      <w:r w:rsidR="00B66C3D">
        <w:rPr>
          <w:rFonts w:ascii="Times New Roman" w:hAnsi="Times New Roman"/>
        </w:rPr>
        <w:t>ravotnej poisťovni,</w:t>
      </w:r>
    </w:p>
    <w:p w14:paraId="10FF3DD7" w14:textId="70FB935E" w:rsidR="00B66C3D" w:rsidRPr="00B66C3D" w:rsidRDefault="00B66C3D" w:rsidP="00B66C3D">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t>d) za aktuálne najnákladnejšiu farmaceuticko-nákladovú skupinu považuje skupina s najvyššími nákladmi vypočítanými podľa písmena c), všetci poistenci zaradení do tejto farmaceuticko-nákladovej skupiny sú považovaní za poistencov patriacich do práve tejto jedinej fa</w:t>
      </w:r>
      <w:r>
        <w:rPr>
          <w:rFonts w:ascii="Times New Roman" w:hAnsi="Times New Roman"/>
        </w:rPr>
        <w:t>rmaceuticko-nákladovej skupiny,</w:t>
      </w:r>
    </w:p>
    <w:p w14:paraId="6F36DBC6" w14:textId="17E0E756" w:rsidR="00B66C3D" w:rsidRPr="00B66C3D" w:rsidRDefault="00B66C3D" w:rsidP="00B66C3D">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t>e) poistenci z aktuálne najnákladnejšej farmaceuticko-nákladovej skupiny vyradia a zvyšným skupinám bez tejto najnákladnejšej farmaceuticko-nákladovej skupiny sa opätovne prepočítajú náklady bez vyraden</w:t>
      </w:r>
      <w:r>
        <w:rPr>
          <w:rFonts w:ascii="Times New Roman" w:hAnsi="Times New Roman"/>
        </w:rPr>
        <w:t>ých poistencov podľa písmena c)</w:t>
      </w:r>
    </w:p>
    <w:p w14:paraId="69D18437" w14:textId="3B14D0C3" w:rsidR="00817108" w:rsidRPr="002B6661" w:rsidRDefault="00B66C3D" w:rsidP="00817108">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t>f) postup uvedený v písmenách c) a e) opakuje dovtedy, kým sú zoradené všetky farmaceuticko-</w:t>
      </w:r>
      <w:r w:rsidRPr="00B66C3D">
        <w:rPr>
          <w:rFonts w:ascii="Times New Roman" w:hAnsi="Times New Roman"/>
        </w:rPr>
        <w:lastRenderedPageBreak/>
        <w:t>nákladové skupiny a všetci poist</w:t>
      </w:r>
      <w:bookmarkStart w:id="0" w:name="_GoBack"/>
      <w:bookmarkEnd w:id="0"/>
      <w:r w:rsidRPr="00B66C3D">
        <w:rPr>
          <w:rFonts w:ascii="Times New Roman" w:hAnsi="Times New Roman"/>
        </w:rPr>
        <w:t xml:space="preserve">enci sú zaradení najviac do jednej farmaceuticko-nákladovej </w:t>
      </w:r>
      <w:r>
        <w:rPr>
          <w:rFonts w:ascii="Times New Roman" w:hAnsi="Times New Roman"/>
        </w:rPr>
        <w:t>skupiny</w:t>
      </w:r>
      <w:r w:rsidR="002B6661" w:rsidRPr="002B6661">
        <w:rPr>
          <w:rFonts w:ascii="Times New Roman" w:hAnsi="Times New Roman"/>
        </w:rPr>
        <w:t>.“.</w:t>
      </w:r>
    </w:p>
    <w:p w14:paraId="1A0F8D83"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61B4A6F1" w14:textId="77777777" w:rsidR="002B6661" w:rsidRPr="002B6661" w:rsidRDefault="002B6661" w:rsidP="00A31CF5">
      <w:pPr>
        <w:widowControl w:val="0"/>
        <w:numPr>
          <w:ilvl w:val="0"/>
          <w:numId w:val="11"/>
        </w:numPr>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V § 1 odseky 11 až 13 znejú:</w:t>
      </w:r>
    </w:p>
    <w:p w14:paraId="6A7548E9" w14:textId="77777777" w:rsidR="002B6661" w:rsidRPr="002B6661" w:rsidRDefault="002B6661" w:rsidP="002B6661">
      <w:pPr>
        <w:widowControl w:val="0"/>
        <w:autoSpaceDE w:val="0"/>
        <w:autoSpaceDN w:val="0"/>
        <w:adjustRightInd w:val="0"/>
        <w:spacing w:after="0" w:line="240" w:lineRule="auto"/>
        <w:ind w:left="720"/>
        <w:contextualSpacing/>
        <w:jc w:val="both"/>
        <w:rPr>
          <w:rFonts w:ascii="Times New Roman" w:hAnsi="Times New Roman"/>
        </w:rPr>
      </w:pPr>
    </w:p>
    <w:p w14:paraId="307AF8EC"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„(11) Poistenec sa na základe hospitalizácií v sledovanom období zaraďuje do diagnostickej skupiny podľa § 27d ods. 6 a 7 zákona. Poistenec, ktorý nebol hospitalizovaný, ktorého hospitalizácia trvala kratšie ako dva dni alebo ktorého diagnóza pri prepustení nie je zaradená v zozname diagnostických skupín nemá pridelenú žiadnu diagnostickú skupinu.</w:t>
      </w:r>
    </w:p>
    <w:p w14:paraId="78AC4D3F"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40265840" w14:textId="2CDD1B31" w:rsidR="00817108" w:rsidRDefault="002B6661" w:rsidP="00817108">
      <w:pPr>
        <w:widowControl w:val="0"/>
        <w:autoSpaceDE w:val="0"/>
        <w:autoSpaceDN w:val="0"/>
        <w:adjustRightInd w:val="0"/>
        <w:spacing w:after="0" w:line="240" w:lineRule="auto"/>
        <w:contextualSpacing/>
        <w:rPr>
          <w:rFonts w:ascii="Times New Roman" w:hAnsi="Times New Roman"/>
        </w:rPr>
      </w:pPr>
      <w:r w:rsidRPr="002B6661">
        <w:rPr>
          <w:rFonts w:ascii="Times New Roman" w:hAnsi="Times New Roman"/>
        </w:rPr>
        <w:t xml:space="preserve">(12) </w:t>
      </w:r>
      <w:r w:rsidR="00817108">
        <w:rPr>
          <w:rFonts w:ascii="Times New Roman" w:hAnsi="Times New Roman"/>
        </w:rPr>
        <w:t>Na účely určenia diagnosticko-nákladových skupín sa</w:t>
      </w:r>
    </w:p>
    <w:p w14:paraId="0ACF5256" w14:textId="5BE9184F" w:rsidR="00817108" w:rsidRPr="001A52FE" w:rsidRDefault="00817108" w:rsidP="00A31CF5">
      <w:pPr>
        <w:pStyle w:val="Odsekzoznamu"/>
        <w:widowControl w:val="0"/>
        <w:numPr>
          <w:ilvl w:val="0"/>
          <w:numId w:val="13"/>
        </w:numPr>
        <w:autoSpaceDE w:val="0"/>
        <w:autoSpaceDN w:val="0"/>
        <w:adjustRightInd w:val="0"/>
        <w:spacing w:after="0" w:line="240" w:lineRule="auto"/>
        <w:rPr>
          <w:rFonts w:ascii="Times New Roman" w:hAnsi="Times New Roman"/>
        </w:rPr>
      </w:pPr>
      <w:r w:rsidRPr="001A52FE">
        <w:rPr>
          <w:rFonts w:ascii="Times New Roman" w:hAnsi="Times New Roman"/>
        </w:rPr>
        <w:t>vypočítajú demografické náklady pre všet</w:t>
      </w:r>
      <w:r w:rsidR="001A52FE" w:rsidRPr="001A52FE">
        <w:rPr>
          <w:rFonts w:ascii="Times New Roman" w:hAnsi="Times New Roman"/>
        </w:rPr>
        <w:t>kých poistencov podľa odseku 7,</w:t>
      </w:r>
    </w:p>
    <w:p w14:paraId="7C0BCD5D" w14:textId="765A83B4" w:rsidR="00817108" w:rsidRPr="001A52FE" w:rsidRDefault="00817108" w:rsidP="00A31CF5">
      <w:pPr>
        <w:pStyle w:val="Odsekzoznamu"/>
        <w:widowControl w:val="0"/>
        <w:numPr>
          <w:ilvl w:val="0"/>
          <w:numId w:val="13"/>
        </w:numPr>
        <w:autoSpaceDE w:val="0"/>
        <w:autoSpaceDN w:val="0"/>
        <w:adjustRightInd w:val="0"/>
        <w:spacing w:after="0" w:line="240" w:lineRule="auto"/>
        <w:rPr>
          <w:rFonts w:ascii="Times New Roman" w:hAnsi="Times New Roman"/>
        </w:rPr>
      </w:pPr>
      <w:r w:rsidRPr="001A52FE">
        <w:rPr>
          <w:rFonts w:ascii="Times New Roman" w:hAnsi="Times New Roman"/>
        </w:rPr>
        <w:t>pre každého poistenca vypočítajú očistené náklady na zdravotnú starostlivosť ako rozdiel medzi jeho skutočnými nákladmi a demografickými ná</w:t>
      </w:r>
      <w:r w:rsidR="001A52FE" w:rsidRPr="001A52FE">
        <w:rPr>
          <w:rFonts w:ascii="Times New Roman" w:hAnsi="Times New Roman"/>
        </w:rPr>
        <w:t>kladmi skupiny do ktorej patrí,</w:t>
      </w:r>
    </w:p>
    <w:p w14:paraId="2506A62A" w14:textId="77777777" w:rsidR="001A52FE" w:rsidRDefault="00817108" w:rsidP="00A31CF5">
      <w:pPr>
        <w:pStyle w:val="Odsekzoznamu"/>
        <w:widowControl w:val="0"/>
        <w:numPr>
          <w:ilvl w:val="0"/>
          <w:numId w:val="13"/>
        </w:numPr>
        <w:autoSpaceDE w:val="0"/>
        <w:autoSpaceDN w:val="0"/>
        <w:adjustRightInd w:val="0"/>
        <w:spacing w:after="0" w:line="240" w:lineRule="auto"/>
        <w:rPr>
          <w:rFonts w:ascii="Times New Roman" w:hAnsi="Times New Roman"/>
        </w:rPr>
      </w:pPr>
      <w:r w:rsidRPr="001A52FE">
        <w:rPr>
          <w:rFonts w:ascii="Times New Roman" w:hAnsi="Times New Roman"/>
        </w:rPr>
        <w:t xml:space="preserve">pre každú </w:t>
      </w:r>
      <w:r w:rsidR="001A52FE">
        <w:rPr>
          <w:rFonts w:ascii="Times New Roman" w:hAnsi="Times New Roman"/>
        </w:rPr>
        <w:t>diagnostickú</w:t>
      </w:r>
      <w:r w:rsidRPr="001A52FE">
        <w:rPr>
          <w:rFonts w:ascii="Times New Roman" w:hAnsi="Times New Roman"/>
        </w:rPr>
        <w:t xml:space="preserve"> skupinu vypočítajú priemerné náklady ako vážený priemer očistených nákladov všetkých poistencov zaradených do tejto </w:t>
      </w:r>
      <w:r w:rsidR="001A52FE">
        <w:rPr>
          <w:rFonts w:ascii="Times New Roman" w:hAnsi="Times New Roman"/>
        </w:rPr>
        <w:t>diagnostickej</w:t>
      </w:r>
      <w:r w:rsidRPr="001A52FE">
        <w:rPr>
          <w:rFonts w:ascii="Times New Roman" w:hAnsi="Times New Roman"/>
        </w:rPr>
        <w:t xml:space="preserve"> skupiny. Váhy sú definované ako počty mesiacov ktoré boli poistenci danej farmaceuticko-nákladovej skupiny evidovaní v zdravotnej poisťovni,</w:t>
      </w:r>
    </w:p>
    <w:p w14:paraId="051C7016" w14:textId="3F434903" w:rsidR="002B6661" w:rsidRPr="001A52FE" w:rsidRDefault="001A52FE" w:rsidP="00A31CF5">
      <w:pPr>
        <w:pStyle w:val="Odsekzoznamu"/>
        <w:widowControl w:val="0"/>
        <w:numPr>
          <w:ilvl w:val="0"/>
          <w:numId w:val="13"/>
        </w:numPr>
        <w:autoSpaceDE w:val="0"/>
        <w:autoSpaceDN w:val="0"/>
        <w:adjustRightInd w:val="0"/>
        <w:spacing w:after="0" w:line="240" w:lineRule="auto"/>
        <w:rPr>
          <w:rFonts w:ascii="Times New Roman" w:hAnsi="Times New Roman"/>
        </w:rPr>
      </w:pPr>
      <w:r>
        <w:rPr>
          <w:rFonts w:ascii="Times New Roman" w:hAnsi="Times New Roman"/>
        </w:rPr>
        <w:t>k</w:t>
      </w:r>
      <w:r w:rsidRPr="002B6661">
        <w:rPr>
          <w:rFonts w:ascii="Times New Roman" w:hAnsi="Times New Roman"/>
        </w:rPr>
        <w:t xml:space="preserve">aždej diagnostickej skupine je následne priradená jedna z pätnástich diagnosticko-nákladových skupín, v závislosti od nákladov na diagnostickú skupinu </w:t>
      </w:r>
      <w:r>
        <w:rPr>
          <w:rFonts w:ascii="Times New Roman" w:hAnsi="Times New Roman"/>
        </w:rPr>
        <w:t xml:space="preserve">vypočítaných podľa písmena c) </w:t>
      </w:r>
      <w:r w:rsidRPr="002B6661">
        <w:rPr>
          <w:rFonts w:ascii="Times New Roman" w:hAnsi="Times New Roman"/>
        </w:rPr>
        <w:t>metódou hierarchického aglomeratívneho zhlukovania s Wardovým kritériom, ktorá je popísaná v prílohe č. 1.</w:t>
      </w:r>
    </w:p>
    <w:p w14:paraId="2F04BBC2"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6E7EFB8D" w14:textId="67357788" w:rsidR="001A52FE" w:rsidRPr="002B6661" w:rsidRDefault="002B6661" w:rsidP="001A52FE">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(13)</w:t>
      </w:r>
      <w:r w:rsidR="001A52FE" w:rsidRPr="001A52FE">
        <w:rPr>
          <w:rFonts w:ascii="Times New Roman" w:hAnsi="Times New Roman"/>
        </w:rPr>
        <w:t xml:space="preserve"> </w:t>
      </w:r>
      <w:r w:rsidR="001A52FE" w:rsidRPr="002B6661">
        <w:rPr>
          <w:rFonts w:ascii="Times New Roman" w:hAnsi="Times New Roman"/>
        </w:rPr>
        <w:t xml:space="preserve">Na účely určenia poradia nákladovej náročnosti </w:t>
      </w:r>
      <w:r w:rsidR="001A52FE">
        <w:rPr>
          <w:rFonts w:ascii="Times New Roman" w:hAnsi="Times New Roman"/>
        </w:rPr>
        <w:t>diagnosticko</w:t>
      </w:r>
      <w:r w:rsidR="001A52FE" w:rsidRPr="002B6661">
        <w:rPr>
          <w:rFonts w:ascii="Times New Roman" w:hAnsi="Times New Roman"/>
        </w:rPr>
        <w:t>-nákladovej skupiny sa</w:t>
      </w:r>
    </w:p>
    <w:p w14:paraId="6C99D830" w14:textId="373E8F9C" w:rsidR="001A52FE" w:rsidRPr="001A52FE" w:rsidRDefault="001A52FE" w:rsidP="00A31CF5">
      <w:pPr>
        <w:pStyle w:val="Odsekzoznamu"/>
        <w:widowControl w:val="0"/>
        <w:numPr>
          <w:ilvl w:val="0"/>
          <w:numId w:val="14"/>
        </w:numPr>
        <w:tabs>
          <w:tab w:val="left" w:pos="284"/>
        </w:tabs>
        <w:autoSpaceDE w:val="0"/>
        <w:autoSpaceDN w:val="0"/>
        <w:adjustRightInd w:val="0"/>
        <w:spacing w:after="0" w:line="240" w:lineRule="auto"/>
        <w:jc w:val="both"/>
        <w:rPr>
          <w:rFonts w:ascii="Times New Roman" w:hAnsi="Times New Roman"/>
        </w:rPr>
      </w:pPr>
      <w:r w:rsidRPr="001A52FE">
        <w:rPr>
          <w:rFonts w:ascii="Times New Roman" w:hAnsi="Times New Roman"/>
        </w:rPr>
        <w:t>pre každú diagnosticko-nákladovú skupinu vypočítajú priemerné náklady ako vážený priemer očistených nákladov vypočítaných podľa odseku 12 písmená a) a b) všetkých poistencov zaradených do tejto diagnosticko-nákladovej skupiny. Váhy sú definované ako počty mesiacov ktoré boli poistenci danej diagnosticko-nákladovej skupiny evidovaní v zdravotnej poisťovni,</w:t>
      </w:r>
    </w:p>
    <w:p w14:paraId="6507AA16" w14:textId="5D398B77" w:rsidR="001A52FE" w:rsidRPr="001A52FE" w:rsidRDefault="001A52FE" w:rsidP="00A31CF5">
      <w:pPr>
        <w:pStyle w:val="Odsekzoznamu"/>
        <w:widowControl w:val="0"/>
        <w:numPr>
          <w:ilvl w:val="0"/>
          <w:numId w:val="14"/>
        </w:numPr>
        <w:tabs>
          <w:tab w:val="left" w:pos="284"/>
        </w:tabs>
        <w:autoSpaceDE w:val="0"/>
        <w:autoSpaceDN w:val="0"/>
        <w:adjustRightInd w:val="0"/>
        <w:spacing w:after="0" w:line="240" w:lineRule="auto"/>
        <w:jc w:val="both"/>
        <w:rPr>
          <w:rFonts w:ascii="Times New Roman" w:hAnsi="Times New Roman"/>
        </w:rPr>
      </w:pPr>
      <w:r w:rsidRPr="001A52FE">
        <w:rPr>
          <w:rFonts w:ascii="Times New Roman" w:hAnsi="Times New Roman"/>
        </w:rPr>
        <w:t>za aktuálne najnákladnejšiu diagnosticko-nákladovú skupinu považuje skupina s najvyššími nákladmi vypočítanými podľa písmena a), všetci poistenci zaradení do tejto diagnosticko-nákladovej skupiny sú považovaní za poistencov patriacich do práve tejto jedinej diagnosticko-nákladovej skupiny,</w:t>
      </w:r>
    </w:p>
    <w:p w14:paraId="7215098C" w14:textId="584AE179" w:rsidR="001A52FE" w:rsidRPr="001A52FE" w:rsidRDefault="001A52FE" w:rsidP="00A31CF5">
      <w:pPr>
        <w:pStyle w:val="Odsekzoznamu"/>
        <w:widowControl w:val="0"/>
        <w:numPr>
          <w:ilvl w:val="0"/>
          <w:numId w:val="14"/>
        </w:numPr>
        <w:tabs>
          <w:tab w:val="left" w:pos="284"/>
        </w:tabs>
        <w:autoSpaceDE w:val="0"/>
        <w:autoSpaceDN w:val="0"/>
        <w:adjustRightInd w:val="0"/>
        <w:spacing w:after="0" w:line="240" w:lineRule="auto"/>
        <w:jc w:val="both"/>
        <w:rPr>
          <w:rFonts w:ascii="Times New Roman" w:hAnsi="Times New Roman"/>
        </w:rPr>
      </w:pPr>
      <w:r w:rsidRPr="001A52FE">
        <w:rPr>
          <w:rFonts w:ascii="Times New Roman" w:hAnsi="Times New Roman"/>
        </w:rPr>
        <w:t xml:space="preserve">poistenci z aktuálne najnákladnejšej </w:t>
      </w:r>
      <w:r>
        <w:rPr>
          <w:rFonts w:ascii="Times New Roman" w:hAnsi="Times New Roman"/>
        </w:rPr>
        <w:t>diagnosticko</w:t>
      </w:r>
      <w:r w:rsidRPr="001A52FE">
        <w:rPr>
          <w:rFonts w:ascii="Times New Roman" w:hAnsi="Times New Roman"/>
        </w:rPr>
        <w:t xml:space="preserve">-nákladovej skupiny vyradia a zvyšným skupinám bez tejto najnákladnejšej </w:t>
      </w:r>
      <w:r>
        <w:rPr>
          <w:rFonts w:ascii="Times New Roman" w:hAnsi="Times New Roman"/>
        </w:rPr>
        <w:t>diagnosticko</w:t>
      </w:r>
      <w:r w:rsidRPr="001A52FE">
        <w:rPr>
          <w:rFonts w:ascii="Times New Roman" w:hAnsi="Times New Roman"/>
        </w:rPr>
        <w:t>-nákladovej skupiny sa opätovne prepočítajú náklady bez vyraden</w:t>
      </w:r>
      <w:r>
        <w:rPr>
          <w:rFonts w:ascii="Times New Roman" w:hAnsi="Times New Roman"/>
        </w:rPr>
        <w:t>ých poistencov podľa písmena b</w:t>
      </w:r>
      <w:r w:rsidRPr="001A52FE">
        <w:rPr>
          <w:rFonts w:ascii="Times New Roman" w:hAnsi="Times New Roman"/>
        </w:rPr>
        <w:t>)</w:t>
      </w:r>
    </w:p>
    <w:p w14:paraId="63A3CB0E" w14:textId="677DF268" w:rsidR="002B6661" w:rsidRPr="001A52FE" w:rsidRDefault="001A52FE" w:rsidP="00A31CF5">
      <w:pPr>
        <w:pStyle w:val="Odsekzoznamu"/>
        <w:widowControl w:val="0"/>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postup uvedený v písmenách a</w:t>
      </w:r>
      <w:r w:rsidRPr="001A52FE">
        <w:rPr>
          <w:rFonts w:ascii="Times New Roman" w:hAnsi="Times New Roman"/>
        </w:rPr>
        <w:t xml:space="preserve">) a </w:t>
      </w:r>
      <w:r>
        <w:rPr>
          <w:rFonts w:ascii="Times New Roman" w:hAnsi="Times New Roman"/>
        </w:rPr>
        <w:t>c</w:t>
      </w:r>
      <w:r w:rsidRPr="001A52FE">
        <w:rPr>
          <w:rFonts w:ascii="Times New Roman" w:hAnsi="Times New Roman"/>
        </w:rPr>
        <w:t xml:space="preserve">) opakuje dovtedy, kým sú zoradené všetky </w:t>
      </w:r>
      <w:r>
        <w:rPr>
          <w:rFonts w:ascii="Times New Roman" w:hAnsi="Times New Roman"/>
        </w:rPr>
        <w:t>diagnosticko</w:t>
      </w:r>
      <w:r w:rsidRPr="001A52FE">
        <w:rPr>
          <w:rFonts w:ascii="Times New Roman" w:hAnsi="Times New Roman"/>
        </w:rPr>
        <w:t xml:space="preserve">-nákladové skupiny a všetci poistenci sú zaradení najviac do jednej </w:t>
      </w:r>
      <w:r>
        <w:rPr>
          <w:rFonts w:ascii="Times New Roman" w:hAnsi="Times New Roman"/>
        </w:rPr>
        <w:t>diagnosticko</w:t>
      </w:r>
      <w:r w:rsidRPr="001A52FE">
        <w:rPr>
          <w:rFonts w:ascii="Times New Roman" w:hAnsi="Times New Roman"/>
        </w:rPr>
        <w:t>-nákladovej skupiny.</w:t>
      </w:r>
      <w:r w:rsidR="002B6661" w:rsidRPr="001A52FE">
        <w:rPr>
          <w:rFonts w:ascii="Times New Roman" w:hAnsi="Times New Roman"/>
        </w:rPr>
        <w:t>“.</w:t>
      </w:r>
    </w:p>
    <w:p w14:paraId="1DB1C02A"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4725CA33" w14:textId="438D46A8" w:rsidR="002B6661" w:rsidRPr="002B6661" w:rsidRDefault="001A52FE" w:rsidP="00A31CF5">
      <w:pPr>
        <w:widowControl w:val="0"/>
        <w:numPr>
          <w:ilvl w:val="0"/>
          <w:numId w:val="11"/>
        </w:numPr>
        <w:autoSpaceDE w:val="0"/>
        <w:autoSpaceDN w:val="0"/>
        <w:adjustRightInd w:val="0"/>
        <w:spacing w:after="0" w:line="240" w:lineRule="auto"/>
        <w:contextualSpacing/>
        <w:jc w:val="both"/>
        <w:rPr>
          <w:rFonts w:ascii="Times New Roman" w:hAnsi="Times New Roman"/>
        </w:rPr>
      </w:pPr>
      <w:r>
        <w:rPr>
          <w:rFonts w:ascii="Times New Roman" w:hAnsi="Times New Roman"/>
        </w:rPr>
        <w:t>§ 1 sa dopĺňa odsekmi 14 až 17</w:t>
      </w:r>
      <w:r w:rsidR="002B6661" w:rsidRPr="002B6661">
        <w:rPr>
          <w:rFonts w:ascii="Times New Roman" w:hAnsi="Times New Roman"/>
        </w:rPr>
        <w:t>, ktoré znejú:</w:t>
      </w:r>
    </w:p>
    <w:p w14:paraId="0FCAD02F" w14:textId="77777777" w:rsidR="002B6661" w:rsidRPr="002B6661" w:rsidRDefault="002B6661" w:rsidP="002B6661">
      <w:pPr>
        <w:widowControl w:val="0"/>
        <w:autoSpaceDE w:val="0"/>
        <w:autoSpaceDN w:val="0"/>
        <w:adjustRightInd w:val="0"/>
        <w:spacing w:after="0" w:line="240" w:lineRule="auto"/>
        <w:ind w:left="720"/>
        <w:contextualSpacing/>
        <w:jc w:val="both"/>
        <w:rPr>
          <w:rFonts w:ascii="Times New Roman" w:hAnsi="Times New Roman"/>
        </w:rPr>
      </w:pPr>
    </w:p>
    <w:p w14:paraId="2F388719" w14:textId="2A44DCBD" w:rsidR="002B6661" w:rsidRDefault="001A52FE" w:rsidP="002B6661">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w:t>
      </w:r>
      <w:r w:rsidR="002B6661" w:rsidRPr="002B6661">
        <w:rPr>
          <w:rFonts w:ascii="Times New Roman" w:hAnsi="Times New Roman"/>
        </w:rPr>
        <w:t>1</w:t>
      </w:r>
      <w:r w:rsidR="00A31CF5">
        <w:rPr>
          <w:rFonts w:ascii="Times New Roman" w:hAnsi="Times New Roman"/>
        </w:rPr>
        <w:t>4</w:t>
      </w:r>
      <w:r w:rsidR="002B6661" w:rsidRPr="002B6661">
        <w:rPr>
          <w:rFonts w:ascii="Times New Roman" w:hAnsi="Times New Roman"/>
        </w:rPr>
        <w:t>) Poistenec sa na základe spotreby zdravotníckych pomôcok v sledovanom období zaraďuje do nákladovej skupiny zdravotníckych pomôcok podľa § 27f ods. 6 a 7 zákona. Poistenec, ktorý nemal predpísanú žiadnu zdravotnícku pomôcku,  ktorého pomôcka bola predpísaná na menej sledovaných období, ako stanovuje zoznam skupín zdravotníckych pomôcok, alebo ktorého pomôcka nie je zaradená v zozname skupín zdravotníckych pomôcok nemá pridelenú žiadnu skupinu.</w:t>
      </w:r>
    </w:p>
    <w:p w14:paraId="2ED51667" w14:textId="3FC93BCB" w:rsidR="00A31CF5" w:rsidRDefault="00A31CF5" w:rsidP="002B6661">
      <w:pPr>
        <w:widowControl w:val="0"/>
        <w:autoSpaceDE w:val="0"/>
        <w:autoSpaceDN w:val="0"/>
        <w:adjustRightInd w:val="0"/>
        <w:spacing w:after="0" w:line="240" w:lineRule="auto"/>
        <w:contextualSpacing/>
        <w:jc w:val="both"/>
        <w:rPr>
          <w:rFonts w:ascii="Times New Roman" w:hAnsi="Times New Roman"/>
        </w:rPr>
      </w:pPr>
    </w:p>
    <w:p w14:paraId="2ECDC4D9" w14:textId="1BA68961" w:rsidR="00A31CF5" w:rsidRPr="002B6661" w:rsidRDefault="00A31CF5" w:rsidP="00A31CF5">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w:t>
      </w:r>
      <w:r>
        <w:rPr>
          <w:rFonts w:ascii="Times New Roman" w:hAnsi="Times New Roman"/>
        </w:rPr>
        <w:t>15</w:t>
      </w:r>
      <w:r w:rsidRPr="002B6661">
        <w:rPr>
          <w:rFonts w:ascii="Times New Roman" w:hAnsi="Times New Roman"/>
        </w:rPr>
        <w:t xml:space="preserve">) Na účely určenia poradia nákladovej náročnosti </w:t>
      </w:r>
      <w:r>
        <w:rPr>
          <w:rFonts w:ascii="Times New Roman" w:hAnsi="Times New Roman"/>
        </w:rPr>
        <w:t>skupín zdravotníckych pomôcok</w:t>
      </w:r>
      <w:r w:rsidRPr="002B6661">
        <w:rPr>
          <w:rFonts w:ascii="Times New Roman" w:hAnsi="Times New Roman"/>
        </w:rPr>
        <w:t xml:space="preserve"> sa</w:t>
      </w:r>
    </w:p>
    <w:p w14:paraId="27058EA0" w14:textId="77777777" w:rsidR="00A31CF5" w:rsidRPr="002B6661"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a) </w:t>
      </w:r>
      <w:r w:rsidRPr="00B66C3D">
        <w:rPr>
          <w:rFonts w:ascii="Times New Roman" w:hAnsi="Times New Roman"/>
        </w:rPr>
        <w:t>vypočítajú demografické náklady pre všetkých poist</w:t>
      </w:r>
      <w:r>
        <w:rPr>
          <w:rFonts w:ascii="Times New Roman" w:hAnsi="Times New Roman"/>
        </w:rPr>
        <w:t>encov podľa odseku 7</w:t>
      </w:r>
      <w:r w:rsidRPr="002B6661">
        <w:rPr>
          <w:rFonts w:ascii="Times New Roman" w:hAnsi="Times New Roman"/>
        </w:rPr>
        <w:t>,</w:t>
      </w:r>
    </w:p>
    <w:p w14:paraId="1B3D6924" w14:textId="77777777" w:rsidR="00A31CF5" w:rsidRPr="002B6661"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b) </w:t>
      </w:r>
      <w:r w:rsidRPr="00B66C3D">
        <w:rPr>
          <w:rFonts w:ascii="Times New Roman" w:hAnsi="Times New Roman"/>
        </w:rPr>
        <w:t>pre každého poistenca vypočítajú očistené náklady na zdravotnú starostlivosť ako rozdiel medzi jeho skutočnými nákladmi a demografickými nákladmi skupiny do ktorej patrí,</w:t>
      </w:r>
    </w:p>
    <w:p w14:paraId="1DF75BD4" w14:textId="7E06F44E" w:rsidR="00A31CF5" w:rsidRPr="00B66C3D"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2B6661">
        <w:rPr>
          <w:rFonts w:ascii="Times New Roman" w:hAnsi="Times New Roman"/>
        </w:rPr>
        <w:t xml:space="preserve">c) </w:t>
      </w:r>
      <w:r w:rsidRPr="00B66C3D">
        <w:rPr>
          <w:rFonts w:ascii="Times New Roman" w:hAnsi="Times New Roman"/>
        </w:rPr>
        <w:t xml:space="preserve">pre každú </w:t>
      </w:r>
      <w:r>
        <w:rPr>
          <w:rFonts w:ascii="Times New Roman" w:hAnsi="Times New Roman"/>
        </w:rPr>
        <w:t>nákladovú skupinu zdravotníckych pomôcok</w:t>
      </w:r>
      <w:r w:rsidRPr="00B66C3D">
        <w:rPr>
          <w:rFonts w:ascii="Times New Roman" w:hAnsi="Times New Roman"/>
        </w:rPr>
        <w:t xml:space="preserve"> vypočítajú priemerné náklady ako vážený priemer očistených nákladov všetkých poistencov zaradených do tejto </w:t>
      </w:r>
      <w:r>
        <w:rPr>
          <w:rFonts w:ascii="Times New Roman" w:hAnsi="Times New Roman"/>
        </w:rPr>
        <w:t>nákladovej skupiny zdravotníckych pomôcok</w:t>
      </w:r>
      <w:r w:rsidRPr="00B66C3D">
        <w:rPr>
          <w:rFonts w:ascii="Times New Roman" w:hAnsi="Times New Roman"/>
        </w:rPr>
        <w:t xml:space="preserve">. Váhy sú definované ako počty mesiacov ktoré boli poistenci danej </w:t>
      </w:r>
      <w:r>
        <w:rPr>
          <w:rFonts w:ascii="Times New Roman" w:hAnsi="Times New Roman"/>
        </w:rPr>
        <w:t>nákladovej skupiny zdravotníckych pomôcok</w:t>
      </w:r>
      <w:r w:rsidRPr="00B66C3D">
        <w:rPr>
          <w:rFonts w:ascii="Times New Roman" w:hAnsi="Times New Roman"/>
        </w:rPr>
        <w:t xml:space="preserve"> evidovaní v zd</w:t>
      </w:r>
      <w:r>
        <w:rPr>
          <w:rFonts w:ascii="Times New Roman" w:hAnsi="Times New Roman"/>
        </w:rPr>
        <w:t>ravotnej poisťovni,</w:t>
      </w:r>
    </w:p>
    <w:p w14:paraId="358A8E03" w14:textId="3BD9463A" w:rsidR="00A31CF5" w:rsidRPr="00B66C3D"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lastRenderedPageBreak/>
        <w:t xml:space="preserve">d) za aktuálne najnákladnejšiu </w:t>
      </w:r>
      <w:r>
        <w:rPr>
          <w:rFonts w:ascii="Times New Roman" w:hAnsi="Times New Roman"/>
        </w:rPr>
        <w:t>nákladovú skupinu zdravotníckych pomôcok</w:t>
      </w:r>
      <w:r w:rsidRPr="00B66C3D">
        <w:rPr>
          <w:rFonts w:ascii="Times New Roman" w:hAnsi="Times New Roman"/>
        </w:rPr>
        <w:t xml:space="preserve"> považuje skupina s najvyššími nákladmi vypočítanými podľa písmena c), všetci poistenci zaradení do tejto </w:t>
      </w:r>
      <w:r>
        <w:rPr>
          <w:rFonts w:ascii="Times New Roman" w:hAnsi="Times New Roman"/>
        </w:rPr>
        <w:t>nákladovej skupiny zdravotníckych pomôcok</w:t>
      </w:r>
      <w:r w:rsidRPr="00B66C3D">
        <w:rPr>
          <w:rFonts w:ascii="Times New Roman" w:hAnsi="Times New Roman"/>
        </w:rPr>
        <w:t xml:space="preserve"> sú považovaní za poistencov patriacich do práve tejto jedinej </w:t>
      </w:r>
      <w:r>
        <w:rPr>
          <w:rFonts w:ascii="Times New Roman" w:hAnsi="Times New Roman"/>
        </w:rPr>
        <w:t>nákladovej skupiny zdravotníckych pomôcok,</w:t>
      </w:r>
    </w:p>
    <w:p w14:paraId="1F76D332" w14:textId="66E30EFD" w:rsidR="00A31CF5" w:rsidRPr="00B66C3D"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t xml:space="preserve">e) poistenci z aktuálne najnákladnejšej </w:t>
      </w:r>
      <w:r>
        <w:rPr>
          <w:rFonts w:ascii="Times New Roman" w:hAnsi="Times New Roman"/>
        </w:rPr>
        <w:t>nákladovej skupiny zdravotníckych pomôcok</w:t>
      </w:r>
      <w:r w:rsidRPr="00B66C3D">
        <w:rPr>
          <w:rFonts w:ascii="Times New Roman" w:hAnsi="Times New Roman"/>
        </w:rPr>
        <w:t xml:space="preserve"> vyradia a zvyšným skupinám bez tejto najnákladnejšej </w:t>
      </w:r>
      <w:r>
        <w:rPr>
          <w:rFonts w:ascii="Times New Roman" w:hAnsi="Times New Roman"/>
        </w:rPr>
        <w:t>nákladovej skupiny zdravotníckych pomôcok</w:t>
      </w:r>
      <w:r w:rsidRPr="00B66C3D">
        <w:rPr>
          <w:rFonts w:ascii="Times New Roman" w:hAnsi="Times New Roman"/>
        </w:rPr>
        <w:t xml:space="preserve"> sa opätovne prepočítajú náklady bez vyraden</w:t>
      </w:r>
      <w:r>
        <w:rPr>
          <w:rFonts w:ascii="Times New Roman" w:hAnsi="Times New Roman"/>
        </w:rPr>
        <w:t>ých poistencov podľa písmena c)</w:t>
      </w:r>
    </w:p>
    <w:p w14:paraId="2607B470" w14:textId="2542FB85" w:rsidR="00A31CF5" w:rsidRPr="002B6661" w:rsidRDefault="00A31CF5" w:rsidP="00A31CF5">
      <w:pPr>
        <w:widowControl w:val="0"/>
        <w:tabs>
          <w:tab w:val="left" w:pos="284"/>
        </w:tabs>
        <w:autoSpaceDE w:val="0"/>
        <w:autoSpaceDN w:val="0"/>
        <w:adjustRightInd w:val="0"/>
        <w:spacing w:after="0" w:line="240" w:lineRule="auto"/>
        <w:ind w:left="284" w:hanging="284"/>
        <w:contextualSpacing/>
        <w:jc w:val="both"/>
        <w:rPr>
          <w:rFonts w:ascii="Times New Roman" w:hAnsi="Times New Roman"/>
        </w:rPr>
      </w:pPr>
      <w:r w:rsidRPr="00B66C3D">
        <w:rPr>
          <w:rFonts w:ascii="Times New Roman" w:hAnsi="Times New Roman"/>
        </w:rPr>
        <w:t xml:space="preserve">f) postup uvedený v písmenách c) a e) opakuje dovtedy, kým sú zoradené všetky </w:t>
      </w:r>
      <w:r>
        <w:rPr>
          <w:rFonts w:ascii="Times New Roman" w:hAnsi="Times New Roman"/>
        </w:rPr>
        <w:t>nákladové skupiny zdravotníckych pomôcok</w:t>
      </w:r>
      <w:r w:rsidRPr="00B66C3D">
        <w:rPr>
          <w:rFonts w:ascii="Times New Roman" w:hAnsi="Times New Roman"/>
        </w:rPr>
        <w:t xml:space="preserve"> a všetci poistenci sú zaradení najviac do jednej </w:t>
      </w:r>
      <w:r>
        <w:rPr>
          <w:rFonts w:ascii="Times New Roman" w:hAnsi="Times New Roman"/>
        </w:rPr>
        <w:t>nákladovej skupiny zdravotníckych pomôcok</w:t>
      </w:r>
      <w:r w:rsidRPr="002B6661">
        <w:rPr>
          <w:rFonts w:ascii="Times New Roman" w:hAnsi="Times New Roman"/>
        </w:rPr>
        <w:t>.“.</w:t>
      </w:r>
    </w:p>
    <w:p w14:paraId="26A38E1E"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6B8FEC0A"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 xml:space="preserve"> (16) Index rizika nákladov pre jednotlivé farmaceuticko-nákladové skupiny, diagnosticko-nákladové skupiny a nákladové skupiny zdravotníckych pomôcok  vyjadrujú dodatočný prínos týchto skupín k demografickým nákladom. Demografický index rizika nákladov, index rizika nákladov viacročnej nákladovej skupiny a indexy rizika nákladov pre jednotlivé farmaceuticko-nákladové skupiny, diagnosticko-nákladové skupiny a skupiny zdravotníckych pomôcok sú vypočítané na základe jedného lineárneho regresného modelu.</w:t>
      </w:r>
    </w:p>
    <w:p w14:paraId="0B5F1EFE"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5B34A45A"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 xml:space="preserve"> (17) Výsledkom postupu podľa odsekov 4 až 16 je index rizika nákladov pre skupiny poistencov podľa veku, pohlavia a typu platiteľa poistného, index rizika nákladov viacročnej nákladovej skupiny a indexy rizika nákladov pre jednotlivé farmaceuticko-nákladové skupiny, diagnosticko-nákladové skupiny a skupiny zdravotníckych pomôcok, ktoré sa pripočítavajú ako dodatočný index len tým poistencom, ktorí sú zaradení do príslušnej farmaceuticko-nákladovej skupiny, diagnosticko-nákladovej skupiny a nákladovej skupiny zdravotníckych pomôcok. Index rizika nákladov sa zaokrúhľuje matematicky na štyri desatinné miesta.</w:t>
      </w:r>
    </w:p>
    <w:p w14:paraId="0D9205BD"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35F2CC7F"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(18) Metodika výpočtu indexov rizika nákladov je uvedená v prílohe č. 2.“.</w:t>
      </w:r>
    </w:p>
    <w:p w14:paraId="3E9BFDC0"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016291E2" w14:textId="77777777" w:rsidR="002B6661" w:rsidRPr="002B6661" w:rsidRDefault="002B6661" w:rsidP="00A31CF5">
      <w:pPr>
        <w:widowControl w:val="0"/>
        <w:numPr>
          <w:ilvl w:val="0"/>
          <w:numId w:val="11"/>
        </w:numPr>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Príloha vyhlášky sa označuje ako príloha č. 1 a znie:</w:t>
      </w:r>
    </w:p>
    <w:p w14:paraId="3D834A7E" w14:textId="77777777" w:rsidR="002B6661" w:rsidRPr="002B6661" w:rsidRDefault="002B6661" w:rsidP="002B6661">
      <w:pPr>
        <w:widowControl w:val="0"/>
        <w:autoSpaceDE w:val="0"/>
        <w:autoSpaceDN w:val="0"/>
        <w:adjustRightInd w:val="0"/>
        <w:spacing w:after="0" w:line="240" w:lineRule="auto"/>
        <w:ind w:left="720"/>
        <w:contextualSpacing/>
        <w:jc w:val="both"/>
        <w:rPr>
          <w:rFonts w:ascii="Times New Roman" w:hAnsi="Times New Roman"/>
        </w:rPr>
      </w:pPr>
    </w:p>
    <w:p w14:paraId="70CD90E0" w14:textId="77777777" w:rsidR="002B6661" w:rsidRPr="002B6661" w:rsidRDefault="002B6661" w:rsidP="002B6661">
      <w:pPr>
        <w:spacing w:after="0" w:line="240" w:lineRule="auto"/>
        <w:jc w:val="right"/>
        <w:rPr>
          <w:rFonts w:ascii="Times New Roman" w:hAnsi="Times New Roman"/>
          <w:szCs w:val="24"/>
        </w:rPr>
      </w:pPr>
      <w:r w:rsidRPr="002B6661">
        <w:rPr>
          <w:rFonts w:ascii="Times New Roman" w:hAnsi="Times New Roman"/>
          <w:szCs w:val="24"/>
        </w:rPr>
        <w:t xml:space="preserve">„Príloha č. 1 </w:t>
      </w:r>
    </w:p>
    <w:p w14:paraId="193BC329" w14:textId="77777777" w:rsidR="002B6661" w:rsidRPr="002B6661" w:rsidRDefault="002B6661" w:rsidP="002B6661">
      <w:pPr>
        <w:spacing w:after="0" w:line="240" w:lineRule="auto"/>
        <w:jc w:val="right"/>
        <w:rPr>
          <w:rFonts w:ascii="Times New Roman" w:hAnsi="Times New Roman"/>
          <w:szCs w:val="24"/>
        </w:rPr>
      </w:pPr>
      <w:r w:rsidRPr="002B6661">
        <w:rPr>
          <w:rFonts w:ascii="Times New Roman" w:hAnsi="Times New Roman"/>
          <w:szCs w:val="24"/>
        </w:rPr>
        <w:t>k vyhláške č. 266/2012 Z. z.</w:t>
      </w:r>
    </w:p>
    <w:p w14:paraId="24BAB105" w14:textId="77777777" w:rsidR="002B6661" w:rsidRPr="002B6661" w:rsidRDefault="002B6661" w:rsidP="002B6661">
      <w:pPr>
        <w:spacing w:after="0" w:line="240" w:lineRule="auto"/>
        <w:rPr>
          <w:rFonts w:ascii="Times New Roman" w:hAnsi="Times New Roman"/>
          <w:b/>
          <w:szCs w:val="24"/>
        </w:rPr>
      </w:pPr>
    </w:p>
    <w:p w14:paraId="2925DE57" w14:textId="77777777" w:rsidR="002B6661" w:rsidRPr="002B6661" w:rsidRDefault="002B6661" w:rsidP="002B6661">
      <w:pPr>
        <w:jc w:val="center"/>
        <w:rPr>
          <w:rFonts w:ascii="Times New Roman" w:hAnsi="Times New Roman"/>
          <w:szCs w:val="24"/>
        </w:rPr>
      </w:pPr>
      <w:r w:rsidRPr="002B6661">
        <w:rPr>
          <w:rFonts w:ascii="Times New Roman" w:hAnsi="Times New Roman"/>
          <w:b/>
          <w:szCs w:val="24"/>
        </w:rPr>
        <w:t>Popis metódy hierarchického aglomeratívneho zhlukovania s Wardovým kritériom</w:t>
      </w:r>
    </w:p>
    <w:p w14:paraId="2CCF7B0F" w14:textId="77777777" w:rsidR="002B6661" w:rsidRPr="002B6661" w:rsidRDefault="002B6661" w:rsidP="002B6661">
      <w:pPr>
        <w:jc w:val="both"/>
        <w:rPr>
          <w:rFonts w:ascii="Times New Roman" w:hAnsi="Times New Roman"/>
          <w:color w:val="000000" w:themeColor="text1"/>
          <w:szCs w:val="24"/>
        </w:rPr>
      </w:pPr>
      <w:r w:rsidRPr="002B6661">
        <w:rPr>
          <w:rFonts w:ascii="Times New Roman" w:hAnsi="Times New Roman"/>
          <w:color w:val="000000" w:themeColor="text1"/>
          <w:szCs w:val="24"/>
        </w:rPr>
        <w:t>Diagnosticko-nákladové skupiny sú z diagnostických skupín vytvorené metódou aglomeratívneho hierarchického zhlukovania, ktorá využíva Wardovo kritérium na určenie poradia spájania (zhlukovania) diagnostických skupín.</w:t>
      </w:r>
    </w:p>
    <w:p w14:paraId="2EB0C4EB" w14:textId="77777777" w:rsidR="002B6661" w:rsidRPr="002B6661" w:rsidRDefault="002B6661" w:rsidP="002B6661">
      <w:pPr>
        <w:jc w:val="both"/>
        <w:rPr>
          <w:rFonts w:ascii="Times New Roman" w:hAnsi="Times New Roman"/>
          <w:color w:val="000000" w:themeColor="text1"/>
          <w:szCs w:val="24"/>
        </w:rPr>
      </w:pPr>
      <w:r w:rsidRPr="002B6661">
        <w:rPr>
          <w:rFonts w:ascii="Times New Roman" w:hAnsi="Times New Roman"/>
          <w:color w:val="000000" w:themeColor="text1"/>
          <w:szCs w:val="24"/>
        </w:rPr>
        <w:t>Na začiatku sa pre každú diagnostickú skupinu vypočítajú priemerné celkové náklady poistencov, ktorý patria do danej skupiny (jeden poistenec môže patriť do viacerých diagnostických skupín), ktoré slúžia na výpočet vzdialenosti medzi skupinami.</w:t>
      </w:r>
    </w:p>
    <w:p w14:paraId="4E7F3660" w14:textId="77777777" w:rsidR="002B6661" w:rsidRPr="002B6661" w:rsidRDefault="002B6661" w:rsidP="002B6661">
      <w:pPr>
        <w:spacing w:after="0"/>
        <w:jc w:val="both"/>
        <w:rPr>
          <w:rFonts w:ascii="Times New Roman" w:hAnsi="Times New Roman"/>
          <w:color w:val="000000" w:themeColor="text1"/>
          <w:szCs w:val="24"/>
        </w:rPr>
      </w:pPr>
      <w:r w:rsidRPr="002B6661">
        <w:rPr>
          <w:rFonts w:ascii="Times New Roman" w:hAnsi="Times New Roman"/>
          <w:color w:val="000000" w:themeColor="text1"/>
          <w:szCs w:val="24"/>
        </w:rPr>
        <w:t>Vzdialenosť medzi diagnostickými skupinami vzhľadom na Wardovo kritérium je vypočítaná nasledovne:</w:t>
      </w:r>
    </w:p>
    <w:p w14:paraId="0155D3E6" w14:textId="77777777" w:rsidR="002B6661" w:rsidRPr="002B6661" w:rsidRDefault="00946399" w:rsidP="002B6661">
      <w:pPr>
        <w:spacing w:after="0"/>
        <w:jc w:val="both"/>
        <w:rPr>
          <w:rFonts w:ascii="Times New Roman" w:hAnsi="Times New Roman"/>
          <w:i/>
          <w:color w:val="000000" w:themeColor="text1"/>
          <w:szCs w:val="24"/>
        </w:rPr>
      </w:pPr>
      <m:oMathPara>
        <m:oMath>
          <m:sSub>
            <m:sSubPr>
              <m:ctrlPr>
                <w:rPr>
                  <w:rFonts w:ascii="Cambria Math" w:hAnsi="Cambria Math"/>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i,j</m:t>
              </m:r>
            </m:sub>
          </m:sSub>
          <m:r>
            <w:rPr>
              <w:rFonts w:ascii="Cambria Math" w:hAnsi="Cambria Math"/>
              <w:color w:val="000000" w:themeColor="text1"/>
              <w:szCs w:val="24"/>
            </w:rPr>
            <m:t>=</m:t>
          </m:r>
          <m:sSup>
            <m:sSupPr>
              <m:ctrlPr>
                <w:rPr>
                  <w:rFonts w:ascii="Cambria Math" w:hAnsi="Cambria Math"/>
                  <w:i/>
                  <w:color w:val="000000" w:themeColor="text1"/>
                  <w:szCs w:val="24"/>
                </w:rPr>
              </m:ctrlPr>
            </m:sSupPr>
            <m:e>
              <m:sSub>
                <m:sSubPr>
                  <m:ctrlPr>
                    <w:rPr>
                      <w:rFonts w:ascii="Cambria Math" w:hAnsi="Cambria Math"/>
                      <w:i/>
                      <w:color w:val="000000" w:themeColor="text1"/>
                      <w:szCs w:val="24"/>
                    </w:rPr>
                  </m:ctrlPr>
                </m:sSubPr>
                <m:e>
                  <m:r>
                    <w:rPr>
                      <w:rFonts w:ascii="Cambria Math" w:hAnsi="Cambria Math"/>
                      <w:color w:val="000000" w:themeColor="text1"/>
                      <w:szCs w:val="24"/>
                    </w:rPr>
                    <m:t>(</m:t>
                  </m:r>
                  <m:acc>
                    <m:accPr>
                      <m:chr m:val="̅"/>
                      <m:ctrlPr>
                        <w:rPr>
                          <w:rFonts w:ascii="Cambria Math" w:hAnsi="Cambria Math"/>
                          <w:i/>
                          <w:color w:val="000000" w:themeColor="text1"/>
                          <w:szCs w:val="24"/>
                        </w:rPr>
                      </m:ctrlPr>
                    </m:accPr>
                    <m:e>
                      <m:r>
                        <w:rPr>
                          <w:rFonts w:ascii="Cambria Math" w:hAnsi="Cambria Math"/>
                          <w:color w:val="000000" w:themeColor="text1"/>
                          <w:szCs w:val="24"/>
                        </w:rPr>
                        <m:t>c</m:t>
                      </m:r>
                    </m:e>
                  </m:acc>
                </m:e>
                <m:sub>
                  <m:r>
                    <w:rPr>
                      <w:rFonts w:ascii="Cambria Math" w:hAnsi="Cambria Math"/>
                      <w:color w:val="000000" w:themeColor="text1"/>
                      <w:szCs w:val="24"/>
                    </w:rPr>
                    <m:t>i</m:t>
                  </m:r>
                </m:sub>
              </m:sSub>
              <m:r>
                <w:rPr>
                  <w:rFonts w:ascii="Cambria Math" w:hAnsi="Cambria Math"/>
                  <w:color w:val="000000" w:themeColor="text1"/>
                  <w:szCs w:val="24"/>
                </w:rPr>
                <m:t>-</m:t>
              </m:r>
              <m:sSub>
                <m:sSubPr>
                  <m:ctrlPr>
                    <w:rPr>
                      <w:rFonts w:ascii="Cambria Math" w:hAnsi="Cambria Math"/>
                      <w:i/>
                      <w:color w:val="000000" w:themeColor="text1"/>
                      <w:szCs w:val="24"/>
                    </w:rPr>
                  </m:ctrlPr>
                </m:sSubPr>
                <m:e>
                  <m:acc>
                    <m:accPr>
                      <m:chr m:val="̅"/>
                      <m:ctrlPr>
                        <w:rPr>
                          <w:rFonts w:ascii="Cambria Math" w:hAnsi="Cambria Math"/>
                          <w:i/>
                          <w:color w:val="000000" w:themeColor="text1"/>
                          <w:szCs w:val="24"/>
                        </w:rPr>
                      </m:ctrlPr>
                    </m:accPr>
                    <m:e>
                      <m:r>
                        <w:rPr>
                          <w:rFonts w:ascii="Cambria Math" w:hAnsi="Cambria Math"/>
                          <w:color w:val="000000" w:themeColor="text1"/>
                          <w:szCs w:val="24"/>
                        </w:rPr>
                        <m:t>c</m:t>
                      </m:r>
                    </m:e>
                  </m:acc>
                </m:e>
                <m:sub>
                  <m:r>
                    <w:rPr>
                      <w:rFonts w:ascii="Cambria Math" w:hAnsi="Cambria Math"/>
                      <w:color w:val="000000" w:themeColor="text1"/>
                      <w:szCs w:val="24"/>
                    </w:rPr>
                    <m:t>j</m:t>
                  </m:r>
                </m:sub>
              </m:sSub>
              <m:r>
                <w:rPr>
                  <w:rFonts w:ascii="Cambria Math" w:hAnsi="Cambria Math"/>
                  <w:color w:val="000000" w:themeColor="text1"/>
                  <w:szCs w:val="24"/>
                </w:rPr>
                <m:t>)</m:t>
              </m:r>
            </m:e>
            <m:sup>
              <m:r>
                <w:rPr>
                  <w:rFonts w:ascii="Cambria Math" w:hAnsi="Cambria Math"/>
                  <w:color w:val="000000" w:themeColor="text1"/>
                  <w:szCs w:val="24"/>
                </w:rPr>
                <m:t>2</m:t>
              </m:r>
            </m:sup>
          </m:sSup>
        </m:oMath>
      </m:oMathPara>
    </w:p>
    <w:p w14:paraId="54AEDBEC" w14:textId="77777777" w:rsidR="002B6661" w:rsidRPr="002B6661" w:rsidRDefault="002B6661" w:rsidP="002B6661">
      <w:pPr>
        <w:spacing w:after="0"/>
        <w:jc w:val="both"/>
        <w:rPr>
          <w:rFonts w:ascii="Times New Roman" w:hAnsi="Times New Roman"/>
          <w:color w:val="000000" w:themeColor="text1"/>
          <w:szCs w:val="24"/>
        </w:rPr>
      </w:pPr>
      <w:r w:rsidRPr="002B6661">
        <w:rPr>
          <w:rFonts w:ascii="Times New Roman" w:hAnsi="Times New Roman"/>
          <w:color w:val="000000" w:themeColor="text1"/>
          <w:szCs w:val="24"/>
        </w:rPr>
        <w:t>kde:</w:t>
      </w:r>
    </w:p>
    <w:p w14:paraId="5337BD82" w14:textId="77777777" w:rsidR="002B6661" w:rsidRPr="002B6661" w:rsidRDefault="002B6661" w:rsidP="002B6661">
      <w:pPr>
        <w:spacing w:after="0"/>
        <w:jc w:val="both"/>
        <w:rPr>
          <w:rFonts w:ascii="Times New Roman" w:hAnsi="Times New Roman"/>
          <w:color w:val="000000" w:themeColor="text1"/>
          <w:szCs w:val="24"/>
        </w:rPr>
      </w:pPr>
      <w:r w:rsidRPr="002B6661">
        <w:rPr>
          <w:rFonts w:ascii="Times New Roman" w:hAnsi="Times New Roman"/>
          <w:color w:val="000000" w:themeColor="text1"/>
          <w:szCs w:val="24"/>
        </w:rPr>
        <w:t>d</w:t>
      </w:r>
      <w:r w:rsidRPr="002B6661">
        <w:rPr>
          <w:rFonts w:ascii="Times New Roman" w:hAnsi="Times New Roman"/>
          <w:color w:val="000000" w:themeColor="text1"/>
          <w:szCs w:val="24"/>
          <w:vertAlign w:val="subscript"/>
        </w:rPr>
        <w:t>i,j</w:t>
      </w:r>
      <w:r w:rsidRPr="002B6661">
        <w:rPr>
          <w:rFonts w:ascii="Times New Roman" w:hAnsi="Times New Roman"/>
          <w:color w:val="000000" w:themeColor="text1"/>
          <w:szCs w:val="24"/>
        </w:rPr>
        <w:t xml:space="preserve"> – vzdialenosť medzi diagnostickými skupinami </w:t>
      </w:r>
      <w:r w:rsidRPr="002B6661">
        <w:rPr>
          <w:rFonts w:ascii="Times New Roman" w:hAnsi="Times New Roman"/>
          <w:i/>
          <w:color w:val="000000" w:themeColor="text1"/>
          <w:szCs w:val="24"/>
        </w:rPr>
        <w:t>i</w:t>
      </w:r>
      <w:r w:rsidRPr="002B6661">
        <w:rPr>
          <w:rFonts w:ascii="Times New Roman" w:hAnsi="Times New Roman"/>
          <w:color w:val="000000" w:themeColor="text1"/>
          <w:szCs w:val="24"/>
        </w:rPr>
        <w:t> a </w:t>
      </w:r>
      <w:r w:rsidRPr="002B6661">
        <w:rPr>
          <w:rFonts w:ascii="Times New Roman" w:hAnsi="Times New Roman"/>
          <w:i/>
          <w:color w:val="000000" w:themeColor="text1"/>
          <w:szCs w:val="24"/>
        </w:rPr>
        <w:t>j</w:t>
      </w:r>
    </w:p>
    <w:p w14:paraId="1C6E0230" w14:textId="77777777" w:rsidR="002B6661" w:rsidRPr="002B6661" w:rsidRDefault="00946399" w:rsidP="002B6661">
      <w:pPr>
        <w:jc w:val="both"/>
        <w:rPr>
          <w:rFonts w:ascii="Times New Roman" w:hAnsi="Times New Roman"/>
          <w:color w:val="000000" w:themeColor="text1"/>
          <w:szCs w:val="24"/>
        </w:rPr>
      </w:pPr>
      <m:oMath>
        <m:sSub>
          <m:sSubPr>
            <m:ctrlPr>
              <w:rPr>
                <w:rFonts w:ascii="Cambria Math" w:hAnsi="Cambria Math"/>
                <w:i/>
                <w:color w:val="000000" w:themeColor="text1"/>
                <w:szCs w:val="24"/>
              </w:rPr>
            </m:ctrlPr>
          </m:sSubPr>
          <m:e>
            <m:acc>
              <m:accPr>
                <m:chr m:val="̅"/>
                <m:ctrlPr>
                  <w:rPr>
                    <w:rFonts w:ascii="Cambria Math" w:hAnsi="Cambria Math"/>
                    <w:i/>
                    <w:color w:val="000000" w:themeColor="text1"/>
                    <w:szCs w:val="24"/>
                  </w:rPr>
                </m:ctrlPr>
              </m:accPr>
              <m:e>
                <m:r>
                  <w:rPr>
                    <w:rFonts w:ascii="Cambria Math" w:hAnsi="Cambria Math"/>
                    <w:color w:val="000000" w:themeColor="text1"/>
                    <w:szCs w:val="24"/>
                  </w:rPr>
                  <m:t>c</m:t>
                </m:r>
              </m:e>
            </m:acc>
          </m:e>
          <m:sub>
            <m:r>
              <w:rPr>
                <w:rFonts w:ascii="Cambria Math" w:hAnsi="Cambria Math"/>
                <w:color w:val="000000" w:themeColor="text1"/>
                <w:szCs w:val="24"/>
              </w:rPr>
              <m:t>i</m:t>
            </m:r>
          </m:sub>
        </m:sSub>
      </m:oMath>
      <w:r w:rsidR="002B6661" w:rsidRPr="002B6661">
        <w:rPr>
          <w:rFonts w:ascii="Times New Roman" w:hAnsi="Times New Roman"/>
          <w:color w:val="000000" w:themeColor="text1"/>
          <w:szCs w:val="24"/>
        </w:rPr>
        <w:t xml:space="preserve"> – priemerné celkové náklady poistencov v diagnostickej skupine </w:t>
      </w:r>
      <w:r w:rsidR="002B6661" w:rsidRPr="002B6661">
        <w:rPr>
          <w:rFonts w:ascii="Times New Roman" w:hAnsi="Times New Roman"/>
          <w:i/>
          <w:color w:val="000000" w:themeColor="text1"/>
          <w:szCs w:val="24"/>
        </w:rPr>
        <w:t>i</w:t>
      </w:r>
    </w:p>
    <w:p w14:paraId="4356BCBC" w14:textId="77777777" w:rsidR="002B6661" w:rsidRPr="002B6661" w:rsidRDefault="002B6661" w:rsidP="002B6661">
      <w:pPr>
        <w:jc w:val="both"/>
        <w:rPr>
          <w:rFonts w:ascii="Times New Roman" w:hAnsi="Times New Roman"/>
          <w:color w:val="000000" w:themeColor="text1"/>
          <w:szCs w:val="24"/>
        </w:rPr>
      </w:pPr>
      <w:r w:rsidRPr="002B6661">
        <w:rPr>
          <w:rFonts w:ascii="Times New Roman" w:hAnsi="Times New Roman"/>
          <w:color w:val="000000" w:themeColor="text1"/>
          <w:szCs w:val="24"/>
        </w:rPr>
        <w:t>V každom kroku sú zlúčené dve skupiny s najmenšou vzdialenosťou, ktoré takto vytvoria novú skupinu, a vzdialenosti medzi skupinami sú prepočítané vzhľadom na túto novú skupinu.</w:t>
      </w:r>
    </w:p>
    <w:p w14:paraId="71935535" w14:textId="77777777" w:rsidR="002B6661" w:rsidRPr="002B6661" w:rsidRDefault="002B6661" w:rsidP="002B6661">
      <w:pPr>
        <w:jc w:val="both"/>
        <w:rPr>
          <w:rFonts w:ascii="Times New Roman" w:hAnsi="Times New Roman"/>
          <w:color w:val="000000" w:themeColor="text1"/>
          <w:szCs w:val="24"/>
        </w:rPr>
      </w:pPr>
      <w:r w:rsidRPr="002B6661">
        <w:rPr>
          <w:rFonts w:ascii="Times New Roman" w:hAnsi="Times New Roman"/>
          <w:color w:val="000000" w:themeColor="text1"/>
          <w:szCs w:val="24"/>
        </w:rPr>
        <w:lastRenderedPageBreak/>
        <w:t>Keď zostávajúci počet skupín je rovný požadovanému počtu N</w:t>
      </w:r>
      <w:r w:rsidRPr="002B6661">
        <w:rPr>
          <w:rFonts w:ascii="Times New Roman" w:hAnsi="Times New Roman"/>
          <w:color w:val="000000" w:themeColor="text1"/>
          <w:szCs w:val="24"/>
          <w:vertAlign w:val="subscript"/>
        </w:rPr>
        <w:t>DCG</w:t>
      </w:r>
      <w:r w:rsidRPr="002B6661">
        <w:rPr>
          <w:rFonts w:ascii="Times New Roman" w:hAnsi="Times New Roman"/>
          <w:color w:val="000000" w:themeColor="text1"/>
          <w:szCs w:val="24"/>
        </w:rPr>
        <w:t>, algoritmus skončí.“.</w:t>
      </w:r>
    </w:p>
    <w:p w14:paraId="3C38B516" w14:textId="77777777" w:rsidR="002B6661" w:rsidRPr="002B6661" w:rsidRDefault="002B6661" w:rsidP="002B6661">
      <w:pPr>
        <w:pStyle w:val="Odsekzoznamu"/>
        <w:rPr>
          <w:rFonts w:ascii="Times New Roman" w:hAnsi="Times New Roman"/>
        </w:rPr>
      </w:pPr>
    </w:p>
    <w:p w14:paraId="6687D6F2" w14:textId="77777777" w:rsidR="002B6661" w:rsidRPr="002B6661" w:rsidRDefault="002B6661" w:rsidP="00A31CF5">
      <w:pPr>
        <w:widowControl w:val="0"/>
        <w:numPr>
          <w:ilvl w:val="0"/>
          <w:numId w:val="11"/>
        </w:numPr>
        <w:autoSpaceDE w:val="0"/>
        <w:autoSpaceDN w:val="0"/>
        <w:adjustRightInd w:val="0"/>
        <w:spacing w:after="0" w:line="240" w:lineRule="auto"/>
        <w:contextualSpacing/>
        <w:jc w:val="both"/>
        <w:rPr>
          <w:rFonts w:ascii="Times New Roman" w:hAnsi="Times New Roman"/>
        </w:rPr>
      </w:pPr>
      <w:r w:rsidRPr="002B6661">
        <w:rPr>
          <w:rFonts w:ascii="Times New Roman" w:hAnsi="Times New Roman"/>
        </w:rPr>
        <w:t>Vyhláška sa dopĺňa prílohou č. 2, ktorá znie</w:t>
      </w:r>
    </w:p>
    <w:p w14:paraId="044DE679"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3B8F5A4B" w14:textId="77777777" w:rsidR="002B6661" w:rsidRPr="002B6661" w:rsidRDefault="002B6661" w:rsidP="002B6661">
      <w:pPr>
        <w:spacing w:after="0" w:line="240" w:lineRule="auto"/>
        <w:jc w:val="right"/>
        <w:rPr>
          <w:rFonts w:ascii="Times New Roman" w:hAnsi="Times New Roman"/>
          <w:szCs w:val="24"/>
        </w:rPr>
      </w:pPr>
      <w:r w:rsidRPr="002B6661">
        <w:rPr>
          <w:rFonts w:ascii="Times New Roman" w:hAnsi="Times New Roman"/>
        </w:rPr>
        <w:t>„</w:t>
      </w:r>
      <w:r w:rsidRPr="002B6661">
        <w:rPr>
          <w:rFonts w:ascii="Times New Roman" w:hAnsi="Times New Roman"/>
          <w:szCs w:val="24"/>
        </w:rPr>
        <w:t xml:space="preserve">Príloha č. 2 </w:t>
      </w:r>
    </w:p>
    <w:p w14:paraId="0587BAC7" w14:textId="77777777" w:rsidR="002B6661" w:rsidRPr="002B6661" w:rsidRDefault="002B6661" w:rsidP="002B6661">
      <w:pPr>
        <w:spacing w:after="0" w:line="240" w:lineRule="auto"/>
        <w:jc w:val="right"/>
        <w:rPr>
          <w:rFonts w:ascii="Times New Roman" w:hAnsi="Times New Roman"/>
          <w:szCs w:val="24"/>
        </w:rPr>
      </w:pPr>
      <w:r w:rsidRPr="002B6661">
        <w:rPr>
          <w:rFonts w:ascii="Times New Roman" w:hAnsi="Times New Roman"/>
          <w:szCs w:val="24"/>
        </w:rPr>
        <w:t>k vyhláške č. 266/2012 Z. z.</w:t>
      </w:r>
    </w:p>
    <w:p w14:paraId="43151B5E" w14:textId="77777777" w:rsidR="002B6661" w:rsidRPr="002B6661" w:rsidRDefault="002B6661" w:rsidP="002B6661">
      <w:pPr>
        <w:jc w:val="center"/>
        <w:rPr>
          <w:rFonts w:ascii="Times New Roman" w:hAnsi="Times New Roman"/>
          <w:color w:val="000000" w:themeColor="text1"/>
        </w:rPr>
      </w:pPr>
      <w:r w:rsidRPr="002B6661">
        <w:rPr>
          <w:rFonts w:ascii="Times New Roman" w:hAnsi="Times New Roman"/>
          <w:b/>
          <w:color w:val="000000" w:themeColor="text1"/>
        </w:rPr>
        <w:t>Metodika výpočtu indexov rizika nákladov</w:t>
      </w:r>
    </w:p>
    <w:p w14:paraId="1BC7AC08"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Výpočet indexu rizika nákladov je založený na predikcii nákladov pomocou lineárneho regresného modelu, ktorý je vážený počtom mesiacov, za ktoré boli zaznamenané náklady pre každého jednotlivého poistenca, kde prediktormi sú</w:t>
      </w:r>
    </w:p>
    <w:p w14:paraId="561F824D" w14:textId="77777777" w:rsidR="002B6661" w:rsidRPr="002B6661" w:rsidRDefault="002B6661" w:rsidP="002B6661">
      <w:pPr>
        <w:pStyle w:val="Odsekzoznamu"/>
        <w:numPr>
          <w:ilvl w:val="0"/>
          <w:numId w:val="1"/>
        </w:numPr>
        <w:jc w:val="both"/>
        <w:rPr>
          <w:rFonts w:ascii="Times New Roman" w:hAnsi="Times New Roman"/>
          <w:color w:val="000000" w:themeColor="text1"/>
        </w:rPr>
      </w:pPr>
      <w:r w:rsidRPr="002B6661">
        <w:rPr>
          <w:rFonts w:ascii="Times New Roman" w:hAnsi="Times New Roman"/>
          <w:color w:val="000000" w:themeColor="text1"/>
        </w:rPr>
        <w:t>príslušnosť do skupiny podľa veku, pohlavia a typu platiteľa,</w:t>
      </w:r>
    </w:p>
    <w:p w14:paraId="11D6A42F" w14:textId="77777777" w:rsidR="002B6661" w:rsidRPr="002B6661" w:rsidRDefault="002B6661" w:rsidP="002B6661">
      <w:pPr>
        <w:pStyle w:val="Odsekzoznamu"/>
        <w:numPr>
          <w:ilvl w:val="0"/>
          <w:numId w:val="1"/>
        </w:numPr>
        <w:jc w:val="both"/>
        <w:rPr>
          <w:rFonts w:ascii="Times New Roman" w:hAnsi="Times New Roman"/>
          <w:color w:val="000000" w:themeColor="text1"/>
        </w:rPr>
      </w:pPr>
      <w:r w:rsidRPr="002B6661">
        <w:rPr>
          <w:rFonts w:ascii="Times New Roman" w:hAnsi="Times New Roman"/>
          <w:color w:val="000000" w:themeColor="text1"/>
        </w:rPr>
        <w:t>príslušnosť do najdrahšej farmaceuticko-nákladovej skupiny,</w:t>
      </w:r>
    </w:p>
    <w:p w14:paraId="72655B3D" w14:textId="77777777" w:rsidR="002B6661" w:rsidRPr="002B6661" w:rsidRDefault="002B6661" w:rsidP="002B6661">
      <w:pPr>
        <w:pStyle w:val="Odsekzoznamu"/>
        <w:numPr>
          <w:ilvl w:val="0"/>
          <w:numId w:val="1"/>
        </w:numPr>
        <w:jc w:val="both"/>
        <w:rPr>
          <w:rFonts w:ascii="Times New Roman" w:hAnsi="Times New Roman"/>
          <w:color w:val="000000" w:themeColor="text1"/>
        </w:rPr>
      </w:pPr>
      <w:r w:rsidRPr="002B6661">
        <w:rPr>
          <w:rFonts w:ascii="Times New Roman" w:hAnsi="Times New Roman"/>
          <w:color w:val="000000" w:themeColor="text1"/>
        </w:rPr>
        <w:t>príslušnosť do viacročnej nákladovej skupiny,</w:t>
      </w:r>
    </w:p>
    <w:p w14:paraId="356A2DE5" w14:textId="77777777" w:rsidR="002B6661" w:rsidRPr="002B6661" w:rsidRDefault="002B6661" w:rsidP="002B6661">
      <w:pPr>
        <w:pStyle w:val="Odsekzoznamu"/>
        <w:numPr>
          <w:ilvl w:val="0"/>
          <w:numId w:val="1"/>
        </w:numPr>
        <w:jc w:val="both"/>
        <w:rPr>
          <w:rFonts w:ascii="Times New Roman" w:hAnsi="Times New Roman"/>
          <w:color w:val="000000" w:themeColor="text1"/>
        </w:rPr>
      </w:pPr>
      <w:r w:rsidRPr="002B6661">
        <w:rPr>
          <w:rFonts w:ascii="Times New Roman" w:hAnsi="Times New Roman"/>
          <w:color w:val="000000" w:themeColor="text1"/>
        </w:rPr>
        <w:t>príslušnosť do najdrahšej diagnosticko-nákladovej skupiny,</w:t>
      </w:r>
    </w:p>
    <w:p w14:paraId="456F720C" w14:textId="77777777" w:rsidR="002B6661" w:rsidRPr="002B6661" w:rsidRDefault="002B6661" w:rsidP="002B6661">
      <w:pPr>
        <w:pStyle w:val="Odsekzoznamu"/>
        <w:numPr>
          <w:ilvl w:val="0"/>
          <w:numId w:val="1"/>
        </w:numPr>
        <w:jc w:val="both"/>
        <w:rPr>
          <w:rFonts w:ascii="Times New Roman" w:hAnsi="Times New Roman"/>
          <w:color w:val="000000" w:themeColor="text1"/>
        </w:rPr>
      </w:pPr>
      <w:r w:rsidRPr="002B6661">
        <w:rPr>
          <w:rFonts w:ascii="Times New Roman" w:hAnsi="Times New Roman"/>
          <w:color w:val="000000" w:themeColor="text1"/>
        </w:rPr>
        <w:t>príslušnosť do najdrahšej nákladovej skupiny zdravotníckych pomôcok.</w:t>
      </w:r>
    </w:p>
    <w:p w14:paraId="5F77179D"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Priemerné mesačné náklady pre populáciu podľa vekovej skupiny, pohlavia a typu platiteľa (ďalej len „populačný priemer“) sa vypočítajú nasledovne:</w:t>
      </w:r>
    </w:p>
    <w:p w14:paraId="76D1D965" w14:textId="77777777" w:rsidR="002B6661" w:rsidRPr="002B6661" w:rsidRDefault="00946399" w:rsidP="002B6661">
      <w:pPr>
        <w:spacing w:after="0"/>
        <w:jc w:val="both"/>
        <w:rPr>
          <w:rFonts w:ascii="Times New Roman" w:hAnsi="Times New Roman"/>
          <w:i/>
          <w:color w:val="000000" w:themeColor="text1"/>
          <w:lang w:val="en-US"/>
        </w:rPr>
      </w:pPr>
      <m:oMathPara>
        <m:oMath>
          <m:acc>
            <m:accPr>
              <m:chr m:val="̅"/>
              <m:ctrlPr>
                <w:rPr>
                  <w:rFonts w:ascii="Cambria Math" w:hAnsi="Cambria Math"/>
                  <w:i/>
                  <w:color w:val="000000" w:themeColor="text1"/>
                </w:rPr>
              </m:ctrlPr>
            </m:accPr>
            <m:e>
              <m:r>
                <w:rPr>
                  <w:rFonts w:ascii="Cambria Math" w:hAnsi="Cambria Math"/>
                  <w:color w:val="000000" w:themeColor="text1"/>
                </w:rPr>
                <m:t>y</m:t>
              </m:r>
            </m:e>
          </m:acc>
          <m:r>
            <w:rPr>
              <w:rFonts w:ascii="Cambria Math" w:hAnsi="Cambria Math"/>
              <w:color w:val="000000" w:themeColor="text1"/>
            </w:rPr>
            <m:t>=</m:t>
          </m:r>
          <m:f>
            <m:fPr>
              <m:ctrlPr>
                <w:rPr>
                  <w:rFonts w:ascii="Cambria Math" w:hAnsi="Cambria Math"/>
                  <w:i/>
                  <w:color w:val="000000" w:themeColor="text1"/>
                </w:rPr>
              </m:ctrlPr>
            </m:fPr>
            <m:num>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nary>
            </m:num>
            <m:den>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e>
              </m:nary>
            </m:den>
          </m:f>
        </m:oMath>
      </m:oMathPara>
    </w:p>
    <w:p w14:paraId="6B8DDF17" w14:textId="77777777" w:rsidR="002B6661" w:rsidRPr="002B6661" w:rsidRDefault="00946399" w:rsidP="002B6661">
      <w:pPr>
        <w:spacing w:after="0"/>
        <w:jc w:val="both"/>
        <w:rPr>
          <w:rFonts w:ascii="Times New Roman" w:hAnsi="Times New Roman"/>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y</m:t>
            </m:r>
          </m:e>
        </m:acc>
      </m:oMath>
      <w:r w:rsidR="002B6661" w:rsidRPr="002B6661">
        <w:rPr>
          <w:rFonts w:ascii="Times New Roman" w:hAnsi="Times New Roman"/>
          <w:color w:val="000000" w:themeColor="text1"/>
        </w:rPr>
        <w:t xml:space="preserve"> – populačný priemer</w:t>
      </w:r>
    </w:p>
    <w:p w14:paraId="3CB468AC"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oMath>
      <w:r w:rsidR="002B6661" w:rsidRPr="002B6661">
        <w:rPr>
          <w:rFonts w:ascii="Times New Roman" w:hAnsi="Times New Roman"/>
          <w:color w:val="000000" w:themeColor="text1"/>
        </w:rPr>
        <w:t xml:space="preserve"> – počet mesiacov poistenia pre poistenca </w:t>
      </w:r>
      <w:r w:rsidR="002B6661" w:rsidRPr="002B6661">
        <w:rPr>
          <w:rFonts w:ascii="Times New Roman" w:hAnsi="Times New Roman"/>
          <w:i/>
          <w:color w:val="000000" w:themeColor="text1"/>
        </w:rPr>
        <w:t>i</w:t>
      </w:r>
    </w:p>
    <w:p w14:paraId="702056F0" w14:textId="77777777" w:rsidR="002B6661" w:rsidRPr="002B6661" w:rsidRDefault="00946399" w:rsidP="002B6661">
      <w:pPr>
        <w:spacing w:after="0"/>
        <w:jc w:val="both"/>
        <w:rPr>
          <w:rFonts w:ascii="Times New Roman" w:hAnsi="Times New Roman"/>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oMath>
      <w:r w:rsidR="002B6661" w:rsidRPr="002B6661">
        <w:rPr>
          <w:rFonts w:ascii="Times New Roman" w:hAnsi="Times New Roman"/>
          <w:color w:val="000000" w:themeColor="text1"/>
        </w:rPr>
        <w:t xml:space="preserve"> – priemerné mesačné náklady pre poistenca </w:t>
      </w:r>
      <w:r w:rsidR="002B6661" w:rsidRPr="002B6661">
        <w:rPr>
          <w:rFonts w:ascii="Times New Roman" w:hAnsi="Times New Roman"/>
          <w:i/>
          <w:color w:val="000000" w:themeColor="text1"/>
        </w:rPr>
        <w:t>i</w:t>
      </w:r>
    </w:p>
    <w:p w14:paraId="23B427D4" w14:textId="77777777" w:rsidR="002B6661" w:rsidRPr="002B6661" w:rsidRDefault="002B6661" w:rsidP="002B6661">
      <w:pPr>
        <w:spacing w:after="0"/>
        <w:jc w:val="both"/>
        <w:rPr>
          <w:rFonts w:ascii="Times New Roman" w:hAnsi="Times New Roman"/>
          <w:color w:val="000000" w:themeColor="text1"/>
        </w:rPr>
      </w:pPr>
    </w:p>
    <w:p w14:paraId="5168C68F"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Pri výpočtoch sa odhadujú lineárne regresné modely, v ktorých sa za vysvetľovanú premennú považujú priemerné mesačné náklady na poistenca ako podiel celkových ročných nákladov na poistenca a počtu mesiacov, počas ktorých bol poistenec v príslušnom období poistený v zdravotnej poisťovni. To znamená, že ak označíme c</w:t>
      </w:r>
      <w:r w:rsidRPr="002B6661">
        <w:rPr>
          <w:rFonts w:ascii="Times New Roman" w:hAnsi="Times New Roman"/>
          <w:color w:val="000000" w:themeColor="text1"/>
          <w:vertAlign w:val="subscript"/>
        </w:rPr>
        <w:t>1</w:t>
      </w:r>
      <w:r w:rsidRPr="002B6661">
        <w:rPr>
          <w:rFonts w:ascii="Times New Roman" w:hAnsi="Times New Roman"/>
          <w:color w:val="000000" w:themeColor="text1"/>
        </w:rPr>
        <w:t>, c</w:t>
      </w:r>
      <w:r w:rsidRPr="002B6661">
        <w:rPr>
          <w:rFonts w:ascii="Times New Roman" w:hAnsi="Times New Roman"/>
          <w:color w:val="000000" w:themeColor="text1"/>
          <w:vertAlign w:val="subscript"/>
        </w:rPr>
        <w:t>2</w:t>
      </w:r>
      <w:r w:rsidRPr="002B6661">
        <w:rPr>
          <w:rFonts w:ascii="Times New Roman" w:hAnsi="Times New Roman"/>
          <w:color w:val="000000" w:themeColor="text1"/>
        </w:rPr>
        <w:t>, ..., c</w:t>
      </w:r>
      <w:r w:rsidRPr="002B6661">
        <w:rPr>
          <w:rFonts w:ascii="Times New Roman" w:hAnsi="Times New Roman"/>
          <w:color w:val="000000" w:themeColor="text1"/>
          <w:vertAlign w:val="subscript"/>
        </w:rPr>
        <w:t>n</w:t>
      </w:r>
      <w:r w:rsidRPr="002B6661">
        <w:rPr>
          <w:rFonts w:ascii="Times New Roman" w:hAnsi="Times New Roman"/>
          <w:color w:val="000000" w:themeColor="text1"/>
        </w:rPr>
        <w:t xml:space="preserve"> náklady na jednotlivých poistencov a w</w:t>
      </w:r>
      <w:r w:rsidRPr="002B6661">
        <w:rPr>
          <w:rFonts w:ascii="Times New Roman" w:hAnsi="Times New Roman"/>
          <w:color w:val="000000" w:themeColor="text1"/>
          <w:vertAlign w:val="subscript"/>
        </w:rPr>
        <w:t>1</w:t>
      </w:r>
      <w:r w:rsidRPr="002B6661">
        <w:rPr>
          <w:rFonts w:ascii="Times New Roman" w:hAnsi="Times New Roman"/>
          <w:color w:val="000000" w:themeColor="text1"/>
        </w:rPr>
        <w:t>, w</w:t>
      </w:r>
      <w:r w:rsidRPr="002B6661">
        <w:rPr>
          <w:rFonts w:ascii="Times New Roman" w:hAnsi="Times New Roman"/>
          <w:color w:val="000000" w:themeColor="text1"/>
          <w:vertAlign w:val="subscript"/>
        </w:rPr>
        <w:t>2</w:t>
      </w:r>
      <w:r w:rsidRPr="002B6661">
        <w:rPr>
          <w:rFonts w:ascii="Times New Roman" w:hAnsi="Times New Roman"/>
          <w:color w:val="000000" w:themeColor="text1"/>
        </w:rPr>
        <w:t>, ..., w</w:t>
      </w:r>
      <w:r w:rsidRPr="002B6661">
        <w:rPr>
          <w:rFonts w:ascii="Times New Roman" w:hAnsi="Times New Roman"/>
          <w:color w:val="000000" w:themeColor="text1"/>
          <w:vertAlign w:val="subscript"/>
        </w:rPr>
        <w:t>n</w:t>
      </w:r>
      <w:r w:rsidRPr="002B6661">
        <w:rPr>
          <w:rFonts w:ascii="Times New Roman" w:hAnsi="Times New Roman"/>
          <w:color w:val="000000" w:themeColor="text1"/>
        </w:rPr>
        <w:t xml:space="preserve"> počty mesiacov ktoré boli jednotliví poistenci v danom období poistení, priemerné mesačné náklady sa pre jednotlivých poistencov vypočítajú ako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1</m:t>
                </m:r>
              </m:sub>
            </m:sSub>
          </m:num>
          <m:den>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1</m:t>
                </m:r>
              </m:sub>
            </m:sSub>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2</m:t>
                </m:r>
              </m:sub>
            </m:sSub>
          </m:num>
          <m:den>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2</m:t>
                </m:r>
              </m:sub>
            </m:sSub>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n</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n</m:t>
                </m:r>
              </m:sub>
            </m:sSub>
          </m:num>
          <m:den>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n</m:t>
                </m:r>
              </m:sub>
            </m:sSub>
          </m:den>
        </m:f>
      </m:oMath>
      <w:r w:rsidRPr="002B6661">
        <w:rPr>
          <w:rFonts w:ascii="Times New Roman" w:hAnsi="Times New Roman"/>
          <w:color w:val="000000" w:themeColor="text1"/>
        </w:rPr>
        <w:t>. Do lineárneho regresného modelu ako vysvetľovaná premenná vstupujú hodnoty y</w:t>
      </w:r>
      <w:r w:rsidRPr="002B6661">
        <w:rPr>
          <w:rFonts w:ascii="Times New Roman" w:hAnsi="Times New Roman"/>
          <w:color w:val="000000" w:themeColor="text1"/>
          <w:vertAlign w:val="subscript"/>
        </w:rPr>
        <w:t>1</w:t>
      </w:r>
      <w:r w:rsidRPr="002B6661">
        <w:rPr>
          <w:rFonts w:ascii="Times New Roman" w:hAnsi="Times New Roman"/>
          <w:color w:val="000000" w:themeColor="text1"/>
        </w:rPr>
        <w:t>, y</w:t>
      </w:r>
      <w:r w:rsidRPr="002B6661">
        <w:rPr>
          <w:rFonts w:ascii="Times New Roman" w:hAnsi="Times New Roman"/>
          <w:color w:val="000000" w:themeColor="text1"/>
          <w:vertAlign w:val="subscript"/>
        </w:rPr>
        <w:t>2</w:t>
      </w:r>
      <w:r w:rsidRPr="002B6661">
        <w:rPr>
          <w:rFonts w:ascii="Times New Roman" w:hAnsi="Times New Roman"/>
          <w:color w:val="000000" w:themeColor="text1"/>
        </w:rPr>
        <w:t>, ..., y</w:t>
      </w:r>
      <w:r w:rsidRPr="002B6661">
        <w:rPr>
          <w:rFonts w:ascii="Times New Roman" w:hAnsi="Times New Roman"/>
          <w:color w:val="000000" w:themeColor="text1"/>
          <w:vertAlign w:val="subscript"/>
        </w:rPr>
        <w:t>n</w:t>
      </w:r>
      <w:r w:rsidRPr="002B6661">
        <w:rPr>
          <w:rFonts w:ascii="Times New Roman" w:hAnsi="Times New Roman"/>
          <w:color w:val="000000" w:themeColor="text1"/>
        </w:rPr>
        <w:t>.</w:t>
      </w:r>
    </w:p>
    <w:p w14:paraId="3B962DEC"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Na účel prepočtu regresných koeficientov na indexy rizika nákladov sa regresné koeficienty vydelia váženým populačným priemerom mesačných nákladov.</w:t>
      </w:r>
    </w:p>
    <w:p w14:paraId="0B6C85A3"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Predikované mesačné náklady podľa farmaceuticko-nákladovej skupiny, viacročnej nákladovej skupiny, diagnosticko-nákladovej skupiny a nákladovej skupiny zdravotníckych pomôcok predikované lineárnym regresným modelom pre i-teho poistenca sa vypočítajú takto:</w:t>
      </w:r>
    </w:p>
    <w:p w14:paraId="5D4F7BF4" w14:textId="77777777" w:rsidR="002B6661" w:rsidRPr="002B6661" w:rsidRDefault="00946399" w:rsidP="002B6661">
      <w:pPr>
        <w:jc w:val="both"/>
        <w:rPr>
          <w:rFonts w:ascii="Times New Roman" w:hAnsi="Times New Roman"/>
          <w:color w:val="000000" w:themeColor="text1"/>
        </w:rPr>
      </w:pPr>
      <m:oMathPara>
        <m:oMath>
          <m:acc>
            <m:accPr>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r>
            <w:rPr>
              <w:rFonts w:ascii="Cambria Math" w:hAnsi="Cambria Math"/>
              <w:color w:val="000000" w:themeColor="text1"/>
            </w:rPr>
            <m:t xml:space="preserve">= </m:t>
          </m:r>
          <m:acc>
            <m:accPr>
              <m:chr m:val="̅"/>
              <m:ctrlPr>
                <w:rPr>
                  <w:rFonts w:ascii="Cambria Math" w:hAnsi="Cambria Math"/>
                  <w:i/>
                  <w:color w:val="000000" w:themeColor="text1"/>
                </w:rPr>
              </m:ctrlPr>
            </m:accPr>
            <m:e>
              <m:r>
                <w:rPr>
                  <w:rFonts w:ascii="Cambria Math" w:hAnsi="Cambria Math"/>
                  <w:color w:val="000000" w:themeColor="text1"/>
                </w:rPr>
                <m:t>y</m:t>
              </m:r>
            </m:e>
          </m:acc>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DEM</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DEM</m:t>
                  </m:r>
                </m:sup>
              </m:sSubSup>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p>
            <m:e>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j</m:t>
                  </m:r>
                </m:sub>
              </m:sSub>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PCG</m:t>
                  </m:r>
                </m:sup>
              </m:sSubSup>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p>
            <m:e>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j</m:t>
                  </m:r>
                </m:sub>
              </m:sSub>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VRNI</m:t>
                  </m:r>
                </m:sup>
              </m:sSubSup>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p>
            <m:e>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j</m:t>
                  </m:r>
                </m:sub>
              </m:sSub>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DCG</m:t>
                  </m:r>
                </m:sup>
              </m:sSubSup>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j</m:t>
                  </m:r>
                </m:sub>
              </m:sSub>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MECG</m:t>
                  </m:r>
                </m:sup>
              </m:sSubSup>
            </m:e>
          </m:nary>
        </m:oMath>
      </m:oMathPara>
    </w:p>
    <w:p w14:paraId="4D533341" w14:textId="77777777" w:rsidR="002B6661" w:rsidRPr="002B6661" w:rsidRDefault="00946399" w:rsidP="002B6661">
      <w:pPr>
        <w:spacing w:after="0"/>
        <w:jc w:val="both"/>
        <w:rPr>
          <w:rFonts w:ascii="Times New Roman" w:hAnsi="Times New Roman"/>
          <w:i/>
          <w:color w:val="000000" w:themeColor="text1"/>
        </w:rPr>
      </w:pP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y</m:t>
                </m:r>
              </m:e>
            </m:acc>
          </m:e>
          <m:sub>
            <m:r>
              <w:rPr>
                <w:rFonts w:ascii="Cambria Math" w:hAnsi="Cambria Math"/>
                <w:color w:val="000000" w:themeColor="text1"/>
              </w:rPr>
              <m:t>i</m:t>
            </m:r>
          </m:sub>
        </m:sSub>
      </m:oMath>
      <w:r w:rsidR="002B6661" w:rsidRPr="002B6661">
        <w:rPr>
          <w:rFonts w:ascii="Times New Roman" w:hAnsi="Times New Roman"/>
          <w:color w:val="000000" w:themeColor="text1"/>
        </w:rPr>
        <w:t xml:space="preserve">– predikované náklady pre poistenca </w:t>
      </w:r>
      <w:r w:rsidR="002B6661" w:rsidRPr="002B6661">
        <w:rPr>
          <w:rFonts w:ascii="Times New Roman" w:hAnsi="Times New Roman"/>
          <w:i/>
          <w:color w:val="000000" w:themeColor="text1"/>
        </w:rPr>
        <w:t>i</w:t>
      </w:r>
    </w:p>
    <w:p w14:paraId="0BE228DF" w14:textId="77777777" w:rsidR="002B6661" w:rsidRPr="002B6661" w:rsidRDefault="00946399" w:rsidP="002B6661">
      <w:pPr>
        <w:spacing w:after="0"/>
        <w:jc w:val="both"/>
        <w:rPr>
          <w:rFonts w:ascii="Times New Roman" w:hAnsi="Times New Roman"/>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y</m:t>
            </m:r>
          </m:e>
        </m:acc>
      </m:oMath>
      <w:r w:rsidR="002B6661" w:rsidRPr="002B6661">
        <w:rPr>
          <w:rFonts w:ascii="Times New Roman" w:hAnsi="Times New Roman"/>
          <w:color w:val="000000" w:themeColor="text1"/>
        </w:rPr>
        <w:t xml:space="preserve"> – priemerné mesačné náklady pre populáciu</w:t>
      </w:r>
    </w:p>
    <w:p w14:paraId="7E46A7D5"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demografickej skupiny definovanej vekovou skupinou, pohlavím a typom platiteľa</w:t>
      </w:r>
    </w:p>
    <w:p w14:paraId="77A198C0"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PCG skupiny</w:t>
      </w:r>
    </w:p>
    <w:p w14:paraId="0D6E000E"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VRNI skupiny</w:t>
      </w:r>
    </w:p>
    <w:p w14:paraId="5004C7C4"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DCG skupiny</w:t>
      </w:r>
    </w:p>
    <w:p w14:paraId="62708A42"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MECG skupiny</w:t>
      </w:r>
    </w:p>
    <w:p w14:paraId="127500F0" w14:textId="77777777" w:rsidR="002B6661" w:rsidRPr="002B6661" w:rsidRDefault="002B6661" w:rsidP="002B6661">
      <w:pPr>
        <w:jc w:val="both"/>
        <w:rPr>
          <w:rFonts w:ascii="Times New Roman" w:hAnsi="Times New Roman"/>
          <w:color w:val="000000" w:themeColor="text1"/>
        </w:rPr>
      </w:pPr>
    </w:p>
    <w:p w14:paraId="2DB1AD70"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Pri výpočte indexu rizika nákladov sa berie do úvahy príslušnosť poistenca do skupiny podľa veku, pohlavia a typu platiteľa, príslušnosť poistenca do žiadnej alebo jednej farmaceuticko-nákladovej skupiny, príslušnosť do jednej z viacročných nákladových skupín, príslušnosť do žiadnej alebo jednej diagnosticko-nákladovej skupiny a príslušnosť do žiadnej alebo jednej nákladovej skupiny zdravotníckych pomôcok. </w:t>
      </w:r>
    </w:p>
    <w:p w14:paraId="145768A6"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Príslušnosť </w:t>
      </w:r>
      <w:r w:rsidRPr="002B6661">
        <w:rPr>
          <w:rFonts w:ascii="Times New Roman" w:hAnsi="Times New Roman"/>
          <w:i/>
          <w:color w:val="000000" w:themeColor="text1"/>
        </w:rPr>
        <w:t>i</w:t>
      </w:r>
      <w:r w:rsidRPr="002B6661">
        <w:rPr>
          <w:rFonts w:ascii="Times New Roman" w:hAnsi="Times New Roman"/>
          <w:color w:val="000000" w:themeColor="text1"/>
        </w:rPr>
        <w:t xml:space="preserve">-teho poistenca do farmaceuticko-nákladovej skupiny sa vyjadrí pomocou vektora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PCG</m:t>
            </m:r>
          </m:sup>
        </m:sSubSup>
        <m:r>
          <w:rPr>
            <w:rFonts w:ascii="Cambria Math" w:hAnsi="Cambria Math"/>
            <w:color w:val="000000" w:themeColor="text1"/>
          </w:rPr>
          <m:t>=</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i,1</m:t>
                </m:r>
              </m:sub>
              <m:sup>
                <m:r>
                  <w:rPr>
                    <w:rFonts w:ascii="Cambria Math" w:hAnsi="Cambria Math"/>
                    <w:color w:val="000000" w:themeColor="text1"/>
                  </w:rPr>
                  <m:t>PCG</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i,2</m:t>
                </m:r>
              </m:sub>
              <m:sup>
                <m:r>
                  <w:rPr>
                    <w:rFonts w:ascii="Cambria Math" w:hAnsi="Cambria Math"/>
                    <w:color w:val="000000" w:themeColor="text1"/>
                  </w:rPr>
                  <m:t>PCG</m:t>
                </m:r>
              </m:sup>
            </m:sSubSup>
            <m:r>
              <w:rPr>
                <w:rFonts w:ascii="Cambria Math" w:hAnsi="Cambria Math"/>
                <w:color w:val="000000" w:themeColor="text1"/>
              </w:rPr>
              <m:t>,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b>
              <m:sup>
                <m:r>
                  <w:rPr>
                    <w:rFonts w:ascii="Cambria Math" w:hAnsi="Cambria Math"/>
                    <w:color w:val="000000" w:themeColor="text1"/>
                  </w:rPr>
                  <m:t>PCG</m:t>
                </m:r>
              </m:sup>
            </m:sSubSup>
          </m:e>
        </m:d>
      </m:oMath>
      <w:r w:rsidRPr="002B6661">
        <w:rPr>
          <w:rFonts w:ascii="Times New Roman" w:hAnsi="Times New Roman"/>
          <w:color w:val="000000" w:themeColor="text1"/>
        </w:rPr>
        <w:t xml:space="preserve">, kde pre </w:t>
      </w:r>
      <m:oMath>
        <m:r>
          <w:rPr>
            <w:rFonts w:ascii="Cambria Math" w:hAnsi="Cambria Math"/>
            <w:color w:val="000000" w:themeColor="text1"/>
          </w:rPr>
          <m:t xml:space="preserve">j=1, 2, …,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oMath>
      <w:r w:rsidRPr="002B6661">
        <w:rPr>
          <w:rFonts w:ascii="Times New Roman" w:hAnsi="Times New Roman"/>
          <w:color w:val="000000" w:themeColor="text1"/>
        </w:rPr>
        <w:t xml:space="preserv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PCG</m:t>
            </m:r>
          </m:sup>
        </m:sSubSup>
        <m:r>
          <w:rPr>
            <w:rFonts w:ascii="Cambria Math" w:hAnsi="Cambria Math"/>
            <w:color w:val="000000" w:themeColor="text1"/>
          </w:rPr>
          <m:t>=1</m:t>
        </m:r>
      </m:oMath>
      <w:r w:rsidRPr="002B6661">
        <w:rPr>
          <w:rFonts w:ascii="Times New Roman" w:hAnsi="Times New Roman"/>
          <w:color w:val="000000" w:themeColor="text1"/>
        </w:rPr>
        <w:t xml:space="preserve"> práve vtedy keď je i-ty poistenec klasifikovaný do j-tej farmaceuticko-nákladovej skupiny. V opačnom prípade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PCG</m:t>
            </m:r>
          </m:sup>
        </m:sSubSup>
        <m:r>
          <w:rPr>
            <w:rFonts w:ascii="Cambria Math" w:hAnsi="Cambria Math"/>
            <w:color w:val="000000" w:themeColor="text1"/>
          </w:rPr>
          <m:t>=0</m:t>
        </m:r>
      </m:oMath>
      <w:r w:rsidRPr="002B6661">
        <w:rPr>
          <w:rFonts w:ascii="Times New Roman" w:hAnsi="Times New Roman"/>
          <w:color w:val="000000" w:themeColor="text1"/>
        </w:rPr>
        <w:t xml:space="preserve">. </w:t>
      </w:r>
    </w:p>
    <w:p w14:paraId="78565C4D"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Príslušnosť </w:t>
      </w:r>
      <w:r w:rsidRPr="002B6661">
        <w:rPr>
          <w:rFonts w:ascii="Times New Roman" w:hAnsi="Times New Roman"/>
          <w:i/>
          <w:color w:val="000000" w:themeColor="text1"/>
        </w:rPr>
        <w:t>i</w:t>
      </w:r>
      <w:r w:rsidRPr="002B6661">
        <w:rPr>
          <w:rFonts w:ascii="Times New Roman" w:hAnsi="Times New Roman"/>
          <w:color w:val="000000" w:themeColor="text1"/>
        </w:rPr>
        <w:t xml:space="preserve">-teho poistenca do viacročnej nákladovej skupiny sa vyjadrí pomocou vektora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VRNI</m:t>
            </m:r>
          </m:sup>
        </m:sSubSup>
        <m:r>
          <w:rPr>
            <w:rFonts w:ascii="Cambria Math" w:hAnsi="Cambria Math"/>
            <w:color w:val="000000" w:themeColor="text1"/>
          </w:rPr>
          <m:t>=</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i,1</m:t>
                </m:r>
              </m:sub>
              <m:sup>
                <m:r>
                  <w:rPr>
                    <w:rFonts w:ascii="Cambria Math" w:hAnsi="Cambria Math"/>
                    <w:color w:val="000000" w:themeColor="text1"/>
                  </w:rPr>
                  <m:t>VRNI</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i,2</m:t>
                </m:r>
              </m:sub>
              <m:sup>
                <m:r>
                  <w:rPr>
                    <w:rFonts w:ascii="Cambria Math" w:hAnsi="Cambria Math"/>
                    <w:color w:val="000000" w:themeColor="text1"/>
                  </w:rPr>
                  <m:t>VRNI</m:t>
                </m:r>
              </m:sup>
            </m:sSubSup>
            <m:r>
              <w:rPr>
                <w:rFonts w:ascii="Cambria Math" w:hAnsi="Cambria Math"/>
                <w:color w:val="000000" w:themeColor="text1"/>
              </w:rPr>
              <m:t>,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b>
              <m:sup>
                <m:r>
                  <w:rPr>
                    <w:rFonts w:ascii="Cambria Math" w:hAnsi="Cambria Math"/>
                    <w:color w:val="000000" w:themeColor="text1"/>
                  </w:rPr>
                  <m:t>VRNI</m:t>
                </m:r>
              </m:sup>
            </m:sSubSup>
          </m:e>
        </m:d>
      </m:oMath>
      <w:r w:rsidRPr="002B6661">
        <w:rPr>
          <w:rFonts w:ascii="Times New Roman" w:hAnsi="Times New Roman"/>
          <w:color w:val="000000" w:themeColor="text1"/>
        </w:rPr>
        <w:t xml:space="preserve">, kde pre </w:t>
      </w:r>
      <m:oMath>
        <m:r>
          <w:rPr>
            <w:rFonts w:ascii="Cambria Math" w:hAnsi="Cambria Math"/>
            <w:color w:val="000000" w:themeColor="text1"/>
          </w:rPr>
          <m:t xml:space="preserve">j=1, 2, …,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oMath>
      <w:r w:rsidRPr="002B6661">
        <w:rPr>
          <w:rFonts w:ascii="Times New Roman" w:hAnsi="Times New Roman"/>
          <w:color w:val="000000" w:themeColor="text1"/>
        </w:rPr>
        <w:t xml:space="preserv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VRNI</m:t>
            </m:r>
          </m:sup>
        </m:sSubSup>
        <m:r>
          <w:rPr>
            <w:rFonts w:ascii="Cambria Math" w:hAnsi="Cambria Math"/>
            <w:color w:val="000000" w:themeColor="text1"/>
          </w:rPr>
          <m:t>=1</m:t>
        </m:r>
      </m:oMath>
      <w:r w:rsidRPr="002B6661">
        <w:rPr>
          <w:rFonts w:ascii="Times New Roman" w:hAnsi="Times New Roman"/>
          <w:color w:val="000000" w:themeColor="text1"/>
        </w:rPr>
        <w:t xml:space="preserve"> práve vtedy keď je i-ty poistenec klasifikovaný do j-tej viacročnej nákladovej skupiny. V opačnom prípade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VRNI</m:t>
            </m:r>
          </m:sup>
        </m:sSubSup>
        <m:r>
          <w:rPr>
            <w:rFonts w:ascii="Cambria Math" w:hAnsi="Cambria Math"/>
            <w:color w:val="000000" w:themeColor="text1"/>
          </w:rPr>
          <m:t>=0</m:t>
        </m:r>
      </m:oMath>
      <w:r w:rsidRPr="002B6661">
        <w:rPr>
          <w:rFonts w:ascii="Times New Roman" w:hAnsi="Times New Roman"/>
          <w:color w:val="000000" w:themeColor="text1"/>
        </w:rPr>
        <w:t>.</w:t>
      </w:r>
    </w:p>
    <w:p w14:paraId="241FF86D"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Príslušnosť </w:t>
      </w:r>
      <w:r w:rsidRPr="002B6661">
        <w:rPr>
          <w:rFonts w:ascii="Times New Roman" w:hAnsi="Times New Roman"/>
          <w:i/>
          <w:color w:val="000000" w:themeColor="text1"/>
        </w:rPr>
        <w:t>i</w:t>
      </w:r>
      <w:r w:rsidRPr="002B6661">
        <w:rPr>
          <w:rFonts w:ascii="Times New Roman" w:hAnsi="Times New Roman"/>
          <w:color w:val="000000" w:themeColor="text1"/>
        </w:rPr>
        <w:t xml:space="preserve">-teho poistenca do diagnosticko-nákladovej skupiny sa vyjadrí pomocou vektora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DCG</m:t>
            </m:r>
          </m:sup>
        </m:sSubSup>
        <m:r>
          <w:rPr>
            <w:rFonts w:ascii="Cambria Math" w:hAnsi="Cambria Math"/>
            <w:color w:val="000000" w:themeColor="text1"/>
          </w:rPr>
          <m:t>=</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i,1</m:t>
                </m:r>
              </m:sub>
              <m:sup>
                <m:r>
                  <w:rPr>
                    <w:rFonts w:ascii="Cambria Math" w:hAnsi="Cambria Math"/>
                    <w:color w:val="000000" w:themeColor="text1"/>
                  </w:rPr>
                  <m:t>DCG</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i,2</m:t>
                </m:r>
              </m:sub>
              <m:sup>
                <m:r>
                  <w:rPr>
                    <w:rFonts w:ascii="Cambria Math" w:hAnsi="Cambria Math"/>
                    <w:color w:val="000000" w:themeColor="text1"/>
                  </w:rPr>
                  <m:t>DCG</m:t>
                </m:r>
              </m:sup>
            </m:sSubSup>
            <m:r>
              <w:rPr>
                <w:rFonts w:ascii="Cambria Math" w:hAnsi="Cambria Math"/>
                <w:color w:val="000000" w:themeColor="text1"/>
              </w:rPr>
              <m:t>,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b>
              <m:sup>
                <m:r>
                  <w:rPr>
                    <w:rFonts w:ascii="Cambria Math" w:hAnsi="Cambria Math"/>
                    <w:color w:val="000000" w:themeColor="text1"/>
                  </w:rPr>
                  <m:t>DCG</m:t>
                </m:r>
              </m:sup>
            </m:sSubSup>
          </m:e>
        </m:d>
      </m:oMath>
      <w:r w:rsidRPr="002B6661">
        <w:rPr>
          <w:rFonts w:ascii="Times New Roman" w:hAnsi="Times New Roman"/>
          <w:color w:val="000000" w:themeColor="text1"/>
        </w:rPr>
        <w:t xml:space="preserve">, kde pre </w:t>
      </w:r>
      <m:oMath>
        <m:r>
          <w:rPr>
            <w:rFonts w:ascii="Cambria Math" w:hAnsi="Cambria Math"/>
            <w:color w:val="000000" w:themeColor="text1"/>
          </w:rPr>
          <m:t xml:space="preserve">j=1, 2, …,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oMath>
      <w:r w:rsidRPr="002B6661">
        <w:rPr>
          <w:rFonts w:ascii="Times New Roman" w:hAnsi="Times New Roman"/>
          <w:color w:val="000000" w:themeColor="text1"/>
        </w:rPr>
        <w:t xml:space="preserv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DCG</m:t>
            </m:r>
          </m:sup>
        </m:sSubSup>
        <m:r>
          <w:rPr>
            <w:rFonts w:ascii="Cambria Math" w:hAnsi="Cambria Math"/>
            <w:color w:val="000000" w:themeColor="text1"/>
          </w:rPr>
          <m:t>=1</m:t>
        </m:r>
      </m:oMath>
      <w:r w:rsidRPr="002B6661">
        <w:rPr>
          <w:rFonts w:ascii="Times New Roman" w:hAnsi="Times New Roman"/>
          <w:color w:val="000000" w:themeColor="text1"/>
        </w:rPr>
        <w:t xml:space="preserve"> práve vtedy keď je i-ty poistenec klasifikovaný do j-tej farmaceuticko-nákladovej skupiny. V opačnom prípade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DCG</m:t>
            </m:r>
          </m:sup>
        </m:sSubSup>
        <m:r>
          <w:rPr>
            <w:rFonts w:ascii="Cambria Math" w:hAnsi="Cambria Math"/>
            <w:color w:val="000000" w:themeColor="text1"/>
          </w:rPr>
          <m:t>=0</m:t>
        </m:r>
      </m:oMath>
      <w:r w:rsidRPr="002B6661">
        <w:rPr>
          <w:rFonts w:ascii="Times New Roman" w:hAnsi="Times New Roman"/>
          <w:color w:val="000000" w:themeColor="text1"/>
        </w:rPr>
        <w:t>.</w:t>
      </w:r>
    </w:p>
    <w:p w14:paraId="798A2A36"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Príslušnosť </w:t>
      </w:r>
      <w:r w:rsidRPr="002B6661">
        <w:rPr>
          <w:rFonts w:ascii="Times New Roman" w:hAnsi="Times New Roman"/>
          <w:i/>
          <w:color w:val="000000" w:themeColor="text1"/>
        </w:rPr>
        <w:t>i</w:t>
      </w:r>
      <w:r w:rsidRPr="002B6661">
        <w:rPr>
          <w:rFonts w:ascii="Times New Roman" w:hAnsi="Times New Roman"/>
          <w:color w:val="000000" w:themeColor="text1"/>
        </w:rPr>
        <w:t xml:space="preserve">-teho poistenca do nákladovej skupiny zdravotníckych pomôcok sa vyjadrí pomocou vektora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MECG</m:t>
            </m:r>
          </m:sup>
        </m:sSubSup>
        <m:r>
          <w:rPr>
            <w:rFonts w:ascii="Cambria Math" w:hAnsi="Cambria Math"/>
            <w:color w:val="000000" w:themeColor="text1"/>
          </w:rPr>
          <m:t>=</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i,1</m:t>
                </m:r>
              </m:sub>
              <m:sup>
                <m:r>
                  <w:rPr>
                    <w:rFonts w:ascii="Cambria Math" w:hAnsi="Cambria Math"/>
                    <w:color w:val="000000" w:themeColor="text1"/>
                  </w:rPr>
                  <m:t>MECG</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i,2</m:t>
                </m:r>
              </m:sub>
              <m:sup>
                <m:r>
                  <w:rPr>
                    <w:rFonts w:ascii="Cambria Math" w:hAnsi="Cambria Math"/>
                    <w:color w:val="000000" w:themeColor="text1"/>
                  </w:rPr>
                  <m:t>MECG</m:t>
                </m:r>
              </m:sup>
            </m:sSubSup>
            <m:r>
              <w:rPr>
                <w:rFonts w:ascii="Cambria Math" w:hAnsi="Cambria Math"/>
                <w:color w:val="000000" w:themeColor="text1"/>
              </w:rPr>
              <m:t>, …,</m:t>
            </m:r>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b>
              <m:sup>
                <m:r>
                  <w:rPr>
                    <w:rFonts w:ascii="Cambria Math" w:hAnsi="Cambria Math"/>
                    <w:color w:val="000000" w:themeColor="text1"/>
                  </w:rPr>
                  <m:t>MECG</m:t>
                </m:r>
              </m:sup>
            </m:sSubSup>
          </m:e>
        </m:d>
      </m:oMath>
      <w:r w:rsidRPr="002B6661">
        <w:rPr>
          <w:rFonts w:ascii="Times New Roman" w:hAnsi="Times New Roman"/>
          <w:color w:val="000000" w:themeColor="text1"/>
        </w:rPr>
        <w:t xml:space="preserve">, kde pre </w:t>
      </w:r>
      <m:oMath>
        <m:r>
          <w:rPr>
            <w:rFonts w:ascii="Cambria Math" w:hAnsi="Cambria Math"/>
            <w:color w:val="000000" w:themeColor="text1"/>
          </w:rPr>
          <m:t xml:space="preserve">j=1, 2, …,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oMath>
      <w:r w:rsidRPr="002B6661">
        <w:rPr>
          <w:rFonts w:ascii="Times New Roman" w:hAnsi="Times New Roman"/>
          <w:color w:val="000000" w:themeColor="text1"/>
        </w:rPr>
        <w:t xml:space="preserv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MECG</m:t>
            </m:r>
          </m:sup>
        </m:sSubSup>
        <m:r>
          <w:rPr>
            <w:rFonts w:ascii="Cambria Math" w:hAnsi="Cambria Math"/>
            <w:color w:val="000000" w:themeColor="text1"/>
          </w:rPr>
          <m:t>=1</m:t>
        </m:r>
      </m:oMath>
      <w:r w:rsidRPr="002B6661">
        <w:rPr>
          <w:rFonts w:ascii="Times New Roman" w:hAnsi="Times New Roman"/>
          <w:color w:val="000000" w:themeColor="text1"/>
        </w:rPr>
        <w:t xml:space="preserve"> práve vtedy keď je i-ty poistenec klasifikovaný do j-tej nákladovej skupiny zdravotníckych pomôcok. V opačnom prípade je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MECG</m:t>
            </m:r>
          </m:sup>
        </m:sSubSup>
        <m:r>
          <w:rPr>
            <w:rFonts w:ascii="Cambria Math" w:hAnsi="Cambria Math"/>
            <w:color w:val="000000" w:themeColor="text1"/>
          </w:rPr>
          <m:t>=0</m:t>
        </m:r>
      </m:oMath>
      <w:r w:rsidRPr="002B6661">
        <w:rPr>
          <w:rFonts w:ascii="Times New Roman" w:hAnsi="Times New Roman"/>
          <w:color w:val="000000" w:themeColor="text1"/>
        </w:rPr>
        <w:t>.</w:t>
      </w:r>
    </w:p>
    <w:p w14:paraId="448257CC"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Odhadujú sa koeficienty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β</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DEM</m:t>
                </m:r>
              </m:sub>
            </m:sSub>
          </m:sub>
        </m:sSub>
      </m:oMath>
      <w:r w:rsidRPr="002B6661">
        <w:rPr>
          <w:rFonts w:ascii="Times New Roman" w:hAnsi="Times New Roman"/>
          <w:color w:val="000000" w:themeColor="text1"/>
        </w:rPr>
        <w:t>, ktoré vyjadrujú odchýlku od priemerných nákladov poistencov z jednotlivých skupín podľa vekových skupín, pohlavia a typu platiteľa nezaradených do žiadnej famaceuticko-nákladovej skupiny ani žiadnej diagnosticko-nákladovej skupiny, žiadnej nákladovej skupiny zdravotníckych pomôcok od populačného priemeru.</w:t>
      </w:r>
    </w:p>
    <w:p w14:paraId="576F0274"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Koeficienty </w:t>
      </w: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γ</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b>
        </m:sSub>
      </m:oMath>
      <w:r w:rsidRPr="002B6661">
        <w:rPr>
          <w:rFonts w:ascii="Times New Roman" w:hAnsi="Times New Roman"/>
          <w:color w:val="000000" w:themeColor="text1"/>
        </w:rPr>
        <w:t xml:space="preserve"> potom vyjadrujú odchýlky priemerných nákladov poistencov rovnakej vekovej skupiny, pohlavia a typu platiteľa, rovnakej viacročnej nákladovej skupiny, rovnakej diagnosticko-nákladovej skupiny a rovnakej nákladovej skupiny zdravotníckych pomôcok do konkrétnej farmaceuticko-nákladovej skupiny od populačného priemeru.</w:t>
      </w:r>
    </w:p>
    <w:p w14:paraId="58BDF1B5"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Koeficienty </w:t>
      </w: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δ</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b>
        </m:sSub>
      </m:oMath>
      <w:r w:rsidRPr="002B6661">
        <w:rPr>
          <w:rFonts w:ascii="Times New Roman" w:hAnsi="Times New Roman"/>
          <w:color w:val="000000" w:themeColor="text1"/>
        </w:rPr>
        <w:t xml:space="preserve"> potom vyjadrujú odchýlky priemerných nákladov poistencov rovnakej vekovej skupiny, pohlavia, typu platiteľa, rovnakej farmaceuticko-nákladovej skupiny, rovnakej diagnosticko-nákladovej skupiny a rovnakej nákladovej skupiny zdravotníckych pomôcok zaradených do konkrétnej viacročnej nákladovej skupiny od populačného priemeru.</w:t>
      </w:r>
    </w:p>
    <w:p w14:paraId="09EE973B"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 xml:space="preserve">Koeficienty </w:t>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θ</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b>
        </m:sSub>
      </m:oMath>
      <w:r w:rsidRPr="002B6661">
        <w:rPr>
          <w:rFonts w:ascii="Times New Roman" w:hAnsi="Times New Roman"/>
          <w:color w:val="000000" w:themeColor="text1"/>
        </w:rPr>
        <w:t xml:space="preserve"> potom vyjadrujú odchýlky priemerných nákladov poistencov rovnakej vekovej skupiny, pohlavia a typu platiteľa, rovnakej farmaceuticko-nákladovej skupiny, rovnakej viacročnej nákladovej skupiny a rovnakej nákladovej skupiny zdravotníckych pomôcok zaradených do konkrétnej diagnosticko-nákladovej skupiny od populačného priemeru.</w:t>
      </w:r>
    </w:p>
    <w:p w14:paraId="212C6A2F"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lastRenderedPageBreak/>
        <w:t xml:space="preserve">Koeficienty </w:t>
      </w:r>
      <m:oMath>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φ</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b>
        </m:sSub>
      </m:oMath>
      <w:r w:rsidRPr="002B6661">
        <w:rPr>
          <w:rFonts w:ascii="Times New Roman" w:hAnsi="Times New Roman"/>
          <w:color w:val="000000" w:themeColor="text1"/>
        </w:rPr>
        <w:t xml:space="preserve"> potom vyjadrujú odchýlky priemerných nákladov poistencov rovnakej vekovej skupiny, pohlavia a typu platiteľa, rovnakej farmaceuticko-nákladovej skupiny, rovnakej viacročnej nákladovej skupiny a rovnakej diagnosticko-nákladovej skupiny zaradených do konkrétnej nákladovej skupiny zdravotníckych pomôcok od populačného priemeru.</w:t>
      </w:r>
    </w:p>
    <w:p w14:paraId="3FF245F2" w14:textId="77777777" w:rsidR="002B6661" w:rsidRPr="002B6661" w:rsidRDefault="002B6661" w:rsidP="002B6661">
      <w:pPr>
        <w:jc w:val="both"/>
        <w:rPr>
          <w:rFonts w:ascii="Times New Roman" w:hAnsi="Times New Roman"/>
          <w:color w:val="000000" w:themeColor="text1"/>
        </w:rPr>
      </w:pPr>
      <w:r w:rsidRPr="002B6661">
        <w:rPr>
          <w:rFonts w:ascii="Times New Roman" w:hAnsi="Times New Roman"/>
          <w:color w:val="000000" w:themeColor="text1"/>
        </w:rPr>
        <w:t>Platí, že:</w:t>
      </w:r>
    </w:p>
    <w:p w14:paraId="4C722995" w14:textId="77777777" w:rsidR="002B6661" w:rsidRPr="002B6661" w:rsidRDefault="00946399" w:rsidP="002B6661">
      <w:pPr>
        <w:jc w:val="both"/>
        <w:rPr>
          <w:rFonts w:ascii="Times New Roman" w:hAnsi="Times New Roman"/>
          <w:color w:val="000000" w:themeColor="text1"/>
        </w:rPr>
      </w:pPr>
      <m:oMathPara>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y</m:t>
                  </m:r>
                </m:e>
              </m:acc>
            </m:e>
            <m:sub>
              <m:r>
                <w:rPr>
                  <w:rFonts w:ascii="Cambria Math" w:hAnsi="Cambria Math"/>
                  <w:color w:val="000000" w:themeColor="text1"/>
                </w:rPr>
                <m:t>i</m:t>
              </m:r>
            </m:sub>
          </m:sSub>
          <m:r>
            <w:rPr>
              <w:rFonts w:ascii="Cambria Math" w:hAnsi="Cambria Math"/>
              <w:color w:val="000000" w:themeColor="text1"/>
            </w:rPr>
            <m:t xml:space="preserve">= </m:t>
          </m:r>
          <m:acc>
            <m:accPr>
              <m:chr m:val="̅"/>
              <m:ctrlPr>
                <w:rPr>
                  <w:rFonts w:ascii="Cambria Math" w:hAnsi="Cambria Math"/>
                  <w:i/>
                  <w:color w:val="000000" w:themeColor="text1"/>
                </w:rPr>
              </m:ctrlPr>
            </m:accPr>
            <m:e>
              <m:r>
                <w:rPr>
                  <w:rFonts w:ascii="Cambria Math" w:hAnsi="Cambria Math"/>
                  <w:color w:val="000000" w:themeColor="text1"/>
                </w:rPr>
                <m:t>y</m:t>
              </m:r>
            </m:e>
          </m:acc>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 xml:space="preserve">1+ </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DEM</m:t>
                      </m:r>
                    </m:sub>
                  </m:s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DEM</m:t>
                      </m:r>
                    </m:sup>
                  </m:sSubSup>
                </m:e>
              </m:nary>
              <m:r>
                <w:rPr>
                  <w:rFonts w:ascii="Cambria Math" w:hAns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j</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PCG</m:t>
                      </m:r>
                    </m:sup>
                  </m:sSubSup>
                </m:e>
              </m:nary>
              <m:r>
                <w:rPr>
                  <w:rFonts w:ascii="Cambria Math" w:hAns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j</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VRNI</m:t>
                      </m:r>
                    </m:sup>
                  </m:sSubSup>
                </m:e>
              </m:nary>
              <m:r>
                <w:rPr>
                  <w:rFonts w:ascii="Cambria Math" w:hAns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j</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DCG</m:t>
                      </m:r>
                    </m:sup>
                  </m:sSubSup>
                </m:e>
              </m:nary>
              <m:r>
                <w:rPr>
                  <w:rFonts w:ascii="Cambria Math" w:hAns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j</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i,j</m:t>
                      </m:r>
                    </m:sub>
                    <m:sup>
                      <m:r>
                        <w:rPr>
                          <w:rFonts w:ascii="Cambria Math" w:hAnsi="Cambria Math"/>
                          <w:color w:val="000000" w:themeColor="text1"/>
                        </w:rPr>
                        <m:t>MECG</m:t>
                      </m:r>
                    </m:sup>
                  </m:sSubSup>
                </m:e>
              </m:nary>
            </m:e>
          </m:d>
        </m:oMath>
      </m:oMathPara>
    </w:p>
    <w:p w14:paraId="52B21CB5" w14:textId="77777777" w:rsidR="002B6661" w:rsidRPr="002B6661" w:rsidRDefault="00946399" w:rsidP="002B6661">
      <w:pPr>
        <w:spacing w:after="0"/>
        <w:jc w:val="both"/>
        <w:rPr>
          <w:rFonts w:ascii="Times New Roman" w:hAnsi="Times New Roman"/>
          <w:i/>
          <w:color w:val="000000" w:themeColor="text1"/>
        </w:rPr>
      </w:pP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y</m:t>
                </m:r>
              </m:e>
            </m:acc>
          </m:e>
          <m:sub>
            <m:r>
              <w:rPr>
                <w:rFonts w:ascii="Cambria Math" w:hAnsi="Cambria Math"/>
                <w:color w:val="000000" w:themeColor="text1"/>
              </w:rPr>
              <m:t>i</m:t>
            </m:r>
          </m:sub>
        </m:sSub>
      </m:oMath>
      <w:r w:rsidR="002B6661" w:rsidRPr="002B6661">
        <w:rPr>
          <w:rFonts w:ascii="Times New Roman" w:hAnsi="Times New Roman"/>
          <w:color w:val="000000" w:themeColor="text1"/>
        </w:rPr>
        <w:t xml:space="preserve"> – predikované náklady pre poistenca </w:t>
      </w:r>
      <w:r w:rsidR="002B6661" w:rsidRPr="002B6661">
        <w:rPr>
          <w:rFonts w:ascii="Times New Roman" w:hAnsi="Times New Roman"/>
          <w:i/>
          <w:color w:val="000000" w:themeColor="text1"/>
        </w:rPr>
        <w:t>i</w:t>
      </w:r>
    </w:p>
    <w:p w14:paraId="160434F5" w14:textId="77777777" w:rsidR="002B6661" w:rsidRPr="002B6661" w:rsidRDefault="00946399" w:rsidP="002B6661">
      <w:pPr>
        <w:spacing w:after="0"/>
        <w:jc w:val="both"/>
        <w:rPr>
          <w:rFonts w:ascii="Times New Roman" w:hAnsi="Times New Roman"/>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y</m:t>
            </m:r>
          </m:e>
        </m:acc>
      </m:oMath>
      <w:r w:rsidR="002B6661" w:rsidRPr="002B6661">
        <w:rPr>
          <w:rFonts w:ascii="Times New Roman" w:hAnsi="Times New Roman"/>
          <w:color w:val="000000" w:themeColor="text1"/>
        </w:rPr>
        <w:t xml:space="preserve"> – priemerné mesačné náklady pre populáciu</w:t>
      </w:r>
    </w:p>
    <w:p w14:paraId="3A704F61"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demografickej skupiny definovanej vekovou skupinou, pohlavím a typom platiteľa</w:t>
      </w:r>
    </w:p>
    <w:p w14:paraId="01A214CF"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PCG skupiny</w:t>
      </w:r>
    </w:p>
    <w:p w14:paraId="4204F123"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VRNI skupiny</w:t>
      </w:r>
    </w:p>
    <w:p w14:paraId="52A39E70"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DCG skupiny</w:t>
      </w:r>
    </w:p>
    <w:p w14:paraId="6A020201" w14:textId="77777777" w:rsidR="002B6661" w:rsidRPr="002B6661" w:rsidRDefault="00946399" w:rsidP="002B6661">
      <w:pPr>
        <w:spacing w:after="0"/>
        <w:jc w:val="both"/>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j</m:t>
            </m:r>
          </m:sub>
        </m:sSub>
      </m:oMath>
      <w:r w:rsidR="002B6661" w:rsidRPr="002B6661">
        <w:rPr>
          <w:rFonts w:ascii="Times New Roman" w:hAnsi="Times New Roman"/>
          <w:color w:val="000000" w:themeColor="text1"/>
        </w:rPr>
        <w:t xml:space="preserve"> – koeficient MECG skupiny</w:t>
      </w:r>
    </w:p>
    <w:p w14:paraId="6A13DFF7" w14:textId="77777777" w:rsidR="002B6661" w:rsidRPr="002B6661" w:rsidRDefault="002B6661" w:rsidP="002B6661">
      <w:pPr>
        <w:spacing w:after="0"/>
        <w:jc w:val="both"/>
        <w:rPr>
          <w:rFonts w:ascii="Times New Roman" w:hAnsi="Times New Roman"/>
          <w:color w:val="000000" w:themeColor="text1"/>
        </w:rPr>
      </w:pPr>
    </w:p>
    <w:p w14:paraId="1783ED63"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Koeficienty</w:t>
      </w:r>
    </w:p>
    <w:p w14:paraId="3B369C99" w14:textId="77777777" w:rsidR="002B6661" w:rsidRPr="002B6661" w:rsidRDefault="00946399" w:rsidP="002B6661">
      <w:pPr>
        <w:spacing w:after="0"/>
        <w:jc w:val="both"/>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B</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DEM</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β</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DEM</m:t>
                      </m:r>
                    </m:sub>
                  </m:sSub>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oMath>
      </m:oMathPara>
    </w:p>
    <w:p w14:paraId="392264D0"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predstavujú nákladové indexy pre jednotlivé skupiny podľa vekovej skupiny, pohlavia a typu platiteľa.</w:t>
      </w:r>
    </w:p>
    <w:p w14:paraId="7782411F"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Koeficienty</w:t>
      </w:r>
      <m:oMath>
        <m:r>
          <m:rPr>
            <m:sty m:val="p"/>
          </m:rPr>
          <w:rPr>
            <w:rFonts w:ascii="Cambria Math" w:hAnsi="Cambria Math"/>
            <w:color w:val="000000" w:themeColor="text1"/>
          </w:rPr>
          <w:br/>
        </m:r>
      </m:oMath>
      <m:oMathPara>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2</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C</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γ</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PCG</m:t>
                      </m:r>
                    </m:sub>
                  </m:sSub>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oMath>
      </m:oMathPara>
    </w:p>
    <w:p w14:paraId="5B093FFD"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predstavujú nákladové indexy pre jednotlivé farmaceuticko-nákladové skupiny.</w:t>
      </w:r>
    </w:p>
    <w:p w14:paraId="0CE8C553"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Koeficienty</w:t>
      </w:r>
    </w:p>
    <w:p w14:paraId="58E6B0A8" w14:textId="77777777" w:rsidR="002B6661" w:rsidRPr="002B6661" w:rsidRDefault="00946399" w:rsidP="002B6661">
      <w:pPr>
        <w:spacing w:after="0"/>
        <w:jc w:val="both"/>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2</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D</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δ</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VRNI</m:t>
                      </m:r>
                    </m:sub>
                  </m:sSub>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oMath>
      </m:oMathPara>
    </w:p>
    <w:p w14:paraId="2513FD04"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predstavujú nákladové indexy pre jednotlivé viacročné nákladové skupiny.</w:t>
      </w:r>
    </w:p>
    <w:p w14:paraId="0ADE5015"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Koeficienty</w:t>
      </w:r>
    </w:p>
    <w:p w14:paraId="0DB2F000" w14:textId="77777777" w:rsidR="002B6661" w:rsidRPr="002B6661" w:rsidRDefault="00946399" w:rsidP="002B6661">
      <w:pPr>
        <w:spacing w:after="0"/>
        <w:jc w:val="both"/>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1</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2</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F</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θ</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DCG</m:t>
                      </m:r>
                    </m:sub>
                  </m:sSub>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oMath>
      </m:oMathPara>
    </w:p>
    <w:p w14:paraId="24ADF696"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predstavujú nákladové indexy pre jednotlivé diagnosticko-nákladové skupiny.</w:t>
      </w:r>
    </w:p>
    <w:p w14:paraId="40D99004"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Koeficienty</w:t>
      </w:r>
    </w:p>
    <w:p w14:paraId="7576B3C7" w14:textId="77777777" w:rsidR="002B6661" w:rsidRPr="002B6661" w:rsidRDefault="00946399" w:rsidP="002B6661">
      <w:pPr>
        <w:spacing w:after="0"/>
        <w:jc w:val="both"/>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1</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2</m:t>
                  </m:r>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G</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φ</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MECG</m:t>
                      </m:r>
                    </m:sub>
                  </m:sSub>
                </m:sub>
              </m:sSub>
            </m:num>
            <m:den>
              <m:acc>
                <m:accPr>
                  <m:chr m:val="̅"/>
                  <m:ctrlPr>
                    <w:rPr>
                      <w:rFonts w:ascii="Cambria Math" w:hAnsi="Cambria Math"/>
                      <w:i/>
                      <w:color w:val="000000" w:themeColor="text1"/>
                    </w:rPr>
                  </m:ctrlPr>
                </m:accPr>
                <m:e>
                  <m:r>
                    <w:rPr>
                      <w:rFonts w:ascii="Cambria Math" w:hAnsi="Cambria Math"/>
                      <w:color w:val="000000" w:themeColor="text1"/>
                    </w:rPr>
                    <m:t>y</m:t>
                  </m:r>
                </m:e>
              </m:acc>
            </m:den>
          </m:f>
        </m:oMath>
      </m:oMathPara>
    </w:p>
    <w:p w14:paraId="65DBE0B0" w14:textId="77777777" w:rsidR="002B6661" w:rsidRP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predstavujú nákladové indexy pre jednotlivé nákladové skupiny zdravotníckych pomôcok.</w:t>
      </w:r>
    </w:p>
    <w:p w14:paraId="3F47A278" w14:textId="77777777" w:rsidR="002B6661" w:rsidRPr="002B6661" w:rsidRDefault="002B6661" w:rsidP="002B6661">
      <w:pPr>
        <w:spacing w:after="0"/>
        <w:jc w:val="both"/>
        <w:rPr>
          <w:rFonts w:ascii="Times New Roman" w:hAnsi="Times New Roman"/>
          <w:color w:val="000000" w:themeColor="text1"/>
        </w:rPr>
      </w:pPr>
    </w:p>
    <w:p w14:paraId="3A30A9F7" w14:textId="31759AFA" w:rsidR="002B6661" w:rsidRDefault="002B6661" w:rsidP="002B6661">
      <w:pPr>
        <w:spacing w:after="0"/>
        <w:jc w:val="both"/>
        <w:rPr>
          <w:rFonts w:ascii="Times New Roman" w:hAnsi="Times New Roman"/>
          <w:color w:val="000000" w:themeColor="text1"/>
        </w:rPr>
      </w:pPr>
      <w:r w:rsidRPr="002B6661">
        <w:rPr>
          <w:rFonts w:ascii="Times New Roman" w:hAnsi="Times New Roman"/>
          <w:color w:val="000000" w:themeColor="text1"/>
        </w:rPr>
        <w:t>Demografické indexy rizika sa pre potreby prerozdelenia vyjadria ako 1 + B</w:t>
      </w:r>
      <w:r w:rsidRPr="002B6661">
        <w:rPr>
          <w:rFonts w:ascii="Times New Roman" w:hAnsi="Times New Roman"/>
          <w:color w:val="000000" w:themeColor="text1"/>
          <w:vertAlign w:val="subscript"/>
        </w:rPr>
        <w:t>i</w:t>
      </w:r>
      <w:r w:rsidRPr="002B6661">
        <w:rPr>
          <w:rFonts w:ascii="Times New Roman" w:hAnsi="Times New Roman"/>
          <w:color w:val="000000" w:themeColor="text1"/>
        </w:rPr>
        <w:t>, čo predstavuje súčet priemerného indexu a odchýlky od priemerného indexu. Indexy farmaceuticko-nákladových skupín sa vyjadria ako C</w:t>
      </w:r>
      <w:r w:rsidRPr="002B6661">
        <w:rPr>
          <w:rFonts w:ascii="Times New Roman" w:hAnsi="Times New Roman"/>
          <w:color w:val="000000" w:themeColor="text1"/>
          <w:vertAlign w:val="subscript"/>
        </w:rPr>
        <w:t>i</w:t>
      </w:r>
      <w:r w:rsidRPr="002B6661">
        <w:rPr>
          <w:rFonts w:ascii="Times New Roman" w:hAnsi="Times New Roman"/>
          <w:color w:val="000000" w:themeColor="text1"/>
        </w:rPr>
        <w:t>, indexy viacročných nákladových skupín ako D</w:t>
      </w:r>
      <w:r w:rsidRPr="002B6661">
        <w:rPr>
          <w:rFonts w:ascii="Times New Roman" w:hAnsi="Times New Roman"/>
          <w:color w:val="000000" w:themeColor="text1"/>
          <w:vertAlign w:val="subscript"/>
        </w:rPr>
        <w:t>i</w:t>
      </w:r>
      <w:r w:rsidRPr="002B6661">
        <w:rPr>
          <w:rFonts w:ascii="Times New Roman" w:hAnsi="Times New Roman"/>
          <w:color w:val="000000" w:themeColor="text1"/>
        </w:rPr>
        <w:t>, indexy diagnosticko-nákladových skupín ako F</w:t>
      </w:r>
      <w:r w:rsidRPr="002B6661">
        <w:rPr>
          <w:rFonts w:ascii="Times New Roman" w:hAnsi="Times New Roman"/>
          <w:color w:val="000000" w:themeColor="text1"/>
          <w:vertAlign w:val="subscript"/>
        </w:rPr>
        <w:t>i</w:t>
      </w:r>
      <w:r w:rsidRPr="002B6661">
        <w:rPr>
          <w:rFonts w:ascii="Times New Roman" w:hAnsi="Times New Roman"/>
          <w:color w:val="000000" w:themeColor="text1"/>
        </w:rPr>
        <w:t>, a indexy nákladových skupín zdravotníckych pomôcok ako G</w:t>
      </w:r>
      <w:r w:rsidRPr="002B6661">
        <w:rPr>
          <w:rFonts w:ascii="Times New Roman" w:hAnsi="Times New Roman"/>
          <w:color w:val="000000" w:themeColor="text1"/>
          <w:vertAlign w:val="subscript"/>
        </w:rPr>
        <w:t>i</w:t>
      </w:r>
      <w:r w:rsidRPr="002B6661">
        <w:rPr>
          <w:rFonts w:ascii="Times New Roman" w:hAnsi="Times New Roman"/>
          <w:color w:val="000000" w:themeColor="text1"/>
        </w:rPr>
        <w:t xml:space="preserve">  ako dodatočné indexy k demografickému indexu.“.</w:t>
      </w:r>
    </w:p>
    <w:p w14:paraId="07C72E95" w14:textId="7F52C1B9" w:rsidR="00AC5EEE" w:rsidRDefault="00AC5EEE" w:rsidP="002B6661">
      <w:pPr>
        <w:spacing w:after="0"/>
        <w:jc w:val="both"/>
        <w:rPr>
          <w:rFonts w:ascii="Times New Roman" w:hAnsi="Times New Roman"/>
          <w:color w:val="000000" w:themeColor="text1"/>
        </w:rPr>
      </w:pPr>
    </w:p>
    <w:p w14:paraId="5D80F9CC" w14:textId="6D834D52" w:rsidR="00AC5EEE" w:rsidRDefault="00AC5EEE" w:rsidP="00AC5EEE">
      <w:pPr>
        <w:rPr>
          <w:rFonts w:ascii="Times New Roman" w:hAnsi="Times New Roman"/>
          <w:color w:val="000000" w:themeColor="text1"/>
        </w:rPr>
      </w:pPr>
      <w:r>
        <w:rPr>
          <w:rFonts w:ascii="Times New Roman" w:hAnsi="Times New Roman"/>
          <w:color w:val="000000" w:themeColor="text1"/>
        </w:rPr>
        <w:t xml:space="preserve">Pri odhade lineárnej regresie je použitá robustná </w:t>
      </w:r>
      <w:proofErr w:type="spellStart"/>
      <w:r>
        <w:rPr>
          <w:rFonts w:ascii="Times New Roman" w:hAnsi="Times New Roman"/>
          <w:color w:val="000000" w:themeColor="text1"/>
        </w:rPr>
        <w:t>variančno-kovariančná</w:t>
      </w:r>
      <w:proofErr w:type="spellEnd"/>
      <w:r>
        <w:rPr>
          <w:rFonts w:ascii="Times New Roman" w:hAnsi="Times New Roman"/>
          <w:color w:val="000000" w:themeColor="text1"/>
        </w:rPr>
        <w:t xml:space="preserve"> matica (známa tiež ako </w:t>
      </w:r>
      <w:proofErr w:type="spellStart"/>
      <w:r>
        <w:rPr>
          <w:rFonts w:ascii="Times New Roman" w:hAnsi="Times New Roman"/>
          <w:color w:val="000000" w:themeColor="text1"/>
        </w:rPr>
        <w:t>Eicker-White-Huber</w:t>
      </w:r>
      <w:proofErr w:type="spellEnd"/>
      <w:r>
        <w:rPr>
          <w:rFonts w:ascii="Times New Roman" w:hAnsi="Times New Roman"/>
          <w:color w:val="000000" w:themeColor="text1"/>
        </w:rPr>
        <w:t xml:space="preserve"> matica) definovaná ako:</w:t>
      </w:r>
    </w:p>
    <w:p w14:paraId="37FBE9F1" w14:textId="77777777" w:rsidR="00AC5EEE" w:rsidRDefault="00AC5EEE" w:rsidP="00AC5EEE">
      <w:pPr>
        <w:rPr>
          <w:rFonts w:ascii="Times New Roman" w:hAnsi="Times New Roman"/>
          <w:color w:val="000000" w:themeColor="text1"/>
        </w:rPr>
      </w:pPr>
    </w:p>
    <w:p w14:paraId="564A8C6E" w14:textId="77777777" w:rsidR="00AC5EEE" w:rsidRPr="001B7ABB" w:rsidRDefault="00AC5EEE" w:rsidP="00AC5EEE">
      <w:pPr>
        <w:rPr>
          <w:rFonts w:ascii="Times New Roman" w:eastAsiaTheme="minorEastAsia" w:hAnsi="Times New Roman"/>
          <w:color w:val="000000" w:themeColor="text1"/>
          <w:lang w:val="en-US"/>
        </w:rPr>
      </w:pPr>
      <m:oMathPara>
        <m:oMath>
          <m:r>
            <w:rPr>
              <w:rFonts w:ascii="Cambria Math" w:hAnsi="Cambria Math"/>
              <w:color w:val="000000" w:themeColor="text1"/>
              <w:lang w:val="en-US"/>
            </w:rPr>
            <m:t>V=</m:t>
          </m:r>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nary>
                    <m:naryPr>
                      <m:chr m:val="∑"/>
                      <m:limLoc m:val="undOvr"/>
                      <m:supHide m:val="1"/>
                      <m:ctrlPr>
                        <w:rPr>
                          <w:rFonts w:ascii="Cambria Math" w:hAnsi="Cambria Math"/>
                          <w:i/>
                          <w:color w:val="000000" w:themeColor="text1"/>
                          <w:lang w:val="en-US"/>
                        </w:rPr>
                      </m:ctrlPr>
                    </m:naryPr>
                    <m:sub>
                      <m:r>
                        <w:rPr>
                          <w:rFonts w:ascii="Cambria Math" w:hAnsi="Cambria Math"/>
                          <w:color w:val="000000" w:themeColor="text1"/>
                          <w:lang w:val="en-US"/>
                        </w:rPr>
                        <m:t>i</m:t>
                      </m:r>
                    </m:sub>
                    <m:sup/>
                    <m:e>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X</m:t>
                          </m:r>
                        </m:e>
                        <m:sub>
                          <m:r>
                            <w:rPr>
                              <w:rFonts w:ascii="Cambria Math" w:hAnsi="Cambria Math"/>
                              <w:color w:val="000000" w:themeColor="text1"/>
                              <w:lang w:val="en-US"/>
                            </w:rPr>
                            <m:t>i</m:t>
                          </m:r>
                        </m:sub>
                        <m:sup>
                          <m:r>
                            <w:rPr>
                              <w:rFonts w:ascii="Cambria Math" w:hAnsi="Cambria Math"/>
                              <w:color w:val="000000" w:themeColor="text1"/>
                              <w:lang w:val="en-US"/>
                            </w:rPr>
                            <m:t>T</m:t>
                          </m:r>
                        </m:sup>
                      </m:sSubSup>
                    </m:e>
                  </m:nary>
                </m:e>
              </m:d>
            </m:e>
            <m:sup>
              <m:r>
                <w:rPr>
                  <w:rFonts w:ascii="Cambria Math" w:hAnsi="Cambria Math"/>
                  <w:color w:val="000000" w:themeColor="text1"/>
                  <w:lang w:val="en-US"/>
                </w:rPr>
                <m:t>-1</m:t>
              </m:r>
            </m:sup>
          </m:sSup>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nary>
                <m:naryPr>
                  <m:chr m:val="∑"/>
                  <m:limLoc m:val="undOvr"/>
                  <m:supHide m:val="1"/>
                  <m:ctrlPr>
                    <w:rPr>
                      <w:rFonts w:ascii="Cambria Math" w:hAnsi="Cambria Math"/>
                      <w:i/>
                      <w:color w:val="000000" w:themeColor="text1"/>
                      <w:lang w:val="en-US"/>
                    </w:rPr>
                  </m:ctrlPr>
                </m:naryPr>
                <m:sub>
                  <m:r>
                    <w:rPr>
                      <w:rFonts w:ascii="Cambria Math" w:hAnsi="Cambria Math"/>
                      <w:color w:val="000000" w:themeColor="text1"/>
                      <w:lang w:val="en-US"/>
                    </w:rPr>
                    <m:t>i</m:t>
                  </m:r>
                </m:sub>
                <m:sup/>
                <m:e>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X</m:t>
                      </m:r>
                    </m:e>
                    <m:sub>
                      <m:r>
                        <w:rPr>
                          <w:rFonts w:ascii="Cambria Math" w:hAnsi="Cambria Math"/>
                          <w:color w:val="000000" w:themeColor="text1"/>
                          <w:lang w:val="en-US"/>
                        </w:rPr>
                        <m:t>i</m:t>
                      </m:r>
                    </m:sub>
                    <m:sup>
                      <m:r>
                        <w:rPr>
                          <w:rFonts w:ascii="Cambria Math" w:hAnsi="Cambria Math"/>
                          <w:color w:val="000000" w:themeColor="text1"/>
                          <w:lang w:val="en-US"/>
                        </w:rPr>
                        <m:t>'</m:t>
                      </m:r>
                    </m:sup>
                  </m:sSubSup>
                </m:e>
              </m:nary>
              <m:acc>
                <m:accPr>
                  <m:ctrlPr>
                    <w:rPr>
                      <w:rFonts w:ascii="Cambria Math" w:hAnsi="Cambria Math"/>
                      <w:i/>
                      <w:color w:val="000000" w:themeColor="text1"/>
                      <w:lang w:val="en-US"/>
                    </w:rPr>
                  </m:ctrlPr>
                </m:accPr>
                <m:e>
                  <m:sSubSup>
                    <m:sSubSupPr>
                      <m:ctrlPr>
                        <w:rPr>
                          <w:rFonts w:ascii="Cambria Math" w:hAnsi="Cambria Math"/>
                          <w:i/>
                          <w:color w:val="000000" w:themeColor="text1"/>
                          <w:lang w:val="en-US"/>
                        </w:rPr>
                      </m:ctrlPr>
                    </m:sSubSupPr>
                    <m:e>
                      <m:r>
                        <w:rPr>
                          <w:rFonts w:ascii="Cambria Math" w:hAnsi="Cambria Math"/>
                          <w:color w:val="000000" w:themeColor="text1"/>
                          <w:lang w:val="en-US"/>
                        </w:rPr>
                        <m:t>u</m:t>
                      </m:r>
                    </m:e>
                    <m:sub>
                      <m:r>
                        <w:rPr>
                          <w:rFonts w:ascii="Cambria Math" w:hAnsi="Cambria Math"/>
                          <w:color w:val="000000" w:themeColor="text1"/>
                          <w:lang w:val="en-US"/>
                        </w:rPr>
                        <m:t>i</m:t>
                      </m:r>
                    </m:sub>
                    <m:sup>
                      <m:r>
                        <w:rPr>
                          <w:rFonts w:ascii="Cambria Math" w:hAnsi="Cambria Math"/>
                          <w:color w:val="000000" w:themeColor="text1"/>
                          <w:lang w:val="en-US"/>
                        </w:rPr>
                        <m:t>2</m:t>
                      </m:r>
                    </m:sup>
                  </m:sSubSup>
                </m:e>
              </m:acc>
              <m:r>
                <w:rPr>
                  <w:rFonts w:ascii="Cambria Math" w:hAnsi="Cambria Math"/>
                  <w:color w:val="000000" w:themeColor="text1"/>
                  <w:lang w:val="en-US"/>
                </w:rPr>
                <m:t xml:space="preserve"> </m:t>
              </m:r>
            </m:e>
          </m:d>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nary>
                    <m:naryPr>
                      <m:chr m:val="∑"/>
                      <m:limLoc m:val="undOvr"/>
                      <m:supHide m:val="1"/>
                      <m:ctrlPr>
                        <w:rPr>
                          <w:rFonts w:ascii="Cambria Math" w:hAnsi="Cambria Math"/>
                          <w:i/>
                          <w:color w:val="000000" w:themeColor="text1"/>
                          <w:lang w:val="en-US"/>
                        </w:rPr>
                      </m:ctrlPr>
                    </m:naryPr>
                    <m:sub>
                      <m:r>
                        <w:rPr>
                          <w:rFonts w:ascii="Cambria Math" w:hAnsi="Cambria Math"/>
                          <w:color w:val="000000" w:themeColor="text1"/>
                          <w:lang w:val="en-US"/>
                        </w:rPr>
                        <m:t>i</m:t>
                      </m:r>
                    </m:sub>
                    <m:sup/>
                    <m:e>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X</m:t>
                          </m:r>
                        </m:e>
                        <m:sub>
                          <m:r>
                            <w:rPr>
                              <w:rFonts w:ascii="Cambria Math" w:hAnsi="Cambria Math"/>
                              <w:color w:val="000000" w:themeColor="text1"/>
                              <w:lang w:val="en-US"/>
                            </w:rPr>
                            <m:t>i</m:t>
                          </m:r>
                        </m:sub>
                        <m:sup>
                          <m:r>
                            <w:rPr>
                              <w:rFonts w:ascii="Cambria Math" w:hAnsi="Cambria Math"/>
                              <w:color w:val="000000" w:themeColor="text1"/>
                              <w:lang w:val="en-US"/>
                            </w:rPr>
                            <m:t>T</m:t>
                          </m:r>
                        </m:sup>
                      </m:sSubSup>
                    </m:e>
                  </m:nary>
                </m:e>
              </m:d>
            </m:e>
            <m:sup>
              <m:r>
                <w:rPr>
                  <w:rFonts w:ascii="Cambria Math" w:hAnsi="Cambria Math"/>
                  <w:color w:val="000000" w:themeColor="text1"/>
                  <w:lang w:val="en-US"/>
                </w:rPr>
                <m:t>-1</m:t>
              </m:r>
            </m:sup>
          </m:sSup>
        </m:oMath>
      </m:oMathPara>
    </w:p>
    <w:p w14:paraId="04FA358D" w14:textId="77777777" w:rsidR="00AC5EEE" w:rsidRDefault="00AC5EEE" w:rsidP="00AC5EEE">
      <w:pPr>
        <w:rPr>
          <w:rFonts w:ascii="Times New Roman" w:eastAsiaTheme="minorEastAsia" w:hAnsi="Times New Roman"/>
          <w:color w:val="000000" w:themeColor="text1"/>
          <w:lang w:val="en-US"/>
        </w:rPr>
      </w:pPr>
    </w:p>
    <w:p w14:paraId="0DE510AE" w14:textId="6F5A8E9A" w:rsidR="00AC5EEE" w:rsidRPr="001B7ABB" w:rsidRDefault="00AC5EEE" w:rsidP="00AC5EEE">
      <w:pPr>
        <w:rPr>
          <w:rFonts w:ascii="Times New Roman" w:eastAsiaTheme="minorEastAsia" w:hAnsi="Times New Roman"/>
          <w:color w:val="000000" w:themeColor="text1"/>
          <w:lang w:val="en-US"/>
        </w:rPr>
      </w:pPr>
      <w:proofErr w:type="spellStart"/>
      <w:r>
        <w:rPr>
          <w:rFonts w:ascii="Times New Roman" w:eastAsiaTheme="minorEastAsia" w:hAnsi="Times New Roman"/>
          <w:color w:val="000000" w:themeColor="text1"/>
          <w:lang w:val="en-US"/>
        </w:rPr>
        <w:t>Kde</w:t>
      </w:r>
      <w:proofErr w:type="spellEnd"/>
      <w:r>
        <w:rPr>
          <w:rFonts w:ascii="Times New Roman" w:eastAsiaTheme="minorEastAsia" w:hAnsi="Times New Roman"/>
          <w:color w:val="000000" w:themeColor="text1"/>
          <w:lang w:val="en-US"/>
        </w:rPr>
        <w:t xml:space="preserve"> </w:t>
      </w:r>
      <m:oMath>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oMath>
      <w:r>
        <w:rPr>
          <w:rFonts w:ascii="Times New Roman" w:eastAsiaTheme="minorEastAsia" w:hAnsi="Times New Roman"/>
          <w:color w:val="000000" w:themeColor="text1"/>
          <w:lang w:val="en-US"/>
        </w:rPr>
        <w:t xml:space="preserve"> označuje sledované premenné v modeli a </w:t>
      </w:r>
      <m:oMath>
        <m:acc>
          <m:accPr>
            <m:ctrlPr>
              <w:rPr>
                <w:rFonts w:ascii="Cambria Math" w:hAnsi="Cambria Math"/>
                <w:i/>
                <w:color w:val="000000" w:themeColor="text1"/>
                <w:lang w:val="en-US"/>
              </w:rPr>
            </m:ctrlPr>
          </m:accPr>
          <m:e>
            <m:r>
              <w:rPr>
                <w:rFonts w:ascii="Cambria Math" w:hAnsi="Cambria Math"/>
                <w:color w:val="000000" w:themeColor="text1"/>
                <w:lang w:val="en-US"/>
              </w:rPr>
              <m:t>u</m:t>
            </m:r>
          </m:e>
        </m:acc>
      </m:oMath>
      <w:r>
        <w:rPr>
          <w:rFonts w:ascii="Times New Roman" w:eastAsiaTheme="minorEastAsia" w:hAnsi="Times New Roman"/>
          <w:color w:val="000000" w:themeColor="text1"/>
          <w:lang w:val="en-US"/>
        </w:rPr>
        <w:t xml:space="preserve"> označuje odhadnuté reziduá a </w:t>
      </w:r>
      <m:oMath>
        <m:r>
          <w:rPr>
            <w:rFonts w:ascii="Cambria Math" w:hAnsi="Cambria Math"/>
            <w:color w:val="000000" w:themeColor="text1"/>
            <w:lang w:val="en-US"/>
          </w:rPr>
          <m:t>N</m:t>
        </m:r>
      </m:oMath>
      <w:r>
        <w:rPr>
          <w:rFonts w:ascii="Times New Roman" w:eastAsiaTheme="minorEastAsia" w:hAnsi="Times New Roman"/>
          <w:color w:val="000000" w:themeColor="text1"/>
          <w:lang w:val="en-US"/>
        </w:rPr>
        <w:t xml:space="preserve"> je počet sledovaní.</w:t>
      </w:r>
    </w:p>
    <w:p w14:paraId="24DECDDF" w14:textId="77777777" w:rsidR="00AC5EEE" w:rsidRPr="002B6661" w:rsidRDefault="00AC5EEE" w:rsidP="002B6661">
      <w:pPr>
        <w:spacing w:after="0"/>
        <w:jc w:val="both"/>
        <w:rPr>
          <w:rFonts w:ascii="Times New Roman" w:hAnsi="Times New Roman"/>
          <w:color w:val="000000" w:themeColor="text1"/>
        </w:rPr>
      </w:pPr>
    </w:p>
    <w:p w14:paraId="77F5306F" w14:textId="77777777" w:rsidR="002B6661" w:rsidRPr="002B6661" w:rsidRDefault="002B6661" w:rsidP="002B6661">
      <w:pPr>
        <w:widowControl w:val="0"/>
        <w:autoSpaceDE w:val="0"/>
        <w:autoSpaceDN w:val="0"/>
        <w:adjustRightInd w:val="0"/>
        <w:spacing w:after="0" w:line="240" w:lineRule="auto"/>
        <w:contextualSpacing/>
        <w:jc w:val="both"/>
        <w:rPr>
          <w:rFonts w:ascii="Times New Roman" w:hAnsi="Times New Roman"/>
        </w:rPr>
      </w:pPr>
    </w:p>
    <w:p w14:paraId="14500C03" w14:textId="77777777" w:rsidR="002B6661" w:rsidRPr="002B6661" w:rsidRDefault="002B6661" w:rsidP="002B6661">
      <w:pPr>
        <w:pStyle w:val="Odsekzoznamu"/>
        <w:rPr>
          <w:rFonts w:ascii="Times New Roman" w:hAnsi="Times New Roman"/>
        </w:rPr>
      </w:pPr>
    </w:p>
    <w:p w14:paraId="5DE981F7" w14:textId="77777777" w:rsidR="002B6661" w:rsidRPr="002B6661" w:rsidRDefault="002B6661" w:rsidP="002B6661">
      <w:pPr>
        <w:widowControl w:val="0"/>
        <w:autoSpaceDE w:val="0"/>
        <w:spacing w:after="0" w:line="240" w:lineRule="auto"/>
        <w:jc w:val="center"/>
        <w:rPr>
          <w:rFonts w:ascii="Times New Roman" w:hAnsi="Times New Roman"/>
          <w:b/>
        </w:rPr>
      </w:pPr>
      <w:r w:rsidRPr="002B6661">
        <w:rPr>
          <w:rFonts w:ascii="Times New Roman" w:hAnsi="Times New Roman"/>
          <w:b/>
        </w:rPr>
        <w:t>Čl. II</w:t>
      </w:r>
    </w:p>
    <w:p w14:paraId="622BC761" w14:textId="77777777" w:rsidR="002B6661" w:rsidRPr="002B6661" w:rsidRDefault="002B6661" w:rsidP="002B6661">
      <w:pPr>
        <w:widowControl w:val="0"/>
        <w:autoSpaceDE w:val="0"/>
        <w:spacing w:after="0" w:line="240" w:lineRule="auto"/>
        <w:jc w:val="both"/>
        <w:rPr>
          <w:rFonts w:ascii="Times New Roman" w:hAnsi="Times New Roman"/>
        </w:rPr>
      </w:pPr>
    </w:p>
    <w:p w14:paraId="448CCE99" w14:textId="77777777" w:rsidR="002B6661" w:rsidRPr="002B6661" w:rsidRDefault="002B6661" w:rsidP="002B6661">
      <w:pPr>
        <w:widowControl w:val="0"/>
        <w:autoSpaceDE w:val="0"/>
        <w:spacing w:after="0" w:line="240" w:lineRule="auto"/>
        <w:jc w:val="center"/>
        <w:rPr>
          <w:rFonts w:ascii="Times New Roman" w:hAnsi="Times New Roman"/>
        </w:rPr>
      </w:pPr>
      <w:r w:rsidRPr="002B6661">
        <w:rPr>
          <w:rFonts w:ascii="Times New Roman" w:hAnsi="Times New Roman"/>
        </w:rPr>
        <w:t>Táto vyhláška nadobúda účinnosť 1. decembra 2022.</w:t>
      </w:r>
    </w:p>
    <w:p w14:paraId="68DE8ECF" w14:textId="77777777" w:rsidR="002B6661" w:rsidRPr="002B6661" w:rsidRDefault="002B6661" w:rsidP="002B6661">
      <w:pPr>
        <w:widowControl w:val="0"/>
        <w:autoSpaceDE w:val="0"/>
        <w:spacing w:after="0" w:line="240" w:lineRule="auto"/>
        <w:jc w:val="both"/>
        <w:rPr>
          <w:rFonts w:ascii="Times New Roman" w:hAnsi="Times New Roman"/>
        </w:rPr>
      </w:pPr>
    </w:p>
    <w:p w14:paraId="3D198320" w14:textId="77777777" w:rsidR="002B6661" w:rsidRPr="002B6661" w:rsidRDefault="002B6661" w:rsidP="002B6661">
      <w:pPr>
        <w:widowControl w:val="0"/>
        <w:autoSpaceDE w:val="0"/>
        <w:spacing w:after="0" w:line="240" w:lineRule="auto"/>
        <w:jc w:val="both"/>
        <w:rPr>
          <w:rFonts w:ascii="Times New Roman" w:hAnsi="Times New Roman"/>
        </w:rPr>
      </w:pPr>
    </w:p>
    <w:p w14:paraId="02E9885A" w14:textId="6B262379" w:rsidR="001A031C" w:rsidRPr="002B6661" w:rsidRDefault="002B6661" w:rsidP="002B6661">
      <w:pPr>
        <w:jc w:val="center"/>
        <w:rPr>
          <w:rFonts w:ascii="Times New Roman" w:hAnsi="Times New Roman"/>
          <w:b/>
          <w:bCs/>
          <w:sz w:val="24"/>
          <w:szCs w:val="24"/>
        </w:rPr>
      </w:pPr>
      <w:r w:rsidRPr="002B6661">
        <w:rPr>
          <w:rFonts w:ascii="Times New Roman" w:hAnsi="Times New Roman"/>
          <w:szCs w:val="24"/>
        </w:rPr>
        <w:br w:type="page"/>
      </w:r>
      <w:r w:rsidRPr="002B6661">
        <w:rPr>
          <w:rFonts w:ascii="Times New Roman" w:hAnsi="Times New Roman"/>
          <w:szCs w:val="24"/>
        </w:rPr>
        <w:lastRenderedPageBreak/>
        <w:t xml:space="preserve">Konsolidované zneníe </w:t>
      </w:r>
    </w:p>
    <w:p w14:paraId="270297F1" w14:textId="77777777" w:rsidR="008829A8" w:rsidRPr="002B6661" w:rsidRDefault="008829A8" w:rsidP="001A031C">
      <w:pPr>
        <w:jc w:val="center"/>
        <w:rPr>
          <w:rFonts w:ascii="Times New Roman" w:hAnsi="Times New Roman"/>
          <w:b/>
          <w:bCs/>
          <w:sz w:val="24"/>
          <w:szCs w:val="24"/>
        </w:rPr>
      </w:pPr>
      <w:r w:rsidRPr="002B6661">
        <w:rPr>
          <w:rFonts w:ascii="Times New Roman" w:hAnsi="Times New Roman"/>
          <w:b/>
          <w:bCs/>
          <w:sz w:val="24"/>
          <w:szCs w:val="24"/>
        </w:rPr>
        <w:t>VYHLÁŠKA</w:t>
      </w:r>
    </w:p>
    <w:p w14:paraId="298BCCC6" w14:textId="77777777" w:rsidR="008829A8" w:rsidRPr="002B6661" w:rsidRDefault="008829A8" w:rsidP="001A031C">
      <w:pPr>
        <w:jc w:val="center"/>
        <w:rPr>
          <w:rFonts w:ascii="Times New Roman" w:hAnsi="Times New Roman"/>
          <w:b/>
          <w:sz w:val="24"/>
          <w:szCs w:val="24"/>
        </w:rPr>
      </w:pPr>
      <w:r w:rsidRPr="002B6661">
        <w:rPr>
          <w:rFonts w:ascii="Times New Roman" w:hAnsi="Times New Roman"/>
          <w:b/>
          <w:sz w:val="24"/>
          <w:szCs w:val="24"/>
        </w:rPr>
        <w:t>Ministerstva zdravotníctva Slovenskej republiky</w:t>
      </w:r>
    </w:p>
    <w:p w14:paraId="40D36764" w14:textId="6DB578FA" w:rsidR="00FD3CB2" w:rsidRPr="002B6661" w:rsidRDefault="008829A8" w:rsidP="00FD3CB2">
      <w:pPr>
        <w:jc w:val="center"/>
        <w:rPr>
          <w:rFonts w:ascii="Times New Roman" w:hAnsi="Times New Roman"/>
          <w:b/>
          <w:bCs/>
          <w:sz w:val="24"/>
          <w:szCs w:val="24"/>
        </w:rPr>
      </w:pPr>
      <w:r w:rsidRPr="002B6661">
        <w:rPr>
          <w:rFonts w:ascii="Times New Roman" w:hAnsi="Times New Roman"/>
          <w:b/>
          <w:sz w:val="24"/>
          <w:szCs w:val="24"/>
        </w:rPr>
        <w:t xml:space="preserve">z </w:t>
      </w:r>
      <w:r w:rsidR="002B6661" w:rsidRPr="002B6661">
        <w:rPr>
          <w:rFonts w:ascii="Times New Roman" w:hAnsi="Times New Roman"/>
          <w:b/>
          <w:bCs/>
          <w:sz w:val="24"/>
          <w:szCs w:val="24"/>
        </w:rPr>
        <w:t>..../2022</w:t>
      </w:r>
      <w:r w:rsidR="00FD3CB2" w:rsidRPr="002B6661">
        <w:rPr>
          <w:rFonts w:ascii="Times New Roman" w:hAnsi="Times New Roman"/>
          <w:b/>
          <w:bCs/>
          <w:sz w:val="24"/>
          <w:szCs w:val="24"/>
        </w:rPr>
        <w:t>,</w:t>
      </w:r>
    </w:p>
    <w:p w14:paraId="4CEB8B97" w14:textId="77777777" w:rsidR="008829A8" w:rsidRPr="002B6661" w:rsidRDefault="008829A8" w:rsidP="001A031C">
      <w:pPr>
        <w:jc w:val="center"/>
        <w:rPr>
          <w:rFonts w:ascii="Times New Roman" w:hAnsi="Times New Roman"/>
          <w:b/>
          <w:sz w:val="24"/>
          <w:szCs w:val="24"/>
        </w:rPr>
      </w:pPr>
      <w:r w:rsidRPr="002B6661">
        <w:rPr>
          <w:rFonts w:ascii="Times New Roman" w:hAnsi="Times New Roman"/>
          <w:b/>
          <w:sz w:val="24"/>
          <w:szCs w:val="24"/>
        </w:rPr>
        <w:t>ktorou sa ustanovujú podrobnosti o výpočte indexu rizika nákladov</w:t>
      </w:r>
    </w:p>
    <w:p w14:paraId="0356F880"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Ministerstvo zdravotníctva Slovenskej republiky podľa § 28 ods. 14 písm. b) zákona č. 580/2004 Z. z. o zdravotnom poistení a o zmene a doplnení zákona č. 95/2002 Z. z. o poisťovníctve a o zmene a doplnení niektorých zákonov v znení zákona č. 185/2012 Z. z. (ďalej len „zákon“) po dohode s Ministerstvom financií Slovenskej republiky ustanovuje:</w:t>
      </w:r>
    </w:p>
    <w:p w14:paraId="3A87F568" w14:textId="77777777" w:rsidR="00584A85" w:rsidRPr="002B6661" w:rsidRDefault="008829A8" w:rsidP="001A031C">
      <w:pPr>
        <w:jc w:val="center"/>
        <w:rPr>
          <w:rFonts w:ascii="Times New Roman" w:hAnsi="Times New Roman"/>
          <w:b/>
          <w:bCs/>
          <w:sz w:val="24"/>
          <w:szCs w:val="24"/>
        </w:rPr>
      </w:pPr>
      <w:r w:rsidRPr="002B6661">
        <w:rPr>
          <w:rFonts w:ascii="Times New Roman" w:hAnsi="Times New Roman"/>
          <w:b/>
          <w:bCs/>
          <w:sz w:val="24"/>
          <w:szCs w:val="24"/>
        </w:rPr>
        <w:t>§ 1</w:t>
      </w:r>
    </w:p>
    <w:p w14:paraId="0CDE6562" w14:textId="77777777" w:rsidR="008829A8" w:rsidRPr="002B6661" w:rsidRDefault="008829A8" w:rsidP="001A031C">
      <w:pPr>
        <w:jc w:val="both"/>
        <w:rPr>
          <w:rFonts w:ascii="Times New Roman" w:hAnsi="Times New Roman"/>
          <w:b/>
          <w:bCs/>
          <w:sz w:val="24"/>
          <w:szCs w:val="24"/>
        </w:rPr>
      </w:pPr>
      <w:r w:rsidRPr="002B6661">
        <w:rPr>
          <w:rFonts w:ascii="Times New Roman" w:hAnsi="Times New Roman"/>
          <w:sz w:val="24"/>
          <w:szCs w:val="24"/>
        </w:rPr>
        <w:t>(1) Výpočet indexu rizika nákladov sa vykonáva po overení údajov zaslaných zdravotnou poisťovňou podľa § 28 ods. 4 zákona, z ktorých boli vylúčené chybné údaje, ktoré tvorili do 5 % z celkového objemu údajov predložených zdravotnou poisťovňou.</w:t>
      </w:r>
    </w:p>
    <w:p w14:paraId="4AE428D5"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(2) Ak bol poistenec v období, za ktoré sú poskytované údaje, poistený v dvoch zdravotných poisťovniach v súlade s § 6 ods. 8 zákona, na účely výpočtu indexu rizika nákladov sa poskytnuté údaje o nákladoch na zdravotnú starostlivosť na tohto poistenca, dĺžke poistného vzťahu a počte balení kategorizovaného lieku sčítajú.</w:t>
      </w:r>
    </w:p>
    <w:p w14:paraId="2DFF511E"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(3) Ak v priebehu obdobia, za ktoré sú poskytované údaje podľa § 28 ods. 4 písm. a) zákona (ďalej len „sledované obdobie“), dochádza k zmene hodnoty štandardnej dávky liečiva, na účely výpočtu indexu rizika nákladov sa použije štandardná dávka liečiva určená k poslednému dňu sledovaného obdobia; ak štandardná dávka liečiva k poslednému dňu sledovaného obdobia nie je určená, použije sa posledná známa štandardná dávka liečiva v sledovanom období.</w:t>
      </w:r>
    </w:p>
    <w:p w14:paraId="36D7A84B"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(4) Ak je liek zaradený do farmaceuticko-nákladovej skupiny v sledovanom období iba časť obdobia, použije sa na výpočet indexu rizika nákladov iba v období, keď bol zaradený v zozname kategorizovaných liekov.</w:t>
      </w:r>
    </w:p>
    <w:p w14:paraId="0A600829"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(5) Poistenec sa na základe spotreby liekov v sledovanom období zaraďuje do farmaceuticko-nákladovej skupiny podľa § 27b ods. 2 a 3 zákona.</w:t>
      </w:r>
    </w:p>
    <w:p w14:paraId="2125C83D"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(6) Z údajov podľa § 28 ods. 4 zákona sa vypočíta pre každého poistenca a pre každú farmaceuticko-nákladovú skupinu počet štandardných dávok liečiva ako súčet súčinov štandardných dávok liečiva pre jedno balenie liekov a počtu balení liekov.</w:t>
      </w:r>
    </w:p>
    <w:p w14:paraId="417FA09B"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 xml:space="preserve">(7) Priemerné náklady na zdravotnú starostlivosť na základe zaradenia do skupiny podľa veku, pohlavia a typu platiteľa poistného (ďalej len „demografické náklady“) a index rizika nákladov, ktorý zohľadňuje len demografické náklady a určuje prínos tejto skupiny k celkovým priemerným nákladom (ďalej len „demografický index rizika nákladov“), sa počítajú na základe lineárnej regresnej analýzy z údajov všetkých poistencov, ktorá je vážená počtom mesiacov, v ktorých boli zaznamenané náklady pre každého jednotlivého poistenca. Do </w:t>
      </w:r>
      <w:r w:rsidRPr="002B6661">
        <w:rPr>
          <w:rFonts w:ascii="Times New Roman" w:hAnsi="Times New Roman"/>
          <w:sz w:val="24"/>
          <w:szCs w:val="24"/>
        </w:rPr>
        <w:lastRenderedPageBreak/>
        <w:t>výpočtu vstupujú individuálne údaje podľa § 28 ods. 4 zákona. Demografické náklady a demografický index rizika nákladov sa určuje osobitne pre každú skupinu podľa § 28 ods. 3 písm. a) a b) zákona.</w:t>
      </w:r>
    </w:p>
    <w:p w14:paraId="584128FB"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(8) Priemerné náklady na zdravotnú starostlivosť na základe zaradenia do viacročnej nákladovej skupiny (ďalej len „viacročné náklady“) a index rizika nákladov, ktorý zohľadňuje len viacročné náklady a určuje prínos tejto skupiny k celkovým priemerným nákladom (ďalej len „index rizika nákladov viacročnej nákladovej skupiny“), sa počítajú na základe lineárnej regresnej analýzy z údajov všetkých poistencov, ktorá je vážená počtom mesiacov, v ktorých boli zaznamenané náklady pre každého jednotlivého poistenca. Do výpočtu vstupujú individuálne údaje podľa § 28 ods. 4 zákona. Viacročné náklady a index rizika nákladov viacročnej nákladovej skupiny sa určujú osobitne pre každú viacročnú nákladovú skupinu podľa § 28 ods. 3 písm. d) zákona.</w:t>
      </w:r>
    </w:p>
    <w:p w14:paraId="56CE1ABF" w14:textId="77777777" w:rsidR="008829A8" w:rsidRPr="002B6661" w:rsidRDefault="008829A8" w:rsidP="001A031C">
      <w:pPr>
        <w:jc w:val="both"/>
        <w:rPr>
          <w:rFonts w:ascii="Times New Roman" w:hAnsi="Times New Roman"/>
          <w:sz w:val="24"/>
          <w:szCs w:val="24"/>
        </w:rPr>
      </w:pPr>
      <w:bookmarkStart w:id="1" w:name="OLE_LINK5"/>
      <w:bookmarkStart w:id="2" w:name="OLE_LINK6"/>
      <w:r w:rsidRPr="002B6661">
        <w:rPr>
          <w:rFonts w:ascii="Times New Roman" w:hAnsi="Times New Roman"/>
          <w:sz w:val="24"/>
          <w:szCs w:val="24"/>
        </w:rPr>
        <w:t>(9) Na účely určenia poradia nákladovej náročnosti farmaceuticko-nákladovej skupiny sa</w:t>
      </w:r>
    </w:p>
    <w:p w14:paraId="3BE4EB00"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a) vypočítajú priemerné náklady pre farmaceuticko-nákladovú skupinu z celkových nákladov podľa § 28 ods. 4 písm. b) na každého poistenca zaradeného v tejto skupine,</w:t>
      </w:r>
    </w:p>
    <w:p w14:paraId="58184221"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b) určí sa najnákladnejšia farmaceuticko-nákladová skupina zo zostávajúcich skupín na základe najvyšších priemerných nákladov</w:t>
      </w:r>
    </w:p>
    <w:p w14:paraId="35ADD1BE"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c) poistenci z tejto  najnákladnejšej farmaceuticko-nákladovej skupiny sa vyradia a zvyšným skupinám bez tejto najnákladnejšej farmaceuticko-nákladovej skupiny sa opätovne prepočítajú priemerné náklady bez vyradených poistencov.</w:t>
      </w:r>
    </w:p>
    <w:p w14:paraId="6854331F"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d) postup uvedený v písmenách b) a c) sa opakuje dovtedy, kým sú zoradené všetky farmaceuticko-nákladové skupiny a všetkým poistencom je priradená najviac jedna farmaceuticko-nákladová skupina, do ktorej sú zaradení.</w:t>
      </w:r>
    </w:p>
    <w:bookmarkEnd w:id="1"/>
    <w:bookmarkEnd w:id="2"/>
    <w:p w14:paraId="013A28F2"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(10) Po určení poradia nákladovej náročnosti jednotlivých farmaceuticko-nákladových skupín podľa odseku 9 sa poistenci, ktorí patria do viacerých farmaceuticko-nákladových skupín, zaradia vždy iba do farmaceuticko-nákladovej skupiny s najvyššou nákladovou náročnosťou.</w:t>
      </w:r>
    </w:p>
    <w:p w14:paraId="2F4188FB"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w:t>
      </w:r>
      <w:bookmarkStart w:id="3" w:name="OLE_LINK7"/>
      <w:bookmarkStart w:id="4" w:name="OLE_LINK8"/>
      <w:r w:rsidRPr="002B6661">
        <w:rPr>
          <w:rFonts w:ascii="Times New Roman" w:hAnsi="Times New Roman"/>
          <w:sz w:val="24"/>
          <w:szCs w:val="24"/>
        </w:rPr>
        <w:t>11) Poistenec sa na základe hospitalizácií v sledovanom období zaraďuje do diagnostickej skupiny podľa § 27d ods. 6 a 7 zákona. Poistenec</w:t>
      </w:r>
      <w:r w:rsidR="00584A85" w:rsidRPr="002B6661">
        <w:rPr>
          <w:rFonts w:ascii="Times New Roman" w:hAnsi="Times New Roman"/>
          <w:sz w:val="24"/>
          <w:szCs w:val="24"/>
        </w:rPr>
        <w:t>,</w:t>
      </w:r>
      <w:r w:rsidRPr="002B6661">
        <w:rPr>
          <w:rFonts w:ascii="Times New Roman" w:hAnsi="Times New Roman"/>
          <w:sz w:val="24"/>
          <w:szCs w:val="24"/>
        </w:rPr>
        <w:t xml:space="preserve"> ktorý nebol hospitalizovaný, ktorého hospitalizácia trvala kratšie ako dva dni alebo ktorého diagnóza pri prepustení nie je zaradená v zozname diagnostických skupín nemá pridelenú žiadnu diagnostickú skupinu.</w:t>
      </w:r>
    </w:p>
    <w:p w14:paraId="0030E074" w14:textId="77777777" w:rsidR="008829A8" w:rsidRPr="002B6661" w:rsidRDefault="008829A8" w:rsidP="001A031C">
      <w:pPr>
        <w:jc w:val="both"/>
        <w:rPr>
          <w:rFonts w:ascii="Times New Roman" w:hAnsi="Times New Roman"/>
          <w:sz w:val="24"/>
          <w:szCs w:val="24"/>
        </w:rPr>
      </w:pPr>
      <w:bookmarkStart w:id="5" w:name="OLE_LINK11"/>
      <w:bookmarkStart w:id="6" w:name="OLE_LINK12"/>
      <w:bookmarkEnd w:id="3"/>
      <w:bookmarkEnd w:id="4"/>
      <w:r w:rsidRPr="002B6661">
        <w:rPr>
          <w:rFonts w:ascii="Times New Roman" w:hAnsi="Times New Roman"/>
          <w:sz w:val="24"/>
          <w:szCs w:val="24"/>
        </w:rPr>
        <w:t xml:space="preserve">(12) Pre každú diagnostickú skupinu sa vypočítajú </w:t>
      </w:r>
      <w:bookmarkStart w:id="7" w:name="OLE_LINK3"/>
      <w:bookmarkStart w:id="8" w:name="OLE_LINK4"/>
      <w:r w:rsidRPr="002B6661">
        <w:rPr>
          <w:rFonts w:ascii="Times New Roman" w:hAnsi="Times New Roman"/>
          <w:sz w:val="24"/>
          <w:szCs w:val="24"/>
        </w:rPr>
        <w:t>priemerné náklady z celkových nákladov podľa § 28 ods. 4 písm. b) na každého poistenca zaradeného v tejto diagnostickej skupine</w:t>
      </w:r>
      <w:bookmarkEnd w:id="7"/>
      <w:bookmarkEnd w:id="8"/>
      <w:r w:rsidRPr="002B6661">
        <w:rPr>
          <w:rFonts w:ascii="Times New Roman" w:hAnsi="Times New Roman"/>
          <w:sz w:val="24"/>
          <w:szCs w:val="24"/>
        </w:rPr>
        <w:t>.</w:t>
      </w:r>
    </w:p>
    <w:p w14:paraId="6E1F63E5"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(13) Každej diagnostickej skupine je následne priradená jedna z pätnástich diagnosticko-nákladových skupín, v závislosti od priemerných nákladov na diagnostickú skupinu metódou hierarchického aglomeratívneho zhlukovania s Wardovým kritériom.</w:t>
      </w:r>
    </w:p>
    <w:p w14:paraId="45482EA8"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(14) Na účely určenia poradia nákladovej náročnosti diagnosticko-nákladových skupín sa</w:t>
      </w:r>
    </w:p>
    <w:p w14:paraId="7D32C735"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lastRenderedPageBreak/>
        <w:t>a) vypočítajú priemerné náklady pre diagnosticko-nákladovú skupinu z celkových nákladov podľa § 28 ods. 4 písm. b) na každého poistenca zaradeného v tejto skupine,</w:t>
      </w:r>
    </w:p>
    <w:p w14:paraId="201136D7"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b) určí sa najnákladnejšia diagnosticko-nákladová skupina zo zostávajúcich skupín na základe najvyšších priemerných nákladov</w:t>
      </w:r>
    </w:p>
    <w:p w14:paraId="4F718FE0"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c) poistenci z tejto  najnákladnejšej diagnosticko-nákladovej skupiny sa vyradia a zvyšným skupinám bez tejto najnákladnejšej diagnosticko-nákladovej skupiny sa opätovne prepočítajú priemerné náklady bez vyradených poistencov.</w:t>
      </w:r>
    </w:p>
    <w:p w14:paraId="52A95FF0"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d) postup uvedený v písmenách b) a c) sa opakuje dovtedy, kým sú zoradené všetky diagnosticko-nákladové skupiny a všetkým poistencom je priradená najviac jedna diagnosticko-nákladová skupina, do ktorej sú zaradení.</w:t>
      </w:r>
    </w:p>
    <w:bookmarkEnd w:id="5"/>
    <w:bookmarkEnd w:id="6"/>
    <w:p w14:paraId="46D252AD" w14:textId="77777777" w:rsidR="00E276CD" w:rsidRPr="002B6661" w:rsidRDefault="008829A8" w:rsidP="001A031C">
      <w:pPr>
        <w:jc w:val="both"/>
        <w:rPr>
          <w:rFonts w:ascii="Times New Roman" w:hAnsi="Times New Roman"/>
          <w:sz w:val="24"/>
          <w:szCs w:val="24"/>
        </w:rPr>
      </w:pPr>
      <w:r w:rsidRPr="002B6661">
        <w:rPr>
          <w:rFonts w:ascii="Times New Roman" w:hAnsi="Times New Roman"/>
          <w:sz w:val="24"/>
          <w:szCs w:val="24"/>
        </w:rPr>
        <w:t xml:space="preserve">(15) </w:t>
      </w:r>
      <w:bookmarkStart w:id="9" w:name="OLE_LINK15"/>
      <w:bookmarkStart w:id="10" w:name="OLE_LINK16"/>
      <w:r w:rsidRPr="002B6661">
        <w:rPr>
          <w:rFonts w:ascii="Times New Roman" w:hAnsi="Times New Roman"/>
          <w:sz w:val="24"/>
          <w:szCs w:val="24"/>
        </w:rPr>
        <w:t xml:space="preserve">Poistenec sa na základe spotreby zdravotníckych pomôcok v sledovanom období zaraďuje do </w:t>
      </w:r>
      <w:r w:rsidR="00195BA5" w:rsidRPr="002B6661">
        <w:rPr>
          <w:rFonts w:ascii="Times New Roman" w:hAnsi="Times New Roman"/>
          <w:sz w:val="24"/>
          <w:szCs w:val="24"/>
        </w:rPr>
        <w:t>nákladovej skupiny</w:t>
      </w:r>
      <w:r w:rsidRPr="002B6661">
        <w:rPr>
          <w:rFonts w:ascii="Times New Roman" w:hAnsi="Times New Roman"/>
          <w:sz w:val="24"/>
          <w:szCs w:val="24"/>
        </w:rPr>
        <w:t xml:space="preserve"> zdravotníckych pomôcok podľa § 27f ods. 6 a 7 zákona. Poistenec, ktorý nemal predpísanú žiadnu zdravotnícku pomôcku,  ktorého pomôcka bola predpísaná na menej </w:t>
      </w:r>
      <w:r w:rsidR="00195BA5" w:rsidRPr="002B6661">
        <w:rPr>
          <w:rFonts w:ascii="Times New Roman" w:hAnsi="Times New Roman"/>
          <w:sz w:val="24"/>
          <w:szCs w:val="24"/>
        </w:rPr>
        <w:t xml:space="preserve">sledovaných </w:t>
      </w:r>
      <w:r w:rsidRPr="002B6661">
        <w:rPr>
          <w:rFonts w:ascii="Times New Roman" w:hAnsi="Times New Roman"/>
          <w:sz w:val="24"/>
          <w:szCs w:val="24"/>
        </w:rPr>
        <w:t xml:space="preserve">období, ako </w:t>
      </w:r>
      <w:r w:rsidRPr="002B6661">
        <w:rPr>
          <w:rFonts w:ascii="Times New Roman" w:hAnsi="Times New Roman"/>
          <w:bCs/>
          <w:sz w:val="24"/>
          <w:szCs w:val="24"/>
        </w:rPr>
        <w:t>stanovuje zoznam skupín zdravotníckych pomôcok</w:t>
      </w:r>
      <w:r w:rsidRPr="002B6661">
        <w:rPr>
          <w:rFonts w:ascii="Times New Roman" w:hAnsi="Times New Roman"/>
          <w:sz w:val="24"/>
          <w:szCs w:val="24"/>
        </w:rPr>
        <w:t>, alebo ktorého pomôcka nie je zaradená v zozname skupín zdravotníckych pomôcok nemá pridelenú žiadnu skupinu.</w:t>
      </w:r>
      <w:bookmarkEnd w:id="9"/>
      <w:bookmarkEnd w:id="10"/>
    </w:p>
    <w:p w14:paraId="0DBAA48C" w14:textId="77777777" w:rsidR="00E276CD" w:rsidRPr="002B6661" w:rsidRDefault="00E276CD" w:rsidP="001A031C">
      <w:pPr>
        <w:jc w:val="both"/>
        <w:rPr>
          <w:rFonts w:ascii="Times New Roman" w:hAnsi="Times New Roman"/>
          <w:sz w:val="24"/>
          <w:szCs w:val="24"/>
        </w:rPr>
      </w:pPr>
      <w:r w:rsidRPr="002B6661">
        <w:rPr>
          <w:rFonts w:ascii="Times New Roman" w:hAnsi="Times New Roman"/>
          <w:sz w:val="24"/>
          <w:szCs w:val="24"/>
        </w:rPr>
        <w:t>(16) Poistenec sa zaradí do skupiny osôb so zdravotným postihnutím podľa § 27e ods. 4 zákona.</w:t>
      </w:r>
    </w:p>
    <w:p w14:paraId="4C473F56"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(1</w:t>
      </w:r>
      <w:r w:rsidR="00E276CD" w:rsidRPr="002B6661">
        <w:rPr>
          <w:rFonts w:ascii="Times New Roman" w:hAnsi="Times New Roman"/>
          <w:sz w:val="24"/>
          <w:szCs w:val="24"/>
        </w:rPr>
        <w:t>7</w:t>
      </w:r>
      <w:r w:rsidRPr="002B6661">
        <w:rPr>
          <w:rFonts w:ascii="Times New Roman" w:hAnsi="Times New Roman"/>
          <w:sz w:val="24"/>
          <w:szCs w:val="24"/>
        </w:rPr>
        <w:t>) Index rizika nákladov pre jednotlivé farmaceuticko-nákladové skupiny, diagnosticko-nákladové skupiny, nákladové skupiny zdravotníckych pomôcok a skupiny osôb so zdravotným postihnutím vyjadrujú dodatočný prínos týchto skupín k demografickým nákladom. Demografický index rizika nákladov, index rizika nákladov viacročnej nákladovej skupiny a indexy rizika nákladov pre jednotlivé farmaceuticko-nákladové skupiny, diagnosticko-nákladové skupiny, skupiny zdravotníckych pomôcok a skupiny osôb so zdravotným postihnutím sú vypočítané na základe jedného lineárneho regresného modelu.</w:t>
      </w:r>
    </w:p>
    <w:p w14:paraId="6455B416" w14:textId="77777777" w:rsidR="008829A8" w:rsidRPr="002B6661" w:rsidRDefault="00E276CD" w:rsidP="001A031C">
      <w:pPr>
        <w:jc w:val="both"/>
        <w:rPr>
          <w:rFonts w:ascii="Times New Roman" w:hAnsi="Times New Roman"/>
          <w:sz w:val="24"/>
          <w:szCs w:val="24"/>
        </w:rPr>
      </w:pPr>
      <w:r w:rsidRPr="002B6661">
        <w:rPr>
          <w:rFonts w:ascii="Times New Roman" w:hAnsi="Times New Roman"/>
          <w:sz w:val="24"/>
          <w:szCs w:val="24"/>
        </w:rPr>
        <w:t xml:space="preserve"> </w:t>
      </w:r>
      <w:r w:rsidR="008829A8" w:rsidRPr="002B6661">
        <w:rPr>
          <w:rFonts w:ascii="Times New Roman" w:hAnsi="Times New Roman"/>
          <w:sz w:val="24"/>
          <w:szCs w:val="24"/>
        </w:rPr>
        <w:t>(</w:t>
      </w:r>
      <w:r w:rsidR="00195BA5" w:rsidRPr="002B6661">
        <w:rPr>
          <w:rFonts w:ascii="Times New Roman" w:hAnsi="Times New Roman"/>
          <w:sz w:val="24"/>
          <w:szCs w:val="24"/>
        </w:rPr>
        <w:t>18</w:t>
      </w:r>
      <w:r w:rsidR="008829A8" w:rsidRPr="002B6661">
        <w:rPr>
          <w:rFonts w:ascii="Times New Roman" w:hAnsi="Times New Roman"/>
          <w:sz w:val="24"/>
          <w:szCs w:val="24"/>
        </w:rPr>
        <w:t xml:space="preserve">) Výsledkom postupu podľa odsekov 4 až </w:t>
      </w:r>
      <w:r w:rsidRPr="002B6661">
        <w:rPr>
          <w:rFonts w:ascii="Times New Roman" w:hAnsi="Times New Roman"/>
          <w:sz w:val="24"/>
          <w:szCs w:val="24"/>
        </w:rPr>
        <w:t>17</w:t>
      </w:r>
      <w:r w:rsidR="008829A8" w:rsidRPr="002B6661">
        <w:rPr>
          <w:rFonts w:ascii="Times New Roman" w:hAnsi="Times New Roman"/>
          <w:sz w:val="24"/>
          <w:szCs w:val="24"/>
        </w:rPr>
        <w:t xml:space="preserve"> je index rizika nákladov pre skupiny poistencov podľa veku, pohlavia a typu platiteľa poistného, index rizika nákladov viacročnej nákladovej skupiny a indexy rizika nákladov pre jednotlivé farmaceuticko-nákladové skupiny, diagnosticko-nákladové skupiny, skupiny zdravotníckych pomôcok a skupiny osôb so zdravotným postihnutím, ktoré sa pripočítavajú ako dodatočný index len tým poistencom, ktorí sú zaradení do príslušnej farmaceuticko-nákladovej skupiny, diagnosticko-nákladovej skupiny, nákladovej skupiny zdravotníckych pomôcok a skupiny osôb so zdravotným postihnutím. Index rizika nákladov sa zaokrúhľuje matematicky na štyri desatinné miesta.</w:t>
      </w:r>
    </w:p>
    <w:p w14:paraId="46EA94C5" w14:textId="77777777"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w:t>
      </w:r>
      <w:r w:rsidR="00195BA5" w:rsidRPr="002B6661">
        <w:rPr>
          <w:rFonts w:ascii="Times New Roman" w:hAnsi="Times New Roman"/>
          <w:sz w:val="24"/>
          <w:szCs w:val="24"/>
        </w:rPr>
        <w:t>19</w:t>
      </w:r>
      <w:r w:rsidRPr="002B6661">
        <w:rPr>
          <w:rFonts w:ascii="Times New Roman" w:hAnsi="Times New Roman"/>
          <w:sz w:val="24"/>
          <w:szCs w:val="24"/>
        </w:rPr>
        <w:t>) Metodika výpočtu indexov rizika nákladov a k metóde hierarchického aglomeratívneho zhlukovania s Wardovým kritériom je uvedená v</w:t>
      </w:r>
      <w:r w:rsidR="00A90D76" w:rsidRPr="002B6661">
        <w:rPr>
          <w:rFonts w:ascii="Times New Roman" w:hAnsi="Times New Roman"/>
          <w:sz w:val="24"/>
          <w:szCs w:val="24"/>
        </w:rPr>
        <w:t> </w:t>
      </w:r>
      <w:r w:rsidRPr="002B6661">
        <w:rPr>
          <w:rFonts w:ascii="Times New Roman" w:hAnsi="Times New Roman"/>
          <w:sz w:val="24"/>
          <w:szCs w:val="24"/>
        </w:rPr>
        <w:t>prílohe.</w:t>
      </w:r>
    </w:p>
    <w:p w14:paraId="305A2F2C" w14:textId="77777777" w:rsidR="008829A8" w:rsidRPr="002B6661" w:rsidRDefault="008829A8" w:rsidP="001A031C">
      <w:pPr>
        <w:jc w:val="center"/>
        <w:rPr>
          <w:rFonts w:ascii="Times New Roman" w:hAnsi="Times New Roman"/>
          <w:b/>
          <w:bCs/>
          <w:sz w:val="24"/>
          <w:szCs w:val="24"/>
        </w:rPr>
      </w:pPr>
      <w:r w:rsidRPr="002B6661">
        <w:rPr>
          <w:rFonts w:ascii="Times New Roman" w:hAnsi="Times New Roman"/>
          <w:b/>
          <w:bCs/>
          <w:sz w:val="24"/>
          <w:szCs w:val="24"/>
        </w:rPr>
        <w:t>§ 2</w:t>
      </w:r>
    </w:p>
    <w:p w14:paraId="0ED06A27" w14:textId="27248689" w:rsidR="008829A8" w:rsidRPr="002B6661" w:rsidRDefault="008829A8" w:rsidP="001A031C">
      <w:pPr>
        <w:jc w:val="both"/>
        <w:rPr>
          <w:rFonts w:ascii="Times New Roman" w:hAnsi="Times New Roman"/>
          <w:sz w:val="24"/>
          <w:szCs w:val="24"/>
        </w:rPr>
      </w:pPr>
      <w:r w:rsidRPr="002B6661">
        <w:rPr>
          <w:rFonts w:ascii="Times New Roman" w:hAnsi="Times New Roman"/>
          <w:sz w:val="24"/>
          <w:szCs w:val="24"/>
        </w:rPr>
        <w:t>Táto vyhláška nadobúda účinnosť 1. novembra 2022.</w:t>
      </w:r>
    </w:p>
    <w:p w14:paraId="47ACE229" w14:textId="77777777" w:rsidR="009A4ACF" w:rsidRPr="002B6661" w:rsidRDefault="009A4ACF" w:rsidP="009A4ACF">
      <w:pPr>
        <w:jc w:val="center"/>
        <w:rPr>
          <w:rFonts w:ascii="Times New Roman" w:eastAsia="Times New Roman" w:hAnsi="Times New Roman"/>
          <w:b/>
          <w:color w:val="000000" w:themeColor="text1"/>
          <w:sz w:val="24"/>
          <w:szCs w:val="24"/>
        </w:rPr>
      </w:pPr>
      <w:r w:rsidRPr="002B6661">
        <w:rPr>
          <w:rFonts w:ascii="Times New Roman" w:eastAsia="Times New Roman" w:hAnsi="Times New Roman"/>
          <w:b/>
          <w:color w:val="000000" w:themeColor="text1"/>
        </w:rPr>
        <w:t>Vladimír Lengvarský, v. r.</w:t>
      </w:r>
    </w:p>
    <w:p w14:paraId="4F8C0B1F" w14:textId="77777777" w:rsidR="001A031C" w:rsidRPr="002B6661" w:rsidRDefault="008829A8" w:rsidP="001A031C">
      <w:pPr>
        <w:jc w:val="right"/>
        <w:rPr>
          <w:rFonts w:ascii="Times New Roman" w:hAnsi="Times New Roman"/>
          <w:b/>
          <w:sz w:val="24"/>
          <w:szCs w:val="24"/>
        </w:rPr>
      </w:pPr>
      <w:bookmarkStart w:id="11" w:name="OLE_LINK39"/>
      <w:bookmarkStart w:id="12" w:name="OLE_LINK40"/>
      <w:r w:rsidRPr="002B6661">
        <w:rPr>
          <w:rFonts w:ascii="Times New Roman" w:hAnsi="Times New Roman"/>
          <w:b/>
          <w:sz w:val="24"/>
          <w:szCs w:val="24"/>
        </w:rPr>
        <w:lastRenderedPageBreak/>
        <w:t>Príloha</w:t>
      </w:r>
      <w:r w:rsidR="00A90D76" w:rsidRPr="002B6661">
        <w:rPr>
          <w:rFonts w:ascii="Times New Roman" w:hAnsi="Times New Roman"/>
          <w:b/>
          <w:sz w:val="24"/>
          <w:szCs w:val="24"/>
        </w:rPr>
        <w:t xml:space="preserve"> </w:t>
      </w:r>
    </w:p>
    <w:p w14:paraId="6C85125D" w14:textId="7864D6FD" w:rsidR="008829A8" w:rsidRPr="002B6661" w:rsidRDefault="00A90D76" w:rsidP="001A031C">
      <w:pPr>
        <w:jc w:val="right"/>
        <w:rPr>
          <w:rFonts w:ascii="Times New Roman" w:hAnsi="Times New Roman"/>
          <w:b/>
          <w:sz w:val="24"/>
          <w:szCs w:val="24"/>
        </w:rPr>
      </w:pPr>
      <w:r w:rsidRPr="002B6661">
        <w:rPr>
          <w:rFonts w:ascii="Times New Roman" w:hAnsi="Times New Roman"/>
          <w:b/>
          <w:sz w:val="24"/>
          <w:szCs w:val="24"/>
        </w:rPr>
        <w:t xml:space="preserve">k vyhláške </w:t>
      </w:r>
      <w:r w:rsidRPr="002B6661">
        <w:rPr>
          <w:rFonts w:ascii="Times New Roman" w:hAnsi="Times New Roman"/>
          <w:b/>
          <w:bCs/>
          <w:sz w:val="24"/>
          <w:szCs w:val="24"/>
        </w:rPr>
        <w:t xml:space="preserve">č. </w:t>
      </w:r>
      <w:r w:rsidR="009A4ACF" w:rsidRPr="002B6661">
        <w:rPr>
          <w:rFonts w:ascii="Times New Roman" w:hAnsi="Times New Roman"/>
          <w:b/>
          <w:bCs/>
          <w:sz w:val="24"/>
          <w:szCs w:val="24"/>
        </w:rPr>
        <w:t>....</w:t>
      </w:r>
      <w:r w:rsidRPr="002B6661">
        <w:rPr>
          <w:rFonts w:ascii="Times New Roman" w:hAnsi="Times New Roman"/>
          <w:b/>
          <w:bCs/>
          <w:sz w:val="24"/>
          <w:szCs w:val="24"/>
        </w:rPr>
        <w:t>/2022 Z. z.</w:t>
      </w:r>
    </w:p>
    <w:bookmarkEnd w:id="11"/>
    <w:bookmarkEnd w:id="12"/>
    <w:p w14:paraId="481E5C77"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Metodika výpočtu indexov rizika nákladov je založená na predikcii nákladov pomocou lineárneho regresného modelu, ktorý je vážený počtom mesiacov, za ktoré boli zaznamenané náklady pre každého jednotlivého poistenca, kde prediktormi sú</w:t>
      </w:r>
    </w:p>
    <w:p w14:paraId="4FCE239C"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skupiny podľa veku, pohlavia a typu platiteľa,</w:t>
      </w:r>
    </w:p>
    <w:p w14:paraId="32390478"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najdrahšej farmaceuticko-nákladovej skupiny,</w:t>
      </w:r>
    </w:p>
    <w:p w14:paraId="506D3F8B"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viacročnej nákladovej skupiny,</w:t>
      </w:r>
    </w:p>
    <w:p w14:paraId="0A2B8A12"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najdrahšej diagnosticko-nákladovej skupiny,</w:t>
      </w:r>
    </w:p>
    <w:p w14:paraId="435C8E75"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najdrahšej nákladovej skupiny zdravotníckych pomôcok,</w:t>
      </w:r>
    </w:p>
    <w:p w14:paraId="50D20801" w14:textId="77777777" w:rsidR="003A5D23" w:rsidRPr="002B6661" w:rsidRDefault="003A5D23" w:rsidP="001A031C">
      <w:pPr>
        <w:pStyle w:val="Odsekzoznamu"/>
        <w:numPr>
          <w:ilvl w:val="0"/>
          <w:numId w:val="1"/>
        </w:num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príslušnosť do skupiny osôb so zdravotným postihnutím.</w:t>
      </w:r>
    </w:p>
    <w:p w14:paraId="2489DE9D"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Priemerné mesačné náklady pre populáciu podľa vekovej skupiny, pohlavia a typu platiteľa (ďalej len „populačný priemer“) sa vypočítajú nasledovne:</w:t>
      </w:r>
    </w:p>
    <w:p w14:paraId="582DF51D" w14:textId="77777777" w:rsidR="003A5D23" w:rsidRPr="002B6661" w:rsidRDefault="00946399" w:rsidP="001A031C">
      <w:pPr>
        <w:spacing w:after="0"/>
        <w:jc w:val="both"/>
        <w:rPr>
          <w:rFonts w:ascii="Times New Roman" w:hAnsi="Times New Roman"/>
          <w:i/>
          <w:color w:val="000000" w:themeColor="text1"/>
          <w:sz w:val="24"/>
          <w:szCs w:val="24"/>
          <w:lang w:val="en-US"/>
        </w:rPr>
      </w:pPr>
      <m:oMathPara>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i</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i</m:t>
                      </m:r>
                    </m:sub>
                  </m:sSub>
                </m:e>
              </m:nary>
            </m:num>
            <m:den>
              <m:nary>
                <m:naryPr>
                  <m:chr m:val="∑"/>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i</m:t>
                      </m:r>
                    </m:sub>
                  </m:sSub>
                </m:e>
              </m:nary>
            </m:den>
          </m:f>
        </m:oMath>
      </m:oMathPara>
    </w:p>
    <w:p w14:paraId="483F0F10" w14:textId="77777777" w:rsidR="003A5D23" w:rsidRPr="002B6661" w:rsidRDefault="00946399" w:rsidP="001A031C">
      <w:pPr>
        <w:spacing w:after="0"/>
        <w:jc w:val="both"/>
        <w:rPr>
          <w:rFonts w:ascii="Times New Roman" w:hAnsi="Times New Roman"/>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oMath>
      <w:r w:rsidR="003A5D23" w:rsidRPr="002B6661">
        <w:rPr>
          <w:rFonts w:ascii="Times New Roman" w:hAnsi="Times New Roman"/>
          <w:color w:val="000000" w:themeColor="text1"/>
          <w:sz w:val="24"/>
          <w:szCs w:val="24"/>
        </w:rPr>
        <w:t xml:space="preserve"> – populačný priemer</w:t>
      </w:r>
    </w:p>
    <w:p w14:paraId="410C97C6"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i</m:t>
            </m:r>
          </m:sub>
        </m:sSub>
      </m:oMath>
      <w:r w:rsidR="003A5D23" w:rsidRPr="002B6661">
        <w:rPr>
          <w:rFonts w:ascii="Times New Roman" w:hAnsi="Times New Roman"/>
          <w:color w:val="000000" w:themeColor="text1"/>
          <w:sz w:val="24"/>
          <w:szCs w:val="24"/>
        </w:rPr>
        <w:t xml:space="preserve"> – počet mesiacov poistenia pre poistenca </w:t>
      </w:r>
      <w:r w:rsidR="003A5D23" w:rsidRPr="002B6661">
        <w:rPr>
          <w:rFonts w:ascii="Times New Roman" w:hAnsi="Times New Roman"/>
          <w:i/>
          <w:color w:val="000000" w:themeColor="text1"/>
          <w:sz w:val="24"/>
          <w:szCs w:val="24"/>
        </w:rPr>
        <w:t>i</w:t>
      </w:r>
    </w:p>
    <w:p w14:paraId="0819769C" w14:textId="77777777" w:rsidR="003A5D23" w:rsidRPr="002B6661" w:rsidRDefault="00946399" w:rsidP="001A031C">
      <w:pPr>
        <w:spacing w:after="0"/>
        <w:jc w:val="both"/>
        <w:rPr>
          <w:rFonts w:ascii="Times New Roman" w:hAnsi="Times New Roman"/>
          <w:i/>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i</m:t>
            </m:r>
          </m:sub>
        </m:sSub>
      </m:oMath>
      <w:r w:rsidR="003A5D23" w:rsidRPr="002B6661">
        <w:rPr>
          <w:rFonts w:ascii="Times New Roman" w:hAnsi="Times New Roman"/>
          <w:color w:val="000000" w:themeColor="text1"/>
          <w:sz w:val="24"/>
          <w:szCs w:val="24"/>
        </w:rPr>
        <w:t xml:space="preserve"> – priemerné mesačné náklady pre poistenca </w:t>
      </w:r>
      <w:r w:rsidR="003A5D23" w:rsidRPr="002B6661">
        <w:rPr>
          <w:rFonts w:ascii="Times New Roman" w:hAnsi="Times New Roman"/>
          <w:i/>
          <w:color w:val="000000" w:themeColor="text1"/>
          <w:sz w:val="24"/>
          <w:szCs w:val="24"/>
        </w:rPr>
        <w:t>i</w:t>
      </w:r>
    </w:p>
    <w:p w14:paraId="0C35C81A" w14:textId="77777777" w:rsidR="003A5D23" w:rsidRPr="002B6661" w:rsidRDefault="003A5D23" w:rsidP="001A031C">
      <w:pPr>
        <w:spacing w:after="0"/>
        <w:jc w:val="both"/>
        <w:rPr>
          <w:rFonts w:ascii="Times New Roman" w:hAnsi="Times New Roman"/>
          <w:color w:val="000000" w:themeColor="text1"/>
          <w:sz w:val="24"/>
          <w:szCs w:val="24"/>
        </w:rPr>
      </w:pPr>
    </w:p>
    <w:p w14:paraId="064A3875"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Pri výpočtoch sa odhadujú lineárne regresné modely, v ktorých sa za vysvetľovanú premennú považujú priemerné mesačné náklady na poistenca ako podiel celkových ročných nákladov na poistenca a počtu mesiacov, počas ktorých bol poistenec v príslušnom období poistený v zdravotnej poisťovni. To znamená, že ak označíme c</w:t>
      </w:r>
      <w:r w:rsidRPr="002B6661">
        <w:rPr>
          <w:rFonts w:ascii="Times New Roman" w:hAnsi="Times New Roman"/>
          <w:color w:val="000000" w:themeColor="text1"/>
          <w:sz w:val="24"/>
          <w:szCs w:val="24"/>
          <w:vertAlign w:val="subscript"/>
        </w:rPr>
        <w:t>1</w:t>
      </w:r>
      <w:r w:rsidRPr="002B6661">
        <w:rPr>
          <w:rFonts w:ascii="Times New Roman" w:hAnsi="Times New Roman"/>
          <w:color w:val="000000" w:themeColor="text1"/>
          <w:sz w:val="24"/>
          <w:szCs w:val="24"/>
        </w:rPr>
        <w:t>, c</w:t>
      </w:r>
      <w:r w:rsidRPr="002B6661">
        <w:rPr>
          <w:rFonts w:ascii="Times New Roman" w:hAnsi="Times New Roman"/>
          <w:color w:val="000000" w:themeColor="text1"/>
          <w:sz w:val="24"/>
          <w:szCs w:val="24"/>
          <w:vertAlign w:val="subscript"/>
        </w:rPr>
        <w:t>2</w:t>
      </w:r>
      <w:r w:rsidRPr="002B6661">
        <w:rPr>
          <w:rFonts w:ascii="Times New Roman" w:hAnsi="Times New Roman"/>
          <w:color w:val="000000" w:themeColor="text1"/>
          <w:sz w:val="24"/>
          <w:szCs w:val="24"/>
        </w:rPr>
        <w:t>, ..., c</w:t>
      </w:r>
      <w:r w:rsidRPr="002B6661">
        <w:rPr>
          <w:rFonts w:ascii="Times New Roman" w:hAnsi="Times New Roman"/>
          <w:color w:val="000000" w:themeColor="text1"/>
          <w:sz w:val="24"/>
          <w:szCs w:val="24"/>
          <w:vertAlign w:val="subscript"/>
        </w:rPr>
        <w:t>n</w:t>
      </w:r>
      <w:r w:rsidRPr="002B6661">
        <w:rPr>
          <w:rFonts w:ascii="Times New Roman" w:hAnsi="Times New Roman"/>
          <w:color w:val="000000" w:themeColor="text1"/>
          <w:sz w:val="24"/>
          <w:szCs w:val="24"/>
        </w:rPr>
        <w:t xml:space="preserve"> náklady na jednotlivých poistencov a w</w:t>
      </w:r>
      <w:r w:rsidRPr="002B6661">
        <w:rPr>
          <w:rFonts w:ascii="Times New Roman" w:hAnsi="Times New Roman"/>
          <w:color w:val="000000" w:themeColor="text1"/>
          <w:sz w:val="24"/>
          <w:szCs w:val="24"/>
          <w:vertAlign w:val="subscript"/>
        </w:rPr>
        <w:t>1</w:t>
      </w:r>
      <w:r w:rsidRPr="002B6661">
        <w:rPr>
          <w:rFonts w:ascii="Times New Roman" w:hAnsi="Times New Roman"/>
          <w:color w:val="000000" w:themeColor="text1"/>
          <w:sz w:val="24"/>
          <w:szCs w:val="24"/>
        </w:rPr>
        <w:t>, w</w:t>
      </w:r>
      <w:r w:rsidRPr="002B6661">
        <w:rPr>
          <w:rFonts w:ascii="Times New Roman" w:hAnsi="Times New Roman"/>
          <w:color w:val="000000" w:themeColor="text1"/>
          <w:sz w:val="24"/>
          <w:szCs w:val="24"/>
          <w:vertAlign w:val="subscript"/>
        </w:rPr>
        <w:t>2</w:t>
      </w:r>
      <w:r w:rsidRPr="002B6661">
        <w:rPr>
          <w:rFonts w:ascii="Times New Roman" w:hAnsi="Times New Roman"/>
          <w:color w:val="000000" w:themeColor="text1"/>
          <w:sz w:val="24"/>
          <w:szCs w:val="24"/>
        </w:rPr>
        <w:t>, ..., w</w:t>
      </w:r>
      <w:r w:rsidRPr="002B6661">
        <w:rPr>
          <w:rFonts w:ascii="Times New Roman" w:hAnsi="Times New Roman"/>
          <w:color w:val="000000" w:themeColor="text1"/>
          <w:sz w:val="24"/>
          <w:szCs w:val="24"/>
          <w:vertAlign w:val="subscript"/>
        </w:rPr>
        <w:t>n</w:t>
      </w:r>
      <w:r w:rsidRPr="002B6661">
        <w:rPr>
          <w:rFonts w:ascii="Times New Roman" w:hAnsi="Times New Roman"/>
          <w:color w:val="000000" w:themeColor="text1"/>
          <w:sz w:val="24"/>
          <w:szCs w:val="24"/>
        </w:rPr>
        <w:t xml:space="preserve"> počty mesiacov ktoré boli jednotliví poistenci v danom období poistení, priemerné mesačné náklady sa pre jednotlivých poistencov vypočítajú ako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1</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1</m:t>
                </m:r>
              </m:sub>
            </m:sSub>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2</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2</m:t>
                </m:r>
              </m:sub>
            </m:sSub>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n</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n</m:t>
                </m:r>
              </m:sub>
            </m:sSub>
          </m:den>
        </m:f>
      </m:oMath>
      <w:r w:rsidRPr="002B6661">
        <w:rPr>
          <w:rFonts w:ascii="Times New Roman" w:hAnsi="Times New Roman"/>
          <w:color w:val="000000" w:themeColor="text1"/>
          <w:sz w:val="24"/>
          <w:szCs w:val="24"/>
        </w:rPr>
        <w:t>. Do lineárneho regresného modelu ako vysvetľovaná premenná vstupujú hodnoty y</w:t>
      </w:r>
      <w:r w:rsidRPr="002B6661">
        <w:rPr>
          <w:rFonts w:ascii="Times New Roman" w:hAnsi="Times New Roman"/>
          <w:color w:val="000000" w:themeColor="text1"/>
          <w:sz w:val="24"/>
          <w:szCs w:val="24"/>
          <w:vertAlign w:val="subscript"/>
        </w:rPr>
        <w:t>1</w:t>
      </w:r>
      <w:r w:rsidRPr="002B6661">
        <w:rPr>
          <w:rFonts w:ascii="Times New Roman" w:hAnsi="Times New Roman"/>
          <w:color w:val="000000" w:themeColor="text1"/>
          <w:sz w:val="24"/>
          <w:szCs w:val="24"/>
        </w:rPr>
        <w:t>, y</w:t>
      </w:r>
      <w:r w:rsidRPr="002B6661">
        <w:rPr>
          <w:rFonts w:ascii="Times New Roman" w:hAnsi="Times New Roman"/>
          <w:color w:val="000000" w:themeColor="text1"/>
          <w:sz w:val="24"/>
          <w:szCs w:val="24"/>
          <w:vertAlign w:val="subscript"/>
        </w:rPr>
        <w:t>2</w:t>
      </w:r>
      <w:r w:rsidRPr="002B6661">
        <w:rPr>
          <w:rFonts w:ascii="Times New Roman" w:hAnsi="Times New Roman"/>
          <w:color w:val="000000" w:themeColor="text1"/>
          <w:sz w:val="24"/>
          <w:szCs w:val="24"/>
        </w:rPr>
        <w:t>, ..., y</w:t>
      </w:r>
      <w:r w:rsidRPr="002B6661">
        <w:rPr>
          <w:rFonts w:ascii="Times New Roman" w:hAnsi="Times New Roman"/>
          <w:color w:val="000000" w:themeColor="text1"/>
          <w:sz w:val="24"/>
          <w:szCs w:val="24"/>
          <w:vertAlign w:val="subscript"/>
        </w:rPr>
        <w:t>n</w:t>
      </w:r>
      <w:r w:rsidRPr="002B6661">
        <w:rPr>
          <w:rFonts w:ascii="Times New Roman" w:hAnsi="Times New Roman"/>
          <w:color w:val="000000" w:themeColor="text1"/>
          <w:sz w:val="24"/>
          <w:szCs w:val="24"/>
        </w:rPr>
        <w:t>.</w:t>
      </w:r>
    </w:p>
    <w:p w14:paraId="5982FB0E"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Na účel prepočtu regresných koeficientov na indexy rizika nákladov sa regresné koeficienty vydelia váženým populačným priemerom mesačných nákladov.</w:t>
      </w:r>
    </w:p>
    <w:p w14:paraId="10E6308A"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Predikované mesačné náklady podľa farmaceuticko-nákladovej skupiny, viacročnej nákladovej skupiny, diagnosticko-nákladovej skupiny, nákladovej skupiny zdravotníckych pomôcok a skupiny osôb so zdravotným postihnutím predikované lineárnym regresným modelom pre i-teho poistenca sa vypočítajú takto:</w:t>
      </w:r>
    </w:p>
    <w:p w14:paraId="69E0D98C" w14:textId="77777777" w:rsidR="003A5D23" w:rsidRPr="002B6661" w:rsidRDefault="00946399" w:rsidP="001A031C">
      <w:pPr>
        <w:jc w:val="both"/>
        <w:rPr>
          <w:rFonts w:ascii="Times New Roman" w:hAnsi="Times New Roman"/>
          <w:color w:val="000000" w:themeColor="text1"/>
          <w:sz w:val="24"/>
          <w:szCs w:val="24"/>
        </w:rPr>
      </w:pPr>
      <m:oMathPara>
        <m:oMath>
          <m:acc>
            <m:accPr>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i</m:t>
                  </m:r>
                </m:sub>
              </m:sSub>
            </m:e>
          </m:acc>
          <m:r>
            <w:rPr>
              <w:rFonts w:ascii="Cambria Math" w:hAnsi="Cambria Math"/>
              <w:color w:val="000000" w:themeColor="text1"/>
              <w:sz w:val="24"/>
              <w:szCs w:val="24"/>
            </w:rPr>
            <m:t xml:space="preserve">= </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DEM</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DEM</m:t>
                  </m:r>
                </m:sup>
              </m:sSubSup>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PCG</m:t>
                  </m:r>
                </m:sup>
              </m:sSubSup>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VRNI</m:t>
                  </m:r>
                </m:sup>
              </m:sSubSup>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DCG</m:t>
                  </m:r>
                </m:sup>
              </m:sSubSup>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MECG</m:t>
                  </m:r>
                </m:sup>
              </m:sSubSup>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j</m:t>
                  </m:r>
                </m:sub>
              </m:sSub>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POS</m:t>
                  </m:r>
                </m:sup>
              </m:sSubSup>
            </m:e>
          </m:nary>
        </m:oMath>
      </m:oMathPara>
    </w:p>
    <w:p w14:paraId="4E698C75" w14:textId="77777777" w:rsidR="003A5D23" w:rsidRPr="002B6661" w:rsidRDefault="00946399" w:rsidP="001A031C">
      <w:pPr>
        <w:spacing w:after="0"/>
        <w:jc w:val="both"/>
        <w:rPr>
          <w:rFonts w:ascii="Times New Roman" w:hAnsi="Times New Roman"/>
          <w:i/>
          <w:color w:val="000000" w:themeColor="text1"/>
          <w:sz w:val="24"/>
          <w:szCs w:val="24"/>
        </w:rPr>
      </w:pPr>
      <m:oMath>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e>
          <m:sub>
            <m:r>
              <w:rPr>
                <w:rFonts w:ascii="Cambria Math" w:hAnsi="Cambria Math"/>
                <w:color w:val="000000" w:themeColor="text1"/>
                <w:sz w:val="24"/>
                <w:szCs w:val="24"/>
              </w:rPr>
              <m:t>i</m:t>
            </m:r>
          </m:sub>
        </m:sSub>
      </m:oMath>
      <w:r w:rsidR="003A5D23" w:rsidRPr="002B6661">
        <w:rPr>
          <w:rFonts w:ascii="Times New Roman" w:hAnsi="Times New Roman"/>
          <w:color w:val="000000" w:themeColor="text1"/>
          <w:sz w:val="24"/>
          <w:szCs w:val="24"/>
        </w:rPr>
        <w:t xml:space="preserve">– predikované náklady pre poistenca </w:t>
      </w:r>
      <w:r w:rsidR="003A5D23" w:rsidRPr="002B6661">
        <w:rPr>
          <w:rFonts w:ascii="Times New Roman" w:hAnsi="Times New Roman"/>
          <w:i/>
          <w:color w:val="000000" w:themeColor="text1"/>
          <w:sz w:val="24"/>
          <w:szCs w:val="24"/>
        </w:rPr>
        <w:t>i</w:t>
      </w:r>
    </w:p>
    <w:p w14:paraId="29A97754" w14:textId="77777777" w:rsidR="003A5D23" w:rsidRPr="002B6661" w:rsidRDefault="00946399" w:rsidP="001A031C">
      <w:pPr>
        <w:spacing w:after="0"/>
        <w:jc w:val="both"/>
        <w:rPr>
          <w:rFonts w:ascii="Times New Roman" w:hAnsi="Times New Roman"/>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oMath>
      <w:r w:rsidR="003A5D23" w:rsidRPr="002B6661">
        <w:rPr>
          <w:rFonts w:ascii="Times New Roman" w:hAnsi="Times New Roman"/>
          <w:color w:val="000000" w:themeColor="text1"/>
          <w:sz w:val="24"/>
          <w:szCs w:val="24"/>
        </w:rPr>
        <w:t xml:space="preserve"> – priemerné mesačné náklady pre populáciu</w:t>
      </w:r>
    </w:p>
    <w:p w14:paraId="2AC32445"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demografickej skupiny definovanej vekovou skupinou, pohlavím a typom platiteľa</w:t>
      </w:r>
    </w:p>
    <w:p w14:paraId="095D68BF"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PCG skupiny</w:t>
      </w:r>
    </w:p>
    <w:p w14:paraId="5FC0B438"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VRNI skupiny</w:t>
      </w:r>
    </w:p>
    <w:p w14:paraId="68853746"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DCG skupiny</w:t>
      </w:r>
    </w:p>
    <w:p w14:paraId="6420751C"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MECG skupiny</w:t>
      </w:r>
    </w:p>
    <w:p w14:paraId="2BF69BAA"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skupiny osôb so zdravotným postihnutím definovanej príznakom zdra</w:t>
      </w:r>
      <w:r w:rsidR="00B77B75" w:rsidRPr="002B6661">
        <w:rPr>
          <w:rFonts w:ascii="Times New Roman" w:hAnsi="Times New Roman"/>
          <w:color w:val="000000" w:themeColor="text1"/>
          <w:sz w:val="24"/>
          <w:szCs w:val="24"/>
        </w:rPr>
        <w:t>v</w:t>
      </w:r>
      <w:r w:rsidR="003A5D23" w:rsidRPr="002B6661">
        <w:rPr>
          <w:rFonts w:ascii="Times New Roman" w:hAnsi="Times New Roman"/>
          <w:color w:val="000000" w:themeColor="text1"/>
          <w:sz w:val="24"/>
          <w:szCs w:val="24"/>
        </w:rPr>
        <w:t>o</w:t>
      </w:r>
      <w:r w:rsidR="00B77B75" w:rsidRPr="002B6661">
        <w:rPr>
          <w:rFonts w:ascii="Times New Roman" w:hAnsi="Times New Roman"/>
          <w:color w:val="000000" w:themeColor="text1"/>
          <w:sz w:val="24"/>
          <w:szCs w:val="24"/>
        </w:rPr>
        <w:t>t</w:t>
      </w:r>
      <w:r w:rsidR="003A5D23" w:rsidRPr="002B6661">
        <w:rPr>
          <w:rFonts w:ascii="Times New Roman" w:hAnsi="Times New Roman"/>
          <w:color w:val="000000" w:themeColor="text1"/>
          <w:sz w:val="24"/>
          <w:szCs w:val="24"/>
        </w:rPr>
        <w:t>ného postihnutia a vekovou skupinou</w:t>
      </w:r>
    </w:p>
    <w:p w14:paraId="0721F530" w14:textId="77777777" w:rsidR="003A5D23" w:rsidRPr="002B6661" w:rsidRDefault="003A5D23" w:rsidP="001A031C">
      <w:pPr>
        <w:jc w:val="both"/>
        <w:rPr>
          <w:rFonts w:ascii="Times New Roman" w:hAnsi="Times New Roman"/>
          <w:color w:val="000000" w:themeColor="text1"/>
          <w:sz w:val="24"/>
          <w:szCs w:val="24"/>
        </w:rPr>
      </w:pPr>
    </w:p>
    <w:p w14:paraId="3CC7DF05"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Pri výpočte indexu rizika nákladov sa berie do úvahy príslušnosť poistenca do skupiny podľa veku, pohlavia a typu platiteľa, príslušnosť poistenca do žiadnej alebo jednej farmaceuticko-nákladovej skupiny, príslušnosť do jednej z viacročných nákladových skupín, príslušnosť do žiadnej alebo jednej diagnosticko-nákladovej skupiny, príslušnosť do žiadnej alebo jednej nákladovej skupiny zdravotníckych pomôcok a zároveň príslušnosť do žiadnej alebo jednej zo skupín osôb so zdravotným postihnutím. </w:t>
      </w:r>
    </w:p>
    <w:p w14:paraId="5AC39F94"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Príslušnosť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xml:space="preserve">-teho poistenca do farmaceuticko-nákladovej skupiny sa vyjadrí pomocou vektora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ub>
          <m:sup>
            <m:r>
              <w:rPr>
                <w:rFonts w:ascii="Cambria Math" w:hAnsi="Cambria Math"/>
                <w:color w:val="000000" w:themeColor="text1"/>
                <w:sz w:val="24"/>
                <w:szCs w:val="24"/>
              </w:rPr>
              <m:t>PCG</m:t>
            </m:r>
          </m:sup>
        </m:sSub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i,1</m:t>
                </m:r>
              </m:sub>
              <m:sup>
                <m:r>
                  <w:rPr>
                    <w:rFonts w:ascii="Cambria Math" w:hAnsi="Cambria Math"/>
                    <w:color w:val="000000" w:themeColor="text1"/>
                    <w:sz w:val="24"/>
                    <w:szCs w:val="24"/>
                  </w:rPr>
                  <m:t>PCG</m:t>
                </m:r>
              </m:sup>
            </m:sSubSup>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i,2</m:t>
                </m:r>
              </m:sub>
              <m:sup>
                <m:r>
                  <w:rPr>
                    <w:rFonts w:ascii="Cambria Math" w:hAnsi="Cambria Math"/>
                    <w:color w:val="000000" w:themeColor="text1"/>
                    <w:sz w:val="24"/>
                    <w:szCs w:val="24"/>
                  </w:rPr>
                  <m:t>PCG</m:t>
                </m:r>
              </m:sup>
            </m:sSubSup>
            <m:r>
              <w:rPr>
                <w:rFonts w:ascii="Cambria Math" w:hAnsi="Cambria Math"/>
                <w:color w:val="000000" w:themeColor="text1"/>
                <w:sz w:val="24"/>
                <w:szCs w:val="24"/>
              </w:rPr>
              <m:t>,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b>
              <m:sup>
                <m:r>
                  <w:rPr>
                    <w:rFonts w:ascii="Cambria Math" w:hAnsi="Cambria Math"/>
                    <w:color w:val="000000" w:themeColor="text1"/>
                    <w:sz w:val="24"/>
                    <w:szCs w:val="24"/>
                  </w:rPr>
                  <m:t>PCG</m:t>
                </m:r>
              </m:sup>
            </m:sSubSup>
          </m:e>
        </m:d>
      </m:oMath>
      <w:r w:rsidRPr="002B6661">
        <w:rPr>
          <w:rFonts w:ascii="Times New Roman" w:hAnsi="Times New Roman"/>
          <w:color w:val="000000" w:themeColor="text1"/>
          <w:sz w:val="24"/>
          <w:szCs w:val="24"/>
        </w:rPr>
        <w:t xml:space="preserve">, kde pre </w:t>
      </w:r>
      <m:oMath>
        <m:r>
          <w:rPr>
            <w:rFonts w:ascii="Cambria Math" w:hAnsi="Cambria Math"/>
            <w:color w:val="000000" w:themeColor="text1"/>
            <w:sz w:val="24"/>
            <w:szCs w:val="24"/>
          </w:rPr>
          <m:t xml:space="preserve">j=1, 2,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oMath>
      <w:r w:rsidRPr="002B6661">
        <w:rPr>
          <w:rFonts w:ascii="Times New Roman" w:hAnsi="Times New Roman"/>
          <w:color w:val="000000" w:themeColor="text1"/>
          <w:sz w:val="24"/>
          <w:szCs w:val="24"/>
        </w:rPr>
        <w:t xml:space="preserv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PCG</m:t>
            </m:r>
          </m:sup>
        </m:sSubSup>
        <m:r>
          <w:rPr>
            <w:rFonts w:ascii="Cambria Math" w:hAnsi="Cambria Math"/>
            <w:color w:val="000000" w:themeColor="text1"/>
            <w:sz w:val="24"/>
            <w:szCs w:val="24"/>
          </w:rPr>
          <m:t>=1</m:t>
        </m:r>
      </m:oMath>
      <w:r w:rsidRPr="002B6661">
        <w:rPr>
          <w:rFonts w:ascii="Times New Roman" w:hAnsi="Times New Roman"/>
          <w:color w:val="000000" w:themeColor="text1"/>
          <w:sz w:val="24"/>
          <w:szCs w:val="24"/>
        </w:rPr>
        <w:t xml:space="preserve"> práve vtedy keď je i-ty poistenec klasifikovaný do j-tej farmaceuticko-nákladovej skupiny. V opačnom prípade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PCG</m:t>
            </m:r>
          </m:sup>
        </m:sSubSup>
        <m:r>
          <w:rPr>
            <w:rFonts w:ascii="Cambria Math" w:hAnsi="Cambria Math"/>
            <w:color w:val="000000" w:themeColor="text1"/>
            <w:sz w:val="24"/>
            <w:szCs w:val="24"/>
          </w:rPr>
          <m:t>=0</m:t>
        </m:r>
      </m:oMath>
      <w:r w:rsidRPr="002B6661">
        <w:rPr>
          <w:rFonts w:ascii="Times New Roman" w:hAnsi="Times New Roman"/>
          <w:color w:val="000000" w:themeColor="text1"/>
          <w:sz w:val="24"/>
          <w:szCs w:val="24"/>
        </w:rPr>
        <w:t xml:space="preserve">. </w:t>
      </w:r>
    </w:p>
    <w:p w14:paraId="594BD613"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Príslušnosť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xml:space="preserve">-teho poistenca do viacročnej nákladovej skupiny sa vyjadrí pomocou vektora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ub>
          <m:sup>
            <m:r>
              <w:rPr>
                <w:rFonts w:ascii="Cambria Math" w:hAnsi="Cambria Math"/>
                <w:color w:val="000000" w:themeColor="text1"/>
                <w:sz w:val="24"/>
                <w:szCs w:val="24"/>
              </w:rPr>
              <m:t>VRNI</m:t>
            </m:r>
          </m:sup>
        </m:sSub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i,1</m:t>
                </m:r>
              </m:sub>
              <m:sup>
                <m:r>
                  <w:rPr>
                    <w:rFonts w:ascii="Cambria Math" w:hAnsi="Cambria Math"/>
                    <w:color w:val="000000" w:themeColor="text1"/>
                    <w:sz w:val="24"/>
                    <w:szCs w:val="24"/>
                  </w:rPr>
                  <m:t>VRNI</m:t>
                </m:r>
              </m:sup>
            </m:sSubSup>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i,2</m:t>
                </m:r>
              </m:sub>
              <m:sup>
                <m:r>
                  <w:rPr>
                    <w:rFonts w:ascii="Cambria Math" w:hAnsi="Cambria Math"/>
                    <w:color w:val="000000" w:themeColor="text1"/>
                    <w:sz w:val="24"/>
                    <w:szCs w:val="24"/>
                  </w:rPr>
                  <m:t>VRNI</m:t>
                </m:r>
              </m:sup>
            </m:sSubSup>
            <m:r>
              <w:rPr>
                <w:rFonts w:ascii="Cambria Math" w:hAnsi="Cambria Math"/>
                <w:color w:val="000000" w:themeColor="text1"/>
                <w:sz w:val="24"/>
                <w:szCs w:val="24"/>
              </w:rPr>
              <m:t>,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b>
              <m:sup>
                <m:r>
                  <w:rPr>
                    <w:rFonts w:ascii="Cambria Math" w:hAnsi="Cambria Math"/>
                    <w:color w:val="000000" w:themeColor="text1"/>
                    <w:sz w:val="24"/>
                    <w:szCs w:val="24"/>
                  </w:rPr>
                  <m:t>VRNI</m:t>
                </m:r>
              </m:sup>
            </m:sSubSup>
          </m:e>
        </m:d>
      </m:oMath>
      <w:r w:rsidRPr="002B6661">
        <w:rPr>
          <w:rFonts w:ascii="Times New Roman" w:hAnsi="Times New Roman"/>
          <w:color w:val="000000" w:themeColor="text1"/>
          <w:sz w:val="24"/>
          <w:szCs w:val="24"/>
        </w:rPr>
        <w:t xml:space="preserve">, kde pre </w:t>
      </w:r>
      <m:oMath>
        <m:r>
          <w:rPr>
            <w:rFonts w:ascii="Cambria Math" w:hAnsi="Cambria Math"/>
            <w:color w:val="000000" w:themeColor="text1"/>
            <w:sz w:val="24"/>
            <w:szCs w:val="24"/>
          </w:rPr>
          <m:t xml:space="preserve">j=1, 2,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oMath>
      <w:r w:rsidRPr="002B6661">
        <w:rPr>
          <w:rFonts w:ascii="Times New Roman" w:hAnsi="Times New Roman"/>
          <w:color w:val="000000" w:themeColor="text1"/>
          <w:sz w:val="24"/>
          <w:szCs w:val="24"/>
        </w:rPr>
        <w:t xml:space="preserv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VRNI</m:t>
            </m:r>
          </m:sup>
        </m:sSubSup>
        <m:r>
          <w:rPr>
            <w:rFonts w:ascii="Cambria Math" w:hAnsi="Cambria Math"/>
            <w:color w:val="000000" w:themeColor="text1"/>
            <w:sz w:val="24"/>
            <w:szCs w:val="24"/>
          </w:rPr>
          <m:t>=1</m:t>
        </m:r>
      </m:oMath>
      <w:r w:rsidRPr="002B6661">
        <w:rPr>
          <w:rFonts w:ascii="Times New Roman" w:hAnsi="Times New Roman"/>
          <w:color w:val="000000" w:themeColor="text1"/>
          <w:sz w:val="24"/>
          <w:szCs w:val="24"/>
        </w:rPr>
        <w:t xml:space="preserve"> práve vtedy keď je i-ty poistenec klasifikovaný do j-tej viacročnej nákladovej skupiny. V opačnom prípade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VRNI</m:t>
            </m:r>
          </m:sup>
        </m:sSubSup>
        <m:r>
          <w:rPr>
            <w:rFonts w:ascii="Cambria Math" w:hAnsi="Cambria Math"/>
            <w:color w:val="000000" w:themeColor="text1"/>
            <w:sz w:val="24"/>
            <w:szCs w:val="24"/>
          </w:rPr>
          <m:t>=0</m:t>
        </m:r>
      </m:oMath>
      <w:r w:rsidRPr="002B6661">
        <w:rPr>
          <w:rFonts w:ascii="Times New Roman" w:hAnsi="Times New Roman"/>
          <w:color w:val="000000" w:themeColor="text1"/>
          <w:sz w:val="24"/>
          <w:szCs w:val="24"/>
        </w:rPr>
        <w:t>.</w:t>
      </w:r>
    </w:p>
    <w:p w14:paraId="0C93EB42"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Príslušnosť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xml:space="preserve">-teho poistenca do diagnosticko-nákladovej skupiny sa vyjadrí pomocou vektora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ub>
          <m:sup>
            <m:r>
              <w:rPr>
                <w:rFonts w:ascii="Cambria Math" w:hAnsi="Cambria Math"/>
                <w:color w:val="000000" w:themeColor="text1"/>
                <w:sz w:val="24"/>
                <w:szCs w:val="24"/>
              </w:rPr>
              <m:t>DCG</m:t>
            </m:r>
          </m:sup>
        </m:sSub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i,1</m:t>
                </m:r>
              </m:sub>
              <m:sup>
                <m:r>
                  <w:rPr>
                    <w:rFonts w:ascii="Cambria Math" w:hAnsi="Cambria Math"/>
                    <w:color w:val="000000" w:themeColor="text1"/>
                    <w:sz w:val="24"/>
                    <w:szCs w:val="24"/>
                  </w:rPr>
                  <m:t>DCG</m:t>
                </m:r>
              </m:sup>
            </m:sSubSup>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i,2</m:t>
                </m:r>
              </m:sub>
              <m:sup>
                <m:r>
                  <w:rPr>
                    <w:rFonts w:ascii="Cambria Math" w:hAnsi="Cambria Math"/>
                    <w:color w:val="000000" w:themeColor="text1"/>
                    <w:sz w:val="24"/>
                    <w:szCs w:val="24"/>
                  </w:rPr>
                  <m:t>DCG</m:t>
                </m:r>
              </m:sup>
            </m:sSubSup>
            <m:r>
              <w:rPr>
                <w:rFonts w:ascii="Cambria Math" w:hAnsi="Cambria Math"/>
                <w:color w:val="000000" w:themeColor="text1"/>
                <w:sz w:val="24"/>
                <w:szCs w:val="24"/>
              </w:rPr>
              <m:t>,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b>
              <m:sup>
                <m:r>
                  <w:rPr>
                    <w:rFonts w:ascii="Cambria Math" w:hAnsi="Cambria Math"/>
                    <w:color w:val="000000" w:themeColor="text1"/>
                    <w:sz w:val="24"/>
                    <w:szCs w:val="24"/>
                  </w:rPr>
                  <m:t>DCG</m:t>
                </m:r>
              </m:sup>
            </m:sSubSup>
          </m:e>
        </m:d>
      </m:oMath>
      <w:r w:rsidRPr="002B6661">
        <w:rPr>
          <w:rFonts w:ascii="Times New Roman" w:hAnsi="Times New Roman"/>
          <w:color w:val="000000" w:themeColor="text1"/>
          <w:sz w:val="24"/>
          <w:szCs w:val="24"/>
        </w:rPr>
        <w:t xml:space="preserve">, kde pre </w:t>
      </w:r>
      <m:oMath>
        <m:r>
          <w:rPr>
            <w:rFonts w:ascii="Cambria Math" w:hAnsi="Cambria Math"/>
            <w:color w:val="000000" w:themeColor="text1"/>
            <w:sz w:val="24"/>
            <w:szCs w:val="24"/>
          </w:rPr>
          <m:t xml:space="preserve">j=1, 2,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oMath>
      <w:r w:rsidRPr="002B6661">
        <w:rPr>
          <w:rFonts w:ascii="Times New Roman" w:hAnsi="Times New Roman"/>
          <w:color w:val="000000" w:themeColor="text1"/>
          <w:sz w:val="24"/>
          <w:szCs w:val="24"/>
        </w:rPr>
        <w:t xml:space="preserv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DCG</m:t>
            </m:r>
          </m:sup>
        </m:sSubSup>
        <m:r>
          <w:rPr>
            <w:rFonts w:ascii="Cambria Math" w:hAnsi="Cambria Math"/>
            <w:color w:val="000000" w:themeColor="text1"/>
            <w:sz w:val="24"/>
            <w:szCs w:val="24"/>
          </w:rPr>
          <m:t>=1</m:t>
        </m:r>
      </m:oMath>
      <w:r w:rsidRPr="002B6661">
        <w:rPr>
          <w:rFonts w:ascii="Times New Roman" w:hAnsi="Times New Roman"/>
          <w:color w:val="000000" w:themeColor="text1"/>
          <w:sz w:val="24"/>
          <w:szCs w:val="24"/>
        </w:rPr>
        <w:t xml:space="preserve"> práve vtedy keď je i-ty poistenec klasifikovaný do j-tej farmaceuticko-nákladovej skupiny. V opačnom prípade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DCG</m:t>
            </m:r>
          </m:sup>
        </m:sSubSup>
        <m:r>
          <w:rPr>
            <w:rFonts w:ascii="Cambria Math" w:hAnsi="Cambria Math"/>
            <w:color w:val="000000" w:themeColor="text1"/>
            <w:sz w:val="24"/>
            <w:szCs w:val="24"/>
          </w:rPr>
          <m:t>=0</m:t>
        </m:r>
      </m:oMath>
      <w:r w:rsidRPr="002B6661">
        <w:rPr>
          <w:rFonts w:ascii="Times New Roman" w:hAnsi="Times New Roman"/>
          <w:color w:val="000000" w:themeColor="text1"/>
          <w:sz w:val="24"/>
          <w:szCs w:val="24"/>
        </w:rPr>
        <w:t>.</w:t>
      </w:r>
    </w:p>
    <w:p w14:paraId="47BAA726"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Príslušnosť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xml:space="preserve">-teho poistenca do nákladovej skupiny zdravotníckych pomôcok sa vyjadrí pomocou vektora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ub>
          <m:sup>
            <m:r>
              <w:rPr>
                <w:rFonts w:ascii="Cambria Math" w:hAnsi="Cambria Math"/>
                <w:color w:val="000000" w:themeColor="text1"/>
                <w:sz w:val="24"/>
                <w:szCs w:val="24"/>
              </w:rPr>
              <m:t>MECG</m:t>
            </m:r>
          </m:sup>
        </m:sSub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i,1</m:t>
                </m:r>
              </m:sub>
              <m:sup>
                <m:r>
                  <w:rPr>
                    <w:rFonts w:ascii="Cambria Math" w:hAnsi="Cambria Math"/>
                    <w:color w:val="000000" w:themeColor="text1"/>
                    <w:sz w:val="24"/>
                    <w:szCs w:val="24"/>
                  </w:rPr>
                  <m:t>MECG</m:t>
                </m:r>
              </m:sup>
            </m:sSubSup>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i,2</m:t>
                </m:r>
              </m:sub>
              <m:sup>
                <m:r>
                  <w:rPr>
                    <w:rFonts w:ascii="Cambria Math" w:hAnsi="Cambria Math"/>
                    <w:color w:val="000000" w:themeColor="text1"/>
                    <w:sz w:val="24"/>
                    <w:szCs w:val="24"/>
                  </w:rPr>
                  <m:t>MECG</m:t>
                </m:r>
              </m:sup>
            </m:sSubSup>
            <m:r>
              <w:rPr>
                <w:rFonts w:ascii="Cambria Math" w:hAnsi="Cambria Math"/>
                <w:color w:val="000000" w:themeColor="text1"/>
                <w:sz w:val="24"/>
                <w:szCs w:val="24"/>
              </w:rPr>
              <m:t>,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b>
              <m:sup>
                <m:r>
                  <w:rPr>
                    <w:rFonts w:ascii="Cambria Math" w:hAnsi="Cambria Math"/>
                    <w:color w:val="000000" w:themeColor="text1"/>
                    <w:sz w:val="24"/>
                    <w:szCs w:val="24"/>
                  </w:rPr>
                  <m:t>MECG</m:t>
                </m:r>
              </m:sup>
            </m:sSubSup>
          </m:e>
        </m:d>
      </m:oMath>
      <w:r w:rsidRPr="002B6661">
        <w:rPr>
          <w:rFonts w:ascii="Times New Roman" w:hAnsi="Times New Roman"/>
          <w:color w:val="000000" w:themeColor="text1"/>
          <w:sz w:val="24"/>
          <w:szCs w:val="24"/>
        </w:rPr>
        <w:t xml:space="preserve">, kde pre </w:t>
      </w:r>
      <m:oMath>
        <m:r>
          <w:rPr>
            <w:rFonts w:ascii="Cambria Math" w:hAnsi="Cambria Math"/>
            <w:color w:val="000000" w:themeColor="text1"/>
            <w:sz w:val="24"/>
            <w:szCs w:val="24"/>
          </w:rPr>
          <m:t xml:space="preserve">j=1, 2,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oMath>
      <w:r w:rsidRPr="002B6661">
        <w:rPr>
          <w:rFonts w:ascii="Times New Roman" w:hAnsi="Times New Roman"/>
          <w:color w:val="000000" w:themeColor="text1"/>
          <w:sz w:val="24"/>
          <w:szCs w:val="24"/>
        </w:rPr>
        <w:t xml:space="preserv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MECG</m:t>
            </m:r>
          </m:sup>
        </m:sSubSup>
        <m:r>
          <w:rPr>
            <w:rFonts w:ascii="Cambria Math" w:hAnsi="Cambria Math"/>
            <w:color w:val="000000" w:themeColor="text1"/>
            <w:sz w:val="24"/>
            <w:szCs w:val="24"/>
          </w:rPr>
          <m:t>=1</m:t>
        </m:r>
      </m:oMath>
      <w:r w:rsidRPr="002B6661">
        <w:rPr>
          <w:rFonts w:ascii="Times New Roman" w:hAnsi="Times New Roman"/>
          <w:color w:val="000000" w:themeColor="text1"/>
          <w:sz w:val="24"/>
          <w:szCs w:val="24"/>
        </w:rPr>
        <w:t xml:space="preserve"> práve vtedy keď je i-ty poistenec klasifikovaný do j-tej nákladovej skupiny zdravotníckych pomôcok. V opačnom prípade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MECG</m:t>
            </m:r>
          </m:sup>
        </m:sSubSup>
        <m:r>
          <w:rPr>
            <w:rFonts w:ascii="Cambria Math" w:hAnsi="Cambria Math"/>
            <w:color w:val="000000" w:themeColor="text1"/>
            <w:sz w:val="24"/>
            <w:szCs w:val="24"/>
          </w:rPr>
          <m:t>=0</m:t>
        </m:r>
      </m:oMath>
      <w:r w:rsidRPr="002B6661">
        <w:rPr>
          <w:rFonts w:ascii="Times New Roman" w:hAnsi="Times New Roman"/>
          <w:color w:val="000000" w:themeColor="text1"/>
          <w:sz w:val="24"/>
          <w:szCs w:val="24"/>
        </w:rPr>
        <w:t>.</w:t>
      </w:r>
    </w:p>
    <w:p w14:paraId="08EFDC6E"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Príslušnosť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xml:space="preserve">-teho poistenca do skupiny osôb so zdravotným postihnutím sa vyjadrí pomocou vektora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ub>
          <m:sup>
            <m:r>
              <w:rPr>
                <w:rFonts w:ascii="Cambria Math" w:hAnsi="Cambria Math"/>
                <w:color w:val="000000" w:themeColor="text1"/>
                <w:sz w:val="24"/>
                <w:szCs w:val="24"/>
              </w:rPr>
              <m:t>POS</m:t>
            </m:r>
          </m:sup>
        </m:sSub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i,1</m:t>
                </m:r>
              </m:sub>
              <m:sup>
                <m:r>
                  <w:rPr>
                    <w:rFonts w:ascii="Cambria Math" w:hAnsi="Cambria Math"/>
                    <w:color w:val="000000" w:themeColor="text1"/>
                    <w:sz w:val="24"/>
                    <w:szCs w:val="24"/>
                  </w:rPr>
                  <m:t>POS</m:t>
                </m:r>
              </m:sup>
            </m:sSubSup>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i,2</m:t>
                </m:r>
              </m:sub>
              <m:sup>
                <m:r>
                  <w:rPr>
                    <w:rFonts w:ascii="Cambria Math" w:hAnsi="Cambria Math"/>
                    <w:color w:val="000000" w:themeColor="text1"/>
                    <w:sz w:val="24"/>
                    <w:szCs w:val="24"/>
                  </w:rPr>
                  <m:t>POS</m:t>
                </m:r>
              </m:sup>
            </m:sSubSup>
            <m:r>
              <w:rPr>
                <w:rFonts w:ascii="Cambria Math" w:hAnsi="Cambria Math"/>
                <w:color w:val="000000" w:themeColor="text1"/>
                <w:sz w:val="24"/>
                <w:szCs w:val="24"/>
              </w:rPr>
              <m:t>,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b>
              <m:sup>
                <m:r>
                  <w:rPr>
                    <w:rFonts w:ascii="Cambria Math" w:hAnsi="Cambria Math"/>
                    <w:color w:val="000000" w:themeColor="text1"/>
                    <w:sz w:val="24"/>
                    <w:szCs w:val="24"/>
                  </w:rPr>
                  <m:t>POS</m:t>
                </m:r>
              </m:sup>
            </m:sSubSup>
          </m:e>
        </m:d>
      </m:oMath>
      <w:r w:rsidRPr="002B6661">
        <w:rPr>
          <w:rFonts w:ascii="Times New Roman" w:hAnsi="Times New Roman"/>
          <w:color w:val="000000" w:themeColor="text1"/>
          <w:sz w:val="24"/>
          <w:szCs w:val="24"/>
        </w:rPr>
        <w:t xml:space="preserve">, kde pre </w:t>
      </w:r>
      <m:oMath>
        <m:r>
          <w:rPr>
            <w:rFonts w:ascii="Cambria Math" w:hAnsi="Cambria Math"/>
            <w:color w:val="000000" w:themeColor="text1"/>
            <w:sz w:val="24"/>
            <w:szCs w:val="24"/>
          </w:rPr>
          <m:t xml:space="preserve">j=1, 2,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oMath>
      <w:r w:rsidRPr="002B6661">
        <w:rPr>
          <w:rFonts w:ascii="Times New Roman" w:hAnsi="Times New Roman"/>
          <w:color w:val="000000" w:themeColor="text1"/>
          <w:sz w:val="24"/>
          <w:szCs w:val="24"/>
        </w:rPr>
        <w:t xml:space="preserv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POS</m:t>
            </m:r>
          </m:sup>
        </m:sSubSup>
        <m:r>
          <w:rPr>
            <w:rFonts w:ascii="Cambria Math" w:hAnsi="Cambria Math"/>
            <w:color w:val="000000" w:themeColor="text1"/>
            <w:sz w:val="24"/>
            <w:szCs w:val="24"/>
          </w:rPr>
          <m:t>=1</m:t>
        </m:r>
      </m:oMath>
      <w:r w:rsidRPr="002B6661">
        <w:rPr>
          <w:rFonts w:ascii="Times New Roman" w:hAnsi="Times New Roman"/>
          <w:color w:val="000000" w:themeColor="text1"/>
          <w:sz w:val="24"/>
          <w:szCs w:val="24"/>
        </w:rPr>
        <w:t xml:space="preserve"> práve vtedy keď je i-ty poistenec klasifikovaný do j-tej skupiny osôb so zdravotným postihnutím. V opačnom prípade je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POS</m:t>
            </m:r>
          </m:sup>
        </m:sSubSup>
        <m:r>
          <w:rPr>
            <w:rFonts w:ascii="Cambria Math" w:hAnsi="Cambria Math"/>
            <w:color w:val="000000" w:themeColor="text1"/>
            <w:sz w:val="24"/>
            <w:szCs w:val="24"/>
          </w:rPr>
          <m:t>=0</m:t>
        </m:r>
      </m:oMath>
      <w:r w:rsidRPr="002B6661">
        <w:rPr>
          <w:rFonts w:ascii="Times New Roman" w:hAnsi="Times New Roman"/>
          <w:color w:val="000000" w:themeColor="text1"/>
          <w:sz w:val="24"/>
          <w:szCs w:val="24"/>
        </w:rPr>
        <w:t>.</w:t>
      </w:r>
    </w:p>
    <w:p w14:paraId="055B2F09" w14:textId="77777777" w:rsidR="003A5D23" w:rsidRPr="002B6661" w:rsidRDefault="003A5D23" w:rsidP="001A031C">
      <w:pPr>
        <w:jc w:val="both"/>
        <w:rPr>
          <w:rFonts w:ascii="Times New Roman" w:hAnsi="Times New Roman"/>
          <w:color w:val="000000" w:themeColor="text1"/>
          <w:sz w:val="24"/>
          <w:szCs w:val="24"/>
        </w:rPr>
      </w:pPr>
      <w:bookmarkStart w:id="13" w:name="OLE_LINK47"/>
      <w:bookmarkStart w:id="14" w:name="OLE_LINK48"/>
      <w:r w:rsidRPr="002B6661">
        <w:rPr>
          <w:rFonts w:ascii="Times New Roman" w:hAnsi="Times New Roman"/>
          <w:color w:val="000000" w:themeColor="text1"/>
          <w:sz w:val="24"/>
          <w:szCs w:val="24"/>
        </w:rPr>
        <w:lastRenderedPageBreak/>
        <w:t xml:space="preserve">Odhadujú sa 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DEM</m:t>
                </m:r>
              </m:sub>
            </m:sSub>
          </m:sub>
        </m:sSub>
      </m:oMath>
      <w:r w:rsidRPr="002B6661">
        <w:rPr>
          <w:rFonts w:ascii="Times New Roman" w:hAnsi="Times New Roman"/>
          <w:color w:val="000000" w:themeColor="text1"/>
          <w:sz w:val="24"/>
          <w:szCs w:val="24"/>
        </w:rPr>
        <w:t>, ktoré vyjadrujú odchýlku od priemerných nákladov poistencov z jednotlivých skupín podľa vekových skupín, pohlavia a typu platiteľa nezaradených do žiadnej famaceuticko-nákladovej skupiny, žiadnej diagnosticko-nákladovej skupiny, žiadnej nákladovej skupiny zdravotníckych pomôcok, ani žiadnej skupiny osôb so zdravotným postihnutím od populačného priemeru.</w:t>
      </w:r>
    </w:p>
    <w:bookmarkEnd w:id="13"/>
    <w:bookmarkEnd w:id="14"/>
    <w:p w14:paraId="41BBD7D1"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b>
        </m:sSub>
      </m:oMath>
      <w:r w:rsidRPr="002B6661">
        <w:rPr>
          <w:rFonts w:ascii="Times New Roman" w:hAnsi="Times New Roman"/>
          <w:color w:val="000000" w:themeColor="text1"/>
          <w:sz w:val="24"/>
          <w:szCs w:val="24"/>
        </w:rPr>
        <w:t xml:space="preserve"> potom vyjadrujú odchýlky priemerných nákladov poistencov rovnakej vekovej skupiny, pohlavia a typu platiteľa, rovnakej viacročnej nákladovej skupiny, rovnakej diagnosticko-nákladovej skupiny, rovnakej nákladovej skupiny zdravotníckych pomôcok a rovnakej skupiny osôb so zdravotným postihnutím zaradených do konkrétnej farmaceuticko-nákladovej skupiny od populačného priemeru.</w:t>
      </w:r>
    </w:p>
    <w:p w14:paraId="48DF2360"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b>
        </m:sSub>
      </m:oMath>
      <w:r w:rsidRPr="002B6661">
        <w:rPr>
          <w:rFonts w:ascii="Times New Roman" w:hAnsi="Times New Roman"/>
          <w:color w:val="000000" w:themeColor="text1"/>
          <w:sz w:val="24"/>
          <w:szCs w:val="24"/>
        </w:rPr>
        <w:t xml:space="preserve"> potom vyjadrujú odchýlky priemerných nákladov poistencov rovnakej vekovej skupiny, pohlavia, typu platiteľa, rovnakej farmaceuticko-nákladovej skupiny, rovnakej diagnosticko-nákladovej skupiny, rovnakej nákladovej skupiny zdravotníckych pomôcok a rovnakej skupiny osôb so zdravotným postihnutím zaradených do konkrétnej viacročnej nákladovej skupiny od populačného priemeru.</w:t>
      </w:r>
    </w:p>
    <w:p w14:paraId="5678B560"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b>
        </m:sSub>
      </m:oMath>
      <w:r w:rsidRPr="002B6661">
        <w:rPr>
          <w:rFonts w:ascii="Times New Roman" w:hAnsi="Times New Roman"/>
          <w:color w:val="000000" w:themeColor="text1"/>
          <w:sz w:val="24"/>
          <w:szCs w:val="24"/>
        </w:rPr>
        <w:t xml:space="preserve"> potom vyjadrujú odchýlky priemerných nákladov poistencov rovnakej vekovej skupiny, pohlavia a typu platiteľa, rovnakej farmaceuticko-nákladovej skupiny, rovnakej viacročnej nákladovej skupiny, rovnakej nákladovej skupiny zdravotníckych pomôcok a rovnakej skupiny osôb so zdravotným postihnutím zaradených do konkrétnej diagnosticko-nákladovej skupiny od populačného priemeru.</w:t>
      </w:r>
    </w:p>
    <w:p w14:paraId="077C96F8"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b>
        </m:sSub>
      </m:oMath>
      <w:r w:rsidRPr="002B6661">
        <w:rPr>
          <w:rFonts w:ascii="Times New Roman" w:hAnsi="Times New Roman"/>
          <w:color w:val="000000" w:themeColor="text1"/>
          <w:sz w:val="24"/>
          <w:szCs w:val="24"/>
        </w:rPr>
        <w:t xml:space="preserve"> potom vyjadrujú odchýlky priemerných nákladov poistencov rovnakej vekovej skupiny, pohlavia a typu platiteľa, rovnakej farmaceuticko-nákladovej skupiny, rovnakej viacročnej nákladovej skupiny, rovnakej diagnosticko-nákladovej skupiny a rovnakej skupiny osôb so zdravotným postihnutím zaradených do konkrétnej nákladovej skupiny zdravotníckych pomôcok od populačného priemeru.</w:t>
      </w:r>
    </w:p>
    <w:p w14:paraId="5A02F0CE"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Koeficienty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b>
        </m:sSub>
      </m:oMath>
      <w:r w:rsidRPr="002B6661">
        <w:rPr>
          <w:rFonts w:ascii="Times New Roman" w:hAnsi="Times New Roman"/>
          <w:color w:val="000000" w:themeColor="text1"/>
          <w:sz w:val="24"/>
          <w:szCs w:val="24"/>
        </w:rPr>
        <w:t xml:space="preserve"> potom vyjadrujú odchýlky priemerných nákladov poistencov rovnakej vekovej skupiny, pohlavia a typu platiteľa, rovnakej farmaceuticko-nákladovej skupiny, rovnakej viacročnej nákladovej skupiny, rovnakej diagnosticko-nákladovej skupiny a rovnakej nákladovej skupiny zdravotníckych pomôcok zaradených do konkrét</w:t>
      </w:r>
      <w:r w:rsidR="000844B8" w:rsidRPr="002B6661">
        <w:rPr>
          <w:rFonts w:ascii="Times New Roman" w:hAnsi="Times New Roman"/>
          <w:color w:val="000000" w:themeColor="text1"/>
          <w:sz w:val="24"/>
          <w:szCs w:val="24"/>
        </w:rPr>
        <w:t>n</w:t>
      </w:r>
      <w:r w:rsidRPr="002B6661">
        <w:rPr>
          <w:rFonts w:ascii="Times New Roman" w:hAnsi="Times New Roman"/>
          <w:color w:val="000000" w:themeColor="text1"/>
          <w:sz w:val="24"/>
          <w:szCs w:val="24"/>
        </w:rPr>
        <w:t>ej skupiny osôb so zdravotným postihnutím od populačného priemeru.</w:t>
      </w:r>
    </w:p>
    <w:p w14:paraId="7CC3BD6D"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Platí, že:</w:t>
      </w:r>
    </w:p>
    <w:p w14:paraId="7C46FF65" w14:textId="77777777" w:rsidR="003A5D23" w:rsidRPr="002B6661" w:rsidRDefault="00946399" w:rsidP="001A031C">
      <w:pPr>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r>
            <w:rPr>
              <w:rFonts w:ascii="Cambria Math" w:hAnsi="Cambria Math"/>
              <w:color w:val="000000" w:themeColor="text1"/>
              <w:sz w:val="24"/>
              <w:szCs w:val="24"/>
            </w:rPr>
            <m:t xml:space="preserve"> </m:t>
          </m:r>
          <m:d>
            <m:dPr>
              <m:ctrlPr>
                <w:rPr>
                  <w:rFonts w:ascii="Cambria Math" w:hAnsi="Cambria Math"/>
                  <w:i/>
                  <w:color w:val="000000" w:themeColor="text1"/>
                  <w:sz w:val="24"/>
                  <w:szCs w:val="24"/>
                </w:rPr>
              </m:ctrlPr>
            </m:dPr>
            <m:e>
              <m:r>
                <w:rPr>
                  <w:rFonts w:ascii="Cambria Math" w:hAnsi="Cambria Math"/>
                  <w:color w:val="000000" w:themeColor="text1"/>
                  <w:sz w:val="24"/>
                  <w:szCs w:val="24"/>
                </w:rPr>
                <m:t xml:space="preserve">1+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DEM</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DEM</m:t>
                      </m:r>
                    </m:sup>
                  </m:sSubSup>
                </m:e>
              </m:nary>
              <m:r>
                <w:rPr>
                  <w:rFonts w:ascii="Cambria Math" w:hAnsi="Cambria Math"/>
                  <w:color w:val="000000" w:themeColor="text1"/>
                  <w:sz w:val="24"/>
                  <w:szCs w:val="24"/>
                </w:rPr>
                <m:t xml:space="preserve">+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PCG</m:t>
                      </m:r>
                    </m:sup>
                  </m:sSubSup>
                </m:e>
              </m:nary>
              <m:r>
                <w:rPr>
                  <w:rFonts w:ascii="Cambria Math" w:hAnsi="Cambria Math"/>
                  <w:color w:val="000000" w:themeColor="text1"/>
                  <w:sz w:val="24"/>
                  <w:szCs w:val="24"/>
                </w:rPr>
                <m:t xml:space="preserve">+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VRNI</m:t>
                      </m:r>
                    </m:sup>
                  </m:sSubSup>
                </m:e>
              </m:nary>
              <m:r>
                <w:rPr>
                  <w:rFonts w:ascii="Cambria Math" w:hAnsi="Cambria Math"/>
                  <w:color w:val="000000" w:themeColor="text1"/>
                  <w:sz w:val="24"/>
                  <w:szCs w:val="24"/>
                </w:rPr>
                <m:t xml:space="preserve">+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DCG</m:t>
                      </m:r>
                    </m:sup>
                  </m:sSubSup>
                </m:e>
              </m:nary>
              <m:r>
                <w:rPr>
                  <w:rFonts w:ascii="Cambria Math" w:hAnsi="Cambria Math"/>
                  <w:color w:val="000000" w:themeColor="text1"/>
                  <w:sz w:val="24"/>
                  <w:szCs w:val="24"/>
                </w:rPr>
                <m:t xml:space="preserve">+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MECG</m:t>
                      </m:r>
                    </m:sup>
                  </m:sSubSup>
                </m:e>
              </m:nary>
              <m:r>
                <w:rPr>
                  <w:rFonts w:ascii="Cambria Math" w:hAnsi="Cambria Math"/>
                  <w:color w:val="000000" w:themeColor="text1"/>
                  <w:sz w:val="24"/>
                  <w:szCs w:val="24"/>
                </w:rPr>
                <m:t xml:space="preserve">+ </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j=1</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j</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I</m:t>
                      </m:r>
                    </m:e>
                    <m:sub>
                      <m:r>
                        <w:rPr>
                          <w:rFonts w:ascii="Cambria Math" w:hAnsi="Cambria Math"/>
                          <w:color w:val="000000" w:themeColor="text1"/>
                          <w:sz w:val="24"/>
                          <w:szCs w:val="24"/>
                        </w:rPr>
                        <m:t>i,j</m:t>
                      </m:r>
                    </m:sub>
                    <m:sup>
                      <m:r>
                        <w:rPr>
                          <w:rFonts w:ascii="Cambria Math" w:hAnsi="Cambria Math"/>
                          <w:color w:val="000000" w:themeColor="text1"/>
                          <w:sz w:val="24"/>
                          <w:szCs w:val="24"/>
                        </w:rPr>
                        <m:t>POS</m:t>
                      </m:r>
                    </m:sup>
                  </m:sSubSup>
                </m:e>
              </m:nary>
            </m:e>
          </m:d>
        </m:oMath>
      </m:oMathPara>
    </w:p>
    <w:p w14:paraId="6A46B0CC" w14:textId="77777777" w:rsidR="003A5D23" w:rsidRPr="002B6661" w:rsidRDefault="00946399" w:rsidP="001A031C">
      <w:pPr>
        <w:spacing w:after="0"/>
        <w:jc w:val="both"/>
        <w:rPr>
          <w:rFonts w:ascii="Times New Roman" w:hAnsi="Times New Roman"/>
          <w:i/>
          <w:color w:val="000000" w:themeColor="text1"/>
          <w:sz w:val="24"/>
          <w:szCs w:val="24"/>
        </w:rPr>
      </w:pPr>
      <m:oMath>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e>
          <m:sub>
            <m:r>
              <w:rPr>
                <w:rFonts w:ascii="Cambria Math" w:hAnsi="Cambria Math"/>
                <w:color w:val="000000" w:themeColor="text1"/>
                <w:sz w:val="24"/>
                <w:szCs w:val="24"/>
              </w:rPr>
              <m:t>i</m:t>
            </m:r>
          </m:sub>
        </m:sSub>
      </m:oMath>
      <w:r w:rsidR="003A5D23" w:rsidRPr="002B6661">
        <w:rPr>
          <w:rFonts w:ascii="Times New Roman" w:hAnsi="Times New Roman"/>
          <w:color w:val="000000" w:themeColor="text1"/>
          <w:sz w:val="24"/>
          <w:szCs w:val="24"/>
        </w:rPr>
        <w:t xml:space="preserve"> – predikované náklady pre poistenca </w:t>
      </w:r>
      <w:r w:rsidR="003A5D23" w:rsidRPr="002B6661">
        <w:rPr>
          <w:rFonts w:ascii="Times New Roman" w:hAnsi="Times New Roman"/>
          <w:i/>
          <w:color w:val="000000" w:themeColor="text1"/>
          <w:sz w:val="24"/>
          <w:szCs w:val="24"/>
        </w:rPr>
        <w:t>i</w:t>
      </w:r>
    </w:p>
    <w:p w14:paraId="60453380" w14:textId="77777777" w:rsidR="003A5D23" w:rsidRPr="002B6661" w:rsidRDefault="00946399" w:rsidP="001A031C">
      <w:pPr>
        <w:spacing w:after="0"/>
        <w:jc w:val="both"/>
        <w:rPr>
          <w:rFonts w:ascii="Times New Roman" w:hAnsi="Times New Roman"/>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oMath>
      <w:r w:rsidR="003A5D23" w:rsidRPr="002B6661">
        <w:rPr>
          <w:rFonts w:ascii="Times New Roman" w:hAnsi="Times New Roman"/>
          <w:color w:val="000000" w:themeColor="text1"/>
          <w:sz w:val="24"/>
          <w:szCs w:val="24"/>
        </w:rPr>
        <w:t xml:space="preserve"> – priemerné mesačné náklady pre populáciu</w:t>
      </w:r>
    </w:p>
    <w:p w14:paraId="349B095A"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demografickej skupiny definovanej vekovou skupinou, pohlavím a typom platiteľa</w:t>
      </w:r>
    </w:p>
    <w:p w14:paraId="38A36D1B"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PCG skupiny</w:t>
      </w:r>
    </w:p>
    <w:p w14:paraId="75ABC23C"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VRNI skupiny</w:t>
      </w:r>
    </w:p>
    <w:p w14:paraId="41ED95EA"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DCG skupiny</w:t>
      </w:r>
    </w:p>
    <w:p w14:paraId="21E53970"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MECG skupiny</w:t>
      </w:r>
    </w:p>
    <w:p w14:paraId="36F2444A" w14:textId="77777777" w:rsidR="003A5D23" w:rsidRPr="002B6661" w:rsidRDefault="00946399" w:rsidP="001A031C">
      <w:pPr>
        <w:spacing w:after="0"/>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j</m:t>
            </m:r>
          </m:sub>
        </m:sSub>
      </m:oMath>
      <w:r w:rsidR="003A5D23" w:rsidRPr="002B6661">
        <w:rPr>
          <w:rFonts w:ascii="Times New Roman" w:hAnsi="Times New Roman"/>
          <w:color w:val="000000" w:themeColor="text1"/>
          <w:sz w:val="24"/>
          <w:szCs w:val="24"/>
        </w:rPr>
        <w:t xml:space="preserve"> – koeficient skupiny osôb so zdravotným postihnutím definovanej príznakom zdrav</w:t>
      </w:r>
      <w:r w:rsidR="00B77B75" w:rsidRPr="002B6661">
        <w:rPr>
          <w:rFonts w:ascii="Times New Roman" w:hAnsi="Times New Roman"/>
          <w:color w:val="000000" w:themeColor="text1"/>
          <w:sz w:val="24"/>
          <w:szCs w:val="24"/>
        </w:rPr>
        <w:t>ot</w:t>
      </w:r>
      <w:r w:rsidR="003A5D23" w:rsidRPr="002B6661">
        <w:rPr>
          <w:rFonts w:ascii="Times New Roman" w:hAnsi="Times New Roman"/>
          <w:color w:val="000000" w:themeColor="text1"/>
          <w:sz w:val="24"/>
          <w:szCs w:val="24"/>
        </w:rPr>
        <w:t>ného postihnutia a vekovou skupinou</w:t>
      </w:r>
    </w:p>
    <w:p w14:paraId="3252794D" w14:textId="77777777" w:rsidR="003A5D23" w:rsidRPr="002B6661" w:rsidRDefault="003A5D23" w:rsidP="001A031C">
      <w:pPr>
        <w:spacing w:after="0"/>
        <w:jc w:val="both"/>
        <w:rPr>
          <w:rFonts w:ascii="Times New Roman" w:hAnsi="Times New Roman"/>
          <w:color w:val="000000" w:themeColor="text1"/>
          <w:sz w:val="24"/>
          <w:szCs w:val="24"/>
        </w:rPr>
      </w:pPr>
    </w:p>
    <w:p w14:paraId="21044209"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w:p>
    <w:p w14:paraId="3B662A30" w14:textId="77777777" w:rsidR="003A5D23" w:rsidRPr="002B6661" w:rsidRDefault="00946399" w:rsidP="001A031C">
      <w:pPr>
        <w:spacing w:after="0"/>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DEM</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DEM</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68E7CDE5"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skupiny podľa vekovej skupiny, pohlavia a typu platiteľa.</w:t>
      </w:r>
    </w:p>
    <w:p w14:paraId="1FD2B3D8"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m:oMath>
        <m:r>
          <m:rPr>
            <m:sty m:val="p"/>
          </m:rPr>
          <w:rPr>
            <w:rFonts w:ascii="Cambria Math" w:hAnsi="Cambria Math"/>
            <w:color w:val="000000" w:themeColor="text1"/>
            <w:sz w:val="24"/>
            <w:szCs w:val="24"/>
          </w:rPr>
          <w:br/>
        </m:r>
      </m:oMath>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PCG</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649061D8"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farmaceuticko-nákladové skupiny.</w:t>
      </w:r>
    </w:p>
    <w:p w14:paraId="1206983A"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w:p>
    <w:p w14:paraId="220AAD1B" w14:textId="77777777" w:rsidR="003A5D23" w:rsidRPr="002B6661" w:rsidRDefault="00946399" w:rsidP="001A031C">
      <w:pPr>
        <w:spacing w:after="0"/>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VRNI</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546ED76E"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viacročné nákladové skupiny.</w:t>
      </w:r>
    </w:p>
    <w:p w14:paraId="3B4B8674"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w:p>
    <w:p w14:paraId="5B71F4C5" w14:textId="77777777" w:rsidR="003A5D23" w:rsidRPr="002B6661" w:rsidRDefault="00946399" w:rsidP="001A031C">
      <w:pPr>
        <w:spacing w:after="0"/>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DCG</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3F3A19C1"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diagnosticko-nákladové skupiny.</w:t>
      </w:r>
    </w:p>
    <w:p w14:paraId="32FACDEA"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w:p>
    <w:p w14:paraId="5ABA6AD0" w14:textId="77777777" w:rsidR="003A5D23" w:rsidRPr="002B6661" w:rsidRDefault="00946399" w:rsidP="001A031C">
      <w:pPr>
        <w:spacing w:after="0"/>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MECG</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5CA3D28F"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nákladové skupiny zdravotníckych</w:t>
      </w:r>
      <w:r w:rsidR="00B77B75" w:rsidRPr="002B6661">
        <w:rPr>
          <w:rFonts w:ascii="Times New Roman" w:hAnsi="Times New Roman"/>
          <w:color w:val="000000" w:themeColor="text1"/>
          <w:sz w:val="24"/>
          <w:szCs w:val="24"/>
        </w:rPr>
        <w:t xml:space="preserve"> </w:t>
      </w:r>
      <w:r w:rsidRPr="002B6661">
        <w:rPr>
          <w:rFonts w:ascii="Times New Roman" w:hAnsi="Times New Roman"/>
          <w:color w:val="000000" w:themeColor="text1"/>
          <w:sz w:val="24"/>
          <w:szCs w:val="24"/>
        </w:rPr>
        <w:t>pomôcok.</w:t>
      </w:r>
    </w:p>
    <w:p w14:paraId="13D1A593"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Koeficienty</w:t>
      </w:r>
    </w:p>
    <w:p w14:paraId="6CC9A1E9" w14:textId="77777777" w:rsidR="003A5D23" w:rsidRPr="002B6661" w:rsidRDefault="00946399" w:rsidP="001A031C">
      <w:pPr>
        <w:spacing w:after="0"/>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1</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2</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r>
                    <w:rPr>
                      <w:rFonts w:ascii="Cambria Math" w:hAnsi="Cambria Math"/>
                      <w:color w:val="000000" w:themeColor="text1"/>
                      <w:sz w:val="24"/>
                      <w:szCs w:val="24"/>
                    </w:rPr>
                    <m:t>2</m:t>
                  </m:r>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ω</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POS</m:t>
                      </m:r>
                    </m:sub>
                  </m:sSub>
                </m:sub>
              </m:sSub>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y</m:t>
                  </m:r>
                </m:e>
              </m:acc>
            </m:den>
          </m:f>
        </m:oMath>
      </m:oMathPara>
    </w:p>
    <w:p w14:paraId="5D13323B"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predstavujú nákladové indexy pre jednotlivé skupiny osôb so zdravotným postihnutím.</w:t>
      </w:r>
    </w:p>
    <w:p w14:paraId="447AF1E7" w14:textId="77777777" w:rsidR="003A5D23" w:rsidRPr="002B6661" w:rsidRDefault="003A5D23" w:rsidP="001A031C">
      <w:pPr>
        <w:spacing w:after="0"/>
        <w:jc w:val="both"/>
        <w:rPr>
          <w:rFonts w:ascii="Times New Roman" w:hAnsi="Times New Roman"/>
          <w:color w:val="000000" w:themeColor="text1"/>
          <w:sz w:val="24"/>
          <w:szCs w:val="24"/>
        </w:rPr>
      </w:pPr>
    </w:p>
    <w:p w14:paraId="3B9EF70C"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Demografické indexy rizika sa pre potreby prerozdelenia vyjadria ako 1 + B</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čo predstavuje súčet priemerného indexu a odchýlky od priemerného indexu. Indexy farmaceuticko-nákladových skupín sa vyjadria ako C</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indexy viacročných nákladových skupín ako D</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indexy diagnosticko-nákladových skupín ako F</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indexy nákladových skupín zdravotníckych pomôcok ako G</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xml:space="preserve"> a indexy skupín osôb so zdravotným postihnutím ako H</w:t>
      </w:r>
      <w:r w:rsidRPr="002B6661">
        <w:rPr>
          <w:rFonts w:ascii="Times New Roman" w:hAnsi="Times New Roman"/>
          <w:color w:val="000000" w:themeColor="text1"/>
          <w:sz w:val="24"/>
          <w:szCs w:val="24"/>
          <w:vertAlign w:val="subscript"/>
        </w:rPr>
        <w:t>i</w:t>
      </w:r>
      <w:r w:rsidRPr="002B6661">
        <w:rPr>
          <w:rFonts w:ascii="Times New Roman" w:hAnsi="Times New Roman"/>
          <w:color w:val="000000" w:themeColor="text1"/>
          <w:sz w:val="24"/>
          <w:szCs w:val="24"/>
        </w:rPr>
        <w:t xml:space="preserve"> ako dodatočné indexy k demografickém indexu.</w:t>
      </w:r>
    </w:p>
    <w:p w14:paraId="5C784FD0" w14:textId="77777777" w:rsidR="003A5D23" w:rsidRPr="002B6661" w:rsidRDefault="003A5D23" w:rsidP="001A031C">
      <w:pPr>
        <w:spacing w:after="0"/>
        <w:jc w:val="both"/>
        <w:rPr>
          <w:rFonts w:ascii="Times New Roman" w:hAnsi="Times New Roman"/>
          <w:color w:val="000000" w:themeColor="text1"/>
          <w:sz w:val="24"/>
          <w:szCs w:val="24"/>
        </w:rPr>
      </w:pPr>
    </w:p>
    <w:p w14:paraId="0E9AD135" w14:textId="12FAA5C2" w:rsidR="003A5D23" w:rsidRPr="002B6661" w:rsidRDefault="0033387F" w:rsidP="001A031C">
      <w:pPr>
        <w:jc w:val="both"/>
        <w:rPr>
          <w:rFonts w:ascii="Times New Roman" w:hAnsi="Times New Roman"/>
          <w:b/>
          <w:color w:val="000000" w:themeColor="text1"/>
          <w:sz w:val="24"/>
          <w:szCs w:val="24"/>
        </w:rPr>
      </w:pPr>
      <w:r w:rsidRPr="002B6661">
        <w:rPr>
          <w:rFonts w:ascii="Times New Roman" w:hAnsi="Times New Roman"/>
          <w:b/>
          <w:color w:val="000000" w:themeColor="text1"/>
          <w:sz w:val="24"/>
          <w:szCs w:val="24"/>
        </w:rPr>
        <w:lastRenderedPageBreak/>
        <w:t>Metodika zhlukovania</w:t>
      </w:r>
    </w:p>
    <w:p w14:paraId="64588E48"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Diagnosticko-nákladové skupiny sú z diagnostických skupín vytvorené metódou aglomeratívneho hierarchického zhlukovania, ktorá využíva Wardovo kritérium na určenie poradia spájania (zhlukovania) diagnostických skupín.</w:t>
      </w:r>
    </w:p>
    <w:p w14:paraId="34574A8E"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Na začiatku sa pre každú diagnostickú skupinu vypočítaju priemerné celkové náklady poistencov, ktorý patria do danej skupiny (jeden poistenec môže patriť do viacerých diagnostických skupín), k</w:t>
      </w:r>
      <w:r w:rsidR="000844B8" w:rsidRPr="002B6661">
        <w:rPr>
          <w:rFonts w:ascii="Times New Roman" w:hAnsi="Times New Roman"/>
          <w:color w:val="000000" w:themeColor="text1"/>
          <w:sz w:val="24"/>
          <w:szCs w:val="24"/>
        </w:rPr>
        <w:t>t</w:t>
      </w:r>
      <w:r w:rsidRPr="002B6661">
        <w:rPr>
          <w:rFonts w:ascii="Times New Roman" w:hAnsi="Times New Roman"/>
          <w:color w:val="000000" w:themeColor="text1"/>
          <w:sz w:val="24"/>
          <w:szCs w:val="24"/>
        </w:rPr>
        <w:t>oré slúžia na výpočet vzdialenosti medzi skupinami.</w:t>
      </w:r>
    </w:p>
    <w:p w14:paraId="13D400BB"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 xml:space="preserve">Vzdialenosť medzi diagnostickými skupinami </w:t>
      </w:r>
      <w:r w:rsidR="000844B8" w:rsidRPr="002B6661">
        <w:rPr>
          <w:rFonts w:ascii="Times New Roman" w:hAnsi="Times New Roman"/>
          <w:color w:val="000000" w:themeColor="text1"/>
          <w:sz w:val="24"/>
          <w:szCs w:val="24"/>
        </w:rPr>
        <w:t>v</w:t>
      </w:r>
      <w:r w:rsidRPr="002B6661">
        <w:rPr>
          <w:rFonts w:ascii="Times New Roman" w:hAnsi="Times New Roman"/>
          <w:color w:val="000000" w:themeColor="text1"/>
          <w:sz w:val="24"/>
          <w:szCs w:val="24"/>
        </w:rPr>
        <w:t>zhľadom na Wardovo kritérium je vypočítaná nasledovne:</w:t>
      </w:r>
    </w:p>
    <w:p w14:paraId="472CC2ED" w14:textId="77777777" w:rsidR="003A5D23" w:rsidRPr="002B6661" w:rsidRDefault="00946399" w:rsidP="001A031C">
      <w:pPr>
        <w:spacing w:after="0"/>
        <w:jc w:val="both"/>
        <w:rPr>
          <w:rFonts w:ascii="Times New Roman" w:hAnsi="Times New Roman"/>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i,j</m:t>
              </m:r>
            </m:sub>
          </m:sSub>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e>
                <m:sub>
                  <m:r>
                    <w:rPr>
                      <w:rFonts w:ascii="Cambria Math" w:hAnsi="Cambria Math"/>
                      <w:color w:val="000000" w:themeColor="text1"/>
                      <w:sz w:val="24"/>
                      <w:szCs w:val="24"/>
                    </w:rPr>
                    <m:t>j</m:t>
                  </m:r>
                </m:sub>
              </m:sSub>
              <m:r>
                <w:rPr>
                  <w:rFonts w:ascii="Cambria Math" w:hAnsi="Cambria Math"/>
                  <w:color w:val="000000" w:themeColor="text1"/>
                  <w:sz w:val="24"/>
                  <w:szCs w:val="24"/>
                </w:rPr>
                <m:t>)</m:t>
              </m:r>
            </m:e>
            <m:sup>
              <m:r>
                <w:rPr>
                  <w:rFonts w:ascii="Cambria Math" w:hAnsi="Cambria Math"/>
                  <w:color w:val="000000" w:themeColor="text1"/>
                  <w:sz w:val="24"/>
                  <w:szCs w:val="24"/>
                </w:rPr>
                <m:t>2</m:t>
              </m:r>
            </m:sup>
          </m:sSup>
        </m:oMath>
      </m:oMathPara>
    </w:p>
    <w:p w14:paraId="6143F4DB"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kde:</w:t>
      </w:r>
    </w:p>
    <w:p w14:paraId="071562A8" w14:textId="77777777" w:rsidR="003A5D23" w:rsidRPr="002B6661" w:rsidRDefault="003A5D23" w:rsidP="001A031C">
      <w:pPr>
        <w:spacing w:after="0"/>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d</w:t>
      </w:r>
      <w:r w:rsidRPr="002B6661">
        <w:rPr>
          <w:rFonts w:ascii="Times New Roman" w:hAnsi="Times New Roman"/>
          <w:color w:val="000000" w:themeColor="text1"/>
          <w:sz w:val="24"/>
          <w:szCs w:val="24"/>
          <w:vertAlign w:val="subscript"/>
        </w:rPr>
        <w:t>i,j</w:t>
      </w:r>
      <w:r w:rsidRPr="002B6661">
        <w:rPr>
          <w:rFonts w:ascii="Times New Roman" w:hAnsi="Times New Roman"/>
          <w:color w:val="000000" w:themeColor="text1"/>
          <w:sz w:val="24"/>
          <w:szCs w:val="24"/>
        </w:rPr>
        <w:t xml:space="preserve"> – vizdialenosť nedzi diagnostickými skupinami </w:t>
      </w:r>
      <w:r w:rsidRPr="002B6661">
        <w:rPr>
          <w:rFonts w:ascii="Times New Roman" w:hAnsi="Times New Roman"/>
          <w:i/>
          <w:color w:val="000000" w:themeColor="text1"/>
          <w:sz w:val="24"/>
          <w:szCs w:val="24"/>
        </w:rPr>
        <w:t>i</w:t>
      </w:r>
      <w:r w:rsidRPr="002B6661">
        <w:rPr>
          <w:rFonts w:ascii="Times New Roman" w:hAnsi="Times New Roman"/>
          <w:color w:val="000000" w:themeColor="text1"/>
          <w:sz w:val="24"/>
          <w:szCs w:val="24"/>
        </w:rPr>
        <w:t> a </w:t>
      </w:r>
      <w:r w:rsidRPr="002B6661">
        <w:rPr>
          <w:rFonts w:ascii="Times New Roman" w:hAnsi="Times New Roman"/>
          <w:i/>
          <w:color w:val="000000" w:themeColor="text1"/>
          <w:sz w:val="24"/>
          <w:szCs w:val="24"/>
        </w:rPr>
        <w:t>j</w:t>
      </w:r>
    </w:p>
    <w:p w14:paraId="5A768C7D" w14:textId="77777777" w:rsidR="003A5D23" w:rsidRPr="002B6661" w:rsidRDefault="00946399" w:rsidP="001A031C">
      <w:pPr>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e>
          <m:sub>
            <m:r>
              <w:rPr>
                <w:rFonts w:ascii="Cambria Math" w:hAnsi="Cambria Math"/>
                <w:color w:val="000000" w:themeColor="text1"/>
                <w:sz w:val="24"/>
                <w:szCs w:val="24"/>
              </w:rPr>
              <m:t>i</m:t>
            </m:r>
          </m:sub>
        </m:sSub>
      </m:oMath>
      <w:r w:rsidR="003A5D23" w:rsidRPr="002B6661">
        <w:rPr>
          <w:rFonts w:ascii="Times New Roman" w:hAnsi="Times New Roman"/>
          <w:color w:val="000000" w:themeColor="text1"/>
          <w:sz w:val="24"/>
          <w:szCs w:val="24"/>
        </w:rPr>
        <w:t xml:space="preserve"> – priemerné celkové náklady poistencov v diagnostickej skupine </w:t>
      </w:r>
      <w:r w:rsidR="003A5D23" w:rsidRPr="002B6661">
        <w:rPr>
          <w:rFonts w:ascii="Times New Roman" w:hAnsi="Times New Roman"/>
          <w:i/>
          <w:color w:val="000000" w:themeColor="text1"/>
          <w:sz w:val="24"/>
          <w:szCs w:val="24"/>
        </w:rPr>
        <w:t>i</w:t>
      </w:r>
    </w:p>
    <w:p w14:paraId="7634EFA8"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V každom kroku sú zlúčené dve skupiny s najmenšou vzdialenosťou, ktoré takto vytvoria novú skupinu, a vzdialenosti medzi skupinami sú prepočítané vzhľadom na túto novú skupinu.</w:t>
      </w:r>
    </w:p>
    <w:p w14:paraId="67DB0840" w14:textId="77777777" w:rsidR="003A5D23" w:rsidRPr="002B6661" w:rsidRDefault="003A5D23" w:rsidP="001A031C">
      <w:pPr>
        <w:jc w:val="both"/>
        <w:rPr>
          <w:rFonts w:ascii="Times New Roman" w:hAnsi="Times New Roman"/>
          <w:color w:val="000000" w:themeColor="text1"/>
          <w:sz w:val="24"/>
          <w:szCs w:val="24"/>
        </w:rPr>
      </w:pPr>
      <w:r w:rsidRPr="002B6661">
        <w:rPr>
          <w:rFonts w:ascii="Times New Roman" w:hAnsi="Times New Roman"/>
          <w:color w:val="000000" w:themeColor="text1"/>
          <w:sz w:val="24"/>
          <w:szCs w:val="24"/>
        </w:rPr>
        <w:t>Keď zostávajúci počet skupín je rovný požadovanému počtu N</w:t>
      </w:r>
      <w:r w:rsidRPr="002B6661">
        <w:rPr>
          <w:rFonts w:ascii="Times New Roman" w:hAnsi="Times New Roman"/>
          <w:color w:val="000000" w:themeColor="text1"/>
          <w:sz w:val="24"/>
          <w:szCs w:val="24"/>
          <w:vertAlign w:val="subscript"/>
        </w:rPr>
        <w:t>DCG</w:t>
      </w:r>
      <w:r w:rsidRPr="002B6661">
        <w:rPr>
          <w:rFonts w:ascii="Times New Roman" w:hAnsi="Times New Roman"/>
          <w:color w:val="000000" w:themeColor="text1"/>
          <w:sz w:val="24"/>
          <w:szCs w:val="24"/>
        </w:rPr>
        <w:t>, algoritmus skončí.</w:t>
      </w:r>
    </w:p>
    <w:p w14:paraId="58D861C8" w14:textId="77777777" w:rsidR="003A5D23" w:rsidRPr="002B6661" w:rsidRDefault="003A5D23" w:rsidP="001A031C">
      <w:pPr>
        <w:spacing w:after="0"/>
        <w:jc w:val="both"/>
        <w:rPr>
          <w:rFonts w:ascii="Times New Roman" w:hAnsi="Times New Roman"/>
          <w:sz w:val="24"/>
          <w:szCs w:val="24"/>
        </w:rPr>
      </w:pPr>
    </w:p>
    <w:p w14:paraId="002C0A08" w14:textId="77777777" w:rsidR="003A5D23" w:rsidRPr="002B6661" w:rsidRDefault="003A5D23" w:rsidP="001A031C">
      <w:pPr>
        <w:jc w:val="both"/>
        <w:rPr>
          <w:rFonts w:ascii="Times New Roman" w:hAnsi="Times New Roman"/>
          <w:color w:val="FF0000"/>
          <w:sz w:val="24"/>
          <w:szCs w:val="24"/>
        </w:rPr>
      </w:pPr>
    </w:p>
    <w:p w14:paraId="34897640" w14:textId="77777777" w:rsidR="003A5D23" w:rsidRPr="002B6661" w:rsidRDefault="003A5D23" w:rsidP="001A031C">
      <w:pPr>
        <w:jc w:val="both"/>
        <w:rPr>
          <w:rFonts w:ascii="Times New Roman" w:hAnsi="Times New Roman"/>
          <w:color w:val="FF0000"/>
          <w:sz w:val="24"/>
          <w:szCs w:val="24"/>
        </w:rPr>
      </w:pPr>
    </w:p>
    <w:p w14:paraId="188A4893" w14:textId="77777777" w:rsidR="003A5D23" w:rsidRPr="002B6661" w:rsidRDefault="003A5D23" w:rsidP="001A031C">
      <w:pPr>
        <w:spacing w:after="0"/>
        <w:jc w:val="both"/>
        <w:rPr>
          <w:rFonts w:ascii="Times New Roman" w:hAnsi="Times New Roman"/>
          <w:color w:val="FF0000"/>
          <w:sz w:val="24"/>
          <w:szCs w:val="24"/>
        </w:rPr>
      </w:pPr>
    </w:p>
    <w:p w14:paraId="0C0EF0AB" w14:textId="77777777" w:rsidR="0062493A" w:rsidRPr="002B6661" w:rsidRDefault="0062493A" w:rsidP="001A031C">
      <w:pPr>
        <w:jc w:val="both"/>
        <w:rPr>
          <w:rFonts w:ascii="Times New Roman" w:hAnsi="Times New Roman"/>
          <w:sz w:val="24"/>
          <w:szCs w:val="24"/>
        </w:rPr>
      </w:pPr>
    </w:p>
    <w:sectPr w:rsidR="0062493A" w:rsidRPr="002B6661" w:rsidSect="00C301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2307D3B"/>
    <w:multiLevelType w:val="hybridMultilevel"/>
    <w:tmpl w:val="2FFE9A1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4253004"/>
    <w:multiLevelType w:val="hybridMultilevel"/>
    <w:tmpl w:val="787230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8"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69962C4"/>
    <w:multiLevelType w:val="hybridMultilevel"/>
    <w:tmpl w:val="68086F9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8A167C4"/>
    <w:multiLevelType w:val="hybridMultilevel"/>
    <w:tmpl w:val="24AC4B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A80CB7"/>
    <w:multiLevelType w:val="hybridMultilevel"/>
    <w:tmpl w:val="3C1C5E3C"/>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1B1F98"/>
    <w:multiLevelType w:val="hybridMultilevel"/>
    <w:tmpl w:val="6FE28C7C"/>
    <w:lvl w:ilvl="0" w:tplc="4672EA32">
      <w:start w:val="1"/>
      <w:numFmt w:val="bullet"/>
      <w:pStyle w:val="KONC-OBSAH"/>
      <w:lvlText w:val=""/>
      <w:lvlJc w:val="left"/>
      <w:pPr>
        <w:tabs>
          <w:tab w:val="num" w:pos="540"/>
        </w:tabs>
        <w:ind w:left="540" w:hanging="360"/>
      </w:pPr>
      <w:rPr>
        <w:rFonts w:ascii="Symbol" w:hAnsi="Symbol" w:cs="Symbol" w:hint="default"/>
      </w:rPr>
    </w:lvl>
    <w:lvl w:ilvl="1" w:tplc="22407E2E">
      <w:start w:val="1"/>
      <w:numFmt w:val="decimal"/>
      <w:lvlText w:val="%2."/>
      <w:lvlJc w:val="left"/>
      <w:pPr>
        <w:tabs>
          <w:tab w:val="num" w:pos="1440"/>
        </w:tabs>
        <w:ind w:left="1440" w:hanging="360"/>
      </w:pPr>
      <w:rPr>
        <w:rFonts w:hint="default"/>
      </w:rPr>
    </w:lvl>
    <w:lvl w:ilvl="2" w:tplc="16B6C234">
      <w:start w:val="1"/>
      <w:numFmt w:val="bullet"/>
      <w:lvlText w:val=""/>
      <w:lvlJc w:val="left"/>
      <w:pPr>
        <w:tabs>
          <w:tab w:val="num" w:pos="2160"/>
        </w:tabs>
        <w:ind w:left="2160" w:hanging="360"/>
      </w:pPr>
      <w:rPr>
        <w:rFonts w:ascii="Wingdings" w:hAnsi="Wingdings" w:cs="Wingdings" w:hint="default"/>
      </w:rPr>
    </w:lvl>
    <w:lvl w:ilvl="3" w:tplc="D91A4AAE">
      <w:start w:val="1"/>
      <w:numFmt w:val="bullet"/>
      <w:lvlText w:val=""/>
      <w:lvlJc w:val="left"/>
      <w:pPr>
        <w:tabs>
          <w:tab w:val="num" w:pos="2880"/>
        </w:tabs>
        <w:ind w:left="2880" w:hanging="360"/>
      </w:pPr>
      <w:rPr>
        <w:rFonts w:ascii="Symbol" w:hAnsi="Symbol" w:cs="Symbol" w:hint="default"/>
      </w:rPr>
    </w:lvl>
    <w:lvl w:ilvl="4" w:tplc="6E1A624E">
      <w:start w:val="1"/>
      <w:numFmt w:val="bullet"/>
      <w:lvlText w:val="o"/>
      <w:lvlJc w:val="left"/>
      <w:pPr>
        <w:tabs>
          <w:tab w:val="num" w:pos="3600"/>
        </w:tabs>
        <w:ind w:left="3600" w:hanging="360"/>
      </w:pPr>
      <w:rPr>
        <w:rFonts w:ascii="Courier New" w:hAnsi="Courier New" w:cs="Courier New" w:hint="default"/>
      </w:rPr>
    </w:lvl>
    <w:lvl w:ilvl="5" w:tplc="A7BA0CA6">
      <w:start w:val="1"/>
      <w:numFmt w:val="bullet"/>
      <w:lvlText w:val=""/>
      <w:lvlJc w:val="left"/>
      <w:pPr>
        <w:tabs>
          <w:tab w:val="num" w:pos="4320"/>
        </w:tabs>
        <w:ind w:left="4320" w:hanging="360"/>
      </w:pPr>
      <w:rPr>
        <w:rFonts w:ascii="Wingdings" w:hAnsi="Wingdings" w:cs="Wingdings" w:hint="default"/>
      </w:rPr>
    </w:lvl>
    <w:lvl w:ilvl="6" w:tplc="B56460DC">
      <w:start w:val="1"/>
      <w:numFmt w:val="bullet"/>
      <w:lvlText w:val=""/>
      <w:lvlJc w:val="left"/>
      <w:pPr>
        <w:tabs>
          <w:tab w:val="num" w:pos="5040"/>
        </w:tabs>
        <w:ind w:left="5040" w:hanging="360"/>
      </w:pPr>
      <w:rPr>
        <w:rFonts w:ascii="Symbol" w:hAnsi="Symbol" w:cs="Symbol" w:hint="default"/>
      </w:rPr>
    </w:lvl>
    <w:lvl w:ilvl="7" w:tplc="6B68EDAC">
      <w:start w:val="1"/>
      <w:numFmt w:val="bullet"/>
      <w:lvlText w:val="o"/>
      <w:lvlJc w:val="left"/>
      <w:pPr>
        <w:tabs>
          <w:tab w:val="num" w:pos="5760"/>
        </w:tabs>
        <w:ind w:left="5760" w:hanging="360"/>
      </w:pPr>
      <w:rPr>
        <w:rFonts w:ascii="Courier New" w:hAnsi="Courier New" w:cs="Courier New" w:hint="default"/>
      </w:rPr>
    </w:lvl>
    <w:lvl w:ilvl="8" w:tplc="9EC69DC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5"/>
  </w:num>
  <w:num w:numId="2">
    <w:abstractNumId w:val="13"/>
  </w:num>
  <w:num w:numId="3">
    <w:abstractNumId w:val="11"/>
  </w:num>
  <w:num w:numId="4">
    <w:abstractNumId w:val="1"/>
  </w:num>
  <w:num w:numId="5">
    <w:abstractNumId w:val="0"/>
  </w:num>
  <w:num w:numId="6">
    <w:abstractNumId w:val="12"/>
  </w:num>
  <w:num w:numId="7">
    <w:abstractNumId w:val="7"/>
  </w:num>
  <w:num w:numId="8">
    <w:abstractNumId w:val="8"/>
  </w:num>
  <w:num w:numId="9">
    <w:abstractNumId w:val="6"/>
  </w:num>
  <w:num w:numId="10">
    <w:abstractNumId w:val="4"/>
  </w:num>
  <w:num w:numId="11">
    <w:abstractNumId w:val="10"/>
  </w:num>
  <w:num w:numId="12">
    <w:abstractNumId w:val="2"/>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A8"/>
    <w:rsid w:val="00032520"/>
    <w:rsid w:val="000844B8"/>
    <w:rsid w:val="00195BA5"/>
    <w:rsid w:val="001A031C"/>
    <w:rsid w:val="001A52FE"/>
    <w:rsid w:val="002B6661"/>
    <w:rsid w:val="0033387F"/>
    <w:rsid w:val="003A5D23"/>
    <w:rsid w:val="00584A85"/>
    <w:rsid w:val="00622231"/>
    <w:rsid w:val="0062493A"/>
    <w:rsid w:val="00817108"/>
    <w:rsid w:val="008829A8"/>
    <w:rsid w:val="00907E44"/>
    <w:rsid w:val="00946399"/>
    <w:rsid w:val="009A4ACF"/>
    <w:rsid w:val="00A30552"/>
    <w:rsid w:val="00A31CF5"/>
    <w:rsid w:val="00A90D76"/>
    <w:rsid w:val="00AC5EEE"/>
    <w:rsid w:val="00AC7D62"/>
    <w:rsid w:val="00B66C3D"/>
    <w:rsid w:val="00B77B75"/>
    <w:rsid w:val="00C30172"/>
    <w:rsid w:val="00CA0616"/>
    <w:rsid w:val="00D2007E"/>
    <w:rsid w:val="00DC4E80"/>
    <w:rsid w:val="00E276CD"/>
    <w:rsid w:val="00F37F1E"/>
    <w:rsid w:val="00FD3CB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2993"/>
  <w15:chartTrackingRefBased/>
  <w15:docId w15:val="{CFEFE8EE-CF0F-4044-8A12-A6233453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9A8"/>
    <w:pPr>
      <w:spacing w:after="200" w:line="276" w:lineRule="auto"/>
    </w:pPr>
    <w:rPr>
      <w:rFonts w:ascii="Calibri" w:eastAsia="Calibri" w:hAnsi="Calibri" w:cs="Times New Roman"/>
      <w:sz w:val="22"/>
      <w:szCs w:val="22"/>
    </w:rPr>
  </w:style>
  <w:style w:type="paragraph" w:styleId="Nadpis1">
    <w:name w:val="heading 1"/>
    <w:aliases w:val="Nadpis 1T,NADPIS,Heading 11111,Kapitola,H1,V_Head1,Main Section,MainHeader"/>
    <w:basedOn w:val="Normlny"/>
    <w:next w:val="Normlny"/>
    <w:link w:val="Nadpis1Char"/>
    <w:uiPriority w:val="9"/>
    <w:qFormat/>
    <w:rsid w:val="002B6661"/>
    <w:pPr>
      <w:keepNext/>
      <w:numPr>
        <w:numId w:val="3"/>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2B6661"/>
    <w:pPr>
      <w:keepNext/>
      <w:numPr>
        <w:numId w:val="2"/>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2B6661"/>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2B6661"/>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2B6661"/>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2B6661"/>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2B6661"/>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2B6661"/>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2B6661"/>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8829A8"/>
    <w:rPr>
      <w:sz w:val="16"/>
      <w:szCs w:val="16"/>
    </w:rPr>
  </w:style>
  <w:style w:type="paragraph" w:styleId="Textkomentra">
    <w:name w:val="annotation text"/>
    <w:basedOn w:val="Normlny"/>
    <w:link w:val="TextkomentraChar"/>
    <w:uiPriority w:val="99"/>
    <w:unhideWhenUsed/>
    <w:rsid w:val="008829A8"/>
    <w:pPr>
      <w:spacing w:line="240" w:lineRule="auto"/>
    </w:pPr>
    <w:rPr>
      <w:sz w:val="20"/>
      <w:szCs w:val="20"/>
    </w:rPr>
  </w:style>
  <w:style w:type="character" w:customStyle="1" w:styleId="TextkomentraChar">
    <w:name w:val="Text komentára Char"/>
    <w:basedOn w:val="Predvolenpsmoodseku"/>
    <w:link w:val="Textkomentra"/>
    <w:uiPriority w:val="99"/>
    <w:rsid w:val="008829A8"/>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8829A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8829A8"/>
    <w:rPr>
      <w:rFonts w:ascii="Times New Roman" w:eastAsia="Calibri" w:hAnsi="Times New Roman" w:cs="Times New Roman"/>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
    <w:basedOn w:val="Normlny"/>
    <w:link w:val="OdsekzoznamuChar"/>
    <w:uiPriority w:val="34"/>
    <w:qFormat/>
    <w:rsid w:val="003A5D23"/>
    <w:pPr>
      <w:ind w:left="720"/>
      <w:contextualSpacing/>
    </w:pPr>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2B6661"/>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2B6661"/>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2B6661"/>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2B6661"/>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2B6661"/>
    <w:rPr>
      <w:rFonts w:ascii="Times New Roman" w:eastAsia="Times New Roman" w:hAnsi="Times New Roman" w:cs="Times New Roman"/>
      <w:b/>
      <w:sz w:val="22"/>
      <w:szCs w:val="20"/>
      <w:lang w:val="cs-CZ" w:eastAsia="sk-SK"/>
    </w:rPr>
  </w:style>
  <w:style w:type="character" w:customStyle="1" w:styleId="Nadpis6Char">
    <w:name w:val="Nadpis 6 Char"/>
    <w:basedOn w:val="Predvolenpsmoodseku"/>
    <w:link w:val="Nadpis6"/>
    <w:rsid w:val="002B6661"/>
    <w:rPr>
      <w:rFonts w:ascii="Times New Roman" w:eastAsia="Times New Roman" w:hAnsi="Times New Roman" w:cs="Times New Roman"/>
      <w:b/>
      <w:szCs w:val="20"/>
      <w:lang w:eastAsia="sk-SK"/>
    </w:rPr>
  </w:style>
  <w:style w:type="character" w:customStyle="1" w:styleId="Nadpis7Char">
    <w:name w:val="Nadpis 7 Char"/>
    <w:basedOn w:val="Predvolenpsmoodseku"/>
    <w:link w:val="Nadpis7"/>
    <w:rsid w:val="002B6661"/>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2B6661"/>
    <w:rPr>
      <w:rFonts w:ascii="Times New Roman" w:eastAsia="Times New Roman" w:hAnsi="Times New Roman" w:cs="Times New Roman"/>
      <w:b/>
      <w:szCs w:val="20"/>
      <w:lang w:eastAsia="sk-SK"/>
    </w:rPr>
  </w:style>
  <w:style w:type="character" w:customStyle="1" w:styleId="Nadpis9Char">
    <w:name w:val="Nadpis 9 Char"/>
    <w:basedOn w:val="Predvolenpsmoodseku"/>
    <w:link w:val="Nadpis9"/>
    <w:rsid w:val="002B6661"/>
    <w:rPr>
      <w:rFonts w:ascii="Times New Roman" w:eastAsia="Times New Roman" w:hAnsi="Times New Roman" w:cs="Times New Roman"/>
      <w:i/>
      <w:szCs w:val="20"/>
      <w:lang w:eastAsia="sk-SK"/>
    </w:rPr>
  </w:style>
  <w:style w:type="paragraph" w:styleId="Obsah2">
    <w:name w:val="toc 2"/>
    <w:basedOn w:val="Normlny"/>
    <w:next w:val="Normlny"/>
    <w:autoRedefine/>
    <w:uiPriority w:val="39"/>
    <w:unhideWhenUsed/>
    <w:rsid w:val="002B6661"/>
    <w:pPr>
      <w:ind w:left="220"/>
    </w:pPr>
  </w:style>
  <w:style w:type="paragraph" w:customStyle="1" w:styleId="Text2">
    <w:name w:val="Text2"/>
    <w:basedOn w:val="Normlny"/>
    <w:rsid w:val="002B6661"/>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2B6661"/>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2B6661"/>
    <w:pPr>
      <w:tabs>
        <w:tab w:val="center" w:pos="4536"/>
        <w:tab w:val="right" w:pos="9072"/>
      </w:tabs>
    </w:pPr>
  </w:style>
  <w:style w:type="character" w:customStyle="1" w:styleId="HlavikaChar">
    <w:name w:val="Hlavička Char"/>
    <w:basedOn w:val="Predvolenpsmoodseku"/>
    <w:link w:val="Hlavika"/>
    <w:uiPriority w:val="99"/>
    <w:rsid w:val="002B6661"/>
    <w:rPr>
      <w:rFonts w:ascii="Calibri" w:eastAsia="Calibri" w:hAnsi="Calibri" w:cs="Times New Roman"/>
      <w:sz w:val="22"/>
      <w:szCs w:val="22"/>
    </w:rPr>
  </w:style>
  <w:style w:type="paragraph" w:styleId="Pta">
    <w:name w:val="footer"/>
    <w:basedOn w:val="Normlny"/>
    <w:link w:val="PtaChar"/>
    <w:uiPriority w:val="99"/>
    <w:unhideWhenUsed/>
    <w:rsid w:val="002B6661"/>
    <w:pPr>
      <w:tabs>
        <w:tab w:val="center" w:pos="4536"/>
        <w:tab w:val="right" w:pos="9072"/>
      </w:tabs>
    </w:pPr>
  </w:style>
  <w:style w:type="character" w:customStyle="1" w:styleId="PtaChar">
    <w:name w:val="Päta Char"/>
    <w:basedOn w:val="Predvolenpsmoodseku"/>
    <w:link w:val="Pta"/>
    <w:uiPriority w:val="99"/>
    <w:rsid w:val="002B6661"/>
    <w:rPr>
      <w:rFonts w:ascii="Calibri" w:eastAsia="Calibri" w:hAnsi="Calibri" w:cs="Times New Roman"/>
      <w:sz w:val="22"/>
      <w:szCs w:val="22"/>
    </w:rPr>
  </w:style>
  <w:style w:type="paragraph" w:styleId="Obsah1">
    <w:name w:val="toc 1"/>
    <w:basedOn w:val="Normlny"/>
    <w:next w:val="Normlny"/>
    <w:autoRedefine/>
    <w:uiPriority w:val="39"/>
    <w:unhideWhenUsed/>
    <w:rsid w:val="002B6661"/>
    <w:pPr>
      <w:tabs>
        <w:tab w:val="left" w:pos="351"/>
        <w:tab w:val="right" w:leader="dot" w:pos="9062"/>
      </w:tabs>
    </w:pPr>
  </w:style>
  <w:style w:type="paragraph" w:customStyle="1" w:styleId="Normal1">
    <w:name w:val="Normal1"/>
    <w:basedOn w:val="Normlny"/>
    <w:autoRedefine/>
    <w:rsid w:val="002B6661"/>
    <w:pPr>
      <w:spacing w:after="0" w:line="240" w:lineRule="auto"/>
      <w:jc w:val="both"/>
    </w:pPr>
    <w:rPr>
      <w:rFonts w:ascii="Arial" w:eastAsia="Times New Roman" w:hAnsi="Arial"/>
      <w:bCs/>
      <w:lang w:eastAsia="cs-CZ"/>
    </w:rPr>
  </w:style>
  <w:style w:type="character" w:customStyle="1" w:styleId="ra">
    <w:name w:val="ra"/>
    <w:basedOn w:val="Predvolenpsmoodseku"/>
    <w:rsid w:val="002B6661"/>
  </w:style>
  <w:style w:type="paragraph" w:styleId="Obsah3">
    <w:name w:val="toc 3"/>
    <w:basedOn w:val="Normlny"/>
    <w:next w:val="Normlny"/>
    <w:autoRedefine/>
    <w:uiPriority w:val="39"/>
    <w:rsid w:val="002B6661"/>
    <w:pPr>
      <w:ind w:left="440"/>
    </w:pPr>
  </w:style>
  <w:style w:type="paragraph" w:styleId="Zoznamsodrkami">
    <w:name w:val="List Bullet"/>
    <w:basedOn w:val="Normlny"/>
    <w:autoRedefine/>
    <w:semiHidden/>
    <w:rsid w:val="002B6661"/>
    <w:pPr>
      <w:numPr>
        <w:numId w:val="4"/>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2B6661"/>
    <w:pPr>
      <w:numPr>
        <w:numId w:val="5"/>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2B6661"/>
    <w:pPr>
      <w:numPr>
        <w:numId w:val="6"/>
      </w:numPr>
      <w:spacing w:before="60" w:after="0"/>
      <w:ind w:left="568" w:hanging="284"/>
      <w:outlineLvl w:val="9"/>
    </w:pPr>
    <w:rPr>
      <w:sz w:val="24"/>
      <w:szCs w:val="24"/>
    </w:rPr>
  </w:style>
  <w:style w:type="paragraph" w:customStyle="1" w:styleId="KONC-KAPITOLA">
    <w:name w:val="KONC-KAPITOLA"/>
    <w:basedOn w:val="Nadpis1"/>
    <w:rsid w:val="002B6661"/>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2B6661"/>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2B6661"/>
    <w:pPr>
      <w:keepNext w:val="0"/>
      <w:numPr>
        <w:numId w:val="7"/>
      </w:numPr>
    </w:pPr>
  </w:style>
  <w:style w:type="paragraph" w:customStyle="1" w:styleId="Styl2">
    <w:name w:val="Styl2"/>
    <w:basedOn w:val="Nadpis2"/>
    <w:next w:val="Nadpis2"/>
    <w:autoRedefine/>
    <w:rsid w:val="002B6661"/>
    <w:pPr>
      <w:numPr>
        <w:numId w:val="8"/>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semiHidden/>
    <w:rsid w:val="002B6661"/>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semiHidden/>
    <w:rsid w:val="002B6661"/>
    <w:rPr>
      <w:rFonts w:ascii="Arial Narrow" w:eastAsia="Times New Roman" w:hAnsi="Arial Narrow" w:cs="Times New Roman"/>
      <w:sz w:val="20"/>
      <w:szCs w:val="20"/>
    </w:rPr>
  </w:style>
  <w:style w:type="character" w:styleId="Hypertextovprepojenie">
    <w:name w:val="Hyperlink"/>
    <w:uiPriority w:val="99"/>
    <w:rsid w:val="002B6661"/>
    <w:rPr>
      <w:color w:val="0000FF"/>
      <w:u w:val="single"/>
    </w:rPr>
  </w:style>
  <w:style w:type="paragraph" w:styleId="Zoznam">
    <w:name w:val="List"/>
    <w:basedOn w:val="Normlny"/>
    <w:semiHidden/>
    <w:rsid w:val="002B6661"/>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2B6661"/>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2B6661"/>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2B6661"/>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2B6661"/>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rsid w:val="002B6661"/>
    <w:rPr>
      <w:rFonts w:ascii="Arial" w:hAnsi="Arial"/>
      <w:sz w:val="20"/>
    </w:rPr>
  </w:style>
  <w:style w:type="paragraph" w:customStyle="1" w:styleId="tl2">
    <w:name w:val="Štýl2"/>
    <w:basedOn w:val="normln12"/>
    <w:autoRedefine/>
    <w:rsid w:val="002B6661"/>
    <w:rPr>
      <w:rFonts w:ascii="Arial" w:hAnsi="Arial"/>
      <w:sz w:val="20"/>
    </w:rPr>
  </w:style>
  <w:style w:type="paragraph" w:customStyle="1" w:styleId="tl3">
    <w:name w:val="Štýl3"/>
    <w:basedOn w:val="Normlny1"/>
    <w:rsid w:val="002B6661"/>
    <w:rPr>
      <w:sz w:val="20"/>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2B6661"/>
    <w:rPr>
      <w:rFonts w:ascii="Calibri" w:eastAsia="Calibri" w:hAnsi="Calibri" w:cs="Times New Roman"/>
      <w:sz w:val="22"/>
      <w:szCs w:val="22"/>
    </w:rPr>
  </w:style>
  <w:style w:type="character" w:customStyle="1" w:styleId="Nadpis2TChar">
    <w:name w:val="Nadpis 2T Char"/>
    <w:aliases w:val="Podnadpis Char,F2 Char,F21 Char,H2 Char,Podkapitola1 Char,hlavicka Char,h2 Char,V_Head2 Char Char"/>
    <w:rsid w:val="002B6661"/>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2B6661"/>
    <w:rPr>
      <w:rFonts w:ascii="Arial" w:hAnsi="Arial"/>
      <w:b/>
      <w:caps/>
      <w:sz w:val="28"/>
      <w:lang w:val="sk-SK" w:eastAsia="sk-SK" w:bidi="ar-SA"/>
    </w:rPr>
  </w:style>
  <w:style w:type="paragraph" w:styleId="Zkladntext">
    <w:name w:val="Body Text"/>
    <w:basedOn w:val="Normlny"/>
    <w:link w:val="ZkladntextChar"/>
    <w:uiPriority w:val="99"/>
    <w:rsid w:val="002B6661"/>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2B6661"/>
    <w:rPr>
      <w:rFonts w:ascii="Times New Roman" w:eastAsia="Times New Roman" w:hAnsi="Times New Roman" w:cs="Times New Roman"/>
      <w:b/>
      <w:szCs w:val="20"/>
      <w:lang w:eastAsia="sk-SK"/>
    </w:rPr>
  </w:style>
  <w:style w:type="paragraph" w:styleId="Zkladntext3">
    <w:name w:val="Body Text 3"/>
    <w:basedOn w:val="Normlny"/>
    <w:link w:val="Zkladntext3Char"/>
    <w:rsid w:val="002B6661"/>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2B6661"/>
    <w:rPr>
      <w:rFonts w:ascii="Times New Roman" w:eastAsia="Times New Roman" w:hAnsi="Times New Roman" w:cs="Times New Roman"/>
      <w:szCs w:val="20"/>
      <w:lang w:eastAsia="sk-SK"/>
    </w:rPr>
  </w:style>
  <w:style w:type="paragraph" w:styleId="truktradokumentu">
    <w:name w:val="Document Map"/>
    <w:basedOn w:val="Normlny"/>
    <w:link w:val="truktradokumentuChar"/>
    <w:semiHidden/>
    <w:rsid w:val="002B6661"/>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2B6661"/>
    <w:rPr>
      <w:rFonts w:ascii="Tahoma" w:eastAsia="Times New Roman" w:hAnsi="Tahoma" w:cs="Tahoma"/>
      <w:sz w:val="20"/>
      <w:szCs w:val="20"/>
      <w:shd w:val="clear" w:color="auto" w:fill="000080"/>
      <w:lang w:eastAsia="cs-CZ"/>
    </w:rPr>
  </w:style>
  <w:style w:type="character" w:styleId="PouitHypertextovPrepojenie">
    <w:name w:val="FollowedHyperlink"/>
    <w:rsid w:val="002B6661"/>
    <w:rPr>
      <w:color w:val="800080"/>
      <w:u w:val="single"/>
    </w:rPr>
  </w:style>
  <w:style w:type="paragraph" w:styleId="Predmetkomentra">
    <w:name w:val="annotation subject"/>
    <w:basedOn w:val="Textkomentra"/>
    <w:next w:val="Textkomentra"/>
    <w:link w:val="PredmetkomentraChar"/>
    <w:uiPriority w:val="99"/>
    <w:rsid w:val="002B6661"/>
    <w:pPr>
      <w:spacing w:line="276" w:lineRule="auto"/>
    </w:pPr>
    <w:rPr>
      <w:b/>
      <w:bCs/>
    </w:rPr>
  </w:style>
  <w:style w:type="character" w:customStyle="1" w:styleId="PredmetkomentraChar">
    <w:name w:val="Predmet komentára Char"/>
    <w:basedOn w:val="TextkomentraChar"/>
    <w:link w:val="Predmetkomentra"/>
    <w:uiPriority w:val="99"/>
    <w:rsid w:val="002B6661"/>
    <w:rPr>
      <w:rFonts w:ascii="Calibri" w:eastAsia="Calibri" w:hAnsi="Calibri" w:cs="Times New Roman"/>
      <w:b/>
      <w:bCs/>
      <w:sz w:val="20"/>
      <w:szCs w:val="20"/>
    </w:rPr>
  </w:style>
  <w:style w:type="paragraph" w:styleId="Nzov">
    <w:name w:val="Title"/>
    <w:basedOn w:val="Normlny"/>
    <w:link w:val="NzovChar"/>
    <w:uiPriority w:val="99"/>
    <w:qFormat/>
    <w:rsid w:val="002B6661"/>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2B6661"/>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2B6661"/>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2B6661"/>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2B6661"/>
    <w:pPr>
      <w:jc w:val="both"/>
    </w:pPr>
    <w:rPr>
      <w:rFonts w:ascii="Calibri" w:eastAsia="Times New Roman" w:hAnsi="Calibri" w:cs="Times New Roman"/>
      <w:sz w:val="22"/>
      <w:szCs w:val="22"/>
    </w:rPr>
  </w:style>
  <w:style w:type="paragraph" w:customStyle="1" w:styleId="1podsek">
    <w:name w:val="1podsek"/>
    <w:basedOn w:val="Odsekzoznamu"/>
    <w:qFormat/>
    <w:rsid w:val="002B6661"/>
    <w:pPr>
      <w:numPr>
        <w:numId w:val="10"/>
      </w:numPr>
      <w:autoSpaceDE w:val="0"/>
      <w:autoSpaceDN w:val="0"/>
      <w:adjustRightInd w:val="0"/>
      <w:spacing w:after="0" w:line="240" w:lineRule="auto"/>
      <w:jc w:val="both"/>
    </w:pPr>
    <w:rPr>
      <w:rFonts w:ascii="Times New Roman" w:eastAsia="Times New Roman" w:hAnsi="Times New Roman"/>
      <w:sz w:val="24"/>
      <w:szCs w:val="24"/>
      <w:lang w:eastAsia="sk-SK"/>
    </w:rPr>
  </w:style>
  <w:style w:type="table" w:styleId="Mriekatabuky">
    <w:name w:val="Table Grid"/>
    <w:basedOn w:val="Normlnatabuka"/>
    <w:uiPriority w:val="59"/>
    <w:rsid w:val="002B6661"/>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2B6661"/>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2B6661"/>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2B6661"/>
    <w:rPr>
      <w:rFonts w:ascii="Consolas" w:eastAsia="Calibri" w:hAnsi="Consolas" w:cs="Times New Roman"/>
      <w:sz w:val="21"/>
      <w:szCs w:val="21"/>
    </w:rPr>
  </w:style>
  <w:style w:type="paragraph" w:styleId="Podtitul">
    <w:name w:val="Subtitle"/>
    <w:basedOn w:val="Normlny"/>
    <w:link w:val="PodtitulChar"/>
    <w:qFormat/>
    <w:rsid w:val="002B6661"/>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2B6661"/>
    <w:rPr>
      <w:rFonts w:ascii="Times New Roman" w:eastAsia="Times New Roman" w:hAnsi="Times New Roman" w:cs="Times New Roman"/>
      <w:i/>
      <w:iCs/>
      <w:szCs w:val="20"/>
      <w:lang w:eastAsia="sk-SK"/>
    </w:rPr>
  </w:style>
  <w:style w:type="paragraph" w:customStyle="1" w:styleId="go">
    <w:name w:val="go"/>
    <w:basedOn w:val="Normlny"/>
    <w:rsid w:val="002B6661"/>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2B6661"/>
    <w:rPr>
      <w:i/>
      <w:iCs/>
    </w:rPr>
  </w:style>
  <w:style w:type="paragraph" w:customStyle="1" w:styleId="l2">
    <w:name w:val="l2"/>
    <w:basedOn w:val="Normlny"/>
    <w:rsid w:val="002B666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2B6661"/>
  </w:style>
  <w:style w:type="character" w:customStyle="1" w:styleId="rs-person">
    <w:name w:val="rs-person"/>
    <w:rsid w:val="002B6661"/>
  </w:style>
  <w:style w:type="paragraph" w:customStyle="1" w:styleId="PoznTxt">
    <w:name w:val="PoznTxt"/>
    <w:basedOn w:val="Normlny"/>
    <w:rsid w:val="002B6661"/>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2B6661"/>
    <w:pPr>
      <w:numPr>
        <w:ilvl w:val="1"/>
        <w:numId w:val="12"/>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2B6661"/>
    <w:rPr>
      <w:rFonts w:ascii="Times New Roman" w:eastAsia="Times New Roman" w:hAnsi="Times New Roman" w:cs="Times New Roman"/>
      <w:szCs w:val="20"/>
      <w:lang w:val="cs-CZ" w:eastAsia="cs-CZ"/>
    </w:rPr>
  </w:style>
  <w:style w:type="paragraph" w:customStyle="1" w:styleId="Textodstavce">
    <w:name w:val="Text odstavce"/>
    <w:basedOn w:val="Normlny"/>
    <w:rsid w:val="002B6661"/>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2B6661"/>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2B6661"/>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2B6661"/>
    <w:rPr>
      <w:rFonts w:ascii="Courier New" w:eastAsia="Times New Roman" w:hAnsi="Courier New" w:cs="Courier New"/>
      <w:sz w:val="20"/>
      <w:szCs w:val="20"/>
      <w:lang w:val="cs-CZ" w:eastAsia="cs-CZ"/>
    </w:rPr>
  </w:style>
  <w:style w:type="paragraph" w:customStyle="1" w:styleId="Default">
    <w:name w:val="Default"/>
    <w:rsid w:val="002B6661"/>
    <w:pPr>
      <w:autoSpaceDE w:val="0"/>
      <w:autoSpaceDN w:val="0"/>
      <w:adjustRightInd w:val="0"/>
    </w:pPr>
    <w:rPr>
      <w:rFonts w:ascii="Calibri" w:eastAsia="Times New Roman" w:hAnsi="Calibri" w:cs="Calibri"/>
      <w:color w:val="000000"/>
      <w:lang w:eastAsia="sk-SK"/>
    </w:rPr>
  </w:style>
  <w:style w:type="character" w:styleId="Zvraznenie">
    <w:name w:val="Emphasis"/>
    <w:uiPriority w:val="20"/>
    <w:qFormat/>
    <w:rsid w:val="002B6661"/>
    <w:rPr>
      <w:i/>
      <w:iCs/>
    </w:rPr>
  </w:style>
  <w:style w:type="character" w:styleId="Zstupntext">
    <w:name w:val="Placeholder Text"/>
    <w:uiPriority w:val="99"/>
    <w:qFormat/>
    <w:rsid w:val="002B6661"/>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3138">
      <w:bodyDiv w:val="1"/>
      <w:marLeft w:val="0"/>
      <w:marRight w:val="0"/>
      <w:marTop w:val="0"/>
      <w:marBottom w:val="0"/>
      <w:divBdr>
        <w:top w:val="none" w:sz="0" w:space="0" w:color="auto"/>
        <w:left w:val="none" w:sz="0" w:space="0" w:color="auto"/>
        <w:bottom w:val="none" w:sz="0" w:space="0" w:color="auto"/>
        <w:right w:val="none" w:sz="0" w:space="0" w:color="auto"/>
      </w:divBdr>
    </w:div>
    <w:div w:id="1347365971">
      <w:bodyDiv w:val="1"/>
      <w:marLeft w:val="0"/>
      <w:marRight w:val="0"/>
      <w:marTop w:val="0"/>
      <w:marBottom w:val="0"/>
      <w:divBdr>
        <w:top w:val="none" w:sz="0" w:space="0" w:color="auto"/>
        <w:left w:val="none" w:sz="0" w:space="0" w:color="auto"/>
        <w:bottom w:val="none" w:sz="0" w:space="0" w:color="auto"/>
        <w:right w:val="none" w:sz="0" w:space="0" w:color="auto"/>
      </w:divBdr>
      <w:divsChild>
        <w:div w:id="1632976168">
          <w:marLeft w:val="0"/>
          <w:marRight w:val="0"/>
          <w:marTop w:val="0"/>
          <w:marBottom w:val="0"/>
          <w:divBdr>
            <w:top w:val="none" w:sz="0" w:space="0" w:color="auto"/>
            <w:left w:val="none" w:sz="0" w:space="0" w:color="auto"/>
            <w:bottom w:val="none" w:sz="0" w:space="0" w:color="auto"/>
            <w:right w:val="none" w:sz="0" w:space="0" w:color="auto"/>
          </w:divBdr>
          <w:divsChild>
            <w:div w:id="1191916476">
              <w:marLeft w:val="0"/>
              <w:marRight w:val="0"/>
              <w:marTop w:val="0"/>
              <w:marBottom w:val="0"/>
              <w:divBdr>
                <w:top w:val="none" w:sz="0" w:space="0" w:color="auto"/>
                <w:left w:val="none" w:sz="0" w:space="0" w:color="auto"/>
                <w:bottom w:val="none" w:sz="0" w:space="0" w:color="auto"/>
                <w:right w:val="none" w:sz="0" w:space="0" w:color="auto"/>
              </w:divBdr>
            </w:div>
            <w:div w:id="1528058290">
              <w:marLeft w:val="0"/>
              <w:marRight w:val="0"/>
              <w:marTop w:val="0"/>
              <w:marBottom w:val="0"/>
              <w:divBdr>
                <w:top w:val="none" w:sz="0" w:space="0" w:color="auto"/>
                <w:left w:val="none" w:sz="0" w:space="0" w:color="auto"/>
                <w:bottom w:val="none" w:sz="0" w:space="0" w:color="auto"/>
                <w:right w:val="none" w:sz="0" w:space="0" w:color="auto"/>
              </w:divBdr>
            </w:div>
            <w:div w:id="350381615">
              <w:marLeft w:val="0"/>
              <w:marRight w:val="0"/>
              <w:marTop w:val="0"/>
              <w:marBottom w:val="0"/>
              <w:divBdr>
                <w:top w:val="none" w:sz="0" w:space="0" w:color="auto"/>
                <w:left w:val="none" w:sz="0" w:space="0" w:color="auto"/>
                <w:bottom w:val="none" w:sz="0" w:space="0" w:color="auto"/>
                <w:right w:val="none" w:sz="0" w:space="0" w:color="auto"/>
              </w:divBdr>
            </w:div>
            <w:div w:id="691032614">
              <w:marLeft w:val="0"/>
              <w:marRight w:val="0"/>
              <w:marTop w:val="0"/>
              <w:marBottom w:val="0"/>
              <w:divBdr>
                <w:top w:val="none" w:sz="0" w:space="0" w:color="auto"/>
                <w:left w:val="none" w:sz="0" w:space="0" w:color="auto"/>
                <w:bottom w:val="none" w:sz="0" w:space="0" w:color="auto"/>
                <w:right w:val="none" w:sz="0" w:space="0" w:color="auto"/>
              </w:divBdr>
            </w:div>
            <w:div w:id="226034444">
              <w:marLeft w:val="0"/>
              <w:marRight w:val="0"/>
              <w:marTop w:val="0"/>
              <w:marBottom w:val="0"/>
              <w:divBdr>
                <w:top w:val="none" w:sz="0" w:space="0" w:color="auto"/>
                <w:left w:val="none" w:sz="0" w:space="0" w:color="auto"/>
                <w:bottom w:val="none" w:sz="0" w:space="0" w:color="auto"/>
                <w:right w:val="none" w:sz="0" w:space="0" w:color="auto"/>
              </w:divBdr>
            </w:div>
          </w:divsChild>
        </w:div>
        <w:div w:id="1357123331">
          <w:marLeft w:val="0"/>
          <w:marRight w:val="0"/>
          <w:marTop w:val="0"/>
          <w:marBottom w:val="0"/>
          <w:divBdr>
            <w:top w:val="none" w:sz="0" w:space="0" w:color="auto"/>
            <w:left w:val="none" w:sz="0" w:space="0" w:color="auto"/>
            <w:bottom w:val="none" w:sz="0" w:space="0" w:color="auto"/>
            <w:right w:val="none" w:sz="0" w:space="0" w:color="auto"/>
          </w:divBdr>
          <w:divsChild>
            <w:div w:id="1333871067">
              <w:marLeft w:val="0"/>
              <w:marRight w:val="0"/>
              <w:marTop w:val="0"/>
              <w:marBottom w:val="0"/>
              <w:divBdr>
                <w:top w:val="none" w:sz="0" w:space="0" w:color="auto"/>
                <w:left w:val="none" w:sz="0" w:space="0" w:color="auto"/>
                <w:bottom w:val="none" w:sz="0" w:space="0" w:color="auto"/>
                <w:right w:val="none" w:sz="0" w:space="0" w:color="auto"/>
              </w:divBdr>
            </w:div>
            <w:div w:id="1981499875">
              <w:marLeft w:val="0"/>
              <w:marRight w:val="0"/>
              <w:marTop w:val="0"/>
              <w:marBottom w:val="0"/>
              <w:divBdr>
                <w:top w:val="none" w:sz="0" w:space="0" w:color="auto"/>
                <w:left w:val="none" w:sz="0" w:space="0" w:color="auto"/>
                <w:bottom w:val="none" w:sz="0" w:space="0" w:color="auto"/>
                <w:right w:val="none" w:sz="0" w:space="0" w:color="auto"/>
              </w:divBdr>
            </w:div>
            <w:div w:id="1128815078">
              <w:marLeft w:val="0"/>
              <w:marRight w:val="0"/>
              <w:marTop w:val="0"/>
              <w:marBottom w:val="0"/>
              <w:divBdr>
                <w:top w:val="none" w:sz="0" w:space="0" w:color="auto"/>
                <w:left w:val="none" w:sz="0" w:space="0" w:color="auto"/>
                <w:bottom w:val="none" w:sz="0" w:space="0" w:color="auto"/>
                <w:right w:val="none" w:sz="0" w:space="0" w:color="auto"/>
              </w:divBdr>
            </w:div>
            <w:div w:id="1944268595">
              <w:marLeft w:val="0"/>
              <w:marRight w:val="0"/>
              <w:marTop w:val="0"/>
              <w:marBottom w:val="0"/>
              <w:divBdr>
                <w:top w:val="none" w:sz="0" w:space="0" w:color="auto"/>
                <w:left w:val="none" w:sz="0" w:space="0" w:color="auto"/>
                <w:bottom w:val="none" w:sz="0" w:space="0" w:color="auto"/>
                <w:right w:val="none" w:sz="0" w:space="0" w:color="auto"/>
              </w:divBdr>
            </w:div>
            <w:div w:id="1426263346">
              <w:marLeft w:val="0"/>
              <w:marRight w:val="0"/>
              <w:marTop w:val="0"/>
              <w:marBottom w:val="0"/>
              <w:divBdr>
                <w:top w:val="none" w:sz="0" w:space="0" w:color="auto"/>
                <w:left w:val="none" w:sz="0" w:space="0" w:color="auto"/>
                <w:bottom w:val="none" w:sz="0" w:space="0" w:color="auto"/>
                <w:right w:val="none" w:sz="0" w:space="0" w:color="auto"/>
              </w:divBdr>
            </w:div>
          </w:divsChild>
        </w:div>
        <w:div w:id="2105302022">
          <w:marLeft w:val="0"/>
          <w:marRight w:val="0"/>
          <w:marTop w:val="0"/>
          <w:marBottom w:val="0"/>
          <w:divBdr>
            <w:top w:val="none" w:sz="0" w:space="0" w:color="auto"/>
            <w:left w:val="none" w:sz="0" w:space="0" w:color="auto"/>
            <w:bottom w:val="none" w:sz="0" w:space="0" w:color="auto"/>
            <w:right w:val="none" w:sz="0" w:space="0" w:color="auto"/>
          </w:divBdr>
        </w:div>
        <w:div w:id="92745094">
          <w:marLeft w:val="0"/>
          <w:marRight w:val="0"/>
          <w:marTop w:val="0"/>
          <w:marBottom w:val="0"/>
          <w:divBdr>
            <w:top w:val="none" w:sz="0" w:space="0" w:color="auto"/>
            <w:left w:val="none" w:sz="0" w:space="0" w:color="auto"/>
            <w:bottom w:val="none" w:sz="0" w:space="0" w:color="auto"/>
            <w:right w:val="none" w:sz="0" w:space="0" w:color="auto"/>
          </w:divBdr>
        </w:div>
        <w:div w:id="2057511557">
          <w:marLeft w:val="0"/>
          <w:marRight w:val="0"/>
          <w:marTop w:val="0"/>
          <w:marBottom w:val="0"/>
          <w:divBdr>
            <w:top w:val="none" w:sz="0" w:space="0" w:color="auto"/>
            <w:left w:val="none" w:sz="0" w:space="0" w:color="auto"/>
            <w:bottom w:val="none" w:sz="0" w:space="0" w:color="auto"/>
            <w:right w:val="none" w:sz="0" w:space="0" w:color="auto"/>
          </w:divBdr>
        </w:div>
      </w:divsChild>
    </w:div>
    <w:div w:id="2090346382">
      <w:bodyDiv w:val="1"/>
      <w:marLeft w:val="0"/>
      <w:marRight w:val="0"/>
      <w:marTop w:val="0"/>
      <w:marBottom w:val="0"/>
      <w:divBdr>
        <w:top w:val="none" w:sz="0" w:space="0" w:color="auto"/>
        <w:left w:val="none" w:sz="0" w:space="0" w:color="auto"/>
        <w:bottom w:val="none" w:sz="0" w:space="0" w:color="auto"/>
        <w:right w:val="none" w:sz="0" w:space="0" w:color="auto"/>
      </w:divBdr>
      <w:divsChild>
        <w:div w:id="1581597362">
          <w:marLeft w:val="0"/>
          <w:marRight w:val="0"/>
          <w:marTop w:val="0"/>
          <w:marBottom w:val="0"/>
          <w:divBdr>
            <w:top w:val="none" w:sz="0" w:space="0" w:color="auto"/>
            <w:left w:val="none" w:sz="0" w:space="0" w:color="auto"/>
            <w:bottom w:val="none" w:sz="0" w:space="0" w:color="auto"/>
            <w:right w:val="none" w:sz="0" w:space="0" w:color="auto"/>
          </w:divBdr>
          <w:divsChild>
            <w:div w:id="1711491656">
              <w:marLeft w:val="0"/>
              <w:marRight w:val="0"/>
              <w:marTop w:val="0"/>
              <w:marBottom w:val="0"/>
              <w:divBdr>
                <w:top w:val="none" w:sz="0" w:space="0" w:color="auto"/>
                <w:left w:val="none" w:sz="0" w:space="0" w:color="auto"/>
                <w:bottom w:val="none" w:sz="0" w:space="0" w:color="auto"/>
                <w:right w:val="none" w:sz="0" w:space="0" w:color="auto"/>
              </w:divBdr>
            </w:div>
            <w:div w:id="1490054692">
              <w:marLeft w:val="0"/>
              <w:marRight w:val="0"/>
              <w:marTop w:val="0"/>
              <w:marBottom w:val="0"/>
              <w:divBdr>
                <w:top w:val="none" w:sz="0" w:space="0" w:color="auto"/>
                <w:left w:val="none" w:sz="0" w:space="0" w:color="auto"/>
                <w:bottom w:val="none" w:sz="0" w:space="0" w:color="auto"/>
                <w:right w:val="none" w:sz="0" w:space="0" w:color="auto"/>
              </w:divBdr>
            </w:div>
            <w:div w:id="1540313475">
              <w:marLeft w:val="0"/>
              <w:marRight w:val="0"/>
              <w:marTop w:val="0"/>
              <w:marBottom w:val="0"/>
              <w:divBdr>
                <w:top w:val="none" w:sz="0" w:space="0" w:color="auto"/>
                <w:left w:val="none" w:sz="0" w:space="0" w:color="auto"/>
                <w:bottom w:val="none" w:sz="0" w:space="0" w:color="auto"/>
                <w:right w:val="none" w:sz="0" w:space="0" w:color="auto"/>
              </w:divBdr>
            </w:div>
            <w:div w:id="1408990713">
              <w:marLeft w:val="0"/>
              <w:marRight w:val="0"/>
              <w:marTop w:val="0"/>
              <w:marBottom w:val="0"/>
              <w:divBdr>
                <w:top w:val="none" w:sz="0" w:space="0" w:color="auto"/>
                <w:left w:val="none" w:sz="0" w:space="0" w:color="auto"/>
                <w:bottom w:val="none" w:sz="0" w:space="0" w:color="auto"/>
                <w:right w:val="none" w:sz="0" w:space="0" w:color="auto"/>
              </w:divBdr>
            </w:div>
            <w:div w:id="1480220858">
              <w:marLeft w:val="0"/>
              <w:marRight w:val="0"/>
              <w:marTop w:val="0"/>
              <w:marBottom w:val="0"/>
              <w:divBdr>
                <w:top w:val="none" w:sz="0" w:space="0" w:color="auto"/>
                <w:left w:val="none" w:sz="0" w:space="0" w:color="auto"/>
                <w:bottom w:val="none" w:sz="0" w:space="0" w:color="auto"/>
                <w:right w:val="none" w:sz="0" w:space="0" w:color="auto"/>
              </w:divBdr>
            </w:div>
          </w:divsChild>
        </w:div>
        <w:div w:id="1333335681">
          <w:marLeft w:val="0"/>
          <w:marRight w:val="0"/>
          <w:marTop w:val="0"/>
          <w:marBottom w:val="0"/>
          <w:divBdr>
            <w:top w:val="none" w:sz="0" w:space="0" w:color="auto"/>
            <w:left w:val="none" w:sz="0" w:space="0" w:color="auto"/>
            <w:bottom w:val="none" w:sz="0" w:space="0" w:color="auto"/>
            <w:right w:val="none" w:sz="0" w:space="0" w:color="auto"/>
          </w:divBdr>
          <w:divsChild>
            <w:div w:id="322048231">
              <w:marLeft w:val="0"/>
              <w:marRight w:val="0"/>
              <w:marTop w:val="0"/>
              <w:marBottom w:val="0"/>
              <w:divBdr>
                <w:top w:val="none" w:sz="0" w:space="0" w:color="auto"/>
                <w:left w:val="none" w:sz="0" w:space="0" w:color="auto"/>
                <w:bottom w:val="none" w:sz="0" w:space="0" w:color="auto"/>
                <w:right w:val="none" w:sz="0" w:space="0" w:color="auto"/>
              </w:divBdr>
            </w:div>
            <w:div w:id="363136602">
              <w:marLeft w:val="0"/>
              <w:marRight w:val="0"/>
              <w:marTop w:val="0"/>
              <w:marBottom w:val="0"/>
              <w:divBdr>
                <w:top w:val="none" w:sz="0" w:space="0" w:color="auto"/>
                <w:left w:val="none" w:sz="0" w:space="0" w:color="auto"/>
                <w:bottom w:val="none" w:sz="0" w:space="0" w:color="auto"/>
                <w:right w:val="none" w:sz="0" w:space="0" w:color="auto"/>
              </w:divBdr>
            </w:div>
            <w:div w:id="2002081672">
              <w:marLeft w:val="0"/>
              <w:marRight w:val="0"/>
              <w:marTop w:val="0"/>
              <w:marBottom w:val="0"/>
              <w:divBdr>
                <w:top w:val="none" w:sz="0" w:space="0" w:color="auto"/>
                <w:left w:val="none" w:sz="0" w:space="0" w:color="auto"/>
                <w:bottom w:val="none" w:sz="0" w:space="0" w:color="auto"/>
                <w:right w:val="none" w:sz="0" w:space="0" w:color="auto"/>
              </w:divBdr>
            </w:div>
            <w:div w:id="387187152">
              <w:marLeft w:val="0"/>
              <w:marRight w:val="0"/>
              <w:marTop w:val="0"/>
              <w:marBottom w:val="0"/>
              <w:divBdr>
                <w:top w:val="none" w:sz="0" w:space="0" w:color="auto"/>
                <w:left w:val="none" w:sz="0" w:space="0" w:color="auto"/>
                <w:bottom w:val="none" w:sz="0" w:space="0" w:color="auto"/>
                <w:right w:val="none" w:sz="0" w:space="0" w:color="auto"/>
              </w:divBdr>
            </w:div>
            <w:div w:id="579632242">
              <w:marLeft w:val="0"/>
              <w:marRight w:val="0"/>
              <w:marTop w:val="0"/>
              <w:marBottom w:val="0"/>
              <w:divBdr>
                <w:top w:val="none" w:sz="0" w:space="0" w:color="auto"/>
                <w:left w:val="none" w:sz="0" w:space="0" w:color="auto"/>
                <w:bottom w:val="none" w:sz="0" w:space="0" w:color="auto"/>
                <w:right w:val="none" w:sz="0" w:space="0" w:color="auto"/>
              </w:divBdr>
            </w:div>
          </w:divsChild>
        </w:div>
        <w:div w:id="1723796383">
          <w:marLeft w:val="0"/>
          <w:marRight w:val="0"/>
          <w:marTop w:val="0"/>
          <w:marBottom w:val="0"/>
          <w:divBdr>
            <w:top w:val="none" w:sz="0" w:space="0" w:color="auto"/>
            <w:left w:val="none" w:sz="0" w:space="0" w:color="auto"/>
            <w:bottom w:val="none" w:sz="0" w:space="0" w:color="auto"/>
            <w:right w:val="none" w:sz="0" w:space="0" w:color="auto"/>
          </w:divBdr>
        </w:div>
        <w:div w:id="1788623773">
          <w:marLeft w:val="0"/>
          <w:marRight w:val="0"/>
          <w:marTop w:val="0"/>
          <w:marBottom w:val="0"/>
          <w:divBdr>
            <w:top w:val="none" w:sz="0" w:space="0" w:color="auto"/>
            <w:left w:val="none" w:sz="0" w:space="0" w:color="auto"/>
            <w:bottom w:val="none" w:sz="0" w:space="0" w:color="auto"/>
            <w:right w:val="none" w:sz="0" w:space="0" w:color="auto"/>
          </w:divBdr>
        </w:div>
        <w:div w:id="29919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14" ma:contentTypeDescription="Create a new document." ma:contentTypeScope="" ma:versionID="0f0d3a1c0cd869e6cbbb92217bef7491">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66c4bdd9461f28f856581ce9312b0c7c"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088b9-a397-4e95-9903-d6471ec57d62}"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B2FC9-5B94-437A-81F9-FAD396191935}">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2.xml><?xml version="1.0" encoding="utf-8"?>
<ds:datastoreItem xmlns:ds="http://schemas.openxmlformats.org/officeDocument/2006/customXml" ds:itemID="{E03E4F20-7EC0-4267-9BAA-FC365C29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9DAA6-5B0B-4FBA-A497-22852F9DE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Červený Jakub</dc:creator>
  <cp:keywords/>
  <dc:description/>
  <cp:lastModifiedBy>Petra Krajčíriková</cp:lastModifiedBy>
  <cp:revision>5</cp:revision>
  <dcterms:created xsi:type="dcterms:W3CDTF">2022-08-19T11:14:00Z</dcterms:created>
  <dcterms:modified xsi:type="dcterms:W3CDTF">2022-08-25T10:59:00Z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ies>
</file>