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8DBBAD" w14:textId="0EA88B38" w:rsidR="00DB5E5D" w:rsidRPr="00DB5E5D" w:rsidRDefault="00DB5E5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Slovensku má podľa odhadov 400 000 obyvateľov problém s nadmernou konzumáciou alkoholu. Nadmerná konzumácia alkoholu môže spôsobiť vážne poškodenie zdravia, narušenie vzťahov či rozpad rodín. Často je aj príčinou domáceho násilia. </w:t>
      </w:r>
      <w:r w:rsidR="008F1B02">
        <w:rPr>
          <w:rFonts w:ascii="Times New Roman" w:eastAsia="Times New Roman" w:hAnsi="Times New Roman" w:cs="Times New Roman"/>
          <w:sz w:val="24"/>
          <w:szCs w:val="24"/>
          <w:lang w:eastAsia="sk-SK"/>
        </w:rPr>
        <w:t>Navyše v období a po období obmedzení súvisiacich s pandémiou ochorenia COVID-19</w:t>
      </w:r>
      <w:r w:rsidR="002F79A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F1B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</w:t>
      </w:r>
      <w:r w:rsidR="002F79AE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8F1B02">
        <w:rPr>
          <w:rFonts w:ascii="Times New Roman" w:eastAsia="Times New Roman" w:hAnsi="Times New Roman" w:cs="Times New Roman"/>
          <w:sz w:val="24"/>
          <w:szCs w:val="24"/>
          <w:lang w:eastAsia="sk-SK"/>
        </w:rPr>
        <w:t> období zvyšujúcej sa ekonomickej neistoty je predpoklad ďalšieho prehlbovania takýchto problémov.</w:t>
      </w:r>
    </w:p>
    <w:p w14:paraId="3DC7D239" w14:textId="77777777" w:rsidR="00AE20C8" w:rsidRDefault="00AE20C8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0CEA71" w14:textId="0D0B91FE" w:rsidR="00AE20C8" w:rsidRDefault="00DB5E5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Alkohol tiež výrazným spôsobom prispieva k dopravnej nehodovosti. 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>Každoročne sú evidované stovky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dopravných nehôd, pri ktorých bol zistený alkohol u vinníka nehody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pri množstve z týchto dopravných nehôd dochádza k usmrteniu osôb, poškodeniu zdravia a / alebo poškodeniu majetku.</w:t>
      </w:r>
    </w:p>
    <w:p w14:paraId="7C14566D" w14:textId="77777777" w:rsidR="00AE20C8" w:rsidRDefault="00AE20C8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43586C" w14:textId="5BB4E580" w:rsidR="00DB5E5D" w:rsidRDefault="00DB5E5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2 ods. 1 písm. b) sa zakazuje „podávať alkoholické nápoje alebo inak umožňovať ich bezprostredné požitie vodičom.“ Tento zákaz platí všade, aj na čerpacích staniciach pohonných hmôt. Pritom ak sa na čerpacích staniciach pohonných hmôt </w:t>
      </w:r>
      <w:r w:rsidR="00AE20C8"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 alkoholických nápojov vodičom, súčasne sa vodičom umožňuje aj ich bezprostredné požitie.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Navrh</w:t>
      </w:r>
      <w:r w:rsidR="002F79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ovaný zákaz predaja </w:t>
      </w:r>
      <w:r w:rsidR="00420E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alkoholických nápojov na 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čerpacích staniciach pohonných hmôt zakáže predaj alkoholických nápojov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čo je logickým predpokladom pre to, aby vodiči </w:t>
      </w:r>
      <w:r w:rsidR="00C97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mali 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bezprostredne pred jazdou </w:t>
      </w:r>
      <w:r w:rsidR="00C978BA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sťažený prístup k alkoholickým nápojom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98818B4" w14:textId="152883BD" w:rsidR="0091294C" w:rsidRDefault="0091294C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DBEFE2" w14:textId="3F2708B1" w:rsidR="00992B5B" w:rsidRDefault="0091294C" w:rsidP="008879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pretrvávajúce negatívne dopady rozšírenej nadmernej konzumácie alkoholických nápojov navrhujeme, aby boli reklamy na alkoholické nápoje zakázané. Už v súčasnosti sú zakázané napr. reklamy na</w:t>
      </w:r>
      <w:r w:rsidRPr="009129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lieky obsahujúce omamné, psychotropné a iné návykové látky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hoci je všeobecne známe, že zneužívanie alkoholu má veľmi podobné účinky a je v spoločnosti dokonca oveľa častejšie a viac spoločensky tolerované.</w:t>
      </w:r>
    </w:p>
    <w:p w14:paraId="578538DA" w14:textId="2CE2F922" w:rsidR="008879C5" w:rsidRDefault="008879C5" w:rsidP="008879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7C6372" w14:textId="7A479C0C" w:rsidR="008879C5" w:rsidRDefault="008879C5" w:rsidP="00E007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Ďalším negatívnym spoločenským javom je aj patologické hráčstvo, resp. </w:t>
      </w:r>
      <w:r w:rsidRPr="008879C5">
        <w:rPr>
          <w:rFonts w:ascii="Times New Roman" w:eastAsia="Times New Roman" w:hAnsi="Times New Roman" w:cs="Times New Roman"/>
          <w:sz w:val="24"/>
          <w:szCs w:val="24"/>
          <w:lang w:eastAsia="sk-SK"/>
        </w:rPr>
        <w:t>gambling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F5D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Obzvlášť od obdobia pandémie vzrastá počet hazardných hráčov. Hoci uplynulých obdobia boli prijaté určité opatrenia smerujúce k obmedzeniu dostupnosti hazardu v kamenných prevádzkach, online hazard funguje len s minimálnou reguláciou a narastá na popularite. Online hazard je tiež predmetom masívnych reklamných a marketingových kampaní, a to dokonca aj v hlavnom vysielacom čase, čím pôsobí aj na maloletých a osoby ohrozené </w:t>
      </w:r>
      <w:r w:rsidR="00E007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patologickým hráčstvom. Potreba prísnejšej regulácie online hazardu vyplýva o. i. aj z Odporúčania Európskej komisie </w:t>
      </w:r>
      <w:r w:rsidR="00E00705" w:rsidRPr="00E00705">
        <w:rPr>
          <w:rFonts w:ascii="Times New Roman" w:eastAsia="Times New Roman" w:hAnsi="Times New Roman" w:cs="Times New Roman"/>
          <w:sz w:val="24"/>
          <w:szCs w:val="24"/>
          <w:lang w:eastAsia="sk-SK"/>
        </w:rPr>
        <w:t>o zásadách ochrany spotrebiteľov a hráčov využívajúcich služby online hazardných hier a o predchádzaní hraniu online hazardných hier v prípade maloletých osôb</w:t>
      </w:r>
      <w:r w:rsidR="001014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8AB66D" w14:textId="77777777" w:rsidR="008879C5" w:rsidRDefault="008879C5" w:rsidP="008879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50EE3F" w14:textId="6C45C65F" w:rsidR="002B6C9C" w:rsidRPr="00E62F09" w:rsidRDefault="00D04102" w:rsidP="00E62F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množstvo dopravných nehôd, na príčinách ktorých sa podieľa aj konzumácia alkoholických nápojov sa navrhuje zákaz predaja alkoholických nápojov na čerpacích staniciach, čím dôjde k obmedzeniu prístupu vodičov k alkoholickým nápojom </w:t>
      </w:r>
      <w:r w:rsidR="00131D97"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bezprostredne </w:t>
      </w: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cestovania motorovým vozidlom.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1BE557" w14:textId="29D988C2" w:rsidR="00CA4B22" w:rsidRDefault="00C03667" w:rsidP="00E62F09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Vzhľadom na rozsah problémov spôsobených nadmernou konzumáciou alkoholických nápojov</w:t>
      </w:r>
      <w:r w:rsidRPr="00C03667">
        <w:t xml:space="preserve"> </w:t>
      </w: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navrhuje zákaz reklamy na alkoholické nápoje, keďže účelom takýchto reklám je  zvyšovanie predaja alkoholických nápojov, s čím je nevyhnutne spojené aj zvyšovanie </w:t>
      </w:r>
      <w:r w:rsidR="00131D97"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ich </w:t>
      </w: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spotreby</w:t>
      </w:r>
      <w:r w:rsidR="00F52BE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04B8A90" w14:textId="3381F15E" w:rsidR="00D04102" w:rsidRDefault="00D0410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15768C" w14:textId="5F4C5674" w:rsidR="00D5759F" w:rsidRPr="00D5759F" w:rsidRDefault="00D5759F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5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III</w:t>
      </w:r>
    </w:p>
    <w:p w14:paraId="48032662" w14:textId="77777777" w:rsidR="00D04102" w:rsidRDefault="00D0410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5FCD2" w14:textId="58D9094E" w:rsidR="00674459" w:rsidRDefault="001A37D3" w:rsidP="00674459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4459">
        <w:rPr>
          <w:rFonts w:ascii="Times New Roman" w:eastAsia="Times New Roman" w:hAnsi="Times New Roman" w:cs="Times New Roman"/>
          <w:sz w:val="24"/>
          <w:szCs w:val="24"/>
          <w:lang w:eastAsia="sk-SK"/>
        </w:rPr>
        <w:t>Zosúlaďuje sa znenie zákona o vysielaní a retransmisii s novým znením zákona o reklame.</w:t>
      </w:r>
      <w:r w:rsidR="00674459" w:rsidRPr="0067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946E6E4" w14:textId="77777777" w:rsidR="00A9128A" w:rsidRDefault="00A9128A" w:rsidP="00A9128A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2A99F" w14:textId="72ED9523" w:rsidR="00A9128A" w:rsidRDefault="00674459" w:rsidP="008258E3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4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Zosúlaďuje sa znenie zákona o vysielaní a retransmisii s novým znením zákona o reklame. </w:t>
      </w:r>
      <w:r w:rsidR="001A37D3" w:rsidRPr="00674459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sa tiež výnimka pre vysielanie reklamy prostredníctvom internetu.</w:t>
      </w:r>
    </w:p>
    <w:p w14:paraId="73CC14E9" w14:textId="77777777" w:rsidR="008258E3" w:rsidRPr="008258E3" w:rsidRDefault="008258E3" w:rsidP="008258E3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7F5AD3" w14:textId="1EFF02B5" w:rsidR="008258E3" w:rsidRDefault="008258E3" w:rsidP="008258E3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Zavádza sa zákaz reklamy na online hazard v čase od 6.00 h do 22.00 h.</w:t>
      </w:r>
    </w:p>
    <w:p w14:paraId="44D4F307" w14:textId="77777777" w:rsidR="008258E3" w:rsidRPr="008258E3" w:rsidRDefault="008258E3" w:rsidP="008258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3762B6" w14:textId="093DEB6F" w:rsidR="00A9128A" w:rsidRDefault="00A9128A" w:rsidP="001A37D3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128A">
        <w:rPr>
          <w:rFonts w:ascii="Times New Roman" w:eastAsia="Times New Roman" w:hAnsi="Times New Roman" w:cs="Times New Roman"/>
          <w:sz w:val="24"/>
          <w:szCs w:val="24"/>
          <w:lang w:eastAsia="sk-SK"/>
        </w:rPr>
        <w:t>Zosúlaďuje sa znenie zákona o vysielaní a retransmisii s novým znením zákona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A9128A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02190CD" w14:textId="77777777" w:rsidR="00117033" w:rsidRPr="00117033" w:rsidRDefault="00117033" w:rsidP="00117033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393B8C" w14:textId="5DA2333A" w:rsidR="001A37D3" w:rsidRPr="00117033" w:rsidRDefault="001A37D3" w:rsidP="001A37D3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7033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úprava, preznačenie vnútorných odkazov v súvislosti s vypustením § 33 ods. 2. Vzhľadom na zákaz reklamy na alkoholické nápoje sa zakazuje aj sponzorovanie programu alebo programovej služby právnickou osobou a fyzickou osobou, ktorej hlavnou činnosťou je výroba alebo predaj alkoholických nápojov.</w:t>
      </w:r>
    </w:p>
    <w:p w14:paraId="3B3296CA" w14:textId="77777777" w:rsidR="00A81714" w:rsidRDefault="00A81714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B97FD" w14:textId="1ECF9BF3" w:rsidR="005A04DC" w:rsidRPr="00A81714" w:rsidRDefault="00A81714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817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IV</w:t>
      </w:r>
    </w:p>
    <w:p w14:paraId="1D9E8794" w14:textId="65C40B7C" w:rsidR="00A81714" w:rsidRDefault="00A81714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F98245" w14:textId="26593D24" w:rsidR="00A81714" w:rsidRDefault="00A81714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Účinnosť zmeny sa navrhuje </w:t>
      </w:r>
      <w:r w:rsidR="00A91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 dňa </w:t>
      </w:r>
      <w:r w:rsidR="008E0344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</w:t>
      </w:r>
      <w:r w:rsidR="00A9128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92FC3" w14:textId="506A56C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7634AA" w14:textId="28CF3C1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4ED2B2AB" w14:textId="3B005356" w:rsidR="005A639F" w:rsidRPr="00CA4B22" w:rsidRDefault="005A639F" w:rsidP="005A6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D70F99" w:rsidRPr="00D70F99">
        <w:rPr>
          <w:rFonts w:ascii="Times New Roman" w:eastAsia="Times New Roman" w:hAnsi="Times New Roman" w:cs="Times New Roman"/>
          <w:sz w:val="24"/>
          <w:szCs w:val="24"/>
          <w:lang w:eastAsia="sk-SK"/>
        </w:rPr>
        <w:t>č. 219/1996 Z. z. o ochrane pred zneužívaním alkoholických nápojov a o zriaďovaní a prevádzke protialkoholických záchytných izieb v znení neskorších predpisov</w:t>
      </w:r>
      <w:r w:rsidR="00D70F9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13FD76D" w14:textId="77777777" w:rsidR="005A04DC" w:rsidRPr="005A04DC" w:rsidRDefault="005A04DC" w:rsidP="005A04DC">
      <w:pPr>
        <w:pStyle w:val="Odsekzoznamu1"/>
        <w:spacing w:after="0" w:line="276" w:lineRule="auto"/>
        <w:ind w:left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39B72EB8" w:rsidR="005A04DC" w:rsidRPr="005A04DC" w:rsidRDefault="00076398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4E656338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5AB7013C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68D1AC03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4EC0EED8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0649526C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5A97A2B1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45EB9ED9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348FFF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7B39CBB6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5291D5A4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3C81DA68" w:rsidR="005A04DC" w:rsidRPr="005A04DC" w:rsidRDefault="007A6479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5CA48EB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538CEDC5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7A6479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životné prostredie, a ani vplyvy na informatizáciu spoločnosti a služby verejnej správy pre občana. Predkladaný návrh zákona má </w:t>
      </w:r>
      <w:r w:rsidR="007A6479" w:rsidRPr="007A6479">
        <w:rPr>
          <w:rFonts w:ascii="Times New Roman" w:hAnsi="Times New Roman" w:cs="Times New Roman"/>
          <w:color w:val="00000A"/>
          <w:sz w:val="24"/>
          <w:szCs w:val="24"/>
        </w:rPr>
        <w:t xml:space="preserve">pozitívne sociálne vplyvy </w:t>
      </w:r>
      <w:r w:rsidRPr="007A6479">
        <w:rPr>
          <w:rFonts w:ascii="Times New Roman" w:hAnsi="Times New Roman" w:cs="Times New Roman"/>
          <w:color w:val="00000A"/>
          <w:sz w:val="24"/>
          <w:szCs w:val="24"/>
        </w:rPr>
        <w:t>pozitívne vplyvy</w:t>
      </w:r>
      <w:r w:rsidR="007A6479" w:rsidRPr="007A6479">
        <w:rPr>
          <w:rFonts w:ascii="Times New Roman" w:hAnsi="Times New Roman" w:cs="Times New Roman"/>
          <w:color w:val="00000A"/>
          <w:sz w:val="24"/>
          <w:szCs w:val="24"/>
        </w:rPr>
        <w:t xml:space="preserve">, pozitívny vplyv na hospodárenie obyvateľstva, sociálnu exklúziu, ako aj na rodovú rovnosť a zamestnanosť, taktiež má pozitívny vplyv </w:t>
      </w:r>
      <w:r w:rsidRPr="007A6479">
        <w:rPr>
          <w:rFonts w:ascii="Times New Roman" w:hAnsi="Times New Roman" w:cs="Times New Roman"/>
          <w:color w:val="00000A"/>
          <w:sz w:val="24"/>
          <w:szCs w:val="24"/>
        </w:rPr>
        <w:t>na manželstvo, rodičovstvo a rodinu – zvyšuje ochranu rodinného prostredia.</w:t>
      </w:r>
      <w:r w:rsidR="005A63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76398">
        <w:rPr>
          <w:rFonts w:ascii="Times New Roman" w:hAnsi="Times New Roman" w:cs="Times New Roman"/>
          <w:color w:val="00000A"/>
          <w:sz w:val="24"/>
          <w:szCs w:val="24"/>
        </w:rPr>
        <w:t>Čo sa týka vplyvu na rozpočet verejnej správy, na jednej strane môže viesť k zníženiu výberu spotrebnej dane, ale bude mať pozitívny vplyv na znižovanie nákladov na zdravotnú starostlivosť, sociálnu starostlivosť o obete závislostí od alkoholu a iných výdavkov z rozpočtu verejnej správy súvisiacich s nadmerným užívaním alkoholických nápojov, preto výsledný vplyv bude pozitívny.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lastRenderedPageBreak/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59C7D0E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D70F99" w:rsidRPr="00D70F99">
        <w:rPr>
          <w:rFonts w:ascii="Times New Roman" w:eastAsia="Times New Roman" w:hAnsi="Times New Roman" w:cs="Times New Roman"/>
          <w:sz w:val="24"/>
          <w:szCs w:val="24"/>
          <w:lang w:eastAsia="sk-SK"/>
        </w:rPr>
        <w:t>č. 219/1996 Z. z. o ochrane pred zneužívaním alkoholických nápojov a o zriaďovaní a prevádzke protialkoholických záchytných izieb v znení neskorších predpisov</w:t>
      </w:r>
      <w:r w:rsidR="00DB70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B7047" w:rsidRPr="00DB7047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mení a dopĺňa zákon č. 147/2001 Z. z. o reklame a o zmene a doplnení niektorých zákonov a ktorým sa mení a dopĺňa zákon . 308/2000 Z. z. o vysielaní a retransmisii a o zmene zákona č. 195/2000 Z. z. o telekomunikáciách v znení neskorších predpisov</w:t>
      </w:r>
      <w:r w:rsidR="00D70F9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7AFAF3C5" w14:textId="5BCFEAE7" w:rsidR="00CA4B22" w:rsidRDefault="00CA4B22" w:rsidP="00DB70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DECA5" w14:textId="6BBBA5BE" w:rsidR="00E66FF7" w:rsidRDefault="009936F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36FA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fungovaní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najmä čl. 292</w:t>
      </w:r>
    </w:p>
    <w:p w14:paraId="6CEA0463" w14:textId="77777777" w:rsidR="009936FA" w:rsidRDefault="009936F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33AF736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B7"/>
    <w:multiLevelType w:val="hybridMultilevel"/>
    <w:tmpl w:val="A82AE44E"/>
    <w:lvl w:ilvl="0" w:tplc="DB2E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2A3"/>
    <w:multiLevelType w:val="hybridMultilevel"/>
    <w:tmpl w:val="1452D480"/>
    <w:lvl w:ilvl="0" w:tplc="2EEEA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E1E7C"/>
    <w:multiLevelType w:val="hybridMultilevel"/>
    <w:tmpl w:val="6EF8B1CE"/>
    <w:lvl w:ilvl="0" w:tplc="2FA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42311">
    <w:abstractNumId w:val="5"/>
  </w:num>
  <w:num w:numId="2" w16cid:durableId="576865432">
    <w:abstractNumId w:val="2"/>
  </w:num>
  <w:num w:numId="3" w16cid:durableId="845053267">
    <w:abstractNumId w:val="3"/>
  </w:num>
  <w:num w:numId="4" w16cid:durableId="1770466272">
    <w:abstractNumId w:val="4"/>
  </w:num>
  <w:num w:numId="5" w16cid:durableId="975649762">
    <w:abstractNumId w:val="6"/>
  </w:num>
  <w:num w:numId="6" w16cid:durableId="1227912630">
    <w:abstractNumId w:val="1"/>
  </w:num>
  <w:num w:numId="7" w16cid:durableId="155419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576F3"/>
    <w:rsid w:val="00076398"/>
    <w:rsid w:val="00101429"/>
    <w:rsid w:val="00117033"/>
    <w:rsid w:val="00131D97"/>
    <w:rsid w:val="001A37D3"/>
    <w:rsid w:val="002067C7"/>
    <w:rsid w:val="002B6C9C"/>
    <w:rsid w:val="002C28B2"/>
    <w:rsid w:val="002F79AE"/>
    <w:rsid w:val="0034185A"/>
    <w:rsid w:val="003D6A9A"/>
    <w:rsid w:val="00420E02"/>
    <w:rsid w:val="00467E85"/>
    <w:rsid w:val="005878F7"/>
    <w:rsid w:val="005A04DC"/>
    <w:rsid w:val="005A639F"/>
    <w:rsid w:val="006073B0"/>
    <w:rsid w:val="00645351"/>
    <w:rsid w:val="00674459"/>
    <w:rsid w:val="007A6479"/>
    <w:rsid w:val="008258E3"/>
    <w:rsid w:val="00835A25"/>
    <w:rsid w:val="008879C5"/>
    <w:rsid w:val="008E0344"/>
    <w:rsid w:val="008F1B02"/>
    <w:rsid w:val="0091294C"/>
    <w:rsid w:val="00992B5B"/>
    <w:rsid w:val="009936FA"/>
    <w:rsid w:val="009F5DC2"/>
    <w:rsid w:val="00A81714"/>
    <w:rsid w:val="00A9128A"/>
    <w:rsid w:val="00AE20C8"/>
    <w:rsid w:val="00C03667"/>
    <w:rsid w:val="00C978BA"/>
    <w:rsid w:val="00CA4B22"/>
    <w:rsid w:val="00D04102"/>
    <w:rsid w:val="00D5759F"/>
    <w:rsid w:val="00D70F99"/>
    <w:rsid w:val="00DB5E5D"/>
    <w:rsid w:val="00DB7047"/>
    <w:rsid w:val="00E00705"/>
    <w:rsid w:val="00E62F09"/>
    <w:rsid w:val="00E66FF7"/>
    <w:rsid w:val="00EF77BB"/>
    <w:rsid w:val="00F5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4</cp:revision>
  <dcterms:created xsi:type="dcterms:W3CDTF">2022-05-23T15:46:00Z</dcterms:created>
  <dcterms:modified xsi:type="dcterms:W3CDTF">2022-08-25T18:55:00Z</dcterms:modified>
</cp:coreProperties>
</file>