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38" w:rsidRDefault="00CC310C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EE3838" w:rsidRDefault="00CC310C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EE3838" w:rsidRDefault="00CC310C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EE3838" w:rsidRDefault="00EE3838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EE3838" w:rsidRDefault="00EE3838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EE3838" w:rsidRDefault="00EE3838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2022,</w:t>
      </w:r>
    </w:p>
    <w:p w:rsidR="00EE3838" w:rsidRDefault="00EE3838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b/>
          <w:color w:val="000000"/>
        </w:rPr>
        <w:t xml:space="preserve">ktorým sa mení a dopĺňa zákon Národnej rady Slovenskej republiky č. 461/2003 Z. z. </w:t>
      </w:r>
      <w:r w:rsidR="00F83BBF">
        <w:rPr>
          <w:rFonts w:ascii="Book Antiqua" w:eastAsia="Book Antiqua" w:hAnsi="Book Antiqua" w:cs="Book Antiqua"/>
          <w:b/>
          <w:color w:val="000000"/>
        </w:rPr>
        <w:br/>
      </w:r>
      <w:r>
        <w:rPr>
          <w:rFonts w:ascii="Book Antiqua" w:eastAsia="Book Antiqua" w:hAnsi="Book Antiqua" w:cs="Book Antiqua"/>
          <w:b/>
          <w:color w:val="000000"/>
        </w:rPr>
        <w:t>o sociálnom poistení v znení neskorších predpisov, zákon Národnej rady Slovenskej republiky č. 296/2020</w:t>
      </w:r>
      <w: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 xml:space="preserve">Z. z. o 13. dôchodku a o zmene a doplnení niektorých zákonov v znení </w:t>
      </w:r>
      <w:r>
        <w:rPr>
          <w:rFonts w:ascii="Book Antiqua" w:eastAsia="Book Antiqua" w:hAnsi="Book Antiqua" w:cs="Book Antiqua"/>
          <w:b/>
          <w:color w:val="000000"/>
        </w:rPr>
        <w:t xml:space="preserve">neskorších predpisov a zákon č. 363/2011 Z. z. o rozsahu a podmienkach úhrady liekov, zdravotníckych pomôcok a dietetických potravín na základe verejného zdravotného poistenia a o zmene </w:t>
      </w:r>
      <w:r w:rsidR="00F83BBF">
        <w:rPr>
          <w:rFonts w:ascii="Book Antiqua" w:eastAsia="Book Antiqua" w:hAnsi="Book Antiqua" w:cs="Book Antiqua"/>
          <w:b/>
          <w:color w:val="000000"/>
        </w:rPr>
        <w:br/>
      </w:r>
      <w:r>
        <w:rPr>
          <w:rFonts w:ascii="Book Antiqua" w:eastAsia="Book Antiqua" w:hAnsi="Book Antiqua" w:cs="Book Antiqua"/>
          <w:b/>
          <w:color w:val="000000"/>
        </w:rPr>
        <w:t>a doplnení niektorých zákonov v znení neskorších predpisov</w:t>
      </w: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 w:rsidP="00210BB8">
      <w:pPr>
        <w:spacing w:after="0" w:line="240" w:lineRule="auto"/>
        <w:ind w:firstLine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Zákon č. 461/2003 Z. z. o sociálnom poistení v znení zákona č. 551/2003 Z. z., zákona č. 600/2003 Z. z., zákona č. 5/2004 Z. z., zákona č. 43/2004 Z. z., zákona č. 186/2004 Z. z., zákon</w:t>
      </w:r>
      <w:r>
        <w:rPr>
          <w:rFonts w:ascii="Book Antiqua" w:eastAsia="Book Antiqua" w:hAnsi="Book Antiqua" w:cs="Book Antiqua"/>
          <w:color w:val="000000"/>
        </w:rPr>
        <w:t xml:space="preserve">a č. 365/2004 Z. z., zákona č. 391/2004 Z. z., zákona č. 439/2004 Z. z., zákona č. 523/2004 Z. z., zákona č. 721/2004 Z. z., zákona č. 82/2005 Z. z., zákona č. 244/2005 Z. z., zákona č. 351/2005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zákona č. 534/2005 Z. z., zákona č. 584/2005 Z. z., zá</w:t>
      </w:r>
      <w:r>
        <w:rPr>
          <w:rFonts w:ascii="Book Antiqua" w:eastAsia="Book Antiqua" w:hAnsi="Book Antiqua" w:cs="Book Antiqua"/>
          <w:color w:val="000000"/>
        </w:rPr>
        <w:t xml:space="preserve">kona č. 310/2006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460/2006 Z. z., zákona č. 529/2006 Z. z., zákona č. 566/2006 Z. z., zákona č. 677/2006 Z. z., zákona </w:t>
      </w:r>
      <w:r>
        <w:rPr>
          <w:rFonts w:ascii="Book Antiqua" w:eastAsia="Book Antiqua" w:hAnsi="Book Antiqua" w:cs="Book Antiqua"/>
          <w:color w:val="000000"/>
        </w:rPr>
        <w:t xml:space="preserve">č. 274/2007 Z. z., zákona č. 519/2007 Z. z., zákona č. 555/2007 Z. z., zákona č. 659/2007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zákona č. 204/2008 Z. z.</w:t>
      </w:r>
      <w:r>
        <w:rPr>
          <w:rFonts w:ascii="Book Antiqua" w:eastAsia="Book Antiqua" w:hAnsi="Book Antiqua" w:cs="Book Antiqua"/>
          <w:color w:val="000000"/>
        </w:rPr>
        <w:t xml:space="preserve">, zákona č. 434/2008 Z. z., zákona č. 449/2008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599/2008 Z. z., zákona č. 108/2009 Z. z., zákona č. 192/2009 Z. z., zákona č. 200/2009 Z. z., zákona č. 285/2009 Z. z., zákona č. 571/2009 Z. z., zákona č. 572/2009 Z. z., zákona č. 52/2010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</w:t>
      </w:r>
      <w:r>
        <w:rPr>
          <w:rFonts w:ascii="Book Antiqua" w:eastAsia="Book Antiqua" w:hAnsi="Book Antiqua" w:cs="Book Antiqua"/>
          <w:color w:val="000000"/>
        </w:rPr>
        <w:t xml:space="preserve"> z., zákona </w:t>
      </w:r>
      <w:r>
        <w:rPr>
          <w:rFonts w:ascii="Book Antiqua" w:eastAsia="Book Antiqua" w:hAnsi="Book Antiqua" w:cs="Book Antiqua"/>
          <w:color w:val="000000"/>
        </w:rPr>
        <w:t xml:space="preserve">č. 151/2010 Z. z., zákona č. 403/2010 Z. z., zákona č. 543/2010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125/2011 Z. z., zákona č. 223/2011 Z. z., zákona č. 250/2011 Z. z., zákona č. 334/2011 Z. z., zákona č. 348/2011 Z. z., zákona č. 521/2011 Z. z., zákona č. 69/2012</w:t>
      </w:r>
      <w:r>
        <w:rPr>
          <w:rFonts w:ascii="Book Antiqua" w:eastAsia="Book Antiqua" w:hAnsi="Book Antiqua" w:cs="Book Antiqua"/>
          <w:color w:val="000000"/>
        </w:rPr>
        <w:t xml:space="preserve"> Z. z., zákona č. 252/2012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č. 413/2012 Z. z., zákona č. 96/2013 Z. z., zákona č. 338/2013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352/2013 Z. z., zákona </w:t>
      </w:r>
      <w:r>
        <w:rPr>
          <w:rFonts w:ascii="Book Antiqua" w:eastAsia="Book Antiqua" w:hAnsi="Book Antiqua" w:cs="Book Antiqua"/>
          <w:color w:val="000000"/>
        </w:rPr>
        <w:t>č. 183/2014 Z. z., zákona č. 195/2014 Z. z., zákona č. 204/2014 Z. z., zákona č. 240/2014 Z. z., zákona č. 298/2</w:t>
      </w:r>
      <w:r>
        <w:rPr>
          <w:rFonts w:ascii="Book Antiqua" w:eastAsia="Book Antiqua" w:hAnsi="Book Antiqua" w:cs="Book Antiqua"/>
          <w:color w:val="000000"/>
        </w:rPr>
        <w:t>014 Z. z., zákona č. 25/2015 Z. z., zákona č. 32/2015 Z. z., zákona č. 61/2015 Z. z., zákona č. 77/2015 Z. z., zákona č. 87/2015 Z. z., zákona č. 112/2015 Z. z., zákona č. 140/2015 Z. z., zákona č. 176/2015 Z. z., zákona č. 336/2015 Z. z., zákona č. 378/20</w:t>
      </w:r>
      <w:r>
        <w:rPr>
          <w:rFonts w:ascii="Book Antiqua" w:eastAsia="Book Antiqua" w:hAnsi="Book Antiqua" w:cs="Book Antiqua"/>
          <w:color w:val="000000"/>
        </w:rPr>
        <w:t xml:space="preserve">15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č. 407/2015 Z. z., zákona č. 440/2015 Z. z., zákona č. 125/2016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285/2016 Z. z., zákona č. 310/2016 Z. z., zákona č. 355/2016 Z. z., zákona č. 2/2017 Z. z., zákona č. 85/2017 Z. z., zákona č. 184/2017 Z. z., zákona č. 264/2</w:t>
      </w:r>
      <w:r>
        <w:rPr>
          <w:rFonts w:ascii="Book Antiqua" w:eastAsia="Book Antiqua" w:hAnsi="Book Antiqua" w:cs="Book Antiqua"/>
          <w:color w:val="000000"/>
        </w:rPr>
        <w:t xml:space="preserve">017 Z. z., zákona č. 266/2017 Z. z., zákona č. 279/2017 Z. z., zákona </w:t>
      </w:r>
      <w:r>
        <w:rPr>
          <w:rFonts w:ascii="Book Antiqua" w:eastAsia="Book Antiqua" w:hAnsi="Book Antiqua" w:cs="Book Antiqua"/>
          <w:color w:val="000000"/>
        </w:rPr>
        <w:t xml:space="preserve">č. 63/2018 Z. z., zákona č. 87/2018 Z. z., zákona č. 177/2018 Z. z., zákona č. 191/2018 Z. z., zákona č. 282/2018 Z. z., zákona č. 314/2018 Z. z., zákona č. 317/2018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zákona č. 366</w:t>
      </w:r>
      <w:r>
        <w:rPr>
          <w:rFonts w:ascii="Book Antiqua" w:eastAsia="Book Antiqua" w:hAnsi="Book Antiqua" w:cs="Book Antiqua"/>
          <w:color w:val="000000"/>
        </w:rPr>
        <w:t xml:space="preserve">/2018 Z. z., zákona č. 368/2018 Z. z., zákona č. 35/2019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105/2019 Z. z., zákona č. 221/2019 Z. z., zákona č. 225/2019 Z. z., zákona č. 231/2019 Z. z., </w:t>
      </w:r>
      <w:r>
        <w:rPr>
          <w:rFonts w:ascii="Book Antiqua" w:eastAsia="Book Antiqua" w:hAnsi="Book Antiqua" w:cs="Book Antiqua"/>
          <w:color w:val="000000"/>
        </w:rPr>
        <w:lastRenderedPageBreak/>
        <w:t xml:space="preserve">zákona č. 321/2019 Z. z., zákona č. 381/2019 Z. z., zákona č. 382/2019 Z. z., zákona č. </w:t>
      </w:r>
      <w:r>
        <w:rPr>
          <w:rFonts w:ascii="Book Antiqua" w:eastAsia="Book Antiqua" w:hAnsi="Book Antiqua" w:cs="Book Antiqua"/>
          <w:color w:val="000000"/>
        </w:rPr>
        <w:t xml:space="preserve">385/2019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č. 390/2019 Z. z., zákona </w:t>
      </w:r>
      <w:r>
        <w:rPr>
          <w:rFonts w:ascii="Book Antiqua" w:eastAsia="Book Antiqua" w:hAnsi="Book Antiqua" w:cs="Book Antiqua"/>
          <w:color w:val="000000"/>
        </w:rPr>
        <w:t xml:space="preserve">č. 393/2019 Z. z., zákona č. 466/2019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č. 467/2019 Z. z., zákona č. 46/2020 Z. z., zákona č. 63/2020 Z. z., zákona č. 66/2020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68/2020 Z. z., zákona č. 95/2020 Z. z., zákona č. 1</w:t>
      </w:r>
      <w:r>
        <w:rPr>
          <w:rFonts w:ascii="Book Antiqua" w:eastAsia="Book Antiqua" w:hAnsi="Book Antiqua" w:cs="Book Antiqua"/>
          <w:color w:val="000000"/>
        </w:rPr>
        <w:t xml:space="preserve">25/2020 Z. z., zákona č. 127/2020 Z. z., zákona č. 157/2020 Z. z., zákona č. 198/2020 Z. z., zákona č. 258/2020 Z. z., zákona č. 275/2020 Z. z., zákona č. 296/2020 Z. z., zákona č. 330/2020 Z. z., zákona č. 365/2020 Z. z., zákona č. 372/2020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Z. z., zákona </w:t>
      </w:r>
      <w:r>
        <w:rPr>
          <w:rFonts w:ascii="Book Antiqua" w:eastAsia="Book Antiqua" w:hAnsi="Book Antiqua" w:cs="Book Antiqua"/>
          <w:color w:val="000000"/>
        </w:rPr>
        <w:t xml:space="preserve">č. 388/2020 Z. z., zákona </w:t>
      </w:r>
      <w:r>
        <w:rPr>
          <w:rFonts w:ascii="Book Antiqua" w:eastAsia="Book Antiqua" w:hAnsi="Book Antiqua" w:cs="Book Antiqua"/>
          <w:color w:val="000000"/>
        </w:rPr>
        <w:t xml:space="preserve">č. 426/2020 Z. z., zákona č. 126/2021 Z. z., zákona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130/2021 Z. z., zákona č. 215/2021 Z. z., zákona č. 265/2021 Z. z., zákona č. 283/2021 Z. z., zákona č. 355/2021 Z. z., zákona č. 397/2021 Z. z., zákona č. 412/2021 Z. z., zák</w:t>
      </w:r>
      <w:r>
        <w:rPr>
          <w:rFonts w:ascii="Book Antiqua" w:eastAsia="Book Antiqua" w:hAnsi="Book Antiqua" w:cs="Book Antiqua"/>
          <w:color w:val="000000"/>
        </w:rPr>
        <w:t xml:space="preserve">ona č. 431/2021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Z. z., zákona č. 454/2021 Z. z., zákona č. 92/2022 Z. z. a zákona č. 125/2022 Z. z. sa mení a dopĺňa takto:</w:t>
      </w:r>
    </w:p>
    <w:p w:rsidR="00EE3838" w:rsidRDefault="00EE3838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EE3838">
      <w:pPr>
        <w:spacing w:after="0" w:line="240" w:lineRule="auto"/>
        <w:ind w:firstLine="708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293ft sa vkladá nový § 293fu, ktorý vrátane nadpisu znie: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„§ 293 fu</w:t>
      </w: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Mimoriadna valorizácia dôchodkov v roku 2022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Dôchodková dávka vyplácaná k</w:t>
      </w:r>
      <w:r w:rsidR="00CA79F0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1. novembru 2022 a</w:t>
      </w:r>
      <w:r w:rsidR="00CA79F0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dôchodková dávka priznaná </w:t>
      </w:r>
      <w:r w:rsidR="00F83BBF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od 1. novembra 2022 sa vzhľadom na mimoriadny medziročný rast spotrebiteľských cien za domácnosti dôchodcov vykázaný štatistickým úradom za prvý polrok kalendárneho roka 2022 zvyšuje</w:t>
      </w:r>
      <w:r>
        <w:rPr>
          <w:rFonts w:ascii="Book Antiqua" w:eastAsia="Book Antiqua" w:hAnsi="Book Antiqua" w:cs="Book Antiqua"/>
          <w:color w:val="000000"/>
        </w:rPr>
        <w:t xml:space="preserve"> o</w:t>
      </w:r>
      <w:r w:rsidR="00CA79F0">
        <w:rPr>
          <w:rFonts w:ascii="Book Antiqua" w:eastAsia="Book Antiqua" w:hAnsi="Book Antiqua" w:cs="Book Antiqua"/>
          <w:color w:val="000000"/>
        </w:rPr>
        <w:t> </w:t>
      </w:r>
      <w:r>
        <w:rPr>
          <w:rFonts w:ascii="Book Antiqua" w:eastAsia="Book Antiqua" w:hAnsi="Book Antiqua" w:cs="Book Antiqua"/>
          <w:color w:val="000000"/>
        </w:rPr>
        <w:t>8</w:t>
      </w:r>
      <w:r w:rsidR="00CA79F0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%. </w:t>
      </w:r>
    </w:p>
    <w:p w:rsidR="00EE3838" w:rsidRDefault="00CC31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Dôchodková dávka vyplácaná k 1. novembru 2022 sa zvyšuje od 1. novembra 2022 </w:t>
      </w:r>
      <w:r w:rsidR="00501D8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 xml:space="preserve">do 31. decembra 2022 a dôchodková dávka priznaná od 1. novembra 2022 sa zvyšuje </w:t>
      </w:r>
      <w:r w:rsidR="00501D8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odo dňa jej priznania do 31. decembra 2022.</w:t>
      </w:r>
    </w:p>
    <w:p w:rsidR="00EE3838" w:rsidRDefault="00CC31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Ustano</w:t>
      </w:r>
      <w:r w:rsidR="006C01CC">
        <w:rPr>
          <w:rFonts w:ascii="Book Antiqua" w:eastAsia="Book Antiqua" w:hAnsi="Book Antiqua" w:cs="Book Antiqua"/>
          <w:color w:val="000000"/>
        </w:rPr>
        <w:t>venie § 82 tým nie je dotknuté.</w:t>
      </w:r>
    </w:p>
    <w:p w:rsidR="00EE3838" w:rsidRDefault="00CC310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zvýše</w:t>
      </w:r>
      <w:r>
        <w:rPr>
          <w:rFonts w:ascii="Book Antiqua" w:eastAsia="Book Antiqua" w:hAnsi="Book Antiqua" w:cs="Book Antiqua"/>
          <w:color w:val="000000"/>
        </w:rPr>
        <w:t>nie dôchodkovej dávky od 1. januára 2023 podľa § 82 je rozhodujúca mesačná suma dôchodkovej dávky bez jej zvýšenia podľa ods. 1 a ods. 2 alebo mesačná suma dôchodkovej dávky bez jej zvýšenia na sumu minimálneho dôchodku vyplácaná ku dňu, od ktorého sa zvyš</w:t>
      </w:r>
      <w:r>
        <w:rPr>
          <w:rFonts w:ascii="Book Antiqua" w:eastAsia="Book Antiqua" w:hAnsi="Book Antiqua" w:cs="Book Antiqua"/>
          <w:color w:val="000000"/>
        </w:rPr>
        <w:t>uje.</w:t>
      </w:r>
    </w:p>
    <w:p w:rsidR="00EE3838" w:rsidRDefault="00EE3838">
      <w:pP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Zákon č. 296/2020 Z. z. o 13. dôchodku a o zmene a doplnení niektorých zákonov v znení zákona č. 171/2022 Z. z. sa dopĺňa a mení takto: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 § 4 ods. 1 písm. a) sa za slovné spojenie „13. dôchodku“ vkladá „a 14. dôchodku“.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 § 4 ods. 1 písm. b) sa za slovné spojenie „13. dôchodok“ vkladá „a 14. dôchodok“.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 § 4 ods. 2 písm. a) sa za slovné spojenie „13. dôchodku“ vkladá „a 14. dôchodku“.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 § 4 ods. 2 písm. b) sa za slovné spojenie „13. dôchodok“ vkladá „a 14. dôchodok“.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</w:t>
      </w:r>
      <w:r>
        <w:rPr>
          <w:rFonts w:ascii="Book Antiqua" w:eastAsia="Book Antiqua" w:hAnsi="Book Antiqua" w:cs="Book Antiqua"/>
          <w:color w:val="000000"/>
        </w:rPr>
        <w:t xml:space="preserve"> § 4 ods. 3 sa za slovné spojenie „13. dôchodok“ v príslušnom gramatickom tvare vkladá „a 14. dôchodok“ v príslušnom gramatickom tvare.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 § 5 sa za slovné spojenie „13. dôchodok“ vkladá „a 14. dôchodok“.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 § 7, § 8 a § 10 sa za slovné spojenie „13. dôchodok“ v príslušnom gramatickom tvare vkladá „a 14. dôchodok“ v príslušnom gramatickom tvare. 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Za § 12 sa vkladá § 13, ktorý vrátane nadpisu znie nasledovne: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„§ 13</w:t>
      </w: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14. dôchodok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CC31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Nárok na 14. dôchodok v novembri 2022 má poberateľ dôchodku, ktorému v júli 2022 vznikol nárok na 13. dôchodok.</w:t>
      </w:r>
    </w:p>
    <w:p w:rsidR="00EE3838" w:rsidRDefault="00CC31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Výška 14. dôchodku sa rovná výške 13. dôchodku vyplateného v júli 2022.</w:t>
      </w:r>
    </w:p>
    <w:p w:rsidR="00EE3838" w:rsidRDefault="00CC31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14. dôchodok podľa odseku 1 sa vyplatí poberateľovi dôchodku v deň splat</w:t>
      </w:r>
      <w:r>
        <w:rPr>
          <w:rFonts w:ascii="Book Antiqua" w:eastAsia="Book Antiqua" w:hAnsi="Book Antiqua" w:cs="Book Antiqua"/>
          <w:color w:val="000000"/>
        </w:rPr>
        <w:t>nosti dôchodku podľa § 2 v novembri 2022.“</w:t>
      </w:r>
    </w:p>
    <w:p w:rsidR="00EE3838" w:rsidRDefault="00EE38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III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Zákon č. 363/2011 Z. z. o rozsahu a podmienkach úhrady liekov, zdravotníckych pomôcok a dietetických potravín na základe verejného zdravotného poistenia a o zmene a doplnení niektorých zákonov v znení zákona č. 460/2012 Z. z., zákona č. 265/2015 Z. z., zák</w:t>
      </w:r>
      <w:r>
        <w:rPr>
          <w:rFonts w:ascii="Book Antiqua" w:eastAsia="Book Antiqua" w:hAnsi="Book Antiqua" w:cs="Book Antiqua"/>
          <w:color w:val="000000"/>
        </w:rPr>
        <w:t xml:space="preserve">ona č. 306/2016 Z. z., zákona č. 336/2017 Z. z., zákona č. 351/2017 Z. z., zákona č. 87/2018 Z. z., zákona </w:t>
      </w:r>
      <w:r w:rsidR="00210BB8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č. 156/2018 Z. z., zákona č. 374/2018 Z. z., zákona č. 343/2019 Z. z., zákona č. 125/2020 Z. z., zákona č. 158/2020 Z. z., zákona č. 81/2021 Z. z., z</w:t>
      </w:r>
      <w:r>
        <w:rPr>
          <w:rFonts w:ascii="Book Antiqua" w:eastAsia="Book Antiqua" w:hAnsi="Book Antiqua" w:cs="Book Antiqua"/>
          <w:color w:val="000000"/>
        </w:rPr>
        <w:t xml:space="preserve">ákona č. 133/2021 Z. z., zákona 358/2021 Z. z., a zákona č. 266/2022 Z. z. sa dopĺňa a mení takto: 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widowControl w:val="0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87c ods. 1 znie takto: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„(1) Limit spoluúčasti vo výške 0 eur sa vzťahuje aj na poistenca, ktorého celkový príjem nie je vyšší ako </w:t>
      </w:r>
      <w:r w:rsidRPr="00CC310C">
        <w:rPr>
          <w:rFonts w:ascii="Book Antiqua" w:eastAsia="Book Antiqua" w:hAnsi="Book Antiqua" w:cs="Book Antiqua"/>
        </w:rPr>
        <w:t>200 %</w:t>
      </w:r>
      <w:r>
        <w:rPr>
          <w:rFonts w:ascii="Book Antiqua" w:eastAsia="Book Antiqua" w:hAnsi="Book Antiqua" w:cs="Book Antiqua"/>
        </w:rPr>
        <w:t xml:space="preserve"> priemernej nominálnej mesačnej mzdy zamestnanca v hospodárstve Slovenskej republiky zistenej </w:t>
      </w:r>
      <w:r>
        <w:rPr>
          <w:rFonts w:ascii="Book Antiqua" w:eastAsia="Book Antiqua" w:hAnsi="Book Antiqua" w:cs="Book Antiqua"/>
        </w:rPr>
        <w:t>Štatistickým úradom Slovenskej republiky za kalendárny rok, ktorý dva roky predchádza kalendárnemu roku, v ktorom sa posudzuje nárok poistenca na limit spoluúčast</w:t>
      </w:r>
      <w:r>
        <w:rPr>
          <w:rFonts w:ascii="Book Antiqua" w:eastAsia="Book Antiqua" w:hAnsi="Book Antiqua" w:cs="Book Antiqua"/>
        </w:rPr>
        <w:t xml:space="preserve">i,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t>a ktorý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a) </w:t>
      </w:r>
      <w:r>
        <w:rPr>
          <w:rFonts w:ascii="Book Antiqua" w:eastAsia="Book Antiqua" w:hAnsi="Book Antiqua" w:cs="Book Antiqua"/>
          <w:highlight w:val="white"/>
        </w:rPr>
        <w:t>je držiteľom preukazu fyzickej osoby s ťažkým zdravotným postihnutím alebo preukazu fyzickej osoby s ťažkým zdravotným postihnutím so sprievodcom</w:t>
      </w:r>
      <w:r>
        <w:rPr>
          <w:rFonts w:ascii="Book Antiqua" w:eastAsia="Book Antiqua" w:hAnsi="Book Antiqua" w:cs="Book Antiqua"/>
        </w:rPr>
        <w:t>,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b) je poberateľom invalidného dôchodku,</w:t>
      </w:r>
      <w:r>
        <w:rPr>
          <w:rFonts w:ascii="Book Antiqua" w:eastAsia="Book Antiqua" w:hAnsi="Book Antiqua" w:cs="Book Antiqua"/>
          <w:vertAlign w:val="superscript"/>
        </w:rPr>
        <w:t>5)</w:t>
      </w:r>
      <w:r>
        <w:rPr>
          <w:rFonts w:ascii="Book Antiqua" w:eastAsia="Book Antiqua" w:hAnsi="Book Antiqua" w:cs="Book Antiqua"/>
        </w:rPr>
        <w:t xml:space="preserve"> invalidného výsluhového dôchodku</w:t>
      </w:r>
      <w:r>
        <w:rPr>
          <w:rFonts w:ascii="Book Antiqua" w:eastAsia="Book Antiqua" w:hAnsi="Book Antiqua" w:cs="Book Antiqua"/>
          <w:vertAlign w:val="superscript"/>
        </w:rPr>
        <w:t>6)</w:t>
      </w:r>
      <w:r>
        <w:rPr>
          <w:rFonts w:ascii="Book Antiqua" w:eastAsia="Book Antiqua" w:hAnsi="Book Antiqua" w:cs="Book Antiqua"/>
        </w:rPr>
        <w:t xml:space="preserve"> alebo je invalid</w:t>
      </w:r>
      <w:r>
        <w:rPr>
          <w:rFonts w:ascii="Book Antiqua" w:eastAsia="Book Antiqua" w:hAnsi="Book Antiqua" w:cs="Book Antiqua"/>
        </w:rPr>
        <w:t>ný a nevznikol mu nárok na invalidný dôchodok,</w:t>
      </w:r>
      <w:r>
        <w:rPr>
          <w:rFonts w:ascii="Book Antiqua" w:eastAsia="Book Antiqua" w:hAnsi="Book Antiqua" w:cs="Book Antiqua"/>
          <w:vertAlign w:val="superscript"/>
        </w:rPr>
        <w:t>5)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c) je poberateľom starobného dôchodku, dôchodku z výsluhového zabezpečenia policajtov a vojakov</w:t>
      </w:r>
      <w:r>
        <w:rPr>
          <w:rFonts w:ascii="Book Antiqua" w:eastAsia="Book Antiqua" w:hAnsi="Book Antiqua" w:cs="Book Antiqua"/>
          <w:vertAlign w:val="superscript"/>
        </w:rPr>
        <w:t>6)</w:t>
      </w:r>
      <w:r>
        <w:rPr>
          <w:rFonts w:ascii="Book Antiqua" w:eastAsia="Book Antiqua" w:hAnsi="Book Antiqua" w:cs="Book Antiqua"/>
        </w:rPr>
        <w:t xml:space="preserve"> vo veku ustanovenom na vznik nároku na starobný dôchodok, dôchodku z iného členského štátu, Nórska, Lichtenš</w:t>
      </w:r>
      <w:r>
        <w:rPr>
          <w:rFonts w:ascii="Book Antiqua" w:eastAsia="Book Antiqua" w:hAnsi="Book Antiqua" w:cs="Book Antiqua"/>
        </w:rPr>
        <w:t>tajnska, Islandu, Švajčiarska, ak nie je poistený v tomto štáte, nie je poberateľom dôchodku z tretieho štátu,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d) dovŕšil dôchodkový vek a nevznikol mu nárok na starobný dôchodok alebo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e) je poberateľom predčasného starobného dôchodku a nevznikol mu náro</w:t>
      </w:r>
      <w:r>
        <w:rPr>
          <w:rFonts w:ascii="Book Antiqua" w:eastAsia="Book Antiqua" w:hAnsi="Book Antiqua" w:cs="Book Antiqua"/>
        </w:rPr>
        <w:t>k na starobný dôchodok.“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</w:p>
    <w:p w:rsidR="00EE3838" w:rsidRDefault="00CC31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IV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E3838" w:rsidRDefault="00CC310C" w:rsidP="00210B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Tento zákon nadobúda účinnosť 15. dňom vyhlásenia v Zbierke zákonov SR.</w:t>
      </w:r>
    </w:p>
    <w:p w:rsidR="00EE3838" w:rsidRDefault="00E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EE3838" w:rsidSect="00EE3838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CBB"/>
    <w:multiLevelType w:val="multilevel"/>
    <w:tmpl w:val="440A992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3BAD"/>
    <w:multiLevelType w:val="multilevel"/>
    <w:tmpl w:val="AA9EFC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24F1"/>
    <w:multiLevelType w:val="multilevel"/>
    <w:tmpl w:val="D34C807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C4A8C"/>
    <w:multiLevelType w:val="multilevel"/>
    <w:tmpl w:val="30546B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EE3838"/>
    <w:rsid w:val="00210BB8"/>
    <w:rsid w:val="00501D89"/>
    <w:rsid w:val="006C01CC"/>
    <w:rsid w:val="007F08AF"/>
    <w:rsid w:val="00CA79F0"/>
    <w:rsid w:val="00CC310C"/>
    <w:rsid w:val="00EE3838"/>
    <w:rsid w:val="00F8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8206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8206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206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82068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8206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E3838"/>
  </w:style>
  <w:style w:type="table" w:customStyle="1" w:styleId="TableNormal">
    <w:name w:val="Table Normal"/>
    <w:rsid w:val="00EE38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206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20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al"/>
    <w:next w:val="normal"/>
    <w:rsid w:val="00EE38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406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9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95E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9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95E"/>
    <w:rPr>
      <w:rFonts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DufQQ5J7GSLH5qBII09GY03AA==">AMUW2mUKhIxSuqISbwADGPwR4WCb0DlyumbfZ4KyD+yezQkaWr3TZxacW4uEZh0Mtk9MbErEBP4+TMwNfEGxb+ls0R8MPgExnU41JD/z4EpoRz0lg5iJ0e9hifLUUtx7pLmjFigq1NL2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8</cp:revision>
  <dcterms:created xsi:type="dcterms:W3CDTF">2022-08-22T19:29:00Z</dcterms:created>
  <dcterms:modified xsi:type="dcterms:W3CDTF">2022-08-25T15:43:00Z</dcterms:modified>
</cp:coreProperties>
</file>