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87E9" w14:textId="77777777" w:rsidR="00CA4B22" w:rsidRPr="00DD3F44" w:rsidRDefault="00CA4B22" w:rsidP="00CA4B22">
      <w:pP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DÔVODOVÁ SPRÁVA</w:t>
      </w:r>
    </w:p>
    <w:p w14:paraId="185EAFB3" w14:textId="77777777" w:rsidR="00CA4B22" w:rsidRPr="00DD3F44" w:rsidRDefault="00CA4B22" w:rsidP="00CA4B22">
      <w:pPr>
        <w:rPr>
          <w:rFonts w:ascii="Times New Roman" w:eastAsia="Times New Roman" w:hAnsi="Times New Roman" w:cs="Times New Roman"/>
          <w:sz w:val="24"/>
          <w:szCs w:val="24"/>
          <w:lang w:eastAsia="sk-SK"/>
        </w:rPr>
      </w:pPr>
    </w:p>
    <w:p w14:paraId="18D6B483" w14:textId="4927D68D" w:rsidR="00CA4B22" w:rsidRPr="00DD3F44" w:rsidRDefault="00CA4B22" w:rsidP="00CA4B22">
      <w:pP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Všeobecná časť</w:t>
      </w:r>
    </w:p>
    <w:p w14:paraId="7162F61A" w14:textId="77777777" w:rsidR="00CA4B22" w:rsidRPr="00DD3F44" w:rsidRDefault="00CA4B22" w:rsidP="00CA4B22">
      <w:pPr>
        <w:rPr>
          <w:rFonts w:ascii="Times New Roman" w:eastAsia="Times New Roman" w:hAnsi="Times New Roman" w:cs="Times New Roman"/>
          <w:sz w:val="24"/>
          <w:szCs w:val="24"/>
          <w:lang w:eastAsia="sk-SK"/>
        </w:rPr>
      </w:pPr>
    </w:p>
    <w:p w14:paraId="41C87A42" w14:textId="4A693F79" w:rsidR="00992B5B" w:rsidRDefault="00F444A6" w:rsidP="00F444A6">
      <w:p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Chorobná závislosť na hraní hazardných hier, tzv. gambling alebo patologické hráčstvo predstavuje závažný zdravotný, ako aj spoločenský problém. Aj v dôsledku izolácie spôsobenej opatreniami na zamedzenie šírenia </w:t>
      </w:r>
      <w:r w:rsidR="005E24D6" w:rsidRPr="00DD3F44">
        <w:rPr>
          <w:rFonts w:ascii="Times New Roman" w:eastAsia="Times New Roman" w:hAnsi="Times New Roman" w:cs="Times New Roman"/>
          <w:sz w:val="24"/>
          <w:szCs w:val="24"/>
          <w:lang w:eastAsia="sk-SK"/>
        </w:rPr>
        <w:t>nákazy počas trvania pandémie došlo k výraznejšiemu zhoršeniu psychického stavu množstva osôb. Jednoduchá dostupnosť zariadení herní je jedným z rizikových faktorov pre vypuknutie alebo prehĺbenie závislosti na hraní hazardných hier, preto je potrebné prijať opatrenia na obmedzenie prístupu k herniam.</w:t>
      </w:r>
    </w:p>
    <w:p w14:paraId="42B4DE0C" w14:textId="2FB74B13" w:rsidR="0000045E" w:rsidRDefault="0000045E" w:rsidP="00F444A6">
      <w:pPr>
        <w:jc w:val="both"/>
        <w:rPr>
          <w:rFonts w:ascii="Times New Roman" w:eastAsia="Times New Roman" w:hAnsi="Times New Roman" w:cs="Times New Roman"/>
          <w:sz w:val="24"/>
          <w:szCs w:val="24"/>
          <w:lang w:eastAsia="sk-SK"/>
        </w:rPr>
      </w:pPr>
    </w:p>
    <w:p w14:paraId="25C7F424" w14:textId="1F1793B2" w:rsidR="0000045E" w:rsidRPr="00DD3F44" w:rsidRDefault="0000045E" w:rsidP="00F444A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Patologické hráčstvo predstavuje narastajúci zdravotný, ako aj spoločenský problém aj medzi mladými dospelými. Mladí dospelí vo veku tesne nad 18 rokov sú pritom často ešte iba študentami stredných škôl a veľká časť mladých vo vekovej kategórii od 18 do 21 rokov je finančne úplne alebo aspoň čiastočne závislá od svojich rodičov. Zvýšením vekovej hranice zákazu účasti na hazardných hrách sa zabezpečí ochrana ohrozených patologickým hráčstvom v citlivom veku</w:t>
      </w:r>
      <w:r w:rsidR="00B661BC">
        <w:rPr>
          <w:rFonts w:ascii="Times New Roman" w:eastAsia="Times New Roman" w:hAnsi="Times New Roman" w:cs="Times New Roman"/>
          <w:sz w:val="24"/>
          <w:szCs w:val="24"/>
          <w:lang w:eastAsia="sk-SK"/>
        </w:rPr>
        <w:t>.</w:t>
      </w:r>
    </w:p>
    <w:p w14:paraId="029483FB" w14:textId="77777777" w:rsidR="00992B5B" w:rsidRPr="00DD3F44" w:rsidRDefault="00992B5B" w:rsidP="00CA4B22">
      <w:pPr>
        <w:jc w:val="center"/>
        <w:rPr>
          <w:rFonts w:ascii="Times New Roman" w:eastAsia="Times New Roman" w:hAnsi="Times New Roman" w:cs="Times New Roman"/>
          <w:b/>
          <w:bCs/>
          <w:sz w:val="24"/>
          <w:szCs w:val="24"/>
          <w:lang w:eastAsia="sk-SK"/>
        </w:rPr>
      </w:pPr>
    </w:p>
    <w:p w14:paraId="59DBEFE2" w14:textId="77777777" w:rsidR="00992B5B" w:rsidRPr="00DD3F44" w:rsidRDefault="00992B5B" w:rsidP="00CA4B22">
      <w:pPr>
        <w:jc w:val="center"/>
        <w:rPr>
          <w:rFonts w:ascii="Times New Roman" w:eastAsia="Times New Roman" w:hAnsi="Times New Roman" w:cs="Times New Roman"/>
          <w:b/>
          <w:bCs/>
          <w:sz w:val="24"/>
          <w:szCs w:val="24"/>
          <w:lang w:eastAsia="sk-SK"/>
        </w:rPr>
      </w:pPr>
    </w:p>
    <w:p w14:paraId="7812FD18" w14:textId="1697D53B" w:rsidR="00CA4B22" w:rsidRPr="00DD3F44" w:rsidRDefault="00CA4B22" w:rsidP="00CA4B22">
      <w:pPr>
        <w:jc w:val="cente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Osobitná časť</w:t>
      </w:r>
    </w:p>
    <w:p w14:paraId="7F6A7087" w14:textId="77777777" w:rsidR="00CA4B22" w:rsidRPr="00DD3F44" w:rsidRDefault="00CA4B22" w:rsidP="00CA4B22">
      <w:pPr>
        <w:rPr>
          <w:rFonts w:ascii="Times New Roman" w:eastAsia="Times New Roman" w:hAnsi="Times New Roman" w:cs="Times New Roman"/>
          <w:sz w:val="24"/>
          <w:szCs w:val="24"/>
          <w:lang w:eastAsia="sk-SK"/>
        </w:rPr>
      </w:pPr>
    </w:p>
    <w:p w14:paraId="0B84793C" w14:textId="53304F99" w:rsidR="00CA4B22" w:rsidRPr="00DD3F44" w:rsidRDefault="00CA4B22" w:rsidP="00CA4B22">
      <w:pP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K čl. I</w:t>
      </w:r>
    </w:p>
    <w:p w14:paraId="12A17BF2" w14:textId="77777777" w:rsidR="00CA4B22" w:rsidRPr="00DD3F44" w:rsidRDefault="00CA4B22" w:rsidP="00CA4B22">
      <w:pPr>
        <w:rPr>
          <w:rFonts w:ascii="Times New Roman" w:eastAsia="Times New Roman" w:hAnsi="Times New Roman" w:cs="Times New Roman"/>
          <w:sz w:val="24"/>
          <w:szCs w:val="24"/>
          <w:lang w:eastAsia="sk-SK"/>
        </w:rPr>
      </w:pPr>
    </w:p>
    <w:p w14:paraId="1315CE42" w14:textId="5D786AEB" w:rsidR="00CA4B22" w:rsidRPr="00DD3F44" w:rsidRDefault="007E0A61" w:rsidP="00F444A6">
      <w:pPr>
        <w:pStyle w:val="Odsekzoznamu"/>
        <w:numPr>
          <w:ilvl w:val="0"/>
          <w:numId w:val="5"/>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Vplyvom zákazu umiestniť výherné prístroje mimo herne ubudli výherné prístroje v </w:t>
      </w:r>
      <w:r w:rsidR="00555589" w:rsidRPr="00DD3F44">
        <w:rPr>
          <w:rFonts w:ascii="Times New Roman" w:eastAsia="Times New Roman" w:hAnsi="Times New Roman" w:cs="Times New Roman"/>
          <w:sz w:val="24"/>
          <w:szCs w:val="24"/>
          <w:lang w:eastAsia="sk-SK"/>
        </w:rPr>
        <w:t>reštauráciách</w:t>
      </w:r>
      <w:r w:rsidRPr="00DD3F44">
        <w:rPr>
          <w:rFonts w:ascii="Times New Roman" w:eastAsia="Times New Roman" w:hAnsi="Times New Roman" w:cs="Times New Roman"/>
          <w:sz w:val="24"/>
          <w:szCs w:val="24"/>
          <w:lang w:eastAsia="sk-SK"/>
        </w:rPr>
        <w:t>, krčmách a pohostinstvách vo vyše 800 obciach. Dostupnosť výherných prístrojov v mieste trvalého bydliska sa znížila pre takmer 1 100 000 obyvateľov Slovenska. Efektívnosť tohto opatrenia sa stráca vďaka vysokej dostupnosti herní na dôležitých dopravných uzloch akými sú železničné a autobusové stanice. Pri ceste za prácou alebo za  štúdiom majú ľahkú dostupnosť hazardných hier aj obyvatelia obcí kde sa herne nenachádzajú.</w:t>
      </w:r>
    </w:p>
    <w:p w14:paraId="07EB6BD3" w14:textId="77777777" w:rsidR="007E0A61" w:rsidRPr="00DD3F44" w:rsidRDefault="007E0A61" w:rsidP="00F444A6">
      <w:pPr>
        <w:pStyle w:val="Odsekzoznamu"/>
        <w:jc w:val="both"/>
        <w:rPr>
          <w:rFonts w:ascii="Times New Roman" w:eastAsia="Times New Roman" w:hAnsi="Times New Roman" w:cs="Times New Roman"/>
          <w:sz w:val="24"/>
          <w:szCs w:val="24"/>
          <w:lang w:eastAsia="sk-SK"/>
        </w:rPr>
      </w:pPr>
    </w:p>
    <w:p w14:paraId="5490BFB9" w14:textId="33E34E9C" w:rsidR="007E0A61" w:rsidRPr="00DD3F44" w:rsidRDefault="007E0A61" w:rsidP="00F444A6">
      <w:pPr>
        <w:pStyle w:val="Odsekzoznamu"/>
        <w:numPr>
          <w:ilvl w:val="0"/>
          <w:numId w:val="5"/>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Vypúšťa sa možnosť prevádzkovať herne v moteloch a penziónoch a ponechávajú sa hotely ako ubytovacie zariadenia vyššieho štandardu. Zo </w:t>
      </w:r>
      <w:r w:rsidR="007303D4" w:rsidRPr="00DD3F44">
        <w:rPr>
          <w:rFonts w:ascii="Times New Roman" w:eastAsia="Times New Roman" w:hAnsi="Times New Roman" w:cs="Times New Roman"/>
          <w:sz w:val="24"/>
          <w:szCs w:val="24"/>
          <w:lang w:eastAsia="sk-SK"/>
        </w:rPr>
        <w:t xml:space="preserve">775 </w:t>
      </w:r>
      <w:r w:rsidRPr="00DD3F44">
        <w:rPr>
          <w:rFonts w:ascii="Times New Roman" w:eastAsia="Times New Roman" w:hAnsi="Times New Roman" w:cs="Times New Roman"/>
          <w:sz w:val="24"/>
          <w:szCs w:val="24"/>
          <w:lang w:eastAsia="sk-SK"/>
        </w:rPr>
        <w:t xml:space="preserve">herní na Slovensku sa </w:t>
      </w:r>
      <w:r w:rsidR="007303D4" w:rsidRPr="00DD3F44">
        <w:rPr>
          <w:rFonts w:ascii="Times New Roman" w:eastAsia="Times New Roman" w:hAnsi="Times New Roman" w:cs="Times New Roman"/>
          <w:sz w:val="24"/>
          <w:szCs w:val="24"/>
          <w:lang w:eastAsia="sk-SK"/>
        </w:rPr>
        <w:t>žiadne ne</w:t>
      </w:r>
      <w:r w:rsidRPr="00DD3F44">
        <w:rPr>
          <w:rFonts w:ascii="Times New Roman" w:eastAsia="Times New Roman" w:hAnsi="Times New Roman" w:cs="Times New Roman"/>
          <w:sz w:val="24"/>
          <w:szCs w:val="24"/>
          <w:lang w:eastAsia="sk-SK"/>
        </w:rPr>
        <w:t>nachádzali v moteloch a</w:t>
      </w:r>
      <w:r w:rsidR="007303D4" w:rsidRPr="00DD3F44">
        <w:rPr>
          <w:rFonts w:ascii="Times New Roman" w:eastAsia="Times New Roman" w:hAnsi="Times New Roman" w:cs="Times New Roman"/>
          <w:sz w:val="24"/>
          <w:szCs w:val="24"/>
          <w:lang w:eastAsia="sk-SK"/>
        </w:rPr>
        <w:t xml:space="preserve"> 9 sa nachádzalo </w:t>
      </w:r>
      <w:r w:rsidRPr="00DD3F44">
        <w:rPr>
          <w:rFonts w:ascii="Times New Roman" w:eastAsia="Times New Roman" w:hAnsi="Times New Roman" w:cs="Times New Roman"/>
          <w:sz w:val="24"/>
          <w:szCs w:val="24"/>
          <w:lang w:eastAsia="sk-SK"/>
        </w:rPr>
        <w:t xml:space="preserve">v penziónoch.  </w:t>
      </w:r>
    </w:p>
    <w:p w14:paraId="0FAA2333" w14:textId="77777777" w:rsidR="007E0A61" w:rsidRPr="00DD3F44" w:rsidRDefault="007E0A61" w:rsidP="00F444A6">
      <w:pPr>
        <w:pStyle w:val="Odsekzoznamu"/>
        <w:jc w:val="both"/>
        <w:rPr>
          <w:rFonts w:ascii="Times New Roman" w:eastAsia="Times New Roman" w:hAnsi="Times New Roman" w:cs="Times New Roman"/>
          <w:sz w:val="24"/>
          <w:szCs w:val="24"/>
          <w:lang w:eastAsia="sk-SK"/>
        </w:rPr>
      </w:pPr>
    </w:p>
    <w:p w14:paraId="6C04CFF0" w14:textId="5484FDDE" w:rsidR="007E0A61" w:rsidRPr="00DD3F44" w:rsidRDefault="007E0A61" w:rsidP="00F444A6">
      <w:pPr>
        <w:pStyle w:val="Odsekzoznamu"/>
        <w:numPr>
          <w:ilvl w:val="0"/>
          <w:numId w:val="5"/>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Vypúšťa sa možnosť prevádzkovať herne v budovách pre kultúru a verejnú zábavu, nakoľko tieto navštevujú aj rodiny s deťmi. Hazardné hry vo svojej podstate nepatria ani do oblasti kultúry ani nie sú určené na verejnú zábavu. Z</w:t>
      </w:r>
      <w:r w:rsidR="007303D4" w:rsidRPr="00DD3F44">
        <w:rPr>
          <w:rFonts w:ascii="Times New Roman" w:eastAsia="Times New Roman" w:hAnsi="Times New Roman" w:cs="Times New Roman"/>
          <w:sz w:val="24"/>
          <w:szCs w:val="24"/>
          <w:lang w:eastAsia="sk-SK"/>
        </w:rPr>
        <w:t>o</w:t>
      </w:r>
      <w:r w:rsidRPr="00DD3F44">
        <w:rPr>
          <w:rFonts w:ascii="Times New Roman" w:eastAsia="Times New Roman" w:hAnsi="Times New Roman" w:cs="Times New Roman"/>
          <w:sz w:val="24"/>
          <w:szCs w:val="24"/>
          <w:lang w:eastAsia="sk-SK"/>
        </w:rPr>
        <w:t xml:space="preserve"> </w:t>
      </w:r>
      <w:r w:rsidR="007303D4" w:rsidRPr="00DD3F44">
        <w:rPr>
          <w:rFonts w:ascii="Times New Roman" w:eastAsia="Times New Roman" w:hAnsi="Times New Roman" w:cs="Times New Roman"/>
          <w:sz w:val="24"/>
          <w:szCs w:val="24"/>
          <w:lang w:eastAsia="sk-SK"/>
        </w:rPr>
        <w:t xml:space="preserve">775 </w:t>
      </w:r>
      <w:r w:rsidRPr="00DD3F44">
        <w:rPr>
          <w:rFonts w:ascii="Times New Roman" w:eastAsia="Times New Roman" w:hAnsi="Times New Roman" w:cs="Times New Roman"/>
          <w:sz w:val="24"/>
          <w:szCs w:val="24"/>
          <w:lang w:eastAsia="sk-SK"/>
        </w:rPr>
        <w:t>licencií na prevádzkovanie herní platných k 31.1.20</w:t>
      </w:r>
      <w:r w:rsidR="007303D4" w:rsidRPr="00DD3F44">
        <w:rPr>
          <w:rFonts w:ascii="Times New Roman" w:eastAsia="Times New Roman" w:hAnsi="Times New Roman" w:cs="Times New Roman"/>
          <w:sz w:val="24"/>
          <w:szCs w:val="24"/>
          <w:lang w:eastAsia="sk-SK"/>
        </w:rPr>
        <w:t>22</w:t>
      </w:r>
      <w:r w:rsidRPr="00DD3F44">
        <w:rPr>
          <w:rFonts w:ascii="Times New Roman" w:eastAsia="Times New Roman" w:hAnsi="Times New Roman" w:cs="Times New Roman"/>
          <w:sz w:val="24"/>
          <w:szCs w:val="24"/>
          <w:lang w:eastAsia="sk-SK"/>
        </w:rPr>
        <w:t xml:space="preserve"> bolo </w:t>
      </w:r>
      <w:r w:rsidR="001162CB" w:rsidRPr="00DD3F44">
        <w:rPr>
          <w:rFonts w:ascii="Times New Roman" w:eastAsia="Times New Roman" w:hAnsi="Times New Roman" w:cs="Times New Roman"/>
          <w:sz w:val="24"/>
          <w:szCs w:val="24"/>
          <w:lang w:eastAsia="sk-SK"/>
        </w:rPr>
        <w:t xml:space="preserve">7 </w:t>
      </w:r>
      <w:r w:rsidRPr="00DD3F44">
        <w:rPr>
          <w:rFonts w:ascii="Times New Roman" w:eastAsia="Times New Roman" w:hAnsi="Times New Roman" w:cs="Times New Roman"/>
          <w:sz w:val="24"/>
          <w:szCs w:val="24"/>
          <w:lang w:eastAsia="sk-SK"/>
        </w:rPr>
        <w:t>licencií na prevádzkovanie herne v budovách pre kultúru a verejnú zábavu. Vypúšťa sa možnosť prevádzkovať herne v bytových domoch nakoľko na tieto herne sú sťažnosti zo strany obyvateľov, ktorí bývajú na spodných poschodiach bytového domu. Hlasovanie vlastníkov bytov a nebytových priestorov pritom umožňuje majiteľom viacerých nebytových priestorov prehlasovať majiteľov, ktorí v bytovom dome reálne bývajú. Rizikové sú zvlášť developerské projekty kde je množstvo nepredaných prázdnych pivníc a garážových státí čo majiteľovi budovy dáva mnohonásobné hlasovacie právo (desiatky hlasov). Na Slovensku bolo k 31.1.20</w:t>
      </w:r>
      <w:r w:rsidR="00A7610E" w:rsidRPr="00DD3F44">
        <w:rPr>
          <w:rFonts w:ascii="Times New Roman" w:eastAsia="Times New Roman" w:hAnsi="Times New Roman" w:cs="Times New Roman"/>
          <w:sz w:val="24"/>
          <w:szCs w:val="24"/>
          <w:lang w:eastAsia="sk-SK"/>
        </w:rPr>
        <w:t>22</w:t>
      </w:r>
      <w:r w:rsidRPr="00DD3F44">
        <w:rPr>
          <w:rFonts w:ascii="Times New Roman" w:eastAsia="Times New Roman" w:hAnsi="Times New Roman" w:cs="Times New Roman"/>
          <w:sz w:val="24"/>
          <w:szCs w:val="24"/>
          <w:lang w:eastAsia="sk-SK"/>
        </w:rPr>
        <w:t xml:space="preserve"> vydaných </w:t>
      </w:r>
      <w:r w:rsidR="00A7610E" w:rsidRPr="00DD3F44">
        <w:rPr>
          <w:rFonts w:ascii="Times New Roman" w:eastAsia="Times New Roman" w:hAnsi="Times New Roman" w:cs="Times New Roman"/>
          <w:sz w:val="24"/>
          <w:szCs w:val="24"/>
          <w:lang w:eastAsia="sk-SK"/>
        </w:rPr>
        <w:t xml:space="preserve">37 </w:t>
      </w:r>
      <w:r w:rsidRPr="00DD3F44">
        <w:rPr>
          <w:rFonts w:ascii="Times New Roman" w:eastAsia="Times New Roman" w:hAnsi="Times New Roman" w:cs="Times New Roman"/>
          <w:sz w:val="24"/>
          <w:szCs w:val="24"/>
          <w:lang w:eastAsia="sk-SK"/>
        </w:rPr>
        <w:t>licencií na prevádzkovanie herne v bytových domoch.</w:t>
      </w:r>
    </w:p>
    <w:p w14:paraId="3A632B35" w14:textId="77777777" w:rsidR="007E0A61" w:rsidRPr="00DD3F44" w:rsidRDefault="007E0A61" w:rsidP="00F444A6">
      <w:pPr>
        <w:pStyle w:val="Odsekzoznamu"/>
        <w:jc w:val="both"/>
        <w:rPr>
          <w:rFonts w:ascii="Times New Roman" w:eastAsia="Times New Roman" w:hAnsi="Times New Roman" w:cs="Times New Roman"/>
          <w:sz w:val="24"/>
          <w:szCs w:val="24"/>
          <w:lang w:eastAsia="sk-SK"/>
        </w:rPr>
      </w:pPr>
    </w:p>
    <w:p w14:paraId="593AA89B" w14:textId="259E6902" w:rsidR="007E0A61" w:rsidRPr="00DD3F44" w:rsidRDefault="007E0A61" w:rsidP="00F444A6">
      <w:pPr>
        <w:pStyle w:val="Odsekzoznamu"/>
        <w:numPr>
          <w:ilvl w:val="0"/>
          <w:numId w:val="5"/>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lastRenderedPageBreak/>
        <w:t xml:space="preserve">Z </w:t>
      </w:r>
      <w:r w:rsidR="00911A07" w:rsidRPr="00DD3F44">
        <w:rPr>
          <w:rFonts w:ascii="Times New Roman" w:eastAsia="Times New Roman" w:hAnsi="Times New Roman" w:cs="Times New Roman"/>
          <w:sz w:val="24"/>
          <w:szCs w:val="24"/>
          <w:lang w:eastAsia="sk-SK"/>
        </w:rPr>
        <w:t xml:space="preserve">25 </w:t>
      </w:r>
      <w:r w:rsidRPr="00DD3F44">
        <w:rPr>
          <w:rFonts w:ascii="Times New Roman" w:eastAsia="Times New Roman" w:hAnsi="Times New Roman" w:cs="Times New Roman"/>
          <w:sz w:val="24"/>
          <w:szCs w:val="24"/>
          <w:lang w:eastAsia="sk-SK"/>
        </w:rPr>
        <w:t>kasín na Slovensku sa ani jedno nenachádza v moteloch a penziónoch. Nakoľko sa v budúcnosti očakáva úbytok herní a vznik nových kasín, odporúčame tieto budovy zo zákona vypustiť kým táto zmena nemá žiaden dopad na existujúce kasína.</w:t>
      </w:r>
    </w:p>
    <w:p w14:paraId="55C0BDFA" w14:textId="77777777" w:rsidR="007E0A61" w:rsidRPr="00DD3F44" w:rsidRDefault="007E0A61" w:rsidP="00F444A6">
      <w:pPr>
        <w:pStyle w:val="Odsekzoznamu"/>
        <w:jc w:val="both"/>
        <w:rPr>
          <w:rFonts w:ascii="Times New Roman" w:eastAsia="Times New Roman" w:hAnsi="Times New Roman" w:cs="Times New Roman"/>
          <w:sz w:val="24"/>
          <w:szCs w:val="24"/>
          <w:lang w:eastAsia="sk-SK"/>
        </w:rPr>
      </w:pPr>
    </w:p>
    <w:p w14:paraId="1EE86D95" w14:textId="25BEC747" w:rsidR="007E0A61" w:rsidRDefault="007E0A61" w:rsidP="00F444A6">
      <w:pPr>
        <w:pStyle w:val="Odsekzoznamu"/>
        <w:numPr>
          <w:ilvl w:val="0"/>
          <w:numId w:val="5"/>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Z </w:t>
      </w:r>
      <w:r w:rsidR="00911A07" w:rsidRPr="00DD3F44">
        <w:rPr>
          <w:rFonts w:ascii="Times New Roman" w:eastAsia="Times New Roman" w:hAnsi="Times New Roman" w:cs="Times New Roman"/>
          <w:sz w:val="24"/>
          <w:szCs w:val="24"/>
          <w:lang w:eastAsia="sk-SK"/>
        </w:rPr>
        <w:t xml:space="preserve">25 </w:t>
      </w:r>
      <w:r w:rsidRPr="00DD3F44">
        <w:rPr>
          <w:rFonts w:ascii="Times New Roman" w:eastAsia="Times New Roman" w:hAnsi="Times New Roman" w:cs="Times New Roman"/>
          <w:sz w:val="24"/>
          <w:szCs w:val="24"/>
          <w:lang w:eastAsia="sk-SK"/>
        </w:rPr>
        <w:t>kasín na Slovensku sa ani jedno nenachádza v budovách pre kultúru a verejnú zábavu. Nakoľko sa v budúcnosti očakáva úbytok herní a vznik nových kasín, odporúčame túto kategóriu zo zákona vypustiť kým táto zmena nemá žiaden dopad na existujúce kasína.</w:t>
      </w:r>
    </w:p>
    <w:p w14:paraId="61BA7A00" w14:textId="77777777" w:rsidR="00AC3F46" w:rsidRPr="00AC3F46" w:rsidRDefault="00AC3F46" w:rsidP="00AC3F46">
      <w:pPr>
        <w:pStyle w:val="Odsekzoznamu"/>
        <w:rPr>
          <w:rFonts w:ascii="Times New Roman" w:eastAsia="Times New Roman" w:hAnsi="Times New Roman" w:cs="Times New Roman"/>
          <w:sz w:val="24"/>
          <w:szCs w:val="24"/>
          <w:lang w:eastAsia="sk-SK"/>
        </w:rPr>
      </w:pPr>
    </w:p>
    <w:p w14:paraId="22EFB9E0" w14:textId="1343841F" w:rsidR="00AC3F46" w:rsidRDefault="00AC3F46" w:rsidP="00F444A6">
      <w:pPr>
        <w:pStyle w:val="Odsekzoznamu"/>
        <w:numPr>
          <w:ilvl w:val="0"/>
          <w:numId w:val="5"/>
        </w:numPr>
        <w:jc w:val="both"/>
        <w:rPr>
          <w:rFonts w:ascii="Times New Roman" w:eastAsia="Times New Roman" w:hAnsi="Times New Roman" w:cs="Times New Roman"/>
          <w:sz w:val="24"/>
          <w:szCs w:val="24"/>
          <w:lang w:eastAsia="sk-SK"/>
        </w:rPr>
      </w:pPr>
      <w:r w:rsidRPr="00AC3F46">
        <w:rPr>
          <w:rFonts w:ascii="Times New Roman" w:eastAsia="Times New Roman" w:hAnsi="Times New Roman" w:cs="Times New Roman"/>
          <w:sz w:val="24"/>
          <w:szCs w:val="24"/>
          <w:lang w:eastAsia="sk-SK"/>
        </w:rPr>
        <w:t>Účasť na hazardných hrách sa zakazuje mladistvým, ktorí sú najrizikovejšou skupinou z pohľadu patologického hrania. V tomto zmysle sa upravuje aj upozornenie, ktoré je povinný umiestniť prevádzkovateľ.</w:t>
      </w:r>
    </w:p>
    <w:p w14:paraId="78C602C7" w14:textId="77777777" w:rsidR="00AC3F46" w:rsidRPr="00AC3F46" w:rsidRDefault="00AC3F46" w:rsidP="00AC3F46">
      <w:pPr>
        <w:pStyle w:val="Odsekzoznamu"/>
        <w:rPr>
          <w:rFonts w:ascii="Times New Roman" w:eastAsia="Times New Roman" w:hAnsi="Times New Roman" w:cs="Times New Roman"/>
          <w:sz w:val="24"/>
          <w:szCs w:val="24"/>
          <w:lang w:eastAsia="sk-SK"/>
        </w:rPr>
      </w:pPr>
    </w:p>
    <w:p w14:paraId="72212CAF" w14:textId="77777777" w:rsidR="00AF6078" w:rsidRDefault="00AC3F46" w:rsidP="00AF6078">
      <w:pPr>
        <w:pStyle w:val="Odsekzoznamu"/>
        <w:numPr>
          <w:ilvl w:val="0"/>
          <w:numId w:val="5"/>
        </w:numPr>
        <w:jc w:val="both"/>
        <w:rPr>
          <w:rFonts w:ascii="Times New Roman" w:eastAsia="Times New Roman" w:hAnsi="Times New Roman" w:cs="Times New Roman"/>
          <w:sz w:val="24"/>
          <w:szCs w:val="24"/>
          <w:lang w:eastAsia="sk-SK"/>
        </w:rPr>
      </w:pPr>
      <w:r w:rsidRPr="00AC3F46">
        <w:rPr>
          <w:rFonts w:ascii="Times New Roman" w:eastAsia="Times New Roman" w:hAnsi="Times New Roman" w:cs="Times New Roman"/>
          <w:sz w:val="24"/>
          <w:szCs w:val="24"/>
          <w:lang w:eastAsia="sk-SK"/>
        </w:rPr>
        <w:t>Účasť na hazardných hrách sa zakazuje mladistvým, ktorí sú najrizikovejšou skupinou z pohľadu patologického hrania.</w:t>
      </w:r>
    </w:p>
    <w:p w14:paraId="7DBC38D8" w14:textId="77777777" w:rsidR="00AF6078" w:rsidRPr="00AF6078" w:rsidRDefault="00AF6078" w:rsidP="00AF6078">
      <w:pPr>
        <w:pStyle w:val="Odsekzoznamu"/>
        <w:rPr>
          <w:rFonts w:ascii="Times New Roman" w:eastAsia="Times New Roman" w:hAnsi="Times New Roman" w:cs="Times New Roman"/>
          <w:sz w:val="24"/>
          <w:szCs w:val="24"/>
          <w:lang w:eastAsia="sk-SK"/>
        </w:rPr>
      </w:pPr>
    </w:p>
    <w:p w14:paraId="7564A8D5" w14:textId="203CAD63" w:rsidR="00AC3F46" w:rsidRDefault="00AC3F46" w:rsidP="00AF6078">
      <w:pPr>
        <w:pStyle w:val="Odsekzoznamu"/>
        <w:numPr>
          <w:ilvl w:val="0"/>
          <w:numId w:val="5"/>
        </w:numPr>
        <w:jc w:val="both"/>
        <w:rPr>
          <w:rFonts w:ascii="Times New Roman" w:eastAsia="Times New Roman" w:hAnsi="Times New Roman" w:cs="Times New Roman"/>
          <w:sz w:val="24"/>
          <w:szCs w:val="24"/>
          <w:lang w:eastAsia="sk-SK"/>
        </w:rPr>
      </w:pPr>
      <w:r w:rsidRPr="00AF6078">
        <w:rPr>
          <w:rFonts w:ascii="Times New Roman" w:eastAsia="Times New Roman" w:hAnsi="Times New Roman" w:cs="Times New Roman"/>
          <w:sz w:val="24"/>
          <w:szCs w:val="24"/>
          <w:lang w:eastAsia="sk-SK"/>
        </w:rPr>
        <w:t>Účasť na hazardných hrách sa zakazuje mladistvým, ktorí sú najrizikovejšou skupinou z pohľadu patologického hrania.</w:t>
      </w:r>
    </w:p>
    <w:p w14:paraId="3A5E08E0" w14:textId="77777777" w:rsidR="00AF6078" w:rsidRPr="00AF6078" w:rsidRDefault="00AF6078" w:rsidP="00AF6078">
      <w:pPr>
        <w:pStyle w:val="Odsekzoznamu"/>
        <w:rPr>
          <w:rFonts w:ascii="Times New Roman" w:eastAsia="Times New Roman" w:hAnsi="Times New Roman" w:cs="Times New Roman"/>
          <w:sz w:val="24"/>
          <w:szCs w:val="24"/>
          <w:lang w:eastAsia="sk-SK"/>
        </w:rPr>
      </w:pPr>
    </w:p>
    <w:p w14:paraId="52D46CC8" w14:textId="2DBF7FB4" w:rsidR="00AF6078" w:rsidRDefault="00AF6078" w:rsidP="00AF6078">
      <w:pPr>
        <w:pStyle w:val="Odsekzoznamu"/>
        <w:numPr>
          <w:ilvl w:val="0"/>
          <w:numId w:val="5"/>
        </w:numPr>
        <w:jc w:val="both"/>
        <w:rPr>
          <w:rFonts w:ascii="Times New Roman" w:eastAsia="Times New Roman" w:hAnsi="Times New Roman" w:cs="Times New Roman"/>
          <w:sz w:val="24"/>
          <w:szCs w:val="24"/>
          <w:lang w:eastAsia="sk-SK"/>
        </w:rPr>
      </w:pPr>
      <w:r w:rsidRPr="00AF6078">
        <w:rPr>
          <w:rFonts w:ascii="Times New Roman" w:eastAsia="Times New Roman" w:hAnsi="Times New Roman" w:cs="Times New Roman"/>
          <w:sz w:val="24"/>
          <w:szCs w:val="24"/>
          <w:lang w:eastAsia="sk-SK"/>
        </w:rPr>
        <w:t>Legislatívno-technická úprava súvisiaca s predchádzajúcimi bodmi. Účasť na hazardných hrách sa zakazuje mladistvým, ktorí sú najrizikovejšou skupinou z pohľadu patologického hrania.</w:t>
      </w:r>
    </w:p>
    <w:p w14:paraId="6B932E6B" w14:textId="77777777" w:rsidR="00AF6078" w:rsidRPr="00AF6078" w:rsidRDefault="00AF6078" w:rsidP="00AF6078">
      <w:pPr>
        <w:pStyle w:val="Odsekzoznamu"/>
        <w:rPr>
          <w:rFonts w:ascii="Times New Roman" w:eastAsia="Times New Roman" w:hAnsi="Times New Roman" w:cs="Times New Roman"/>
          <w:sz w:val="24"/>
          <w:szCs w:val="24"/>
          <w:lang w:eastAsia="sk-SK"/>
        </w:rPr>
      </w:pPr>
    </w:p>
    <w:p w14:paraId="2692DF74" w14:textId="050661C6" w:rsidR="00AF6078" w:rsidRDefault="00AF6078" w:rsidP="00AF6078">
      <w:pPr>
        <w:pStyle w:val="Odsekzoznamu"/>
        <w:numPr>
          <w:ilvl w:val="0"/>
          <w:numId w:val="5"/>
        </w:numPr>
        <w:jc w:val="both"/>
        <w:rPr>
          <w:rFonts w:ascii="Times New Roman" w:eastAsia="Times New Roman" w:hAnsi="Times New Roman" w:cs="Times New Roman"/>
          <w:sz w:val="24"/>
          <w:szCs w:val="24"/>
          <w:lang w:eastAsia="sk-SK"/>
        </w:rPr>
      </w:pPr>
      <w:r w:rsidRPr="00AF6078">
        <w:rPr>
          <w:rFonts w:ascii="Times New Roman" w:eastAsia="Times New Roman" w:hAnsi="Times New Roman" w:cs="Times New Roman"/>
          <w:sz w:val="24"/>
          <w:szCs w:val="24"/>
          <w:lang w:eastAsia="sk-SK"/>
        </w:rPr>
        <w:t>Legislatívno-technická úprava súvisiaca s predchádzajúcimi bodmi. Účasť na hazardných hrách sa zakazuje mladistvým, ktorí sú najrizikovejšou skupinou z pohľadu patologického hrania.“</w:t>
      </w:r>
    </w:p>
    <w:p w14:paraId="5C02267F" w14:textId="77777777" w:rsidR="007E0A61" w:rsidRPr="00DD3F44" w:rsidRDefault="007E0A61" w:rsidP="00F444A6">
      <w:pPr>
        <w:jc w:val="both"/>
        <w:rPr>
          <w:rFonts w:ascii="Times New Roman" w:eastAsia="Times New Roman" w:hAnsi="Times New Roman" w:cs="Times New Roman"/>
          <w:sz w:val="24"/>
          <w:szCs w:val="24"/>
          <w:lang w:eastAsia="sk-SK"/>
        </w:rPr>
      </w:pPr>
    </w:p>
    <w:p w14:paraId="47F8AFB9" w14:textId="316BE3FA" w:rsidR="00CA4B22" w:rsidRPr="00DD3F44" w:rsidRDefault="00CA4B22" w:rsidP="00F444A6">
      <w:pPr>
        <w:jc w:val="both"/>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K čl. II</w:t>
      </w:r>
    </w:p>
    <w:p w14:paraId="615B5724" w14:textId="77777777" w:rsidR="00CA4B22" w:rsidRPr="00DD3F44" w:rsidRDefault="00CA4B22" w:rsidP="00F444A6">
      <w:pPr>
        <w:jc w:val="both"/>
        <w:rPr>
          <w:rFonts w:ascii="Times New Roman" w:eastAsia="Times New Roman" w:hAnsi="Times New Roman" w:cs="Times New Roman"/>
          <w:sz w:val="24"/>
          <w:szCs w:val="24"/>
          <w:lang w:eastAsia="sk-SK"/>
        </w:rPr>
      </w:pPr>
    </w:p>
    <w:p w14:paraId="2A7A37BB" w14:textId="57CEC8F8" w:rsidR="00CA4B22" w:rsidRPr="00DD3F44" w:rsidRDefault="00CA4B22" w:rsidP="00F444A6">
      <w:pPr>
        <w:ind w:firstLine="708"/>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Navrhuje sa účinnosť zákona </w:t>
      </w:r>
      <w:r w:rsidR="00D70F99" w:rsidRPr="00DD3F44">
        <w:rPr>
          <w:rFonts w:ascii="Times New Roman" w:eastAsia="Times New Roman" w:hAnsi="Times New Roman" w:cs="Times New Roman"/>
          <w:sz w:val="24"/>
          <w:szCs w:val="24"/>
          <w:lang w:eastAsia="sk-SK"/>
        </w:rPr>
        <w:t>odo dňa</w:t>
      </w:r>
      <w:r w:rsidR="00DD3F44">
        <w:rPr>
          <w:rFonts w:ascii="Times New Roman" w:eastAsia="Times New Roman" w:hAnsi="Times New Roman" w:cs="Times New Roman"/>
          <w:sz w:val="24"/>
          <w:szCs w:val="24"/>
          <w:lang w:eastAsia="sk-SK"/>
        </w:rPr>
        <w:t xml:space="preserve"> </w:t>
      </w:r>
      <w:r w:rsidR="00AF6078">
        <w:rPr>
          <w:rFonts w:ascii="Times New Roman" w:eastAsia="Times New Roman" w:hAnsi="Times New Roman" w:cs="Times New Roman"/>
          <w:sz w:val="24"/>
          <w:szCs w:val="24"/>
          <w:lang w:eastAsia="sk-SK"/>
        </w:rPr>
        <w:t>01.01.2023.</w:t>
      </w:r>
    </w:p>
    <w:p w14:paraId="711BE557" w14:textId="015BFBE3" w:rsidR="00CA4B22" w:rsidRPr="00DD3F44" w:rsidRDefault="00CA4B22" w:rsidP="00F444A6">
      <w:pPr>
        <w:jc w:val="both"/>
        <w:rPr>
          <w:rFonts w:ascii="Times New Roman" w:eastAsia="Times New Roman" w:hAnsi="Times New Roman" w:cs="Times New Roman"/>
          <w:sz w:val="24"/>
          <w:szCs w:val="24"/>
          <w:lang w:eastAsia="sk-SK"/>
        </w:rPr>
      </w:pPr>
    </w:p>
    <w:p w14:paraId="40DAE465" w14:textId="2878C19F" w:rsidR="005A04DC" w:rsidRPr="00DD3F44" w:rsidRDefault="005A04DC" w:rsidP="00F444A6">
      <w:pPr>
        <w:jc w:val="both"/>
        <w:rPr>
          <w:rFonts w:ascii="Times New Roman" w:eastAsia="Times New Roman" w:hAnsi="Times New Roman" w:cs="Times New Roman"/>
          <w:sz w:val="24"/>
          <w:szCs w:val="24"/>
          <w:lang w:eastAsia="sk-SK"/>
        </w:rPr>
      </w:pPr>
    </w:p>
    <w:p w14:paraId="3BA8C847" w14:textId="55182BA0" w:rsidR="005A04DC" w:rsidRPr="00DD3F44" w:rsidRDefault="005A04DC" w:rsidP="00F444A6">
      <w:pPr>
        <w:jc w:val="both"/>
        <w:rPr>
          <w:rFonts w:ascii="Times New Roman" w:eastAsia="Times New Roman" w:hAnsi="Times New Roman" w:cs="Times New Roman"/>
          <w:sz w:val="24"/>
          <w:szCs w:val="24"/>
          <w:lang w:eastAsia="sk-SK"/>
        </w:rPr>
      </w:pPr>
    </w:p>
    <w:p w14:paraId="4C22D907" w14:textId="6FECD1EF" w:rsidR="005A04DC" w:rsidRPr="00DD3F44" w:rsidRDefault="005A04DC" w:rsidP="00CA4B22">
      <w:pPr>
        <w:rPr>
          <w:rFonts w:ascii="Times New Roman" w:eastAsia="Times New Roman" w:hAnsi="Times New Roman" w:cs="Times New Roman"/>
          <w:sz w:val="24"/>
          <w:szCs w:val="24"/>
          <w:lang w:eastAsia="sk-SK"/>
        </w:rPr>
      </w:pPr>
    </w:p>
    <w:p w14:paraId="6B3EA958" w14:textId="5DF387FB" w:rsidR="005A04DC" w:rsidRPr="00DD3F44" w:rsidRDefault="005A04DC" w:rsidP="00CA4B22">
      <w:pPr>
        <w:rPr>
          <w:rFonts w:ascii="Times New Roman" w:eastAsia="Times New Roman" w:hAnsi="Times New Roman" w:cs="Times New Roman"/>
          <w:sz w:val="24"/>
          <w:szCs w:val="24"/>
          <w:lang w:eastAsia="sk-SK"/>
        </w:rPr>
      </w:pPr>
    </w:p>
    <w:p w14:paraId="62B4A17E" w14:textId="46A43B89" w:rsidR="005A04DC" w:rsidRPr="00DD3F44" w:rsidRDefault="005A04DC" w:rsidP="00CA4B22">
      <w:pPr>
        <w:rPr>
          <w:rFonts w:ascii="Times New Roman" w:eastAsia="Times New Roman" w:hAnsi="Times New Roman" w:cs="Times New Roman"/>
          <w:sz w:val="24"/>
          <w:szCs w:val="24"/>
          <w:lang w:eastAsia="sk-SK"/>
        </w:rPr>
      </w:pPr>
    </w:p>
    <w:p w14:paraId="258CCBAA" w14:textId="256E0AE2" w:rsidR="005A04DC" w:rsidRPr="00DD3F44" w:rsidRDefault="005A04DC" w:rsidP="00CA4B22">
      <w:pPr>
        <w:rPr>
          <w:rFonts w:ascii="Times New Roman" w:eastAsia="Times New Roman" w:hAnsi="Times New Roman" w:cs="Times New Roman"/>
          <w:sz w:val="24"/>
          <w:szCs w:val="24"/>
          <w:lang w:eastAsia="sk-SK"/>
        </w:rPr>
      </w:pPr>
    </w:p>
    <w:p w14:paraId="09A43694" w14:textId="7BCE8143" w:rsidR="005A04DC" w:rsidRPr="00DD3F44" w:rsidRDefault="005A04DC" w:rsidP="00CA4B22">
      <w:pPr>
        <w:rPr>
          <w:rFonts w:ascii="Times New Roman" w:eastAsia="Times New Roman" w:hAnsi="Times New Roman" w:cs="Times New Roman"/>
          <w:sz w:val="24"/>
          <w:szCs w:val="24"/>
          <w:lang w:eastAsia="sk-SK"/>
        </w:rPr>
      </w:pPr>
    </w:p>
    <w:p w14:paraId="3C41DBB4" w14:textId="459665AD" w:rsidR="005A04DC" w:rsidRPr="00DD3F44" w:rsidRDefault="005A04DC" w:rsidP="00CA4B22">
      <w:pPr>
        <w:rPr>
          <w:rFonts w:ascii="Times New Roman" w:eastAsia="Times New Roman" w:hAnsi="Times New Roman" w:cs="Times New Roman"/>
          <w:sz w:val="24"/>
          <w:szCs w:val="24"/>
          <w:lang w:eastAsia="sk-SK"/>
        </w:rPr>
      </w:pPr>
    </w:p>
    <w:p w14:paraId="35C77D28" w14:textId="4119432B" w:rsidR="005A04DC" w:rsidRPr="00DD3F44" w:rsidRDefault="005A04DC" w:rsidP="00CA4B22">
      <w:pPr>
        <w:rPr>
          <w:rFonts w:ascii="Times New Roman" w:eastAsia="Times New Roman" w:hAnsi="Times New Roman" w:cs="Times New Roman"/>
          <w:sz w:val="24"/>
          <w:szCs w:val="24"/>
          <w:lang w:eastAsia="sk-SK"/>
        </w:rPr>
      </w:pPr>
    </w:p>
    <w:p w14:paraId="0132A815" w14:textId="0F66F0D8" w:rsidR="005A04DC" w:rsidRPr="00DD3F44" w:rsidRDefault="005A04DC" w:rsidP="00CA4B22">
      <w:pPr>
        <w:rPr>
          <w:rFonts w:ascii="Times New Roman" w:eastAsia="Times New Roman" w:hAnsi="Times New Roman" w:cs="Times New Roman"/>
          <w:sz w:val="24"/>
          <w:szCs w:val="24"/>
          <w:lang w:eastAsia="sk-SK"/>
        </w:rPr>
      </w:pPr>
    </w:p>
    <w:p w14:paraId="7B323F52" w14:textId="51B4229D" w:rsidR="005A04DC" w:rsidRPr="00DD3F44" w:rsidRDefault="005A04DC" w:rsidP="00CA4B22">
      <w:pPr>
        <w:rPr>
          <w:rFonts w:ascii="Times New Roman" w:eastAsia="Times New Roman" w:hAnsi="Times New Roman" w:cs="Times New Roman"/>
          <w:sz w:val="24"/>
          <w:szCs w:val="24"/>
          <w:lang w:eastAsia="sk-SK"/>
        </w:rPr>
      </w:pPr>
    </w:p>
    <w:p w14:paraId="06A0BFF9" w14:textId="5FF16C40" w:rsidR="005A04DC" w:rsidRPr="00DD3F44" w:rsidRDefault="005A04DC" w:rsidP="00CA4B22">
      <w:pPr>
        <w:rPr>
          <w:rFonts w:ascii="Times New Roman" w:eastAsia="Times New Roman" w:hAnsi="Times New Roman" w:cs="Times New Roman"/>
          <w:sz w:val="24"/>
          <w:szCs w:val="24"/>
          <w:lang w:eastAsia="sk-SK"/>
        </w:rPr>
      </w:pPr>
    </w:p>
    <w:p w14:paraId="4BD2C750" w14:textId="70352FC3" w:rsidR="005A04DC" w:rsidRPr="00DD3F44" w:rsidRDefault="005A04DC" w:rsidP="00CA4B22">
      <w:pPr>
        <w:rPr>
          <w:rFonts w:ascii="Times New Roman" w:eastAsia="Times New Roman" w:hAnsi="Times New Roman" w:cs="Times New Roman"/>
          <w:sz w:val="24"/>
          <w:szCs w:val="24"/>
          <w:lang w:eastAsia="sk-SK"/>
        </w:rPr>
      </w:pPr>
    </w:p>
    <w:p w14:paraId="437634AA" w14:textId="28CF3C18" w:rsidR="005A04DC" w:rsidRPr="00DD3F44" w:rsidRDefault="005A04DC" w:rsidP="00CA4B22">
      <w:pPr>
        <w:rPr>
          <w:rFonts w:ascii="Times New Roman" w:eastAsia="Times New Roman" w:hAnsi="Times New Roman" w:cs="Times New Roman"/>
          <w:sz w:val="24"/>
          <w:szCs w:val="24"/>
          <w:lang w:eastAsia="sk-SK"/>
        </w:rPr>
      </w:pPr>
    </w:p>
    <w:p w14:paraId="58110C24" w14:textId="77777777" w:rsidR="005A04DC" w:rsidRPr="00DD3F44" w:rsidRDefault="005A04DC" w:rsidP="005A04DC">
      <w:pPr>
        <w:pageBreakBefore/>
        <w:spacing w:line="360" w:lineRule="auto"/>
        <w:jc w:val="center"/>
        <w:rPr>
          <w:rFonts w:ascii="Times New Roman" w:hAnsi="Times New Roman" w:cs="Times New Roman"/>
          <w:sz w:val="24"/>
          <w:szCs w:val="24"/>
        </w:rPr>
      </w:pPr>
      <w:r w:rsidRPr="00DD3F44">
        <w:rPr>
          <w:rFonts w:ascii="Times New Roman" w:eastAsia="SimSun" w:hAnsi="Times New Roman" w:cs="Times New Roman"/>
          <w:b/>
          <w:bCs/>
          <w:color w:val="00000A"/>
          <w:spacing w:val="30"/>
          <w:kern w:val="2"/>
          <w:sz w:val="24"/>
          <w:szCs w:val="24"/>
          <w:lang w:eastAsia="ar-SA"/>
        </w:rPr>
        <w:lastRenderedPageBreak/>
        <w:t>DOLOŽKA</w:t>
      </w:r>
    </w:p>
    <w:p w14:paraId="210B97D9" w14:textId="77777777" w:rsidR="005A04DC" w:rsidRPr="00DD3F44" w:rsidRDefault="005A04DC" w:rsidP="005A04DC">
      <w:pPr>
        <w:widowControl w:val="0"/>
        <w:pBdr>
          <w:bottom w:val="single" w:sz="4" w:space="1" w:color="00000A"/>
        </w:pBdr>
        <w:spacing w:line="360" w:lineRule="auto"/>
        <w:ind w:right="4"/>
        <w:jc w:val="center"/>
        <w:rPr>
          <w:rFonts w:ascii="Times New Roman" w:hAnsi="Times New Roman" w:cs="Times New Roman"/>
          <w:sz w:val="24"/>
          <w:szCs w:val="24"/>
        </w:rPr>
      </w:pPr>
      <w:r w:rsidRPr="00DD3F44">
        <w:rPr>
          <w:rFonts w:ascii="Times New Roman" w:eastAsia="SimSun" w:hAnsi="Times New Roman" w:cs="Times New Roman"/>
          <w:b/>
          <w:bCs/>
          <w:color w:val="00000A"/>
          <w:kern w:val="2"/>
          <w:sz w:val="24"/>
          <w:szCs w:val="24"/>
          <w:lang w:eastAsia="ar-SA"/>
        </w:rPr>
        <w:t>vybraných vplyvov</w:t>
      </w:r>
    </w:p>
    <w:p w14:paraId="54CD2058" w14:textId="77777777" w:rsidR="005A04DC" w:rsidRPr="00DD3F44" w:rsidRDefault="005A04DC" w:rsidP="005A04DC">
      <w:pPr>
        <w:widowControl w:val="0"/>
        <w:spacing w:line="360" w:lineRule="auto"/>
        <w:ind w:right="-427"/>
        <w:jc w:val="both"/>
        <w:rPr>
          <w:rFonts w:ascii="Times New Roman" w:eastAsia="SimSun" w:hAnsi="Times New Roman" w:cs="Times New Roman"/>
          <w:color w:val="00000A"/>
          <w:kern w:val="2"/>
          <w:sz w:val="24"/>
          <w:szCs w:val="24"/>
          <w:lang w:eastAsia="ar-SA"/>
        </w:rPr>
      </w:pPr>
    </w:p>
    <w:p w14:paraId="5C5EB8DE" w14:textId="77777777" w:rsidR="005A04DC" w:rsidRPr="00DD3F44" w:rsidRDefault="005A04DC" w:rsidP="005A04DC">
      <w:pPr>
        <w:pStyle w:val="Odsekzoznamu1"/>
        <w:spacing w:after="0" w:line="360" w:lineRule="auto"/>
        <w:ind w:left="0"/>
        <w:jc w:val="both"/>
        <w:rPr>
          <w:rFonts w:ascii="Times New Roman" w:hAnsi="Times New Roman" w:cs="Times New Roman"/>
          <w:sz w:val="24"/>
          <w:szCs w:val="24"/>
        </w:rPr>
      </w:pPr>
      <w:r w:rsidRPr="00DD3F44">
        <w:rPr>
          <w:rFonts w:ascii="Times New Roman" w:eastAsia="SimSun" w:hAnsi="Times New Roman" w:cs="Times New Roman"/>
          <w:b/>
          <w:bCs/>
          <w:kern w:val="2"/>
          <w:sz w:val="24"/>
          <w:szCs w:val="24"/>
          <w:lang w:eastAsia="ar-SA"/>
        </w:rPr>
        <w:t xml:space="preserve">A.1. Názov materiálu: </w:t>
      </w:r>
    </w:p>
    <w:p w14:paraId="4ED2B2AB" w14:textId="07D7D39F" w:rsidR="005A639F" w:rsidRPr="00DD3F44" w:rsidRDefault="005A639F" w:rsidP="005A639F">
      <w:pPr>
        <w:jc w:val="both"/>
        <w:rPr>
          <w:rFonts w:ascii="Times New Roman" w:eastAsia="Times New Roman" w:hAnsi="Times New Roman" w:cs="Times New Roman"/>
          <w:sz w:val="24"/>
          <w:szCs w:val="24"/>
          <w:lang w:eastAsia="sk-SK"/>
        </w:rPr>
      </w:pPr>
      <w:bookmarkStart w:id="0" w:name="_Hlk20434865"/>
      <w:bookmarkEnd w:id="0"/>
      <w:r w:rsidRPr="00DD3F44">
        <w:rPr>
          <w:rFonts w:ascii="Times New Roman" w:eastAsia="Times New Roman" w:hAnsi="Times New Roman" w:cs="Times New Roman"/>
          <w:sz w:val="24"/>
          <w:szCs w:val="24"/>
          <w:lang w:eastAsia="sk-SK"/>
        </w:rPr>
        <w:t>Návrh</w:t>
      </w:r>
      <w:r w:rsidRPr="00DD3F44">
        <w:rPr>
          <w:rFonts w:ascii="Times New Roman" w:eastAsia="Times New Roman" w:hAnsi="Times New Roman" w:cs="Times New Roman"/>
          <w:spacing w:val="72"/>
          <w:sz w:val="24"/>
          <w:szCs w:val="24"/>
          <w:lang w:eastAsia="sk-SK"/>
        </w:rPr>
        <w:t xml:space="preserve"> </w:t>
      </w:r>
      <w:r w:rsidRPr="00DD3F44">
        <w:rPr>
          <w:rFonts w:ascii="Times New Roman" w:eastAsia="Times New Roman" w:hAnsi="Times New Roman" w:cs="Times New Roman"/>
          <w:sz w:val="24"/>
          <w:szCs w:val="24"/>
          <w:lang w:eastAsia="sk-SK"/>
        </w:rPr>
        <w:t>zákona,</w:t>
      </w:r>
      <w:r w:rsidRPr="00DD3F44">
        <w:rPr>
          <w:rFonts w:ascii="Times New Roman" w:eastAsia="Times New Roman" w:hAnsi="Times New Roman" w:cs="Times New Roman"/>
          <w:spacing w:val="72"/>
          <w:sz w:val="24"/>
          <w:szCs w:val="24"/>
          <w:lang w:eastAsia="sk-SK"/>
        </w:rPr>
        <w:t xml:space="preserve"> </w:t>
      </w:r>
      <w:r w:rsidRPr="00DD3F44">
        <w:rPr>
          <w:rFonts w:ascii="Times New Roman" w:eastAsia="Times New Roman" w:hAnsi="Times New Roman" w:cs="Times New Roman"/>
          <w:sz w:val="24"/>
          <w:szCs w:val="24"/>
          <w:lang w:eastAsia="sk-SK"/>
        </w:rPr>
        <w:t>ktorým</w:t>
      </w:r>
      <w:r w:rsidRPr="00DD3F44">
        <w:rPr>
          <w:rFonts w:ascii="Times New Roman" w:eastAsia="Times New Roman" w:hAnsi="Times New Roman" w:cs="Times New Roman"/>
          <w:spacing w:val="72"/>
          <w:sz w:val="24"/>
          <w:szCs w:val="24"/>
          <w:lang w:eastAsia="sk-SK"/>
        </w:rPr>
        <w:t xml:space="preserve"> </w:t>
      </w:r>
      <w:r w:rsidRPr="00DD3F44">
        <w:rPr>
          <w:rFonts w:ascii="Times New Roman" w:eastAsia="Times New Roman" w:hAnsi="Times New Roman" w:cs="Times New Roman"/>
          <w:sz w:val="24"/>
          <w:szCs w:val="24"/>
          <w:lang w:eastAsia="sk-SK"/>
        </w:rPr>
        <w:t>sa</w:t>
      </w:r>
      <w:r w:rsidRPr="00DD3F44">
        <w:rPr>
          <w:rFonts w:ascii="Times New Roman" w:eastAsia="Times New Roman" w:hAnsi="Times New Roman" w:cs="Times New Roman"/>
          <w:spacing w:val="72"/>
          <w:sz w:val="24"/>
          <w:szCs w:val="24"/>
          <w:lang w:eastAsia="sk-SK"/>
        </w:rPr>
        <w:t xml:space="preserve"> </w:t>
      </w:r>
      <w:r w:rsidRPr="00DD3F44">
        <w:rPr>
          <w:rFonts w:ascii="Times New Roman" w:eastAsia="Times New Roman" w:hAnsi="Times New Roman" w:cs="Times New Roman"/>
          <w:sz w:val="24"/>
          <w:szCs w:val="24"/>
          <w:lang w:eastAsia="sk-SK"/>
        </w:rPr>
        <w:t>mení</w:t>
      </w:r>
      <w:r w:rsidRPr="00DD3F44">
        <w:rPr>
          <w:rFonts w:ascii="Times New Roman" w:eastAsia="Times New Roman" w:hAnsi="Times New Roman" w:cs="Times New Roman"/>
          <w:spacing w:val="72"/>
          <w:sz w:val="24"/>
          <w:szCs w:val="24"/>
          <w:lang w:eastAsia="sk-SK"/>
        </w:rPr>
        <w:t xml:space="preserve"> </w:t>
      </w:r>
      <w:r w:rsidRPr="00DD3F44">
        <w:rPr>
          <w:rFonts w:ascii="Times New Roman" w:eastAsia="Times New Roman" w:hAnsi="Times New Roman" w:cs="Times New Roman"/>
          <w:sz w:val="24"/>
          <w:szCs w:val="24"/>
          <w:lang w:eastAsia="sk-SK"/>
        </w:rPr>
        <w:t>zákon</w:t>
      </w:r>
      <w:r w:rsidRPr="00DD3F44">
        <w:rPr>
          <w:rFonts w:ascii="Times New Roman" w:eastAsia="Times New Roman" w:hAnsi="Times New Roman" w:cs="Times New Roman"/>
          <w:spacing w:val="72"/>
          <w:sz w:val="24"/>
          <w:szCs w:val="24"/>
          <w:lang w:eastAsia="sk-SK"/>
        </w:rPr>
        <w:t xml:space="preserve"> </w:t>
      </w:r>
      <w:r w:rsidR="00D70F99" w:rsidRPr="00DD3F44">
        <w:rPr>
          <w:rFonts w:ascii="Times New Roman" w:eastAsia="Times New Roman" w:hAnsi="Times New Roman" w:cs="Times New Roman"/>
          <w:sz w:val="24"/>
          <w:szCs w:val="24"/>
          <w:lang w:eastAsia="sk-SK"/>
        </w:rPr>
        <w:t xml:space="preserve">č. </w:t>
      </w:r>
      <w:r w:rsidR="00555589" w:rsidRPr="00DD3F44">
        <w:rPr>
          <w:rFonts w:ascii="Times New Roman" w:eastAsia="Times New Roman" w:hAnsi="Times New Roman" w:cs="Times New Roman"/>
          <w:sz w:val="24"/>
          <w:szCs w:val="24"/>
          <w:lang w:eastAsia="sk-SK"/>
        </w:rPr>
        <w:t>30/2019 Z. z. o hazardných hrách a o zmene a doplnení niektorých zákonov v znení neskorších predpisov</w:t>
      </w:r>
    </w:p>
    <w:p w14:paraId="113FD76D" w14:textId="77777777" w:rsidR="005A04DC" w:rsidRPr="00DD3F44" w:rsidRDefault="005A04DC" w:rsidP="005A04DC">
      <w:pPr>
        <w:pStyle w:val="Odsekzoznamu1"/>
        <w:spacing w:after="0" w:line="276" w:lineRule="auto"/>
        <w:ind w:left="0"/>
        <w:jc w:val="both"/>
        <w:rPr>
          <w:rFonts w:ascii="Times New Roman" w:eastAsia="SimSun" w:hAnsi="Times New Roman" w:cs="Times New Roman"/>
          <w:b/>
          <w:bCs/>
          <w:kern w:val="2"/>
          <w:sz w:val="24"/>
          <w:szCs w:val="24"/>
          <w:lang w:eastAsia="ar-SA"/>
        </w:rPr>
      </w:pPr>
    </w:p>
    <w:p w14:paraId="59383D66" w14:textId="77777777" w:rsidR="005A04DC" w:rsidRPr="00DD3F44" w:rsidRDefault="005A04DC" w:rsidP="005A04DC">
      <w:pPr>
        <w:widowControl w:val="0"/>
        <w:spacing w:line="360" w:lineRule="auto"/>
        <w:ind w:right="-427"/>
        <w:jc w:val="both"/>
        <w:rPr>
          <w:rFonts w:ascii="Times New Roman" w:eastAsia="Times New Roman" w:hAnsi="Times New Roman" w:cs="Times New Roman"/>
          <w:sz w:val="24"/>
          <w:szCs w:val="24"/>
          <w:lang w:eastAsia="sk-SK"/>
        </w:rPr>
      </w:pPr>
      <w:r w:rsidRPr="00DD3F44">
        <w:rPr>
          <w:rFonts w:ascii="Times New Roman" w:eastAsia="SimSun" w:hAnsi="Times New Roman" w:cs="Times New Roman"/>
          <w:b/>
          <w:bCs/>
          <w:color w:val="00000A"/>
          <w:kern w:val="2"/>
          <w:sz w:val="24"/>
          <w:szCs w:val="24"/>
          <w:lang w:eastAsia="ar-SA"/>
        </w:rPr>
        <w:t>A.2. Vplyvy:</w:t>
      </w:r>
    </w:p>
    <w:tbl>
      <w:tblPr>
        <w:tblW w:w="0" w:type="auto"/>
        <w:tblInd w:w="91" w:type="dxa"/>
        <w:tblLayout w:type="fixed"/>
        <w:tblLook w:val="04A0" w:firstRow="1" w:lastRow="0" w:firstColumn="1" w:lastColumn="0" w:noHBand="0" w:noVBand="1"/>
      </w:tblPr>
      <w:tblGrid>
        <w:gridCol w:w="6364"/>
        <w:gridCol w:w="1065"/>
        <w:gridCol w:w="1065"/>
        <w:gridCol w:w="850"/>
      </w:tblGrid>
      <w:tr w:rsidR="005A04DC" w:rsidRPr="00DD3F44" w14:paraId="1FC1A50C" w14:textId="77777777" w:rsidTr="005A04DC">
        <w:tc>
          <w:tcPr>
            <w:tcW w:w="6364" w:type="dxa"/>
            <w:tcBorders>
              <w:top w:val="single" w:sz="4" w:space="0" w:color="C0C0C0"/>
              <w:left w:val="single" w:sz="4" w:space="0" w:color="D0CECE"/>
              <w:bottom w:val="single" w:sz="4" w:space="0" w:color="C0C0C0"/>
              <w:right w:val="nil"/>
            </w:tcBorders>
            <w:vAlign w:val="center"/>
          </w:tcPr>
          <w:p w14:paraId="5D9852DC" w14:textId="77777777" w:rsidR="005A04DC" w:rsidRPr="00DD3F44" w:rsidRDefault="005A04DC">
            <w:pPr>
              <w:widowControl w:val="0"/>
              <w:snapToGrid w:val="0"/>
              <w:spacing w:line="360" w:lineRule="auto"/>
              <w:ind w:left="-17" w:right="-427"/>
              <w:jc w:val="both"/>
              <w:rPr>
                <w:rFonts w:ascii="Times New Roman" w:eastAsia="SimSun" w:hAnsi="Times New Roman" w:cs="Times New Roman"/>
                <w:color w:val="00000A"/>
                <w:sz w:val="24"/>
                <w:szCs w:val="24"/>
                <w:lang w:eastAsia="ar-SA"/>
              </w:rPr>
            </w:pPr>
          </w:p>
        </w:tc>
        <w:tc>
          <w:tcPr>
            <w:tcW w:w="1065" w:type="dxa"/>
            <w:tcBorders>
              <w:top w:val="single" w:sz="4" w:space="0" w:color="C0C0C0"/>
              <w:left w:val="single" w:sz="4" w:space="0" w:color="C0C0C0"/>
              <w:bottom w:val="single" w:sz="4" w:space="0" w:color="C0C0C0"/>
              <w:right w:val="nil"/>
            </w:tcBorders>
            <w:vAlign w:val="center"/>
            <w:hideMark/>
          </w:tcPr>
          <w:p w14:paraId="37AFB5D6" w14:textId="77777777" w:rsidR="005A04DC" w:rsidRPr="00DD3F44" w:rsidRDefault="005A04DC">
            <w:pPr>
              <w:widowControl w:val="0"/>
              <w:spacing w:line="360" w:lineRule="auto"/>
              <w:ind w:left="-17" w:right="-427"/>
              <w:jc w:val="both"/>
              <w:rPr>
                <w:rFonts w:ascii="Times New Roman" w:eastAsia="Times New Roman" w:hAnsi="Times New Roman" w:cs="Times New Roman"/>
                <w:color w:val="666666"/>
                <w:sz w:val="24"/>
                <w:szCs w:val="24"/>
                <w:lang w:val="en" w:eastAsia="sk-SK"/>
              </w:rPr>
            </w:pPr>
            <w:r w:rsidRPr="00DD3F44">
              <w:rPr>
                <w:rFonts w:ascii="Times New Roman" w:eastAsia="SimSun" w:hAnsi="Times New Roman" w:cs="Times New Roman"/>
                <w:color w:val="00000A"/>
                <w:kern w:val="2"/>
                <w:sz w:val="24"/>
                <w:szCs w:val="24"/>
                <w:lang w:eastAsia="ar-SA"/>
              </w:rPr>
              <w:t>Pozitívne </w:t>
            </w:r>
          </w:p>
        </w:tc>
        <w:tc>
          <w:tcPr>
            <w:tcW w:w="1065" w:type="dxa"/>
            <w:tcBorders>
              <w:top w:val="single" w:sz="4" w:space="0" w:color="C0C0C0"/>
              <w:left w:val="single" w:sz="4" w:space="0" w:color="C0C0C0"/>
              <w:bottom w:val="single" w:sz="4" w:space="0" w:color="C0C0C0"/>
              <w:right w:val="single" w:sz="4" w:space="0" w:color="C0C0C0"/>
            </w:tcBorders>
            <w:hideMark/>
          </w:tcPr>
          <w:p w14:paraId="6ADFAC81"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Negatívne</w:t>
            </w:r>
          </w:p>
        </w:tc>
        <w:tc>
          <w:tcPr>
            <w:tcW w:w="850" w:type="dxa"/>
            <w:tcBorders>
              <w:top w:val="single" w:sz="4" w:space="0" w:color="C0C0C0"/>
              <w:left w:val="single" w:sz="4" w:space="0" w:color="C0C0C0"/>
              <w:bottom w:val="single" w:sz="4" w:space="0" w:color="C0C0C0"/>
              <w:right w:val="single" w:sz="4" w:space="0" w:color="D0CECE"/>
            </w:tcBorders>
            <w:vAlign w:val="center"/>
            <w:hideMark/>
          </w:tcPr>
          <w:p w14:paraId="21E9C1EF" w14:textId="77777777" w:rsidR="005A04DC" w:rsidRPr="00DD3F44" w:rsidRDefault="005A04DC">
            <w:pPr>
              <w:widowControl w:val="0"/>
              <w:spacing w:line="360" w:lineRule="auto"/>
              <w:ind w:left="-17" w:right="-44"/>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Žiadne </w:t>
            </w:r>
          </w:p>
        </w:tc>
      </w:tr>
      <w:tr w:rsidR="005A04DC" w:rsidRPr="00DD3F44" w14:paraId="4961E6B0" w14:textId="77777777" w:rsidTr="005A04DC">
        <w:tc>
          <w:tcPr>
            <w:tcW w:w="6364" w:type="dxa"/>
            <w:tcBorders>
              <w:top w:val="single" w:sz="4" w:space="0" w:color="C0C0C0"/>
              <w:left w:val="single" w:sz="4" w:space="0" w:color="D0CECE"/>
              <w:bottom w:val="single" w:sz="4" w:space="0" w:color="C0C0C0"/>
              <w:right w:val="single" w:sz="4" w:space="0" w:color="D0CECE"/>
            </w:tcBorders>
            <w:vAlign w:val="center"/>
            <w:hideMark/>
          </w:tcPr>
          <w:p w14:paraId="62E5922D"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1. Vplyvy na rozpočet verejnej správy</w:t>
            </w:r>
          </w:p>
        </w:tc>
        <w:tc>
          <w:tcPr>
            <w:tcW w:w="1065" w:type="dxa"/>
            <w:tcBorders>
              <w:top w:val="single" w:sz="4" w:space="0" w:color="C0C0C0"/>
              <w:left w:val="single" w:sz="4" w:space="0" w:color="D0CECE"/>
              <w:bottom w:val="single" w:sz="4" w:space="0" w:color="C0C0C0"/>
              <w:right w:val="single" w:sz="4" w:space="0" w:color="D0CECE"/>
            </w:tcBorders>
            <w:vAlign w:val="center"/>
          </w:tcPr>
          <w:p w14:paraId="1C25B9DE" w14:textId="77777777" w:rsidR="005A04DC" w:rsidRPr="00DD3F44" w:rsidRDefault="005A04DC" w:rsidP="005A639F">
            <w:pPr>
              <w:widowControl w:val="0"/>
              <w:snapToGrid w:val="0"/>
              <w:spacing w:line="360" w:lineRule="auto"/>
              <w:ind w:left="-17" w:right="-427"/>
              <w:jc w:val="center"/>
              <w:rPr>
                <w:rFonts w:ascii="Times New Roman" w:eastAsia="SimSun" w:hAnsi="Times New Roman" w:cs="Times New Roman"/>
                <w:color w:val="00000A"/>
                <w:kern w:val="2"/>
                <w:sz w:val="24"/>
                <w:szCs w:val="24"/>
                <w:lang w:eastAsia="ar-SA"/>
              </w:rPr>
            </w:pPr>
          </w:p>
        </w:tc>
        <w:tc>
          <w:tcPr>
            <w:tcW w:w="1065" w:type="dxa"/>
            <w:tcBorders>
              <w:top w:val="single" w:sz="4" w:space="0" w:color="C0C0C0"/>
              <w:left w:val="single" w:sz="4" w:space="0" w:color="D0CECE"/>
              <w:bottom w:val="single" w:sz="4" w:space="0" w:color="C0C0C0"/>
              <w:right w:val="single" w:sz="4" w:space="0" w:color="D0CECE"/>
            </w:tcBorders>
          </w:tcPr>
          <w:p w14:paraId="6E58343D" w14:textId="4D3AEE38" w:rsidR="005A04DC" w:rsidRPr="00DD3F44" w:rsidRDefault="00D70F99"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r w:rsidRPr="00DD3F44">
              <w:rPr>
                <w:rFonts w:ascii="Times New Roman" w:eastAsia="SimSun" w:hAnsi="Times New Roman" w:cs="Times New Roman"/>
                <w:color w:val="00000A"/>
                <w:kern w:val="2"/>
                <w:sz w:val="24"/>
                <w:szCs w:val="24"/>
                <w:lang w:eastAsia="ar-SA"/>
              </w:rPr>
              <w:t>x</w:t>
            </w:r>
          </w:p>
        </w:tc>
        <w:tc>
          <w:tcPr>
            <w:tcW w:w="850" w:type="dxa"/>
            <w:tcBorders>
              <w:top w:val="single" w:sz="4" w:space="0" w:color="C0C0C0"/>
              <w:left w:val="single" w:sz="4" w:space="0" w:color="D0CECE"/>
              <w:bottom w:val="single" w:sz="4" w:space="0" w:color="C0C0C0"/>
              <w:right w:val="single" w:sz="4" w:space="0" w:color="D0CECE"/>
            </w:tcBorders>
            <w:vAlign w:val="center"/>
            <w:hideMark/>
          </w:tcPr>
          <w:p w14:paraId="48D90A03" w14:textId="29F23DD5"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p>
        </w:tc>
      </w:tr>
      <w:tr w:rsidR="005A04DC" w:rsidRPr="00DD3F44" w14:paraId="4F430C5E" w14:textId="77777777" w:rsidTr="005A04DC">
        <w:tc>
          <w:tcPr>
            <w:tcW w:w="6364" w:type="dxa"/>
            <w:tcBorders>
              <w:top w:val="nil"/>
              <w:left w:val="single" w:sz="4" w:space="0" w:color="D0CECE"/>
              <w:bottom w:val="nil"/>
              <w:right w:val="single" w:sz="4" w:space="0" w:color="D0CECE"/>
            </w:tcBorders>
            <w:hideMark/>
          </w:tcPr>
          <w:p w14:paraId="4BDBC05C"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 xml:space="preserve">2. Vplyvy na podnikateľské prostredie – dochádza k zvýšeniu </w:t>
            </w:r>
          </w:p>
          <w:p w14:paraId="486F5BC5"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regulačného zaťaženia?</w:t>
            </w:r>
          </w:p>
        </w:tc>
        <w:tc>
          <w:tcPr>
            <w:tcW w:w="1065" w:type="dxa"/>
            <w:tcBorders>
              <w:top w:val="nil"/>
              <w:left w:val="single" w:sz="4" w:space="0" w:color="D0CECE"/>
              <w:bottom w:val="nil"/>
              <w:right w:val="single" w:sz="4" w:space="0" w:color="D0CECE"/>
            </w:tcBorders>
          </w:tcPr>
          <w:p w14:paraId="73205FF1" w14:textId="77777777" w:rsidR="005A04DC" w:rsidRPr="00DD3F44" w:rsidRDefault="005A04DC" w:rsidP="005A639F">
            <w:pPr>
              <w:widowControl w:val="0"/>
              <w:snapToGrid w:val="0"/>
              <w:spacing w:line="360" w:lineRule="auto"/>
              <w:ind w:left="-17" w:right="-427"/>
              <w:jc w:val="center"/>
              <w:rPr>
                <w:rFonts w:ascii="Times New Roman" w:eastAsia="SimSun" w:hAnsi="Times New Roman" w:cs="Times New Roman"/>
                <w:color w:val="00000A"/>
                <w:kern w:val="2"/>
                <w:sz w:val="24"/>
                <w:szCs w:val="24"/>
                <w:lang w:eastAsia="ar-SA"/>
              </w:rPr>
            </w:pPr>
          </w:p>
        </w:tc>
        <w:tc>
          <w:tcPr>
            <w:tcW w:w="1065" w:type="dxa"/>
            <w:tcBorders>
              <w:top w:val="nil"/>
              <w:left w:val="single" w:sz="4" w:space="0" w:color="D0CECE"/>
              <w:bottom w:val="nil"/>
              <w:right w:val="single" w:sz="4" w:space="0" w:color="D0CECE"/>
            </w:tcBorders>
          </w:tcPr>
          <w:p w14:paraId="3C0D966A" w14:textId="68D1AC03" w:rsidR="005A04DC" w:rsidRPr="00DD3F44" w:rsidRDefault="00D70F99"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r w:rsidRPr="00DD3F44">
              <w:rPr>
                <w:rFonts w:ascii="Times New Roman" w:eastAsia="SimSun" w:hAnsi="Times New Roman" w:cs="Times New Roman"/>
                <w:color w:val="00000A"/>
                <w:kern w:val="2"/>
                <w:sz w:val="24"/>
                <w:szCs w:val="24"/>
                <w:lang w:eastAsia="ar-SA"/>
              </w:rPr>
              <w:t>x</w:t>
            </w:r>
          </w:p>
        </w:tc>
        <w:tc>
          <w:tcPr>
            <w:tcW w:w="850" w:type="dxa"/>
            <w:tcBorders>
              <w:top w:val="nil"/>
              <w:left w:val="single" w:sz="4" w:space="0" w:color="D0CECE"/>
              <w:bottom w:val="nil"/>
              <w:right w:val="single" w:sz="4" w:space="0" w:color="D0CECE"/>
            </w:tcBorders>
            <w:hideMark/>
          </w:tcPr>
          <w:p w14:paraId="70502FB4" w14:textId="4EC0EED8"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p>
        </w:tc>
      </w:tr>
      <w:tr w:rsidR="005A04DC" w:rsidRPr="00DD3F44" w14:paraId="49CB7501" w14:textId="77777777" w:rsidTr="005A04DC">
        <w:tc>
          <w:tcPr>
            <w:tcW w:w="6364" w:type="dxa"/>
            <w:tcBorders>
              <w:top w:val="single" w:sz="4" w:space="0" w:color="C0C0C0"/>
              <w:left w:val="single" w:sz="4" w:space="0" w:color="C0C0C0"/>
              <w:bottom w:val="single" w:sz="4" w:space="0" w:color="C0C0C0"/>
              <w:right w:val="single" w:sz="4" w:space="0" w:color="D0CECE"/>
            </w:tcBorders>
            <w:vAlign w:val="center"/>
            <w:hideMark/>
          </w:tcPr>
          <w:p w14:paraId="5A3E5547"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3. Sociálne vplyvy</w:t>
            </w:r>
          </w:p>
        </w:tc>
        <w:tc>
          <w:tcPr>
            <w:tcW w:w="1065" w:type="dxa"/>
            <w:tcBorders>
              <w:top w:val="single" w:sz="4" w:space="0" w:color="C0C0C0"/>
              <w:left w:val="single" w:sz="4" w:space="0" w:color="D0CECE"/>
              <w:bottom w:val="single" w:sz="4" w:space="0" w:color="C0C0C0"/>
              <w:right w:val="single" w:sz="4" w:space="0" w:color="D0CECE"/>
            </w:tcBorders>
            <w:vAlign w:val="center"/>
            <w:hideMark/>
          </w:tcPr>
          <w:p w14:paraId="245A6A8C" w14:textId="0649526C" w:rsidR="005A04DC" w:rsidRPr="00DD3F44" w:rsidRDefault="00D70F99" w:rsidP="005A639F">
            <w:pPr>
              <w:widowControl w:val="0"/>
              <w:spacing w:line="360" w:lineRule="auto"/>
              <w:ind w:left="-17" w:right="-427"/>
              <w:jc w:val="center"/>
              <w:rPr>
                <w:rFonts w:ascii="Times New Roman" w:hAnsi="Times New Roman" w:cs="Times New Roman"/>
                <w:sz w:val="24"/>
                <w:szCs w:val="24"/>
              </w:rPr>
            </w:pPr>
            <w:r w:rsidRPr="00DD3F44">
              <w:rPr>
                <w:rFonts w:ascii="Times New Roman" w:hAnsi="Times New Roman" w:cs="Times New Roman"/>
                <w:sz w:val="24"/>
                <w:szCs w:val="24"/>
              </w:rPr>
              <w:t>x</w:t>
            </w:r>
          </w:p>
        </w:tc>
        <w:tc>
          <w:tcPr>
            <w:tcW w:w="1065" w:type="dxa"/>
            <w:tcBorders>
              <w:top w:val="single" w:sz="4" w:space="0" w:color="C0C0C0"/>
              <w:left w:val="single" w:sz="4" w:space="0" w:color="D0CECE"/>
              <w:bottom w:val="single" w:sz="4" w:space="0" w:color="C0C0C0"/>
              <w:right w:val="single" w:sz="4" w:space="0" w:color="D0CECE"/>
            </w:tcBorders>
          </w:tcPr>
          <w:p w14:paraId="3BB649F6"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D0CECE"/>
              <w:bottom w:val="single" w:sz="4" w:space="0" w:color="C0C0C0"/>
              <w:right w:val="single" w:sz="4" w:space="0" w:color="BFBFBF"/>
            </w:tcBorders>
            <w:vAlign w:val="center"/>
            <w:hideMark/>
          </w:tcPr>
          <w:p w14:paraId="5B4038AF" w14:textId="5A97A2B1"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p>
        </w:tc>
      </w:tr>
      <w:tr w:rsidR="005A04DC" w:rsidRPr="00DD3F44" w14:paraId="30BDB22A"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1D5482A1"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 vplyvy na hospodárenie obyvateľstva,</w:t>
            </w:r>
          </w:p>
        </w:tc>
        <w:tc>
          <w:tcPr>
            <w:tcW w:w="1065" w:type="dxa"/>
            <w:tcBorders>
              <w:top w:val="single" w:sz="4" w:space="0" w:color="C0C0C0"/>
              <w:left w:val="single" w:sz="4" w:space="0" w:color="C0C0C0"/>
              <w:bottom w:val="single" w:sz="4" w:space="0" w:color="C0C0C0"/>
              <w:right w:val="nil"/>
            </w:tcBorders>
            <w:vAlign w:val="center"/>
            <w:hideMark/>
          </w:tcPr>
          <w:p w14:paraId="4E24171B" w14:textId="45EB9ED9" w:rsidR="005A04DC" w:rsidRPr="00DD3F44" w:rsidRDefault="00D70F99" w:rsidP="005A639F">
            <w:pPr>
              <w:widowControl w:val="0"/>
              <w:spacing w:line="360" w:lineRule="auto"/>
              <w:ind w:left="-17" w:right="-427"/>
              <w:jc w:val="center"/>
              <w:rPr>
                <w:rFonts w:ascii="Times New Roman" w:hAnsi="Times New Roman" w:cs="Times New Roman"/>
                <w:sz w:val="24"/>
                <w:szCs w:val="24"/>
              </w:rPr>
            </w:pPr>
            <w:r w:rsidRPr="00DD3F44">
              <w:rPr>
                <w:rFonts w:ascii="Times New Roman" w:hAnsi="Times New Roman" w:cs="Times New Roman"/>
                <w:sz w:val="24"/>
                <w:szCs w:val="24"/>
              </w:rPr>
              <w:t>x</w:t>
            </w:r>
          </w:p>
        </w:tc>
        <w:tc>
          <w:tcPr>
            <w:tcW w:w="1065" w:type="dxa"/>
            <w:tcBorders>
              <w:top w:val="single" w:sz="4" w:space="0" w:color="C0C0C0"/>
              <w:left w:val="single" w:sz="4" w:space="0" w:color="C0C0C0"/>
              <w:bottom w:val="single" w:sz="4" w:space="0" w:color="C0C0C0"/>
              <w:right w:val="single" w:sz="4" w:space="0" w:color="C0C0C0"/>
            </w:tcBorders>
          </w:tcPr>
          <w:p w14:paraId="59973EA0"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1A4A5579" w14:textId="7348FFFF"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p>
        </w:tc>
      </w:tr>
      <w:tr w:rsidR="005A04DC" w:rsidRPr="00DD3F44" w14:paraId="5EA47819"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7868B95D"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 sociálnu exklúziu,</w:t>
            </w:r>
          </w:p>
        </w:tc>
        <w:tc>
          <w:tcPr>
            <w:tcW w:w="1065" w:type="dxa"/>
            <w:tcBorders>
              <w:top w:val="single" w:sz="4" w:space="0" w:color="C0C0C0"/>
              <w:left w:val="single" w:sz="4" w:space="0" w:color="C0C0C0"/>
              <w:bottom w:val="single" w:sz="4" w:space="0" w:color="C0C0C0"/>
              <w:right w:val="nil"/>
            </w:tcBorders>
            <w:vAlign w:val="center"/>
            <w:hideMark/>
          </w:tcPr>
          <w:p w14:paraId="649C2942" w14:textId="7B39CBB6" w:rsidR="005A04DC" w:rsidRPr="00DD3F44" w:rsidRDefault="00D70F99" w:rsidP="005A639F">
            <w:pPr>
              <w:widowControl w:val="0"/>
              <w:spacing w:line="360" w:lineRule="auto"/>
              <w:ind w:left="-17" w:right="-427"/>
              <w:jc w:val="center"/>
              <w:rPr>
                <w:rFonts w:ascii="Times New Roman" w:hAnsi="Times New Roman" w:cs="Times New Roman"/>
                <w:sz w:val="24"/>
                <w:szCs w:val="24"/>
              </w:rPr>
            </w:pPr>
            <w:r w:rsidRPr="00DD3F44">
              <w:rPr>
                <w:rFonts w:ascii="Times New Roman" w:hAnsi="Times New Roman" w:cs="Times New Roman"/>
                <w:sz w:val="24"/>
                <w:szCs w:val="24"/>
              </w:rPr>
              <w:t>x</w:t>
            </w:r>
          </w:p>
        </w:tc>
        <w:tc>
          <w:tcPr>
            <w:tcW w:w="1065" w:type="dxa"/>
            <w:tcBorders>
              <w:top w:val="single" w:sz="4" w:space="0" w:color="C0C0C0"/>
              <w:left w:val="single" w:sz="4" w:space="0" w:color="C0C0C0"/>
              <w:bottom w:val="single" w:sz="4" w:space="0" w:color="C0C0C0"/>
              <w:right w:val="single" w:sz="4" w:space="0" w:color="C0C0C0"/>
            </w:tcBorders>
          </w:tcPr>
          <w:p w14:paraId="55E7A836"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332CF44A" w14:textId="5291D5A4"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p>
        </w:tc>
      </w:tr>
      <w:tr w:rsidR="005A04DC" w:rsidRPr="00DD3F44" w14:paraId="5F17AA03"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66A04048"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 rovnosť príležitostí a rodovú rovnosť a vplyvy na zamestnanosť</w:t>
            </w:r>
          </w:p>
        </w:tc>
        <w:tc>
          <w:tcPr>
            <w:tcW w:w="1065" w:type="dxa"/>
            <w:tcBorders>
              <w:top w:val="single" w:sz="4" w:space="0" w:color="C0C0C0"/>
              <w:left w:val="single" w:sz="4" w:space="0" w:color="C0C0C0"/>
              <w:bottom w:val="single" w:sz="4" w:space="0" w:color="C0C0C0"/>
              <w:right w:val="nil"/>
            </w:tcBorders>
            <w:vAlign w:val="center"/>
          </w:tcPr>
          <w:p w14:paraId="2CCEE4E5" w14:textId="61001929" w:rsidR="005A04DC" w:rsidRPr="00DD3F44" w:rsidRDefault="003973BE" w:rsidP="005A639F">
            <w:pPr>
              <w:widowControl w:val="0"/>
              <w:snapToGrid w:val="0"/>
              <w:spacing w:line="360" w:lineRule="auto"/>
              <w:ind w:left="-17" w:right="-427"/>
              <w:jc w:val="center"/>
              <w:rPr>
                <w:rFonts w:ascii="Times New Roman" w:eastAsia="SimSun" w:hAnsi="Times New Roman" w:cs="Times New Roman"/>
                <w:color w:val="00000A"/>
                <w:kern w:val="2"/>
                <w:sz w:val="24"/>
                <w:szCs w:val="24"/>
                <w:lang w:eastAsia="ar-SA"/>
              </w:rPr>
            </w:pPr>
            <w:r w:rsidRPr="00DD3F44">
              <w:rPr>
                <w:rFonts w:ascii="Times New Roman" w:eastAsia="SimSun" w:hAnsi="Times New Roman" w:cs="Times New Roman"/>
                <w:color w:val="00000A"/>
                <w:kern w:val="2"/>
                <w:sz w:val="24"/>
                <w:szCs w:val="24"/>
                <w:lang w:eastAsia="ar-SA"/>
              </w:rPr>
              <w:t>x</w:t>
            </w:r>
          </w:p>
        </w:tc>
        <w:tc>
          <w:tcPr>
            <w:tcW w:w="1065" w:type="dxa"/>
            <w:tcBorders>
              <w:top w:val="single" w:sz="4" w:space="0" w:color="C0C0C0"/>
              <w:left w:val="single" w:sz="4" w:space="0" w:color="C0C0C0"/>
              <w:bottom w:val="single" w:sz="4" w:space="0" w:color="C0C0C0"/>
              <w:right w:val="single" w:sz="4" w:space="0" w:color="C0C0C0"/>
            </w:tcBorders>
          </w:tcPr>
          <w:p w14:paraId="182FFDC2"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0426C9C8" w14:textId="5BD21ADA"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p>
        </w:tc>
      </w:tr>
      <w:tr w:rsidR="005A04DC" w:rsidRPr="00DD3F44" w14:paraId="7589155E"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29E22350"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4. Vplyvy na životné prostredie</w:t>
            </w:r>
          </w:p>
        </w:tc>
        <w:tc>
          <w:tcPr>
            <w:tcW w:w="1065" w:type="dxa"/>
            <w:tcBorders>
              <w:top w:val="single" w:sz="4" w:space="0" w:color="C0C0C0"/>
              <w:left w:val="single" w:sz="4" w:space="0" w:color="C0C0C0"/>
              <w:bottom w:val="single" w:sz="4" w:space="0" w:color="C0C0C0"/>
              <w:right w:val="nil"/>
            </w:tcBorders>
            <w:vAlign w:val="center"/>
          </w:tcPr>
          <w:p w14:paraId="63716EF4" w14:textId="77777777" w:rsidR="005A04DC" w:rsidRPr="00DD3F44" w:rsidRDefault="005A04DC" w:rsidP="005A639F">
            <w:pPr>
              <w:widowControl w:val="0"/>
              <w:snapToGrid w:val="0"/>
              <w:spacing w:line="360" w:lineRule="auto"/>
              <w:ind w:left="-17" w:right="-427"/>
              <w:jc w:val="center"/>
              <w:rPr>
                <w:rFonts w:ascii="Times New Roman" w:eastAsia="SimSun" w:hAnsi="Times New Roman" w:cs="Times New Roman"/>
                <w:color w:val="00000A"/>
                <w:kern w:val="2"/>
                <w:sz w:val="24"/>
                <w:szCs w:val="24"/>
                <w:lang w:eastAsia="ar-SA"/>
              </w:rPr>
            </w:pPr>
          </w:p>
        </w:tc>
        <w:tc>
          <w:tcPr>
            <w:tcW w:w="1065" w:type="dxa"/>
            <w:tcBorders>
              <w:top w:val="single" w:sz="4" w:space="0" w:color="C0C0C0"/>
              <w:left w:val="single" w:sz="4" w:space="0" w:color="C0C0C0"/>
              <w:bottom w:val="single" w:sz="4" w:space="0" w:color="C0C0C0"/>
              <w:right w:val="single" w:sz="4" w:space="0" w:color="C0C0C0"/>
            </w:tcBorders>
          </w:tcPr>
          <w:p w14:paraId="11BA7E01"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3A80AD67" w14:textId="77777777"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r w:rsidRPr="00DD3F44">
              <w:rPr>
                <w:rFonts w:ascii="Times New Roman" w:eastAsia="SimSun" w:hAnsi="Times New Roman" w:cs="Times New Roman"/>
                <w:color w:val="00000A"/>
                <w:kern w:val="2"/>
                <w:sz w:val="24"/>
                <w:szCs w:val="24"/>
                <w:lang w:eastAsia="ar-SA"/>
              </w:rPr>
              <w:t>x</w:t>
            </w:r>
          </w:p>
        </w:tc>
      </w:tr>
      <w:tr w:rsidR="005A04DC" w:rsidRPr="00DD3F44" w14:paraId="4F38D09A"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2705A5E5"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5. Vplyvy na informatizáciu spoločnosti</w:t>
            </w:r>
          </w:p>
        </w:tc>
        <w:tc>
          <w:tcPr>
            <w:tcW w:w="1065" w:type="dxa"/>
            <w:tcBorders>
              <w:top w:val="single" w:sz="4" w:space="0" w:color="C0C0C0"/>
              <w:left w:val="single" w:sz="4" w:space="0" w:color="C0C0C0"/>
              <w:bottom w:val="single" w:sz="4" w:space="0" w:color="C0C0C0"/>
              <w:right w:val="nil"/>
            </w:tcBorders>
            <w:vAlign w:val="center"/>
          </w:tcPr>
          <w:p w14:paraId="1EBA07A7" w14:textId="77777777" w:rsidR="005A04DC" w:rsidRPr="00DD3F44" w:rsidRDefault="005A04DC" w:rsidP="005A639F">
            <w:pPr>
              <w:widowControl w:val="0"/>
              <w:snapToGrid w:val="0"/>
              <w:spacing w:line="360" w:lineRule="auto"/>
              <w:ind w:left="-17" w:right="-427"/>
              <w:jc w:val="center"/>
              <w:rPr>
                <w:rFonts w:ascii="Times New Roman" w:eastAsia="SimSun" w:hAnsi="Times New Roman" w:cs="Times New Roman"/>
                <w:color w:val="00000A"/>
                <w:kern w:val="2"/>
                <w:sz w:val="24"/>
                <w:szCs w:val="24"/>
                <w:lang w:eastAsia="ar-SA"/>
              </w:rPr>
            </w:pPr>
          </w:p>
        </w:tc>
        <w:tc>
          <w:tcPr>
            <w:tcW w:w="1065" w:type="dxa"/>
            <w:tcBorders>
              <w:top w:val="single" w:sz="4" w:space="0" w:color="C0C0C0"/>
              <w:left w:val="single" w:sz="4" w:space="0" w:color="C0C0C0"/>
              <w:bottom w:val="single" w:sz="4" w:space="0" w:color="C0C0C0"/>
              <w:right w:val="single" w:sz="4" w:space="0" w:color="C0C0C0"/>
            </w:tcBorders>
          </w:tcPr>
          <w:p w14:paraId="61C453C1"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43CDF4E5" w14:textId="77777777"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r w:rsidRPr="00DD3F44">
              <w:rPr>
                <w:rFonts w:ascii="Times New Roman" w:eastAsia="SimSun" w:hAnsi="Times New Roman" w:cs="Times New Roman"/>
                <w:color w:val="00000A"/>
                <w:kern w:val="2"/>
                <w:sz w:val="24"/>
                <w:szCs w:val="24"/>
                <w:lang w:eastAsia="ar-SA"/>
              </w:rPr>
              <w:t>x</w:t>
            </w:r>
          </w:p>
        </w:tc>
      </w:tr>
      <w:tr w:rsidR="005A04DC" w:rsidRPr="00DD3F44" w14:paraId="1CD0FC73"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51A794DD"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6. Vplyvy na služby verejnej správy pre občana</w:t>
            </w:r>
          </w:p>
        </w:tc>
        <w:tc>
          <w:tcPr>
            <w:tcW w:w="1065" w:type="dxa"/>
            <w:tcBorders>
              <w:top w:val="single" w:sz="4" w:space="0" w:color="C0C0C0"/>
              <w:left w:val="single" w:sz="4" w:space="0" w:color="C0C0C0"/>
              <w:bottom w:val="single" w:sz="4" w:space="0" w:color="C0C0C0"/>
              <w:right w:val="nil"/>
            </w:tcBorders>
            <w:vAlign w:val="center"/>
          </w:tcPr>
          <w:p w14:paraId="2506B1DC" w14:textId="77777777" w:rsidR="005A04DC" w:rsidRPr="00DD3F44" w:rsidRDefault="005A04DC" w:rsidP="005A639F">
            <w:pPr>
              <w:widowControl w:val="0"/>
              <w:snapToGrid w:val="0"/>
              <w:spacing w:line="360" w:lineRule="auto"/>
              <w:ind w:left="-17" w:right="-427"/>
              <w:jc w:val="center"/>
              <w:rPr>
                <w:rFonts w:ascii="Times New Roman" w:eastAsia="SimSun" w:hAnsi="Times New Roman" w:cs="Times New Roman"/>
                <w:color w:val="00000A"/>
                <w:kern w:val="2"/>
                <w:sz w:val="24"/>
                <w:szCs w:val="24"/>
                <w:lang w:eastAsia="ar-SA"/>
              </w:rPr>
            </w:pPr>
          </w:p>
        </w:tc>
        <w:tc>
          <w:tcPr>
            <w:tcW w:w="1065" w:type="dxa"/>
            <w:tcBorders>
              <w:top w:val="single" w:sz="4" w:space="0" w:color="C0C0C0"/>
              <w:left w:val="single" w:sz="4" w:space="0" w:color="C0C0C0"/>
              <w:bottom w:val="single" w:sz="4" w:space="0" w:color="C0C0C0"/>
              <w:right w:val="single" w:sz="4" w:space="0" w:color="C0C0C0"/>
            </w:tcBorders>
          </w:tcPr>
          <w:p w14:paraId="0CE21B05"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593336FA" w14:textId="77777777"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r w:rsidRPr="00DD3F44">
              <w:rPr>
                <w:rFonts w:ascii="Times New Roman" w:eastAsia="SimSun" w:hAnsi="Times New Roman" w:cs="Times New Roman"/>
                <w:color w:val="00000A"/>
                <w:kern w:val="2"/>
                <w:sz w:val="24"/>
                <w:szCs w:val="24"/>
                <w:lang w:eastAsia="ar-SA"/>
              </w:rPr>
              <w:t>x</w:t>
            </w:r>
          </w:p>
        </w:tc>
      </w:tr>
      <w:tr w:rsidR="005A04DC" w:rsidRPr="00DD3F44" w14:paraId="236B1A40"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18718346"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7. Vplyvy na manželstvo, rodičovstvo a  rodinu</w:t>
            </w:r>
          </w:p>
        </w:tc>
        <w:tc>
          <w:tcPr>
            <w:tcW w:w="1065" w:type="dxa"/>
            <w:tcBorders>
              <w:top w:val="single" w:sz="4" w:space="0" w:color="C0C0C0"/>
              <w:left w:val="single" w:sz="4" w:space="0" w:color="C0C0C0"/>
              <w:bottom w:val="single" w:sz="4" w:space="0" w:color="C0C0C0"/>
              <w:right w:val="nil"/>
            </w:tcBorders>
            <w:vAlign w:val="center"/>
            <w:hideMark/>
          </w:tcPr>
          <w:p w14:paraId="55C5D072" w14:textId="77777777" w:rsidR="005A04DC" w:rsidRPr="00DD3F44" w:rsidRDefault="005A04DC" w:rsidP="005A639F">
            <w:pPr>
              <w:widowControl w:val="0"/>
              <w:snapToGrid w:val="0"/>
              <w:spacing w:line="360" w:lineRule="auto"/>
              <w:ind w:left="-17" w:right="-427"/>
              <w:jc w:val="center"/>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x</w:t>
            </w:r>
          </w:p>
        </w:tc>
        <w:tc>
          <w:tcPr>
            <w:tcW w:w="1065" w:type="dxa"/>
            <w:tcBorders>
              <w:top w:val="single" w:sz="4" w:space="0" w:color="C0C0C0"/>
              <w:left w:val="single" w:sz="4" w:space="0" w:color="C0C0C0"/>
              <w:bottom w:val="single" w:sz="4" w:space="0" w:color="C0C0C0"/>
              <w:right w:val="single" w:sz="4" w:space="0" w:color="C0C0C0"/>
            </w:tcBorders>
          </w:tcPr>
          <w:p w14:paraId="20DA9236"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tcPr>
          <w:p w14:paraId="7C27F190" w14:textId="77777777" w:rsidR="005A04DC" w:rsidRPr="00DD3F44" w:rsidRDefault="005A04DC" w:rsidP="005A639F">
            <w:pPr>
              <w:widowControl w:val="0"/>
              <w:spacing w:line="360" w:lineRule="auto"/>
              <w:ind w:left="-17" w:right="-44"/>
              <w:jc w:val="center"/>
              <w:rPr>
                <w:rFonts w:ascii="Times New Roman" w:eastAsia="SimSun" w:hAnsi="Times New Roman" w:cs="Times New Roman"/>
                <w:color w:val="00000A"/>
                <w:kern w:val="2"/>
                <w:sz w:val="24"/>
                <w:szCs w:val="24"/>
                <w:lang w:eastAsia="ar-SA"/>
              </w:rPr>
            </w:pPr>
          </w:p>
        </w:tc>
      </w:tr>
    </w:tbl>
    <w:p w14:paraId="5EDAC351" w14:textId="77777777" w:rsidR="005A04DC" w:rsidRPr="00DD3F44" w:rsidRDefault="005A04DC" w:rsidP="005A04DC">
      <w:pPr>
        <w:widowControl w:val="0"/>
        <w:spacing w:line="360" w:lineRule="auto"/>
        <w:ind w:right="-427"/>
        <w:jc w:val="both"/>
        <w:rPr>
          <w:rFonts w:ascii="Times New Roman" w:eastAsia="SimSun" w:hAnsi="Times New Roman" w:cs="Times New Roman"/>
          <w:b/>
          <w:bCs/>
          <w:color w:val="00000A"/>
          <w:kern w:val="2"/>
          <w:sz w:val="24"/>
          <w:szCs w:val="24"/>
          <w:lang w:eastAsia="ar-SA"/>
        </w:rPr>
      </w:pPr>
    </w:p>
    <w:p w14:paraId="0983F1DD" w14:textId="77777777" w:rsidR="005A04DC" w:rsidRPr="00DD3F44" w:rsidRDefault="005A04DC" w:rsidP="005A04DC">
      <w:pPr>
        <w:widowControl w:val="0"/>
        <w:spacing w:line="276" w:lineRule="auto"/>
        <w:ind w:left="-17" w:right="-425"/>
        <w:jc w:val="both"/>
        <w:rPr>
          <w:rFonts w:ascii="Times New Roman" w:eastAsia="Times New Roman" w:hAnsi="Times New Roman" w:cs="Times New Roman"/>
          <w:color w:val="666666"/>
          <w:sz w:val="24"/>
          <w:szCs w:val="24"/>
          <w:lang w:val="en" w:eastAsia="sk-SK"/>
        </w:rPr>
      </w:pPr>
      <w:r w:rsidRPr="00DD3F44">
        <w:rPr>
          <w:rFonts w:ascii="Times New Roman" w:eastAsia="SimSun" w:hAnsi="Times New Roman" w:cs="Times New Roman"/>
          <w:b/>
          <w:bCs/>
          <w:color w:val="00000A"/>
          <w:kern w:val="2"/>
          <w:sz w:val="24"/>
          <w:szCs w:val="24"/>
          <w:lang w:eastAsia="ar-SA"/>
        </w:rPr>
        <w:t>A.3. Poznámky:</w:t>
      </w:r>
    </w:p>
    <w:p w14:paraId="25E2734B" w14:textId="7109F521" w:rsidR="005A04DC" w:rsidRPr="00DD3F44" w:rsidRDefault="005A04DC" w:rsidP="005A04DC">
      <w:pPr>
        <w:spacing w:line="276" w:lineRule="auto"/>
        <w:ind w:left="-17"/>
        <w:jc w:val="both"/>
        <w:rPr>
          <w:rFonts w:ascii="Times New Roman" w:hAnsi="Times New Roman" w:cs="Times New Roman"/>
          <w:sz w:val="24"/>
          <w:szCs w:val="24"/>
        </w:rPr>
      </w:pPr>
      <w:r w:rsidRPr="00DD3F44">
        <w:rPr>
          <w:rFonts w:ascii="Times New Roman" w:hAnsi="Times New Roman" w:cs="Times New Roman"/>
          <w:color w:val="00000A"/>
          <w:sz w:val="24"/>
          <w:szCs w:val="24"/>
        </w:rPr>
        <w:t xml:space="preserve">Predkladaný návrh zákona </w:t>
      </w:r>
      <w:r w:rsidR="003973BE" w:rsidRPr="00DD3F44">
        <w:rPr>
          <w:rFonts w:ascii="Times New Roman" w:hAnsi="Times New Roman" w:cs="Times New Roman"/>
          <w:color w:val="00000A"/>
          <w:sz w:val="24"/>
          <w:szCs w:val="24"/>
        </w:rPr>
        <w:t>má negatívny</w:t>
      </w:r>
      <w:r w:rsidRPr="00DD3F44">
        <w:rPr>
          <w:rFonts w:ascii="Times New Roman" w:hAnsi="Times New Roman" w:cs="Times New Roman"/>
          <w:color w:val="00000A"/>
          <w:sz w:val="24"/>
          <w:szCs w:val="24"/>
        </w:rPr>
        <w:t xml:space="preserve"> vplyv na rozpočet verejnej správy</w:t>
      </w:r>
      <w:r w:rsidR="003973BE" w:rsidRPr="00DD3F44">
        <w:rPr>
          <w:rFonts w:ascii="Times New Roman" w:hAnsi="Times New Roman" w:cs="Times New Roman"/>
          <w:color w:val="00000A"/>
          <w:sz w:val="24"/>
          <w:szCs w:val="24"/>
        </w:rPr>
        <w:t xml:space="preserve"> vzhľadom na pokles výberu dane a negatívny vplyv na</w:t>
      </w:r>
      <w:r w:rsidRPr="00DD3F44">
        <w:rPr>
          <w:rFonts w:ascii="Times New Roman" w:hAnsi="Times New Roman" w:cs="Times New Roman"/>
          <w:color w:val="00000A"/>
          <w:sz w:val="24"/>
          <w:szCs w:val="24"/>
        </w:rPr>
        <w:t xml:space="preserve"> </w:t>
      </w:r>
      <w:r w:rsidR="00645351" w:rsidRPr="00DD3F44">
        <w:rPr>
          <w:rFonts w:ascii="Times New Roman" w:hAnsi="Times New Roman" w:cs="Times New Roman"/>
          <w:color w:val="00000A"/>
          <w:sz w:val="24"/>
          <w:szCs w:val="24"/>
        </w:rPr>
        <w:t>podnikateľské prostredie</w:t>
      </w:r>
      <w:r w:rsidR="003973BE" w:rsidRPr="00DD3F44">
        <w:rPr>
          <w:rFonts w:ascii="Times New Roman" w:hAnsi="Times New Roman" w:cs="Times New Roman"/>
          <w:color w:val="00000A"/>
          <w:sz w:val="24"/>
          <w:szCs w:val="24"/>
        </w:rPr>
        <w:t>. Návrh má pozitívne</w:t>
      </w:r>
      <w:r w:rsidR="00645351" w:rsidRPr="00DD3F44">
        <w:rPr>
          <w:rFonts w:ascii="Times New Roman" w:hAnsi="Times New Roman" w:cs="Times New Roman"/>
          <w:color w:val="00000A"/>
          <w:sz w:val="24"/>
          <w:szCs w:val="24"/>
        </w:rPr>
        <w:t xml:space="preserve"> </w:t>
      </w:r>
      <w:r w:rsidRPr="00DD3F44">
        <w:rPr>
          <w:rFonts w:ascii="Times New Roman" w:hAnsi="Times New Roman" w:cs="Times New Roman"/>
          <w:color w:val="00000A"/>
          <w:sz w:val="24"/>
          <w:szCs w:val="24"/>
        </w:rPr>
        <w:t>sociálne vplyvy</w:t>
      </w:r>
      <w:r w:rsidR="003973BE" w:rsidRPr="00DD3F44">
        <w:rPr>
          <w:rFonts w:ascii="Times New Roman" w:hAnsi="Times New Roman" w:cs="Times New Roman"/>
          <w:color w:val="00000A"/>
          <w:sz w:val="24"/>
          <w:szCs w:val="24"/>
        </w:rPr>
        <w:t xml:space="preserve"> vrátane vplyvu na hospodárenie obyvateľstva, sociálnu exklúziu, rovnosť príležitostí a rodovú rovnosť a vplyvov na zamestnanosť</w:t>
      </w:r>
      <w:r w:rsidR="00CD7E67" w:rsidRPr="00DD3F44">
        <w:rPr>
          <w:rFonts w:ascii="Times New Roman" w:hAnsi="Times New Roman" w:cs="Times New Roman"/>
          <w:color w:val="00000A"/>
          <w:sz w:val="24"/>
          <w:szCs w:val="24"/>
        </w:rPr>
        <w:t xml:space="preserve">, keďže obmedzenie aktivít súvisiacich s hazardom môže viesť k úspešnému zaradeniu niektorých osôb do pracovného </w:t>
      </w:r>
      <w:r w:rsidR="00010EE4" w:rsidRPr="00DD3F44">
        <w:rPr>
          <w:rFonts w:ascii="Times New Roman" w:hAnsi="Times New Roman" w:cs="Times New Roman"/>
          <w:color w:val="00000A"/>
          <w:sz w:val="24"/>
          <w:szCs w:val="24"/>
        </w:rPr>
        <w:t>procesu</w:t>
      </w:r>
      <w:r w:rsidR="003973BE" w:rsidRPr="00DD3F44">
        <w:rPr>
          <w:rFonts w:ascii="Times New Roman" w:hAnsi="Times New Roman" w:cs="Times New Roman"/>
          <w:color w:val="00000A"/>
          <w:sz w:val="24"/>
          <w:szCs w:val="24"/>
        </w:rPr>
        <w:t xml:space="preserve">. </w:t>
      </w:r>
      <w:r w:rsidR="00CD7E67" w:rsidRPr="00DD3F44">
        <w:rPr>
          <w:rFonts w:ascii="Times New Roman" w:hAnsi="Times New Roman" w:cs="Times New Roman"/>
          <w:color w:val="00000A"/>
          <w:sz w:val="24"/>
          <w:szCs w:val="24"/>
        </w:rPr>
        <w:t>Predkladaný návrh zákona nemá v</w:t>
      </w:r>
      <w:r w:rsidRPr="00DD3F44">
        <w:rPr>
          <w:rFonts w:ascii="Times New Roman" w:hAnsi="Times New Roman" w:cs="Times New Roman"/>
          <w:color w:val="00000A"/>
          <w:sz w:val="24"/>
          <w:szCs w:val="24"/>
        </w:rPr>
        <w:t>plyvy na životné prostredie, a ani vplyvy na informatizáciu spoločnosti a služby verejnej správy pre občana. Predkladaný návrh zákona má</w:t>
      </w:r>
      <w:r w:rsidR="00CD7E67" w:rsidRPr="00DD3F44">
        <w:rPr>
          <w:rFonts w:ascii="Times New Roman" w:hAnsi="Times New Roman" w:cs="Times New Roman"/>
          <w:color w:val="00000A"/>
          <w:sz w:val="24"/>
          <w:szCs w:val="24"/>
        </w:rPr>
        <w:t xml:space="preserve"> taktiež</w:t>
      </w:r>
      <w:r w:rsidRPr="00DD3F44">
        <w:rPr>
          <w:rFonts w:ascii="Times New Roman" w:hAnsi="Times New Roman" w:cs="Times New Roman"/>
          <w:color w:val="00000A"/>
          <w:sz w:val="24"/>
          <w:szCs w:val="24"/>
        </w:rPr>
        <w:t xml:space="preserve"> pozitívne vplyvy na manželstvo, rodičovstvo a rodinu – zvyšuje ochranu rodinného prostredia</w:t>
      </w:r>
      <w:r w:rsidR="00ED1FAF" w:rsidRPr="00DD3F44">
        <w:rPr>
          <w:rFonts w:ascii="Times New Roman" w:hAnsi="Times New Roman" w:cs="Times New Roman"/>
          <w:color w:val="00000A"/>
          <w:sz w:val="24"/>
          <w:szCs w:val="24"/>
        </w:rPr>
        <w:t xml:space="preserve"> a môže napomáhať zníženiu rizikového správania ohrozujúceho rodinu.</w:t>
      </w:r>
    </w:p>
    <w:p w14:paraId="7B6DCD13" w14:textId="77777777" w:rsidR="005A04DC" w:rsidRPr="00DD3F44" w:rsidRDefault="005A04DC" w:rsidP="005A04DC">
      <w:pPr>
        <w:spacing w:line="264" w:lineRule="auto"/>
        <w:ind w:left="-17"/>
        <w:jc w:val="both"/>
        <w:rPr>
          <w:rFonts w:ascii="Times New Roman" w:eastAsia="SimSun" w:hAnsi="Times New Roman" w:cs="Times New Roman"/>
          <w:b/>
          <w:bCs/>
          <w:color w:val="00000A"/>
          <w:kern w:val="2"/>
          <w:sz w:val="24"/>
          <w:szCs w:val="24"/>
          <w:lang w:eastAsia="ar-SA"/>
        </w:rPr>
      </w:pPr>
    </w:p>
    <w:p w14:paraId="3E614105" w14:textId="77777777" w:rsidR="005A04DC" w:rsidRPr="00DD3F44" w:rsidRDefault="005A04DC" w:rsidP="005A04DC">
      <w:pPr>
        <w:widowControl w:val="0"/>
        <w:spacing w:line="276" w:lineRule="auto"/>
        <w:ind w:right="-427"/>
        <w:jc w:val="both"/>
        <w:rPr>
          <w:rFonts w:ascii="Times New Roman" w:eastAsia="Times New Roman" w:hAnsi="Times New Roman" w:cs="Times New Roman"/>
          <w:color w:val="666666"/>
          <w:sz w:val="24"/>
          <w:szCs w:val="24"/>
          <w:lang w:val="en" w:eastAsia="sk-SK"/>
        </w:rPr>
      </w:pPr>
      <w:r w:rsidRPr="00DD3F44">
        <w:rPr>
          <w:rFonts w:ascii="Times New Roman" w:eastAsia="SimSun" w:hAnsi="Times New Roman" w:cs="Times New Roman"/>
          <w:b/>
          <w:bCs/>
          <w:color w:val="00000A"/>
          <w:kern w:val="2"/>
          <w:sz w:val="24"/>
          <w:szCs w:val="24"/>
          <w:lang w:eastAsia="ar-SA"/>
        </w:rPr>
        <w:t>A.4. Alternatívne riešenia</w:t>
      </w:r>
    </w:p>
    <w:p w14:paraId="3408450B" w14:textId="77777777" w:rsidR="005A04DC" w:rsidRPr="00DD3F44" w:rsidRDefault="005A04DC" w:rsidP="005A04DC">
      <w:pPr>
        <w:widowControl w:val="0"/>
        <w:spacing w:line="276" w:lineRule="auto"/>
        <w:ind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Bezpredmetné </w:t>
      </w:r>
    </w:p>
    <w:p w14:paraId="3C4D83E0" w14:textId="77777777" w:rsidR="005A04DC" w:rsidRPr="00DD3F44" w:rsidRDefault="005A04DC" w:rsidP="005A04DC">
      <w:pPr>
        <w:widowControl w:val="0"/>
        <w:spacing w:line="276" w:lineRule="auto"/>
        <w:ind w:right="-427"/>
        <w:jc w:val="both"/>
        <w:rPr>
          <w:rFonts w:ascii="Times New Roman" w:eastAsia="SimSun" w:hAnsi="Times New Roman" w:cs="Times New Roman"/>
          <w:b/>
          <w:bCs/>
          <w:color w:val="00000A"/>
          <w:kern w:val="2"/>
          <w:sz w:val="24"/>
          <w:szCs w:val="24"/>
          <w:lang w:eastAsia="ar-SA"/>
        </w:rPr>
      </w:pPr>
    </w:p>
    <w:p w14:paraId="04C8E9CB" w14:textId="77777777" w:rsidR="005A04DC" w:rsidRPr="00DD3F44" w:rsidRDefault="005A04DC" w:rsidP="005A04DC">
      <w:pPr>
        <w:widowControl w:val="0"/>
        <w:spacing w:line="276" w:lineRule="auto"/>
        <w:ind w:left="567" w:right="-427" w:hanging="567"/>
        <w:jc w:val="both"/>
        <w:rPr>
          <w:rFonts w:ascii="Times New Roman" w:eastAsia="Times New Roman" w:hAnsi="Times New Roman" w:cs="Times New Roman"/>
          <w:color w:val="666666"/>
          <w:sz w:val="24"/>
          <w:szCs w:val="24"/>
          <w:lang w:eastAsia="sk-SK"/>
        </w:rPr>
      </w:pPr>
      <w:r w:rsidRPr="00DD3F44">
        <w:rPr>
          <w:rFonts w:ascii="Times New Roman" w:eastAsia="SimSun" w:hAnsi="Times New Roman" w:cs="Times New Roman"/>
          <w:b/>
          <w:bCs/>
          <w:color w:val="00000A"/>
          <w:kern w:val="2"/>
          <w:sz w:val="24"/>
          <w:szCs w:val="24"/>
          <w:lang w:eastAsia="ar-SA"/>
        </w:rPr>
        <w:t xml:space="preserve">A.5. </w:t>
      </w:r>
      <w:r w:rsidRPr="00DD3F44">
        <w:rPr>
          <w:rFonts w:ascii="Times New Roman" w:eastAsia="SimSun" w:hAnsi="Times New Roman" w:cs="Times New Roman"/>
          <w:b/>
          <w:bCs/>
          <w:color w:val="00000A"/>
          <w:kern w:val="2"/>
          <w:sz w:val="24"/>
          <w:szCs w:val="24"/>
          <w:lang w:eastAsia="ar-SA"/>
        </w:rPr>
        <w:tab/>
        <w:t>Stanovisko gestorov</w:t>
      </w:r>
    </w:p>
    <w:p w14:paraId="2ABDB3D0" w14:textId="77777777" w:rsidR="005A04DC" w:rsidRPr="00DD3F44" w:rsidRDefault="005A04DC" w:rsidP="005A04DC">
      <w:pPr>
        <w:widowControl w:val="0"/>
        <w:spacing w:line="276" w:lineRule="auto"/>
        <w:ind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Bezpredmetné</w:t>
      </w:r>
    </w:p>
    <w:p w14:paraId="4AA6A5C1" w14:textId="77777777" w:rsidR="005A04DC" w:rsidRPr="00DD3F44" w:rsidRDefault="005A04DC" w:rsidP="00CA4B22">
      <w:pPr>
        <w:rPr>
          <w:rFonts w:ascii="Times New Roman" w:eastAsia="Times New Roman" w:hAnsi="Times New Roman" w:cs="Times New Roman"/>
          <w:sz w:val="24"/>
          <w:szCs w:val="24"/>
          <w:lang w:eastAsia="sk-SK"/>
        </w:rPr>
      </w:pPr>
    </w:p>
    <w:p w14:paraId="2DB8CD83" w14:textId="082AE83B" w:rsidR="00CA4B22" w:rsidRPr="00DD3F44" w:rsidRDefault="00CA4B22" w:rsidP="00992B5B">
      <w:pPr>
        <w:jc w:val="cente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DOLOŽKA ZLUČITEĽNOSTI</w:t>
      </w:r>
    </w:p>
    <w:p w14:paraId="25B0E67E" w14:textId="77777777" w:rsidR="00CA4B22" w:rsidRPr="00DD3F44" w:rsidRDefault="00CA4B22" w:rsidP="00992B5B">
      <w:pPr>
        <w:jc w:val="cente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návrhu zákona s právom Európskej únie</w:t>
      </w:r>
    </w:p>
    <w:p w14:paraId="0FE3EBEC" w14:textId="77777777" w:rsidR="00CA4B22" w:rsidRPr="00DD3F44" w:rsidRDefault="00CA4B22" w:rsidP="00CA4B22">
      <w:pPr>
        <w:jc w:val="both"/>
        <w:rPr>
          <w:rFonts w:ascii="Times New Roman" w:eastAsia="Times New Roman" w:hAnsi="Times New Roman" w:cs="Times New Roman"/>
          <w:sz w:val="24"/>
          <w:szCs w:val="24"/>
          <w:lang w:eastAsia="sk-SK"/>
        </w:rPr>
      </w:pPr>
    </w:p>
    <w:p w14:paraId="0E8749B1" w14:textId="75515CA4" w:rsidR="00CA4B22" w:rsidRPr="00DD3F44" w:rsidRDefault="00CA4B22" w:rsidP="00CA4B22">
      <w:pPr>
        <w:jc w:val="both"/>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1. Navrhovateľ zákona:</w:t>
      </w:r>
    </w:p>
    <w:p w14:paraId="7722BD93" w14:textId="2BF56677" w:rsidR="00CA4B22" w:rsidRPr="00DD3F44" w:rsidRDefault="00CA4B22" w:rsidP="00CA4B22">
      <w:p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Poslan</w:t>
      </w:r>
      <w:r w:rsidR="00992B5B" w:rsidRPr="00DD3F44">
        <w:rPr>
          <w:rFonts w:ascii="Times New Roman" w:eastAsia="Times New Roman" w:hAnsi="Times New Roman" w:cs="Times New Roman"/>
          <w:sz w:val="24"/>
          <w:szCs w:val="24"/>
          <w:lang w:eastAsia="sk-SK"/>
        </w:rPr>
        <w:t>ec</w:t>
      </w:r>
      <w:r w:rsidRPr="00DD3F44">
        <w:rPr>
          <w:rFonts w:ascii="Times New Roman" w:eastAsia="Times New Roman" w:hAnsi="Times New Roman" w:cs="Times New Roman"/>
          <w:sz w:val="24"/>
          <w:szCs w:val="24"/>
          <w:lang w:eastAsia="sk-SK"/>
        </w:rPr>
        <w:t xml:space="preserve"> Národnej rady Slovenskej republiky Martin Čepček</w:t>
      </w:r>
      <w:r w:rsidR="00992B5B" w:rsidRPr="00DD3F44">
        <w:rPr>
          <w:rFonts w:ascii="Times New Roman" w:eastAsia="Times New Roman" w:hAnsi="Times New Roman" w:cs="Times New Roman"/>
          <w:sz w:val="24"/>
          <w:szCs w:val="24"/>
          <w:lang w:eastAsia="sk-SK"/>
        </w:rPr>
        <w:t>.</w:t>
      </w:r>
    </w:p>
    <w:p w14:paraId="0ACFAC0A" w14:textId="321632B2" w:rsidR="00CA4B22" w:rsidRPr="00DD3F44" w:rsidRDefault="00CA4B22" w:rsidP="00CA4B22">
      <w:pPr>
        <w:jc w:val="both"/>
        <w:rPr>
          <w:rFonts w:ascii="Times New Roman" w:eastAsia="Times New Roman" w:hAnsi="Times New Roman" w:cs="Times New Roman"/>
          <w:sz w:val="24"/>
          <w:szCs w:val="24"/>
          <w:lang w:eastAsia="sk-SK"/>
        </w:rPr>
      </w:pPr>
    </w:p>
    <w:p w14:paraId="5C07A405" w14:textId="4D5BE8B4" w:rsidR="00CA4B22" w:rsidRPr="00DD3F44" w:rsidRDefault="00CA4B22" w:rsidP="00CA4B22">
      <w:pPr>
        <w:jc w:val="both"/>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2. Názov návrhu zákona:</w:t>
      </w:r>
    </w:p>
    <w:p w14:paraId="2C2C29FC" w14:textId="1E51222D" w:rsidR="00CA4B22" w:rsidRPr="00DD3F44" w:rsidRDefault="00CA4B22" w:rsidP="00CA4B22">
      <w:p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Návrh</w:t>
      </w:r>
      <w:r w:rsidRPr="00DD3F44">
        <w:rPr>
          <w:rFonts w:ascii="Times New Roman" w:eastAsia="Times New Roman" w:hAnsi="Times New Roman" w:cs="Times New Roman"/>
          <w:spacing w:val="72"/>
          <w:sz w:val="24"/>
          <w:szCs w:val="24"/>
          <w:lang w:eastAsia="sk-SK"/>
        </w:rPr>
        <w:t xml:space="preserve"> </w:t>
      </w:r>
      <w:r w:rsidRPr="00DD3F44">
        <w:rPr>
          <w:rFonts w:ascii="Times New Roman" w:eastAsia="Times New Roman" w:hAnsi="Times New Roman" w:cs="Times New Roman"/>
          <w:sz w:val="24"/>
          <w:szCs w:val="24"/>
          <w:lang w:eastAsia="sk-SK"/>
        </w:rPr>
        <w:t>zákona,</w:t>
      </w:r>
      <w:r w:rsidRPr="00DD3F44">
        <w:rPr>
          <w:rFonts w:ascii="Times New Roman" w:eastAsia="Times New Roman" w:hAnsi="Times New Roman" w:cs="Times New Roman"/>
          <w:spacing w:val="72"/>
          <w:sz w:val="24"/>
          <w:szCs w:val="24"/>
          <w:lang w:eastAsia="sk-SK"/>
        </w:rPr>
        <w:t xml:space="preserve"> </w:t>
      </w:r>
      <w:r w:rsidR="003973BE" w:rsidRPr="00DD3F44">
        <w:rPr>
          <w:rFonts w:ascii="Times New Roman" w:eastAsia="Times New Roman" w:hAnsi="Times New Roman" w:cs="Times New Roman"/>
          <w:sz w:val="24"/>
          <w:szCs w:val="24"/>
          <w:lang w:eastAsia="sk-SK"/>
        </w:rPr>
        <w:t xml:space="preserve">ktorým sa  dopĺňa zákon č.  30/2019 Z. z. o hazardných hrách a o zmene a doplnení niektorých zákonov v znení </w:t>
      </w:r>
      <w:r w:rsidR="00ED1FAF" w:rsidRPr="00DD3F44">
        <w:rPr>
          <w:rFonts w:ascii="Times New Roman" w:eastAsia="Times New Roman" w:hAnsi="Times New Roman" w:cs="Times New Roman"/>
          <w:sz w:val="24"/>
          <w:szCs w:val="24"/>
          <w:lang w:eastAsia="sk-SK"/>
        </w:rPr>
        <w:t>neskorších predpisov.</w:t>
      </w:r>
    </w:p>
    <w:p w14:paraId="57E596FF" w14:textId="77777777" w:rsidR="00CA4B22" w:rsidRPr="00DD3F44" w:rsidRDefault="00CA4B22" w:rsidP="00CA4B22">
      <w:pPr>
        <w:jc w:val="both"/>
        <w:rPr>
          <w:rFonts w:ascii="Times New Roman" w:eastAsia="Times New Roman" w:hAnsi="Times New Roman" w:cs="Times New Roman"/>
          <w:sz w:val="24"/>
          <w:szCs w:val="24"/>
          <w:lang w:eastAsia="sk-SK"/>
        </w:rPr>
      </w:pPr>
    </w:p>
    <w:p w14:paraId="35537E0B" w14:textId="2EA67486" w:rsidR="00CA4B22" w:rsidRPr="00DD3F44" w:rsidRDefault="00CA4B22" w:rsidP="00CA4B22">
      <w:pPr>
        <w:jc w:val="both"/>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3.</w:t>
      </w:r>
      <w:r w:rsidR="00E66FF7" w:rsidRPr="00DD3F44">
        <w:rPr>
          <w:rFonts w:ascii="Times New Roman" w:eastAsia="Times New Roman" w:hAnsi="Times New Roman" w:cs="Times New Roman"/>
          <w:b/>
          <w:bCs/>
          <w:sz w:val="24"/>
          <w:szCs w:val="24"/>
          <w:lang w:eastAsia="sk-SK"/>
        </w:rPr>
        <w:t xml:space="preserve"> </w:t>
      </w:r>
      <w:r w:rsidRPr="00DD3F44">
        <w:rPr>
          <w:rFonts w:ascii="Times New Roman" w:eastAsia="Times New Roman" w:hAnsi="Times New Roman" w:cs="Times New Roman"/>
          <w:b/>
          <w:bCs/>
          <w:sz w:val="24"/>
          <w:szCs w:val="24"/>
          <w:lang w:eastAsia="sk-SK"/>
        </w:rPr>
        <w:t>Predmet návrhu zákona je upravený v práve Európskej únie:</w:t>
      </w:r>
    </w:p>
    <w:p w14:paraId="15F46683" w14:textId="77777777" w:rsidR="0034185A" w:rsidRPr="00DD3F44" w:rsidRDefault="0034185A" w:rsidP="00CA4B22">
      <w:pPr>
        <w:rPr>
          <w:rFonts w:ascii="Times New Roman" w:eastAsia="Times New Roman" w:hAnsi="Times New Roman" w:cs="Times New Roman"/>
          <w:sz w:val="24"/>
          <w:szCs w:val="24"/>
          <w:lang w:eastAsia="sk-SK"/>
        </w:rPr>
      </w:pPr>
    </w:p>
    <w:p w14:paraId="5F172923" w14:textId="797EF11A" w:rsidR="00CA4B22" w:rsidRPr="00DD3F44" w:rsidRDefault="00CA4B22" w:rsidP="00CA4B22">
      <w:p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a) v primárnom práve:</w:t>
      </w:r>
    </w:p>
    <w:p w14:paraId="7AFAF3C5" w14:textId="11823C43" w:rsidR="00CA4B22" w:rsidRPr="00DD3F44" w:rsidRDefault="00CA4B22" w:rsidP="003973BE">
      <w:pPr>
        <w:jc w:val="both"/>
        <w:rPr>
          <w:rFonts w:ascii="Times New Roman" w:eastAsia="Times New Roman" w:hAnsi="Times New Roman" w:cs="Times New Roman"/>
          <w:sz w:val="24"/>
          <w:szCs w:val="24"/>
          <w:lang w:eastAsia="sk-SK"/>
        </w:rPr>
      </w:pPr>
    </w:p>
    <w:p w14:paraId="4C4E974D" w14:textId="6E81390D" w:rsidR="003973BE" w:rsidRPr="00DD3F44" w:rsidRDefault="003973BE" w:rsidP="003973BE">
      <w:p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Nie je upravené.</w:t>
      </w:r>
    </w:p>
    <w:p w14:paraId="66BDECA5" w14:textId="77777777" w:rsidR="00E66FF7" w:rsidRPr="00DD3F44" w:rsidRDefault="00E66FF7" w:rsidP="00CA4B22">
      <w:pPr>
        <w:rPr>
          <w:rFonts w:ascii="Times New Roman" w:eastAsia="Times New Roman" w:hAnsi="Times New Roman" w:cs="Times New Roman"/>
          <w:sz w:val="24"/>
          <w:szCs w:val="24"/>
          <w:lang w:eastAsia="sk-SK"/>
        </w:rPr>
      </w:pPr>
    </w:p>
    <w:p w14:paraId="0866CB20" w14:textId="42D0FE70" w:rsidR="00CA4B22" w:rsidRPr="00DD3F44" w:rsidRDefault="00CA4B22" w:rsidP="00CA4B22">
      <w:p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b) v sekundárnom práve:</w:t>
      </w:r>
    </w:p>
    <w:p w14:paraId="067589DC" w14:textId="77777777" w:rsidR="00E66FF7" w:rsidRPr="00DD3F44" w:rsidRDefault="00E66FF7" w:rsidP="00CA4B22">
      <w:pPr>
        <w:rPr>
          <w:rFonts w:ascii="Times New Roman" w:eastAsia="Times New Roman" w:hAnsi="Times New Roman" w:cs="Times New Roman"/>
          <w:sz w:val="24"/>
          <w:szCs w:val="24"/>
          <w:lang w:eastAsia="sk-SK"/>
        </w:rPr>
      </w:pPr>
    </w:p>
    <w:p w14:paraId="6A8B3628" w14:textId="1F2C6D9B" w:rsidR="00CA4B22" w:rsidRPr="00DD3F44" w:rsidRDefault="00CA4B22" w:rsidP="00CA4B22">
      <w:p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Nie je upravené.</w:t>
      </w:r>
    </w:p>
    <w:p w14:paraId="52DBBB35" w14:textId="77777777" w:rsidR="00E66FF7" w:rsidRPr="00DD3F44" w:rsidRDefault="00E66FF7" w:rsidP="00CA4B22">
      <w:pPr>
        <w:rPr>
          <w:rFonts w:ascii="Times New Roman" w:eastAsia="Times New Roman" w:hAnsi="Times New Roman" w:cs="Times New Roman"/>
          <w:sz w:val="24"/>
          <w:szCs w:val="24"/>
          <w:lang w:eastAsia="sk-SK"/>
        </w:rPr>
      </w:pPr>
    </w:p>
    <w:p w14:paraId="79A98AD3" w14:textId="52A9BDD7" w:rsidR="00CA4B22" w:rsidRPr="00DD3F44" w:rsidRDefault="00CA4B22" w:rsidP="00CA4B22">
      <w:p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c)</w:t>
      </w:r>
      <w:r w:rsidR="00E66FF7" w:rsidRPr="00DD3F44">
        <w:rPr>
          <w:rFonts w:ascii="Times New Roman" w:eastAsia="Times New Roman" w:hAnsi="Times New Roman" w:cs="Times New Roman"/>
          <w:sz w:val="24"/>
          <w:szCs w:val="24"/>
          <w:lang w:eastAsia="sk-SK"/>
        </w:rPr>
        <w:t xml:space="preserve"> </w:t>
      </w:r>
      <w:r w:rsidRPr="00DD3F44">
        <w:rPr>
          <w:rFonts w:ascii="Times New Roman" w:eastAsia="Times New Roman" w:hAnsi="Times New Roman" w:cs="Times New Roman"/>
          <w:sz w:val="24"/>
          <w:szCs w:val="24"/>
          <w:lang w:eastAsia="sk-SK"/>
        </w:rPr>
        <w:t>v judikatúre Súdneho dvora Európskej únie:</w:t>
      </w:r>
    </w:p>
    <w:p w14:paraId="65241040" w14:textId="77777777" w:rsidR="00E66FF7" w:rsidRPr="00DD3F44" w:rsidRDefault="00E66FF7" w:rsidP="00CA4B22">
      <w:pPr>
        <w:rPr>
          <w:rFonts w:ascii="Times New Roman" w:eastAsia="Times New Roman" w:hAnsi="Times New Roman" w:cs="Times New Roman"/>
          <w:sz w:val="24"/>
          <w:szCs w:val="24"/>
          <w:lang w:eastAsia="sk-SK"/>
        </w:rPr>
      </w:pPr>
    </w:p>
    <w:p w14:paraId="783FA8E0" w14:textId="54E4B5EC" w:rsidR="00CA4B22" w:rsidRPr="00DD3F44" w:rsidRDefault="00CA4B22" w:rsidP="00CA4B22">
      <w:p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Nie je obsiahnuté. </w:t>
      </w:r>
    </w:p>
    <w:p w14:paraId="412EF4BE" w14:textId="77777777" w:rsidR="00E66FF7" w:rsidRPr="00DD3F44" w:rsidRDefault="00E66FF7" w:rsidP="00CA4B22">
      <w:pPr>
        <w:rPr>
          <w:rFonts w:ascii="Times New Roman" w:eastAsia="Times New Roman" w:hAnsi="Times New Roman" w:cs="Times New Roman"/>
          <w:sz w:val="24"/>
          <w:szCs w:val="24"/>
          <w:lang w:eastAsia="sk-SK"/>
        </w:rPr>
      </w:pPr>
    </w:p>
    <w:p w14:paraId="3D3E8CB1" w14:textId="416FEE8C" w:rsidR="00CA4B22" w:rsidRPr="00DD3F44" w:rsidRDefault="00CA4B22" w:rsidP="00CA4B22">
      <w:pP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4.</w:t>
      </w:r>
      <w:r w:rsidR="00E66FF7" w:rsidRPr="00DD3F44">
        <w:rPr>
          <w:rFonts w:ascii="Times New Roman" w:eastAsia="Times New Roman" w:hAnsi="Times New Roman" w:cs="Times New Roman"/>
          <w:b/>
          <w:bCs/>
          <w:sz w:val="24"/>
          <w:szCs w:val="24"/>
          <w:lang w:eastAsia="sk-SK"/>
        </w:rPr>
        <w:t xml:space="preserve"> </w:t>
      </w:r>
      <w:r w:rsidRPr="00DD3F44">
        <w:rPr>
          <w:rFonts w:ascii="Times New Roman" w:eastAsia="Times New Roman" w:hAnsi="Times New Roman" w:cs="Times New Roman"/>
          <w:b/>
          <w:bCs/>
          <w:sz w:val="24"/>
          <w:szCs w:val="24"/>
          <w:lang w:eastAsia="sk-SK"/>
        </w:rPr>
        <w:t>Záväzky Slovenskej republiky vo vzťahu k Európskej únii:</w:t>
      </w:r>
    </w:p>
    <w:p w14:paraId="0F599F88" w14:textId="77777777" w:rsidR="00E66FF7" w:rsidRPr="00DD3F44" w:rsidRDefault="00E66FF7" w:rsidP="00CA4B22">
      <w:pPr>
        <w:rPr>
          <w:rFonts w:ascii="Times New Roman" w:eastAsia="Times New Roman" w:hAnsi="Times New Roman" w:cs="Times New Roman"/>
          <w:sz w:val="24"/>
          <w:szCs w:val="24"/>
          <w:lang w:eastAsia="sk-SK"/>
        </w:rPr>
      </w:pPr>
    </w:p>
    <w:p w14:paraId="23A82AC2" w14:textId="29AC7887" w:rsidR="00CA4B22" w:rsidRPr="00DD3F44" w:rsidRDefault="00CA4B22" w:rsidP="00992B5B">
      <w:pPr>
        <w:pStyle w:val="Odsekzoznamu"/>
        <w:numPr>
          <w:ilvl w:val="0"/>
          <w:numId w:val="3"/>
        </w:num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uviesť</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lehotu</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na</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prebranie</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príslušného</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právneho</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aktu</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Európskej</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únie, príp.</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aj</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osobitnú lehotu účinnosti jeho ustanovení:</w:t>
      </w:r>
    </w:p>
    <w:p w14:paraId="0AB99CEC" w14:textId="77777777" w:rsidR="00E66FF7" w:rsidRPr="00DD3F44" w:rsidRDefault="00E66FF7" w:rsidP="00CA4B22">
      <w:pPr>
        <w:rPr>
          <w:rFonts w:ascii="Times New Roman" w:eastAsia="Times New Roman" w:hAnsi="Times New Roman" w:cs="Times New Roman"/>
          <w:sz w:val="24"/>
          <w:szCs w:val="24"/>
          <w:lang w:eastAsia="sk-SK"/>
        </w:rPr>
      </w:pPr>
    </w:p>
    <w:p w14:paraId="057D20C2" w14:textId="3B7821E8" w:rsidR="00CA4B22" w:rsidRPr="00DD3F44" w:rsidRDefault="00CA4B22" w:rsidP="00CA4B22">
      <w:p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Návrhom zákona sa nepreberá nový právny akt Európskej únie.</w:t>
      </w:r>
    </w:p>
    <w:p w14:paraId="2AB20013" w14:textId="77777777" w:rsidR="00E66FF7" w:rsidRPr="00DD3F44" w:rsidRDefault="00E66FF7" w:rsidP="00CA4B22">
      <w:pPr>
        <w:rPr>
          <w:rFonts w:ascii="Times New Roman" w:eastAsia="Times New Roman" w:hAnsi="Times New Roman" w:cs="Times New Roman"/>
          <w:sz w:val="24"/>
          <w:szCs w:val="24"/>
          <w:lang w:eastAsia="sk-SK"/>
        </w:rPr>
      </w:pPr>
    </w:p>
    <w:p w14:paraId="2C5E6282" w14:textId="66D9FF39" w:rsidR="00CA4B22" w:rsidRPr="00DD3F44" w:rsidRDefault="00CA4B22" w:rsidP="00992B5B">
      <w:pPr>
        <w:pStyle w:val="Odsekzoznamu"/>
        <w:numPr>
          <w:ilvl w:val="0"/>
          <w:numId w:val="3"/>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uviesť</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informáciu</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o začatí</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postupu</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Európskej</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komisie</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alebo o</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konaní</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Súdneho</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dvora Európskej</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únie</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proti</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Slovenskej</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republike</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podľa</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čl.</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258</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a</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260</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Zmluvy</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o fungovaní Európskej</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únie</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v</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jej platnom</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znení,</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spolu</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s uvedením</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konkrétnych</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vytýkaných nedostatkov a požiadaviek na zabezpečenie nápravy</w:t>
      </w:r>
    </w:p>
    <w:p w14:paraId="54211B67" w14:textId="77777777" w:rsidR="00992B5B" w:rsidRPr="00DD3F44" w:rsidRDefault="00992B5B" w:rsidP="00992B5B">
      <w:pPr>
        <w:pStyle w:val="Odsekzoznamu"/>
        <w:jc w:val="both"/>
        <w:rPr>
          <w:rFonts w:ascii="Times New Roman" w:eastAsia="Times New Roman" w:hAnsi="Times New Roman" w:cs="Times New Roman"/>
          <w:sz w:val="24"/>
          <w:szCs w:val="24"/>
          <w:lang w:eastAsia="sk-SK"/>
        </w:rPr>
      </w:pPr>
    </w:p>
    <w:p w14:paraId="3BF5D943" w14:textId="77777777" w:rsidR="00CA4B22" w:rsidRPr="00DD3F44" w:rsidRDefault="00CA4B22" w:rsidP="00E66FF7">
      <w:p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Proti</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Slovenskej</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republike</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nezačalo</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žiaden</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postup</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Európskej</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komisie</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alebo konanie</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Súdneho dvora Európskej únie podľa čl. 258 a 260 Zmluvy o fungovaní Európskej únie.</w:t>
      </w:r>
    </w:p>
    <w:p w14:paraId="5B0961FB" w14:textId="77777777" w:rsidR="00E66FF7" w:rsidRPr="00DD3F44" w:rsidRDefault="00E66FF7" w:rsidP="00E66FF7">
      <w:pPr>
        <w:jc w:val="both"/>
        <w:rPr>
          <w:rFonts w:ascii="Times New Roman" w:eastAsia="Times New Roman" w:hAnsi="Times New Roman" w:cs="Times New Roman"/>
          <w:sz w:val="24"/>
          <w:szCs w:val="24"/>
          <w:lang w:eastAsia="sk-SK"/>
        </w:rPr>
      </w:pPr>
    </w:p>
    <w:p w14:paraId="619CB67B" w14:textId="7B1AC710" w:rsidR="00CA4B22" w:rsidRPr="00DD3F44" w:rsidRDefault="00CA4B22" w:rsidP="00992B5B">
      <w:pPr>
        <w:pStyle w:val="Odsekzoznamu"/>
        <w:numPr>
          <w:ilvl w:val="0"/>
          <w:numId w:val="3"/>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uviesť</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informáciu</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o právnych</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predpisoch,</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v ktorých</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sú</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uvádzané</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právne</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akty</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Európskej únie</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už</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prebrané,</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spolu</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s uvedením</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rozsahu</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ich</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prebrania príp.</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potreby</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prijatia</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 xml:space="preserve">ďalších úprav </w:t>
      </w:r>
    </w:p>
    <w:p w14:paraId="28B97E42" w14:textId="77777777" w:rsidR="00992B5B" w:rsidRPr="00DD3F44" w:rsidRDefault="00992B5B" w:rsidP="00E66FF7">
      <w:pPr>
        <w:jc w:val="both"/>
        <w:rPr>
          <w:rFonts w:ascii="Times New Roman" w:eastAsia="Times New Roman" w:hAnsi="Times New Roman" w:cs="Times New Roman"/>
          <w:sz w:val="24"/>
          <w:szCs w:val="24"/>
          <w:lang w:eastAsia="sk-SK"/>
        </w:rPr>
      </w:pPr>
    </w:p>
    <w:p w14:paraId="5411700A" w14:textId="0B5721D4" w:rsidR="00CA4B22" w:rsidRPr="00DD3F44" w:rsidRDefault="00CA4B22" w:rsidP="00E66FF7">
      <w:p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Návrhom zákona sa nepreberá nový právny akt Európskej únie.</w:t>
      </w:r>
    </w:p>
    <w:p w14:paraId="3F240612" w14:textId="77777777" w:rsidR="00E66FF7" w:rsidRPr="00DD3F44" w:rsidRDefault="00E66FF7" w:rsidP="00E66FF7">
      <w:pPr>
        <w:jc w:val="both"/>
        <w:rPr>
          <w:rFonts w:ascii="Times New Roman" w:eastAsia="Times New Roman" w:hAnsi="Times New Roman" w:cs="Times New Roman"/>
          <w:sz w:val="24"/>
          <w:szCs w:val="24"/>
          <w:lang w:eastAsia="sk-SK"/>
        </w:rPr>
      </w:pPr>
    </w:p>
    <w:p w14:paraId="3C0403ED" w14:textId="613AAFB2" w:rsidR="00CA4B22" w:rsidRPr="00DD3F44" w:rsidRDefault="00CA4B22" w:rsidP="00E66FF7">
      <w:pPr>
        <w:jc w:val="both"/>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5.</w:t>
      </w:r>
      <w:r w:rsidR="00E66FF7" w:rsidRPr="00DD3F44">
        <w:rPr>
          <w:rFonts w:ascii="Times New Roman" w:eastAsia="Times New Roman" w:hAnsi="Times New Roman" w:cs="Times New Roman"/>
          <w:b/>
          <w:bCs/>
          <w:sz w:val="24"/>
          <w:szCs w:val="24"/>
          <w:lang w:eastAsia="sk-SK"/>
        </w:rPr>
        <w:t xml:space="preserve"> </w:t>
      </w:r>
      <w:r w:rsidRPr="00DD3F44">
        <w:rPr>
          <w:rFonts w:ascii="Times New Roman" w:eastAsia="Times New Roman" w:hAnsi="Times New Roman" w:cs="Times New Roman"/>
          <w:b/>
          <w:bCs/>
          <w:sz w:val="24"/>
          <w:szCs w:val="24"/>
          <w:lang w:eastAsia="sk-SK"/>
        </w:rPr>
        <w:t>Návrh zákona je zlučiteľný s právom Európskej únie:</w:t>
      </w:r>
    </w:p>
    <w:p w14:paraId="01178234" w14:textId="46519EEF" w:rsidR="00CA4B22" w:rsidRPr="00DD3F44" w:rsidRDefault="00CA4B22" w:rsidP="00992B5B">
      <w:pPr>
        <w:pStyle w:val="Odsekzoznamu"/>
        <w:numPr>
          <w:ilvl w:val="0"/>
          <w:numId w:val="4"/>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úplne</w:t>
      </w:r>
    </w:p>
    <w:p w14:paraId="09CB5E61" w14:textId="77777777" w:rsidR="003D6A9A" w:rsidRPr="00DD3F44" w:rsidRDefault="003D6A9A">
      <w:pPr>
        <w:rPr>
          <w:rFonts w:ascii="Times New Roman" w:hAnsi="Times New Roman" w:cs="Times New Roman"/>
          <w:sz w:val="24"/>
          <w:szCs w:val="24"/>
        </w:rPr>
      </w:pPr>
    </w:p>
    <w:sectPr w:rsidR="003D6A9A" w:rsidRPr="00DD3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670"/>
    <w:multiLevelType w:val="hybridMultilevel"/>
    <w:tmpl w:val="52CE39A2"/>
    <w:lvl w:ilvl="0" w:tplc="798C92A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3B03DBD"/>
    <w:multiLevelType w:val="hybridMultilevel"/>
    <w:tmpl w:val="1FE605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CE931D8"/>
    <w:multiLevelType w:val="hybridMultilevel"/>
    <w:tmpl w:val="6E426B8E"/>
    <w:lvl w:ilvl="0" w:tplc="E4A641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8A97C1E"/>
    <w:multiLevelType w:val="hybridMultilevel"/>
    <w:tmpl w:val="1FE605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C54B9B"/>
    <w:multiLevelType w:val="hybridMultilevel"/>
    <w:tmpl w:val="9954D5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40582130">
    <w:abstractNumId w:val="4"/>
  </w:num>
  <w:num w:numId="2" w16cid:durableId="170799352">
    <w:abstractNumId w:val="0"/>
  </w:num>
  <w:num w:numId="3" w16cid:durableId="1752702550">
    <w:abstractNumId w:val="1"/>
  </w:num>
  <w:num w:numId="4" w16cid:durableId="985283686">
    <w:abstractNumId w:val="3"/>
  </w:num>
  <w:num w:numId="5" w16cid:durableId="1387415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BB"/>
    <w:rsid w:val="0000045E"/>
    <w:rsid w:val="00010EE4"/>
    <w:rsid w:val="001162CB"/>
    <w:rsid w:val="002067C7"/>
    <w:rsid w:val="002555CF"/>
    <w:rsid w:val="002B7D7D"/>
    <w:rsid w:val="002C28B2"/>
    <w:rsid w:val="0034185A"/>
    <w:rsid w:val="003973BE"/>
    <w:rsid w:val="003D6A9A"/>
    <w:rsid w:val="00467E85"/>
    <w:rsid w:val="004E72E4"/>
    <w:rsid w:val="00555589"/>
    <w:rsid w:val="005878F7"/>
    <w:rsid w:val="005A04DC"/>
    <w:rsid w:val="005A639F"/>
    <w:rsid w:val="005E24D6"/>
    <w:rsid w:val="00645351"/>
    <w:rsid w:val="007303D4"/>
    <w:rsid w:val="007E0A61"/>
    <w:rsid w:val="00911A07"/>
    <w:rsid w:val="00992B5B"/>
    <w:rsid w:val="00A7610E"/>
    <w:rsid w:val="00AC3F46"/>
    <w:rsid w:val="00AF6078"/>
    <w:rsid w:val="00B661BC"/>
    <w:rsid w:val="00B96B86"/>
    <w:rsid w:val="00CA4B22"/>
    <w:rsid w:val="00CD7E67"/>
    <w:rsid w:val="00D70F99"/>
    <w:rsid w:val="00DD3F44"/>
    <w:rsid w:val="00E66FF7"/>
    <w:rsid w:val="00ED1FAF"/>
    <w:rsid w:val="00EF77BB"/>
    <w:rsid w:val="00F444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E93E"/>
  <w15:chartTrackingRefBased/>
  <w15:docId w15:val="{30CCD5BC-1238-40DD-9BB7-389B21A1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639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CA4B22"/>
  </w:style>
  <w:style w:type="paragraph" w:styleId="Odsekzoznamu">
    <w:name w:val="List Paragraph"/>
    <w:basedOn w:val="Normlny"/>
    <w:uiPriority w:val="34"/>
    <w:qFormat/>
    <w:rsid w:val="00CA4B22"/>
    <w:pPr>
      <w:ind w:left="720"/>
      <w:contextualSpacing/>
    </w:pPr>
  </w:style>
  <w:style w:type="paragraph" w:customStyle="1" w:styleId="Odsekzoznamu1">
    <w:name w:val="Odsek zoznamu1"/>
    <w:basedOn w:val="Normlny"/>
    <w:rsid w:val="005A04DC"/>
    <w:pPr>
      <w:suppressAutoHyphens/>
      <w:spacing w:after="160" w:line="252" w:lineRule="auto"/>
      <w:ind w:left="720"/>
      <w:contextualSpacing/>
    </w:pPr>
    <w:rPr>
      <w:rFonts w:ascii="Calibri" w:eastAsia="Calibri" w:hAnsi="Calibri" w:cs="Calibri"/>
      <w:color w:val="00000A"/>
    </w:rPr>
  </w:style>
  <w:style w:type="paragraph" w:styleId="Revzia">
    <w:name w:val="Revision"/>
    <w:hidden/>
    <w:uiPriority w:val="99"/>
    <w:semiHidden/>
    <w:rsid w:val="00DD3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026707">
      <w:bodyDiv w:val="1"/>
      <w:marLeft w:val="0"/>
      <w:marRight w:val="0"/>
      <w:marTop w:val="0"/>
      <w:marBottom w:val="0"/>
      <w:divBdr>
        <w:top w:val="none" w:sz="0" w:space="0" w:color="auto"/>
        <w:left w:val="none" w:sz="0" w:space="0" w:color="auto"/>
        <w:bottom w:val="none" w:sz="0" w:space="0" w:color="auto"/>
        <w:right w:val="none" w:sz="0" w:space="0" w:color="auto"/>
      </w:divBdr>
    </w:div>
    <w:div w:id="1765492654">
      <w:bodyDiv w:val="1"/>
      <w:marLeft w:val="0"/>
      <w:marRight w:val="0"/>
      <w:marTop w:val="0"/>
      <w:marBottom w:val="0"/>
      <w:divBdr>
        <w:top w:val="none" w:sz="0" w:space="0" w:color="auto"/>
        <w:left w:val="none" w:sz="0" w:space="0" w:color="auto"/>
        <w:bottom w:val="none" w:sz="0" w:space="0" w:color="auto"/>
        <w:right w:val="none" w:sz="0" w:space="0" w:color="auto"/>
      </w:divBdr>
      <w:divsChild>
        <w:div w:id="709837683">
          <w:marLeft w:val="0"/>
          <w:marRight w:val="0"/>
          <w:marTop w:val="0"/>
          <w:marBottom w:val="0"/>
          <w:divBdr>
            <w:top w:val="none" w:sz="0" w:space="0" w:color="auto"/>
            <w:left w:val="none" w:sz="0" w:space="0" w:color="auto"/>
            <w:bottom w:val="none" w:sz="0" w:space="0" w:color="auto"/>
            <w:right w:val="none" w:sz="0" w:space="0" w:color="auto"/>
          </w:divBdr>
          <w:divsChild>
            <w:div w:id="1837643774">
              <w:marLeft w:val="0"/>
              <w:marRight w:val="0"/>
              <w:marTop w:val="0"/>
              <w:marBottom w:val="0"/>
              <w:divBdr>
                <w:top w:val="none" w:sz="0" w:space="0" w:color="auto"/>
                <w:left w:val="none" w:sz="0" w:space="0" w:color="auto"/>
                <w:bottom w:val="none" w:sz="0" w:space="0" w:color="auto"/>
                <w:right w:val="none" w:sz="0" w:space="0" w:color="auto"/>
              </w:divBdr>
              <w:divsChild>
                <w:div w:id="1273249679">
                  <w:marLeft w:val="0"/>
                  <w:marRight w:val="0"/>
                  <w:marTop w:val="0"/>
                  <w:marBottom w:val="0"/>
                  <w:divBdr>
                    <w:top w:val="none" w:sz="0" w:space="0" w:color="auto"/>
                    <w:left w:val="none" w:sz="0" w:space="0" w:color="auto"/>
                    <w:bottom w:val="none" w:sz="0" w:space="0" w:color="auto"/>
                    <w:right w:val="none" w:sz="0" w:space="0" w:color="auto"/>
                  </w:divBdr>
                </w:div>
                <w:div w:id="1644654101">
                  <w:marLeft w:val="0"/>
                  <w:marRight w:val="0"/>
                  <w:marTop w:val="0"/>
                  <w:marBottom w:val="0"/>
                  <w:divBdr>
                    <w:top w:val="none" w:sz="0" w:space="0" w:color="auto"/>
                    <w:left w:val="none" w:sz="0" w:space="0" w:color="auto"/>
                    <w:bottom w:val="none" w:sz="0" w:space="0" w:color="auto"/>
                    <w:right w:val="none" w:sz="0" w:space="0" w:color="auto"/>
                  </w:divBdr>
                </w:div>
                <w:div w:id="1369330627">
                  <w:marLeft w:val="0"/>
                  <w:marRight w:val="0"/>
                  <w:marTop w:val="0"/>
                  <w:marBottom w:val="0"/>
                  <w:divBdr>
                    <w:top w:val="none" w:sz="0" w:space="0" w:color="auto"/>
                    <w:left w:val="none" w:sz="0" w:space="0" w:color="auto"/>
                    <w:bottom w:val="none" w:sz="0" w:space="0" w:color="auto"/>
                    <w:right w:val="none" w:sz="0" w:space="0" w:color="auto"/>
                  </w:divBdr>
                </w:div>
                <w:div w:id="17506908">
                  <w:marLeft w:val="0"/>
                  <w:marRight w:val="0"/>
                  <w:marTop w:val="0"/>
                  <w:marBottom w:val="0"/>
                  <w:divBdr>
                    <w:top w:val="none" w:sz="0" w:space="0" w:color="auto"/>
                    <w:left w:val="none" w:sz="0" w:space="0" w:color="auto"/>
                    <w:bottom w:val="none" w:sz="0" w:space="0" w:color="auto"/>
                    <w:right w:val="none" w:sz="0" w:space="0" w:color="auto"/>
                  </w:divBdr>
                </w:div>
                <w:div w:id="1113210720">
                  <w:marLeft w:val="0"/>
                  <w:marRight w:val="0"/>
                  <w:marTop w:val="0"/>
                  <w:marBottom w:val="0"/>
                  <w:divBdr>
                    <w:top w:val="none" w:sz="0" w:space="0" w:color="auto"/>
                    <w:left w:val="none" w:sz="0" w:space="0" w:color="auto"/>
                    <w:bottom w:val="none" w:sz="0" w:space="0" w:color="auto"/>
                    <w:right w:val="none" w:sz="0" w:space="0" w:color="auto"/>
                  </w:divBdr>
                </w:div>
                <w:div w:id="1347174754">
                  <w:marLeft w:val="0"/>
                  <w:marRight w:val="0"/>
                  <w:marTop w:val="0"/>
                  <w:marBottom w:val="0"/>
                  <w:divBdr>
                    <w:top w:val="none" w:sz="0" w:space="0" w:color="auto"/>
                    <w:left w:val="none" w:sz="0" w:space="0" w:color="auto"/>
                    <w:bottom w:val="none" w:sz="0" w:space="0" w:color="auto"/>
                    <w:right w:val="none" w:sz="0" w:space="0" w:color="auto"/>
                  </w:divBdr>
                </w:div>
                <w:div w:id="1750426707">
                  <w:marLeft w:val="0"/>
                  <w:marRight w:val="0"/>
                  <w:marTop w:val="0"/>
                  <w:marBottom w:val="0"/>
                  <w:divBdr>
                    <w:top w:val="none" w:sz="0" w:space="0" w:color="auto"/>
                    <w:left w:val="none" w:sz="0" w:space="0" w:color="auto"/>
                    <w:bottom w:val="none" w:sz="0" w:space="0" w:color="auto"/>
                    <w:right w:val="none" w:sz="0" w:space="0" w:color="auto"/>
                  </w:divBdr>
                </w:div>
                <w:div w:id="16535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8776">
          <w:marLeft w:val="0"/>
          <w:marRight w:val="0"/>
          <w:marTop w:val="0"/>
          <w:marBottom w:val="0"/>
          <w:divBdr>
            <w:top w:val="none" w:sz="0" w:space="0" w:color="auto"/>
            <w:left w:val="none" w:sz="0" w:space="0" w:color="auto"/>
            <w:bottom w:val="none" w:sz="0" w:space="0" w:color="auto"/>
            <w:right w:val="none" w:sz="0" w:space="0" w:color="auto"/>
          </w:divBdr>
          <w:divsChild>
            <w:div w:id="655770580">
              <w:marLeft w:val="0"/>
              <w:marRight w:val="0"/>
              <w:marTop w:val="0"/>
              <w:marBottom w:val="0"/>
              <w:divBdr>
                <w:top w:val="none" w:sz="0" w:space="0" w:color="auto"/>
                <w:left w:val="none" w:sz="0" w:space="0" w:color="auto"/>
                <w:bottom w:val="none" w:sz="0" w:space="0" w:color="auto"/>
                <w:right w:val="none" w:sz="0" w:space="0" w:color="auto"/>
              </w:divBdr>
              <w:divsChild>
                <w:div w:id="1020663552">
                  <w:marLeft w:val="0"/>
                  <w:marRight w:val="0"/>
                  <w:marTop w:val="0"/>
                  <w:marBottom w:val="0"/>
                  <w:divBdr>
                    <w:top w:val="none" w:sz="0" w:space="0" w:color="auto"/>
                    <w:left w:val="none" w:sz="0" w:space="0" w:color="auto"/>
                    <w:bottom w:val="none" w:sz="0" w:space="0" w:color="auto"/>
                    <w:right w:val="none" w:sz="0" w:space="0" w:color="auto"/>
                  </w:divBdr>
                </w:div>
                <w:div w:id="1806657212">
                  <w:marLeft w:val="0"/>
                  <w:marRight w:val="0"/>
                  <w:marTop w:val="0"/>
                  <w:marBottom w:val="0"/>
                  <w:divBdr>
                    <w:top w:val="none" w:sz="0" w:space="0" w:color="auto"/>
                    <w:left w:val="none" w:sz="0" w:space="0" w:color="auto"/>
                    <w:bottom w:val="none" w:sz="0" w:space="0" w:color="auto"/>
                    <w:right w:val="none" w:sz="0" w:space="0" w:color="auto"/>
                  </w:divBdr>
                </w:div>
                <w:div w:id="1821119969">
                  <w:marLeft w:val="0"/>
                  <w:marRight w:val="0"/>
                  <w:marTop w:val="0"/>
                  <w:marBottom w:val="0"/>
                  <w:divBdr>
                    <w:top w:val="none" w:sz="0" w:space="0" w:color="auto"/>
                    <w:left w:val="none" w:sz="0" w:space="0" w:color="auto"/>
                    <w:bottom w:val="none" w:sz="0" w:space="0" w:color="auto"/>
                    <w:right w:val="none" w:sz="0" w:space="0" w:color="auto"/>
                  </w:divBdr>
                </w:div>
                <w:div w:id="1858077385">
                  <w:marLeft w:val="0"/>
                  <w:marRight w:val="0"/>
                  <w:marTop w:val="0"/>
                  <w:marBottom w:val="0"/>
                  <w:divBdr>
                    <w:top w:val="none" w:sz="0" w:space="0" w:color="auto"/>
                    <w:left w:val="none" w:sz="0" w:space="0" w:color="auto"/>
                    <w:bottom w:val="none" w:sz="0" w:space="0" w:color="auto"/>
                    <w:right w:val="none" w:sz="0" w:space="0" w:color="auto"/>
                  </w:divBdr>
                </w:div>
                <w:div w:id="1733581340">
                  <w:marLeft w:val="0"/>
                  <w:marRight w:val="0"/>
                  <w:marTop w:val="0"/>
                  <w:marBottom w:val="0"/>
                  <w:divBdr>
                    <w:top w:val="none" w:sz="0" w:space="0" w:color="auto"/>
                    <w:left w:val="none" w:sz="0" w:space="0" w:color="auto"/>
                    <w:bottom w:val="none" w:sz="0" w:space="0" w:color="auto"/>
                    <w:right w:val="none" w:sz="0" w:space="0" w:color="auto"/>
                  </w:divBdr>
                </w:div>
                <w:div w:id="13189578">
                  <w:marLeft w:val="0"/>
                  <w:marRight w:val="0"/>
                  <w:marTop w:val="0"/>
                  <w:marBottom w:val="0"/>
                  <w:divBdr>
                    <w:top w:val="none" w:sz="0" w:space="0" w:color="auto"/>
                    <w:left w:val="none" w:sz="0" w:space="0" w:color="auto"/>
                    <w:bottom w:val="none" w:sz="0" w:space="0" w:color="auto"/>
                    <w:right w:val="none" w:sz="0" w:space="0" w:color="auto"/>
                  </w:divBdr>
                </w:div>
                <w:div w:id="113015359">
                  <w:marLeft w:val="0"/>
                  <w:marRight w:val="0"/>
                  <w:marTop w:val="0"/>
                  <w:marBottom w:val="0"/>
                  <w:divBdr>
                    <w:top w:val="none" w:sz="0" w:space="0" w:color="auto"/>
                    <w:left w:val="none" w:sz="0" w:space="0" w:color="auto"/>
                    <w:bottom w:val="none" w:sz="0" w:space="0" w:color="auto"/>
                    <w:right w:val="none" w:sz="0" w:space="0" w:color="auto"/>
                  </w:divBdr>
                </w:div>
                <w:div w:id="1555002925">
                  <w:marLeft w:val="0"/>
                  <w:marRight w:val="0"/>
                  <w:marTop w:val="0"/>
                  <w:marBottom w:val="0"/>
                  <w:divBdr>
                    <w:top w:val="none" w:sz="0" w:space="0" w:color="auto"/>
                    <w:left w:val="none" w:sz="0" w:space="0" w:color="auto"/>
                    <w:bottom w:val="none" w:sz="0" w:space="0" w:color="auto"/>
                    <w:right w:val="none" w:sz="0" w:space="0" w:color="auto"/>
                  </w:divBdr>
                </w:div>
                <w:div w:id="1250115225">
                  <w:marLeft w:val="0"/>
                  <w:marRight w:val="0"/>
                  <w:marTop w:val="0"/>
                  <w:marBottom w:val="0"/>
                  <w:divBdr>
                    <w:top w:val="none" w:sz="0" w:space="0" w:color="auto"/>
                    <w:left w:val="none" w:sz="0" w:space="0" w:color="auto"/>
                    <w:bottom w:val="none" w:sz="0" w:space="0" w:color="auto"/>
                    <w:right w:val="none" w:sz="0" w:space="0" w:color="auto"/>
                  </w:divBdr>
                </w:div>
                <w:div w:id="409616707">
                  <w:marLeft w:val="0"/>
                  <w:marRight w:val="0"/>
                  <w:marTop w:val="0"/>
                  <w:marBottom w:val="0"/>
                  <w:divBdr>
                    <w:top w:val="none" w:sz="0" w:space="0" w:color="auto"/>
                    <w:left w:val="none" w:sz="0" w:space="0" w:color="auto"/>
                    <w:bottom w:val="none" w:sz="0" w:space="0" w:color="auto"/>
                    <w:right w:val="none" w:sz="0" w:space="0" w:color="auto"/>
                  </w:divBdr>
                </w:div>
                <w:div w:id="1319115360">
                  <w:marLeft w:val="0"/>
                  <w:marRight w:val="0"/>
                  <w:marTop w:val="0"/>
                  <w:marBottom w:val="0"/>
                  <w:divBdr>
                    <w:top w:val="none" w:sz="0" w:space="0" w:color="auto"/>
                    <w:left w:val="none" w:sz="0" w:space="0" w:color="auto"/>
                    <w:bottom w:val="none" w:sz="0" w:space="0" w:color="auto"/>
                    <w:right w:val="none" w:sz="0" w:space="0" w:color="auto"/>
                  </w:divBdr>
                </w:div>
                <w:div w:id="1586260399">
                  <w:marLeft w:val="0"/>
                  <w:marRight w:val="0"/>
                  <w:marTop w:val="0"/>
                  <w:marBottom w:val="0"/>
                  <w:divBdr>
                    <w:top w:val="none" w:sz="0" w:space="0" w:color="auto"/>
                    <w:left w:val="none" w:sz="0" w:space="0" w:color="auto"/>
                    <w:bottom w:val="none" w:sz="0" w:space="0" w:color="auto"/>
                    <w:right w:val="none" w:sz="0" w:space="0" w:color="auto"/>
                  </w:divBdr>
                </w:div>
                <w:div w:id="2125155053">
                  <w:marLeft w:val="0"/>
                  <w:marRight w:val="0"/>
                  <w:marTop w:val="0"/>
                  <w:marBottom w:val="0"/>
                  <w:divBdr>
                    <w:top w:val="none" w:sz="0" w:space="0" w:color="auto"/>
                    <w:left w:val="none" w:sz="0" w:space="0" w:color="auto"/>
                    <w:bottom w:val="none" w:sz="0" w:space="0" w:color="auto"/>
                    <w:right w:val="none" w:sz="0" w:space="0" w:color="auto"/>
                  </w:divBdr>
                </w:div>
                <w:div w:id="282854673">
                  <w:marLeft w:val="0"/>
                  <w:marRight w:val="0"/>
                  <w:marTop w:val="0"/>
                  <w:marBottom w:val="0"/>
                  <w:divBdr>
                    <w:top w:val="none" w:sz="0" w:space="0" w:color="auto"/>
                    <w:left w:val="none" w:sz="0" w:space="0" w:color="auto"/>
                    <w:bottom w:val="none" w:sz="0" w:space="0" w:color="auto"/>
                    <w:right w:val="none" w:sz="0" w:space="0" w:color="auto"/>
                  </w:divBdr>
                </w:div>
                <w:div w:id="1454444458">
                  <w:marLeft w:val="0"/>
                  <w:marRight w:val="0"/>
                  <w:marTop w:val="0"/>
                  <w:marBottom w:val="0"/>
                  <w:divBdr>
                    <w:top w:val="none" w:sz="0" w:space="0" w:color="auto"/>
                    <w:left w:val="none" w:sz="0" w:space="0" w:color="auto"/>
                    <w:bottom w:val="none" w:sz="0" w:space="0" w:color="auto"/>
                    <w:right w:val="none" w:sz="0" w:space="0" w:color="auto"/>
                  </w:divBdr>
                </w:div>
                <w:div w:id="40323357">
                  <w:marLeft w:val="0"/>
                  <w:marRight w:val="0"/>
                  <w:marTop w:val="0"/>
                  <w:marBottom w:val="0"/>
                  <w:divBdr>
                    <w:top w:val="none" w:sz="0" w:space="0" w:color="auto"/>
                    <w:left w:val="none" w:sz="0" w:space="0" w:color="auto"/>
                    <w:bottom w:val="none" w:sz="0" w:space="0" w:color="auto"/>
                    <w:right w:val="none" w:sz="0" w:space="0" w:color="auto"/>
                  </w:divBdr>
                </w:div>
                <w:div w:id="1818062908">
                  <w:marLeft w:val="0"/>
                  <w:marRight w:val="0"/>
                  <w:marTop w:val="0"/>
                  <w:marBottom w:val="0"/>
                  <w:divBdr>
                    <w:top w:val="none" w:sz="0" w:space="0" w:color="auto"/>
                    <w:left w:val="none" w:sz="0" w:space="0" w:color="auto"/>
                    <w:bottom w:val="none" w:sz="0" w:space="0" w:color="auto"/>
                    <w:right w:val="none" w:sz="0" w:space="0" w:color="auto"/>
                  </w:divBdr>
                </w:div>
                <w:div w:id="1691570448">
                  <w:marLeft w:val="0"/>
                  <w:marRight w:val="0"/>
                  <w:marTop w:val="0"/>
                  <w:marBottom w:val="0"/>
                  <w:divBdr>
                    <w:top w:val="none" w:sz="0" w:space="0" w:color="auto"/>
                    <w:left w:val="none" w:sz="0" w:space="0" w:color="auto"/>
                    <w:bottom w:val="none" w:sz="0" w:space="0" w:color="auto"/>
                    <w:right w:val="none" w:sz="0" w:space="0" w:color="auto"/>
                  </w:divBdr>
                </w:div>
                <w:div w:id="18458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98311">
          <w:marLeft w:val="0"/>
          <w:marRight w:val="0"/>
          <w:marTop w:val="0"/>
          <w:marBottom w:val="0"/>
          <w:divBdr>
            <w:top w:val="none" w:sz="0" w:space="0" w:color="auto"/>
            <w:left w:val="none" w:sz="0" w:space="0" w:color="auto"/>
            <w:bottom w:val="none" w:sz="0" w:space="0" w:color="auto"/>
            <w:right w:val="none" w:sz="0" w:space="0" w:color="auto"/>
          </w:divBdr>
          <w:divsChild>
            <w:div w:id="2118870083">
              <w:marLeft w:val="0"/>
              <w:marRight w:val="0"/>
              <w:marTop w:val="0"/>
              <w:marBottom w:val="0"/>
              <w:divBdr>
                <w:top w:val="none" w:sz="0" w:space="0" w:color="auto"/>
                <w:left w:val="none" w:sz="0" w:space="0" w:color="auto"/>
                <w:bottom w:val="none" w:sz="0" w:space="0" w:color="auto"/>
                <w:right w:val="none" w:sz="0" w:space="0" w:color="auto"/>
              </w:divBdr>
              <w:divsChild>
                <w:div w:id="915557463">
                  <w:marLeft w:val="0"/>
                  <w:marRight w:val="0"/>
                  <w:marTop w:val="0"/>
                  <w:marBottom w:val="0"/>
                  <w:divBdr>
                    <w:top w:val="none" w:sz="0" w:space="0" w:color="auto"/>
                    <w:left w:val="none" w:sz="0" w:space="0" w:color="auto"/>
                    <w:bottom w:val="none" w:sz="0" w:space="0" w:color="auto"/>
                    <w:right w:val="none" w:sz="0" w:space="0" w:color="auto"/>
                  </w:divBdr>
                </w:div>
                <w:div w:id="1276474732">
                  <w:marLeft w:val="0"/>
                  <w:marRight w:val="0"/>
                  <w:marTop w:val="0"/>
                  <w:marBottom w:val="0"/>
                  <w:divBdr>
                    <w:top w:val="none" w:sz="0" w:space="0" w:color="auto"/>
                    <w:left w:val="none" w:sz="0" w:space="0" w:color="auto"/>
                    <w:bottom w:val="none" w:sz="0" w:space="0" w:color="auto"/>
                    <w:right w:val="none" w:sz="0" w:space="0" w:color="auto"/>
                  </w:divBdr>
                </w:div>
                <w:div w:id="1480803997">
                  <w:marLeft w:val="0"/>
                  <w:marRight w:val="0"/>
                  <w:marTop w:val="0"/>
                  <w:marBottom w:val="0"/>
                  <w:divBdr>
                    <w:top w:val="none" w:sz="0" w:space="0" w:color="auto"/>
                    <w:left w:val="none" w:sz="0" w:space="0" w:color="auto"/>
                    <w:bottom w:val="none" w:sz="0" w:space="0" w:color="auto"/>
                    <w:right w:val="none" w:sz="0" w:space="0" w:color="auto"/>
                  </w:divBdr>
                </w:div>
                <w:div w:id="351809061">
                  <w:marLeft w:val="0"/>
                  <w:marRight w:val="0"/>
                  <w:marTop w:val="0"/>
                  <w:marBottom w:val="0"/>
                  <w:divBdr>
                    <w:top w:val="none" w:sz="0" w:space="0" w:color="auto"/>
                    <w:left w:val="none" w:sz="0" w:space="0" w:color="auto"/>
                    <w:bottom w:val="none" w:sz="0" w:space="0" w:color="auto"/>
                    <w:right w:val="none" w:sz="0" w:space="0" w:color="auto"/>
                  </w:divBdr>
                </w:div>
                <w:div w:id="1602570676">
                  <w:marLeft w:val="0"/>
                  <w:marRight w:val="0"/>
                  <w:marTop w:val="0"/>
                  <w:marBottom w:val="0"/>
                  <w:divBdr>
                    <w:top w:val="none" w:sz="0" w:space="0" w:color="auto"/>
                    <w:left w:val="none" w:sz="0" w:space="0" w:color="auto"/>
                    <w:bottom w:val="none" w:sz="0" w:space="0" w:color="auto"/>
                    <w:right w:val="none" w:sz="0" w:space="0" w:color="auto"/>
                  </w:divBdr>
                </w:div>
                <w:div w:id="157843365">
                  <w:marLeft w:val="0"/>
                  <w:marRight w:val="0"/>
                  <w:marTop w:val="0"/>
                  <w:marBottom w:val="0"/>
                  <w:divBdr>
                    <w:top w:val="none" w:sz="0" w:space="0" w:color="auto"/>
                    <w:left w:val="none" w:sz="0" w:space="0" w:color="auto"/>
                    <w:bottom w:val="none" w:sz="0" w:space="0" w:color="auto"/>
                    <w:right w:val="none" w:sz="0" w:space="0" w:color="auto"/>
                  </w:divBdr>
                </w:div>
                <w:div w:id="192035454">
                  <w:marLeft w:val="0"/>
                  <w:marRight w:val="0"/>
                  <w:marTop w:val="0"/>
                  <w:marBottom w:val="0"/>
                  <w:divBdr>
                    <w:top w:val="none" w:sz="0" w:space="0" w:color="auto"/>
                    <w:left w:val="none" w:sz="0" w:space="0" w:color="auto"/>
                    <w:bottom w:val="none" w:sz="0" w:space="0" w:color="auto"/>
                    <w:right w:val="none" w:sz="0" w:space="0" w:color="auto"/>
                  </w:divBdr>
                </w:div>
                <w:div w:id="2096903336">
                  <w:marLeft w:val="0"/>
                  <w:marRight w:val="0"/>
                  <w:marTop w:val="0"/>
                  <w:marBottom w:val="0"/>
                  <w:divBdr>
                    <w:top w:val="none" w:sz="0" w:space="0" w:color="auto"/>
                    <w:left w:val="none" w:sz="0" w:space="0" w:color="auto"/>
                    <w:bottom w:val="none" w:sz="0" w:space="0" w:color="auto"/>
                    <w:right w:val="none" w:sz="0" w:space="0" w:color="auto"/>
                  </w:divBdr>
                </w:div>
                <w:div w:id="4348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8021-C3CA-4323-8734-B0DA5BC8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1082</Words>
  <Characters>6173</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Dominika Basaryova</cp:lastModifiedBy>
  <cp:revision>2</cp:revision>
  <dcterms:created xsi:type="dcterms:W3CDTF">2022-08-23T13:11:00Z</dcterms:created>
  <dcterms:modified xsi:type="dcterms:W3CDTF">2022-08-26T07:36:00Z</dcterms:modified>
</cp:coreProperties>
</file>