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898F0" w14:textId="22713B84" w:rsidR="00FE67F3" w:rsidRDefault="00FE67F3" w:rsidP="00FE67F3">
      <w:pPr>
        <w:spacing w:after="0" w:line="240" w:lineRule="auto"/>
        <w:jc w:val="center"/>
        <w:rPr>
          <w:rFonts w:eastAsia="Times New Roman"/>
          <w:b/>
          <w:bCs/>
          <w:color w:val="000000"/>
          <w:sz w:val="23"/>
          <w:szCs w:val="23"/>
          <w:lang w:eastAsia="sk-SK"/>
        </w:rPr>
      </w:pPr>
      <w:r w:rsidRPr="001D7269">
        <w:rPr>
          <w:rFonts w:eastAsia="Times New Roman"/>
          <w:b/>
          <w:bCs/>
          <w:color w:val="000000"/>
          <w:sz w:val="23"/>
          <w:szCs w:val="23"/>
          <w:lang w:eastAsia="sk-SK"/>
        </w:rPr>
        <w:t>D ô v o d o v á   s p r á v</w:t>
      </w:r>
      <w:r w:rsidR="00533F2E">
        <w:rPr>
          <w:rFonts w:eastAsia="Times New Roman"/>
          <w:b/>
          <w:bCs/>
          <w:color w:val="000000"/>
          <w:sz w:val="23"/>
          <w:szCs w:val="23"/>
          <w:lang w:eastAsia="sk-SK"/>
        </w:rPr>
        <w:t> </w:t>
      </w:r>
      <w:r w:rsidRPr="001D7269">
        <w:rPr>
          <w:rFonts w:eastAsia="Times New Roman"/>
          <w:b/>
          <w:bCs/>
          <w:color w:val="000000"/>
          <w:sz w:val="23"/>
          <w:szCs w:val="23"/>
          <w:lang w:eastAsia="sk-SK"/>
        </w:rPr>
        <w:t>a</w:t>
      </w:r>
    </w:p>
    <w:p w14:paraId="6AA7FA00" w14:textId="77777777" w:rsidR="00533F2E" w:rsidRPr="001D7269" w:rsidRDefault="00533F2E" w:rsidP="00FE67F3">
      <w:pPr>
        <w:spacing w:after="0" w:line="240" w:lineRule="auto"/>
        <w:jc w:val="center"/>
        <w:rPr>
          <w:rFonts w:eastAsia="Times New Roman"/>
          <w:b/>
          <w:bCs/>
          <w:color w:val="000000"/>
          <w:sz w:val="23"/>
          <w:szCs w:val="23"/>
          <w:lang w:eastAsia="sk-SK"/>
        </w:rPr>
      </w:pPr>
    </w:p>
    <w:p w14:paraId="70400308" w14:textId="5774AACB" w:rsidR="00FE67F3" w:rsidRPr="001D7269" w:rsidRDefault="00FE67F3" w:rsidP="00E52D7A">
      <w:pPr>
        <w:spacing w:before="240" w:after="12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  <w:r w:rsidRPr="001D7269">
        <w:rPr>
          <w:rFonts w:eastAsia="Times New Roman"/>
          <w:b/>
          <w:bCs/>
          <w:color w:val="000000"/>
          <w:sz w:val="23"/>
          <w:szCs w:val="23"/>
          <w:lang w:eastAsia="sk-SK"/>
        </w:rPr>
        <w:t>A. Všeobecná časť</w:t>
      </w:r>
    </w:p>
    <w:p w14:paraId="62C12D8F" w14:textId="441B2B44" w:rsidR="00FE67F3" w:rsidRPr="00887007" w:rsidRDefault="00FE67F3" w:rsidP="00994269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eastAsia="Times New Roman"/>
          <w:color w:val="222222"/>
          <w:lang w:eastAsia="sk-SK"/>
        </w:rPr>
      </w:pPr>
      <w:r w:rsidRPr="00887007">
        <w:rPr>
          <w:rFonts w:eastAsia="Times New Roman"/>
          <w:color w:val="000000"/>
          <w:lang w:eastAsia="sk-SK"/>
        </w:rPr>
        <w:t xml:space="preserve">Návrh zákona, </w:t>
      </w:r>
      <w:r w:rsidR="00F95456" w:rsidRPr="00887007">
        <w:rPr>
          <w:color w:val="000000"/>
          <w:shd w:val="clear" w:color="auto" w:fill="FFFFFF"/>
        </w:rPr>
        <w:t>ktorým sa mení zákon č. 414/2012 Z. z. o obchodovaní s emisnými kvótami a o zmene a doplnení niektorých zákonov v znení neskorších predpisov</w:t>
      </w:r>
      <w:r w:rsidR="00F95456" w:rsidRPr="00887007">
        <w:rPr>
          <w:rFonts w:eastAsia="Times New Roman"/>
          <w:color w:val="222222"/>
          <w:lang w:eastAsia="sk-SK"/>
        </w:rPr>
        <w:t xml:space="preserve"> </w:t>
      </w:r>
      <w:r w:rsidRPr="00887007">
        <w:rPr>
          <w:rFonts w:eastAsia="Times New Roman"/>
          <w:color w:val="000000"/>
          <w:lang w:eastAsia="sk-SK"/>
        </w:rPr>
        <w:t>predklad</w:t>
      </w:r>
      <w:r w:rsidR="009A4576" w:rsidRPr="00887007">
        <w:rPr>
          <w:rFonts w:eastAsia="Times New Roman"/>
          <w:color w:val="000000"/>
          <w:lang w:eastAsia="sk-SK"/>
        </w:rPr>
        <w:t xml:space="preserve">ajú </w:t>
      </w:r>
      <w:r w:rsidRPr="00887007">
        <w:rPr>
          <w:rFonts w:eastAsia="Times New Roman"/>
          <w:color w:val="000000"/>
          <w:lang w:eastAsia="sk-SK"/>
        </w:rPr>
        <w:t>na rokovanie Národnej rady Slovenskej republiky poslanci Národnej rady Slovenskej republiky</w:t>
      </w:r>
      <w:r w:rsidR="007E7389" w:rsidRPr="00887007">
        <w:rPr>
          <w:rFonts w:eastAsia="Times New Roman"/>
          <w:color w:val="000000"/>
          <w:lang w:eastAsia="sk-SK"/>
        </w:rPr>
        <w:t xml:space="preserve"> </w:t>
      </w:r>
      <w:r w:rsidR="00F95456" w:rsidRPr="00887007">
        <w:rPr>
          <w:rFonts w:eastAsia="Times New Roman"/>
          <w:color w:val="000000"/>
          <w:lang w:eastAsia="sk-SK"/>
        </w:rPr>
        <w:t>Anna Zemanová</w:t>
      </w:r>
      <w:r w:rsidR="00C61A3B" w:rsidRPr="00887007">
        <w:rPr>
          <w:rFonts w:eastAsia="Times New Roman"/>
          <w:color w:val="000000"/>
          <w:lang w:eastAsia="sk-SK"/>
        </w:rPr>
        <w:t xml:space="preserve"> a Marián Viskupič.</w:t>
      </w:r>
    </w:p>
    <w:p w14:paraId="23DF9264" w14:textId="77777777" w:rsidR="00E52D7A" w:rsidRPr="00887007" w:rsidRDefault="00E52D7A" w:rsidP="00994269">
      <w:pPr>
        <w:spacing w:after="0" w:line="240" w:lineRule="auto"/>
        <w:ind w:firstLine="567"/>
        <w:jc w:val="both"/>
        <w:rPr>
          <w:rFonts w:eastAsia="Times New Roman"/>
          <w:lang w:eastAsia="sk-SK"/>
        </w:rPr>
      </w:pPr>
    </w:p>
    <w:p w14:paraId="45635A65" w14:textId="7AFF4277" w:rsidR="00D16002" w:rsidRPr="00887007" w:rsidRDefault="00FE67F3" w:rsidP="00994269">
      <w:pPr>
        <w:spacing w:after="0" w:line="240" w:lineRule="auto"/>
        <w:ind w:firstLine="708"/>
        <w:jc w:val="both"/>
        <w:rPr>
          <w:b/>
          <w:bCs/>
          <w:shd w:val="clear" w:color="auto" w:fill="FFFFFF"/>
        </w:rPr>
      </w:pPr>
      <w:r w:rsidRPr="00887007">
        <w:rPr>
          <w:rFonts w:eastAsia="Times New Roman"/>
          <w:b/>
          <w:bCs/>
          <w:lang w:eastAsia="sk-SK"/>
        </w:rPr>
        <w:t>Cieľom predlož</w:t>
      </w:r>
      <w:r w:rsidR="006D7CAE" w:rsidRPr="00887007">
        <w:rPr>
          <w:rFonts w:eastAsia="Times New Roman"/>
          <w:b/>
          <w:bCs/>
          <w:lang w:eastAsia="sk-SK"/>
        </w:rPr>
        <w:t xml:space="preserve">eného návrhu zákona je zvýšiť výšku </w:t>
      </w:r>
      <w:r w:rsidR="006D7CAE" w:rsidRPr="00887007">
        <w:rPr>
          <w:b/>
          <w:bCs/>
          <w:shd w:val="clear" w:color="auto" w:fill="FFFFFF"/>
        </w:rPr>
        <w:t xml:space="preserve">použiteľného výnosu z dražieb kvót </w:t>
      </w:r>
      <w:r w:rsidR="00897620" w:rsidRPr="00887007">
        <w:rPr>
          <w:b/>
          <w:bCs/>
          <w:shd w:val="clear" w:color="auto" w:fill="FFFFFF"/>
        </w:rPr>
        <w:t>zo súčasných 3</w:t>
      </w:r>
      <w:r w:rsidR="006D7CAE" w:rsidRPr="00887007">
        <w:rPr>
          <w:b/>
          <w:bCs/>
          <w:shd w:val="clear" w:color="auto" w:fill="FFFFFF"/>
        </w:rPr>
        <w:t>0 % ročného výnosu z dražieb kvót</w:t>
      </w:r>
      <w:r w:rsidR="00897620" w:rsidRPr="00887007">
        <w:rPr>
          <w:b/>
          <w:bCs/>
          <w:shd w:val="clear" w:color="auto" w:fill="FFFFFF"/>
        </w:rPr>
        <w:t xml:space="preserve"> na 70%. </w:t>
      </w:r>
      <w:r w:rsidR="006D7CAE" w:rsidRPr="00887007">
        <w:rPr>
          <w:rFonts w:eastAsia="Times New Roman"/>
          <w:b/>
          <w:bCs/>
          <w:lang w:eastAsia="sk-SK"/>
        </w:rPr>
        <w:t xml:space="preserve"> </w:t>
      </w:r>
      <w:r w:rsidR="00897620" w:rsidRPr="00887007">
        <w:rPr>
          <w:rFonts w:eastAsia="Times New Roman"/>
          <w:b/>
          <w:bCs/>
          <w:lang w:eastAsia="sk-SK"/>
        </w:rPr>
        <w:t xml:space="preserve">Zároveň sa vypúšťa oprávnenie </w:t>
      </w:r>
      <w:r w:rsidR="00897620" w:rsidRPr="00887007">
        <w:rPr>
          <w:b/>
          <w:bCs/>
          <w:shd w:val="clear" w:color="auto" w:fill="FFFFFF"/>
        </w:rPr>
        <w:t xml:space="preserve">Ministerstva životného prostredia Slovenskej republiky </w:t>
      </w:r>
      <w:r w:rsidR="00D17CB3" w:rsidRPr="00887007">
        <w:rPr>
          <w:b/>
          <w:bCs/>
          <w:shd w:val="clear" w:color="auto" w:fill="FFFFFF"/>
        </w:rPr>
        <w:t>(ďalej len ministerstvo</w:t>
      </w:r>
      <w:r w:rsidR="00222E2A" w:rsidRPr="00887007">
        <w:rPr>
          <w:b/>
          <w:bCs/>
          <w:shd w:val="clear" w:color="auto" w:fill="FFFFFF"/>
        </w:rPr>
        <w:t xml:space="preserve"> životného prostredia</w:t>
      </w:r>
      <w:r w:rsidR="00D17CB3" w:rsidRPr="00887007">
        <w:rPr>
          <w:b/>
          <w:bCs/>
          <w:shd w:val="clear" w:color="auto" w:fill="FFFFFF"/>
        </w:rPr>
        <w:t xml:space="preserve">“) </w:t>
      </w:r>
      <w:r w:rsidR="00897620" w:rsidRPr="00887007">
        <w:rPr>
          <w:b/>
          <w:bCs/>
          <w:shd w:val="clear" w:color="auto" w:fill="FFFFFF"/>
        </w:rPr>
        <w:t xml:space="preserve">meniť výšku percentuálnej distribúcie použiteľného výnosu z dražieb kvót na </w:t>
      </w:r>
      <w:r w:rsidR="005A411D" w:rsidRPr="00887007">
        <w:rPr>
          <w:b/>
          <w:bCs/>
          <w:shd w:val="clear" w:color="auto" w:fill="FFFFFF"/>
        </w:rPr>
        <w:t xml:space="preserve">zákonom stanovené </w:t>
      </w:r>
      <w:r w:rsidR="00897620" w:rsidRPr="00887007">
        <w:rPr>
          <w:b/>
          <w:bCs/>
          <w:shd w:val="clear" w:color="auto" w:fill="FFFFFF"/>
        </w:rPr>
        <w:t>účely</w:t>
      </w:r>
      <w:r w:rsidR="00F567AF">
        <w:rPr>
          <w:b/>
          <w:bCs/>
          <w:shd w:val="clear" w:color="auto" w:fill="FFFFFF"/>
        </w:rPr>
        <w:t>.</w:t>
      </w:r>
    </w:p>
    <w:p w14:paraId="114311BA" w14:textId="77777777" w:rsidR="005A411D" w:rsidRPr="00887007" w:rsidRDefault="005A411D" w:rsidP="00994269">
      <w:pPr>
        <w:spacing w:after="0" w:line="240" w:lineRule="auto"/>
        <w:ind w:firstLine="708"/>
        <w:jc w:val="both"/>
        <w:rPr>
          <w:rFonts w:eastAsia="Times New Roman"/>
          <w:b/>
          <w:bCs/>
          <w:lang w:eastAsia="sk-SK"/>
        </w:rPr>
      </w:pPr>
    </w:p>
    <w:p w14:paraId="72475293" w14:textId="6BEA1F2D" w:rsidR="00D860BE" w:rsidRDefault="007E0273" w:rsidP="00D860BE">
      <w:pPr>
        <w:spacing w:after="0" w:line="240" w:lineRule="auto"/>
        <w:ind w:firstLine="708"/>
        <w:jc w:val="both"/>
        <w:rPr>
          <w:shd w:val="clear" w:color="auto" w:fill="FFFFFF"/>
        </w:rPr>
      </w:pPr>
      <w:r w:rsidRPr="00887007">
        <w:rPr>
          <w:shd w:val="clear" w:color="auto" w:fill="FFFFFF"/>
        </w:rPr>
        <w:t>Podľa súčasného nastavenia zákonnej úpravy v</w:t>
      </w:r>
      <w:r w:rsidR="005A411D" w:rsidRPr="00887007">
        <w:rPr>
          <w:shd w:val="clear" w:color="auto" w:fill="FFFFFF"/>
        </w:rPr>
        <w:t xml:space="preserve">ýška použiteľného výnosu z dražieb kvót na </w:t>
      </w:r>
      <w:r w:rsidRPr="00887007">
        <w:rPr>
          <w:shd w:val="clear" w:color="auto" w:fill="FFFFFF"/>
        </w:rPr>
        <w:t xml:space="preserve">zákonom stanovené účely </w:t>
      </w:r>
      <w:r w:rsidR="005A411D" w:rsidRPr="00887007">
        <w:rPr>
          <w:shd w:val="clear" w:color="auto" w:fill="FFFFFF"/>
        </w:rPr>
        <w:t xml:space="preserve">sa určí na základe dohody </w:t>
      </w:r>
      <w:r w:rsidR="00F567AF">
        <w:rPr>
          <w:shd w:val="clear" w:color="auto" w:fill="FFFFFF"/>
        </w:rPr>
        <w:t>M</w:t>
      </w:r>
      <w:r w:rsidR="005A411D" w:rsidRPr="00887007">
        <w:rPr>
          <w:shd w:val="clear" w:color="auto" w:fill="FFFFFF"/>
        </w:rPr>
        <w:t xml:space="preserve">inisterstva </w:t>
      </w:r>
      <w:r w:rsidR="00222E2A" w:rsidRPr="00887007">
        <w:rPr>
          <w:shd w:val="clear" w:color="auto" w:fill="FFFFFF"/>
        </w:rPr>
        <w:t>životného prostredia</w:t>
      </w:r>
      <w:r w:rsidR="00F567AF">
        <w:rPr>
          <w:shd w:val="clear" w:color="auto" w:fill="FFFFFF"/>
        </w:rPr>
        <w:t xml:space="preserve"> SR</w:t>
      </w:r>
      <w:r w:rsidR="00222E2A" w:rsidRPr="00887007">
        <w:rPr>
          <w:shd w:val="clear" w:color="auto" w:fill="FFFFFF"/>
        </w:rPr>
        <w:t xml:space="preserve"> </w:t>
      </w:r>
      <w:r w:rsidR="005A411D" w:rsidRPr="00887007">
        <w:rPr>
          <w:shd w:val="clear" w:color="auto" w:fill="FFFFFF"/>
        </w:rPr>
        <w:t>a Ministerstva financií S</w:t>
      </w:r>
      <w:r w:rsidR="00F567AF">
        <w:rPr>
          <w:shd w:val="clear" w:color="auto" w:fill="FFFFFF"/>
        </w:rPr>
        <w:t>R</w:t>
      </w:r>
      <w:r w:rsidR="005A411D" w:rsidRPr="00887007">
        <w:rPr>
          <w:shd w:val="clear" w:color="auto" w:fill="FFFFFF"/>
        </w:rPr>
        <w:t xml:space="preserve"> každoročne do 30. septembra</w:t>
      </w:r>
      <w:r w:rsidR="00D17CB3" w:rsidRPr="00887007">
        <w:rPr>
          <w:shd w:val="clear" w:color="auto" w:fill="FFFFFF"/>
        </w:rPr>
        <w:t>, pričom v</w:t>
      </w:r>
      <w:r w:rsidR="005A411D" w:rsidRPr="00887007">
        <w:rPr>
          <w:shd w:val="clear" w:color="auto" w:fill="FFFFFF"/>
        </w:rPr>
        <w:t>ýsledok dohody nemôže byť nižší ako 30 % ročného výnosu z dražieb kvót</w:t>
      </w:r>
      <w:r w:rsidR="000668AA" w:rsidRPr="00887007">
        <w:rPr>
          <w:shd w:val="clear" w:color="auto" w:fill="FFFFFF"/>
        </w:rPr>
        <w:t>;</w:t>
      </w:r>
      <w:r w:rsidRPr="00887007">
        <w:rPr>
          <w:shd w:val="clear" w:color="auto" w:fill="FFFFFF"/>
        </w:rPr>
        <w:t xml:space="preserve"> </w:t>
      </w:r>
      <w:r w:rsidR="00D860BE" w:rsidRPr="00887007">
        <w:rPr>
          <w:shd w:val="clear" w:color="auto" w:fill="FFFFFF"/>
        </w:rPr>
        <w:t xml:space="preserve">túto percentuálnu sadzbu môže </w:t>
      </w:r>
      <w:r w:rsidR="000668AA" w:rsidRPr="00887007">
        <w:rPr>
          <w:shd w:val="clear" w:color="auto" w:fill="FFFFFF"/>
        </w:rPr>
        <w:t xml:space="preserve">ministerstvo životného prostredia meniť. </w:t>
      </w:r>
      <w:r w:rsidR="00D860BE" w:rsidRPr="00887007">
        <w:rPr>
          <w:shd w:val="clear" w:color="auto" w:fill="FFFFFF"/>
        </w:rPr>
        <w:t>Ako už bolo uvedené vyššie, návrh zákona zvyšuje percentuálnu výšku</w:t>
      </w:r>
      <w:r w:rsidR="007829D3" w:rsidRPr="00887007">
        <w:rPr>
          <w:shd w:val="clear" w:color="auto" w:fill="FFFFFF"/>
        </w:rPr>
        <w:t xml:space="preserve"> použiteľného výnosu z dražieb kvót z 30% na </w:t>
      </w:r>
      <w:r w:rsidR="00D860BE" w:rsidRPr="00887007">
        <w:rPr>
          <w:shd w:val="clear" w:color="auto" w:fill="FFFFFF"/>
        </w:rPr>
        <w:t>70%</w:t>
      </w:r>
      <w:r w:rsidR="00F567AF">
        <w:rPr>
          <w:shd w:val="clear" w:color="auto" w:fill="FFFFFF"/>
        </w:rPr>
        <w:t xml:space="preserve"> a stanovuje povinnosť do konca kalendárneho roka zverejniť výzvy na čerpanie použiteľného výnosu.</w:t>
      </w:r>
    </w:p>
    <w:p w14:paraId="0FBAE6E1" w14:textId="1037FE03" w:rsidR="00F567AF" w:rsidRDefault="00F567AF" w:rsidP="00D860BE">
      <w:pPr>
        <w:spacing w:after="0" w:line="240" w:lineRule="auto"/>
        <w:ind w:firstLine="708"/>
        <w:jc w:val="both"/>
        <w:rPr>
          <w:shd w:val="clear" w:color="auto" w:fill="FFFFFF"/>
        </w:rPr>
      </w:pPr>
    </w:p>
    <w:p w14:paraId="4F187C60" w14:textId="3F454E35" w:rsidR="00F567AF" w:rsidRPr="00887007" w:rsidRDefault="00F567AF" w:rsidP="00D860BE">
      <w:pPr>
        <w:spacing w:after="0" w:line="240" w:lineRule="auto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Návrh zákona je v súlade s cieľmi v oblasti klímy na rok 2030 smerujúc ku klimatickej neutrálnosti do roku 2050 nákladovo efektívnym spôsobom s prihliadnutím na potrebu spravodlivej </w:t>
      </w:r>
      <w:r w:rsidR="00CA337E">
        <w:rPr>
          <w:shd w:val="clear" w:color="auto" w:fill="FFFFFF"/>
        </w:rPr>
        <w:t>transformácie</w:t>
      </w:r>
      <w:r>
        <w:rPr>
          <w:shd w:val="clear" w:color="auto" w:fill="FFFFFF"/>
        </w:rPr>
        <w:t xml:space="preserve"> a </w:t>
      </w:r>
      <w:r w:rsidR="00CA337E">
        <w:rPr>
          <w:shd w:val="clear" w:color="auto" w:fill="FFFFFF"/>
        </w:rPr>
        <w:t>potrebu</w:t>
      </w:r>
      <w:r>
        <w:rPr>
          <w:shd w:val="clear" w:color="auto" w:fill="FFFFFF"/>
        </w:rPr>
        <w:t xml:space="preserve">, aby všetky sektory prispievali k úsiliu dosiahnuť ciele v oblasti klímy. </w:t>
      </w:r>
      <w:r w:rsidR="00CA337E">
        <w:rPr>
          <w:shd w:val="clear" w:color="auto" w:fill="FFFFFF"/>
        </w:rPr>
        <w:t xml:space="preserve">Návrh je aj v súlade so zámermi EÚ, ktorá si stanovila cieľ, </w:t>
      </w:r>
      <w:r w:rsidR="00CA337E" w:rsidRPr="00CA337E">
        <w:rPr>
          <w:shd w:val="clear" w:color="auto" w:fill="FFFFFF"/>
        </w:rPr>
        <w:t>ktorým je čisté zníženie emisií aspoň o 55 % do roku 2030 v porovnaní s rokom 1990.</w:t>
      </w:r>
      <w:r w:rsidR="00CA337E" w:rsidRPr="00CA337E">
        <w:t xml:space="preserve"> </w:t>
      </w:r>
      <w:r w:rsidR="00CA337E" w:rsidRPr="00CA337E">
        <w:rPr>
          <w:shd w:val="clear" w:color="auto" w:fill="FFFFFF"/>
        </w:rPr>
        <w:t xml:space="preserve">Z nedávnej analýzy útvarov Komisie  vyplýva, že ak právne predpisy zostanú nezmenené, sektory, na ktoré sa v súčasnosti vzťahuje systém EU ETS, by </w:t>
      </w:r>
      <w:r w:rsidR="00CA337E">
        <w:rPr>
          <w:shd w:val="clear" w:color="auto" w:fill="FFFFFF"/>
        </w:rPr>
        <w:t xml:space="preserve">sa </w:t>
      </w:r>
      <w:r w:rsidR="00CA337E" w:rsidRPr="00CA337E">
        <w:rPr>
          <w:shd w:val="clear" w:color="auto" w:fill="FFFFFF"/>
        </w:rPr>
        <w:t>namiesto toho v roku 2030 dosiahl</w:t>
      </w:r>
      <w:r w:rsidR="00CA337E">
        <w:rPr>
          <w:shd w:val="clear" w:color="auto" w:fill="FFFFFF"/>
        </w:rPr>
        <w:t>o</w:t>
      </w:r>
      <w:r w:rsidR="00CA337E" w:rsidRPr="00CA337E">
        <w:rPr>
          <w:shd w:val="clear" w:color="auto" w:fill="FFFFFF"/>
        </w:rPr>
        <w:t xml:space="preserve"> zníženie emisií o 51 % v porovnaní s rokom 2005.</w:t>
      </w:r>
    </w:p>
    <w:p w14:paraId="51B2C87D" w14:textId="77777777" w:rsidR="00D860BE" w:rsidRPr="00887007" w:rsidRDefault="00D860BE" w:rsidP="000668AA">
      <w:pPr>
        <w:spacing w:after="0" w:line="240" w:lineRule="auto"/>
        <w:ind w:firstLine="708"/>
        <w:jc w:val="both"/>
        <w:rPr>
          <w:shd w:val="clear" w:color="auto" w:fill="FFFFFF"/>
        </w:rPr>
      </w:pPr>
    </w:p>
    <w:p w14:paraId="28E3DE17" w14:textId="054C59DA" w:rsidR="005A411D" w:rsidRDefault="00CA337E" w:rsidP="005A411D">
      <w:pPr>
        <w:spacing w:after="0" w:line="240" w:lineRule="auto"/>
        <w:ind w:firstLine="708"/>
        <w:jc w:val="both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 xml:space="preserve">Návrh je v súlade s cieľmi EÚ </w:t>
      </w:r>
      <w:r w:rsidRPr="00CA337E">
        <w:rPr>
          <w:rFonts w:eastAsia="Times New Roman"/>
          <w:lang w:eastAsia="sk-SK"/>
        </w:rPr>
        <w:t>zabezpečiť nepretržitú účinnú ochranu sektorov vystavených riziku úniku uhlíka a zároveň stimulovať zavádzania nízkouhlíkových technológií</w:t>
      </w:r>
      <w:r w:rsidRPr="00CA337E">
        <w:t xml:space="preserve"> </w:t>
      </w:r>
      <w:r>
        <w:rPr>
          <w:rFonts w:eastAsia="Times New Roman"/>
          <w:lang w:eastAsia="sk-SK"/>
        </w:rPr>
        <w:t xml:space="preserve">a </w:t>
      </w:r>
      <w:r w:rsidRPr="00CA337E">
        <w:rPr>
          <w:rFonts w:eastAsia="Times New Roman"/>
          <w:lang w:eastAsia="sk-SK"/>
        </w:rPr>
        <w:t>riešiť distribučné a sociálne účinky prostredníctvom využívania výnosov z obchodovania formou aukcie a veľkosti a fungovania nízkouhlíkových mechanizmov financovania</w:t>
      </w:r>
      <w:r w:rsidR="0024023A">
        <w:rPr>
          <w:rFonts w:eastAsia="Times New Roman"/>
          <w:lang w:eastAsia="sk-SK"/>
        </w:rPr>
        <w:t>.</w:t>
      </w:r>
    </w:p>
    <w:p w14:paraId="0D4DEFEA" w14:textId="77777777" w:rsidR="0024023A" w:rsidRDefault="0024023A" w:rsidP="005A411D">
      <w:pPr>
        <w:spacing w:after="0" w:line="240" w:lineRule="auto"/>
        <w:ind w:firstLine="708"/>
        <w:jc w:val="both"/>
        <w:rPr>
          <w:rFonts w:eastAsia="Times New Roman"/>
          <w:lang w:eastAsia="sk-SK"/>
        </w:rPr>
      </w:pPr>
    </w:p>
    <w:p w14:paraId="1F0AD651" w14:textId="77777777" w:rsidR="008E0359" w:rsidRDefault="0024023A" w:rsidP="008E0359">
      <w:pPr>
        <w:spacing w:after="0" w:line="240" w:lineRule="auto"/>
        <w:ind w:firstLine="708"/>
        <w:jc w:val="both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>V</w:t>
      </w:r>
      <w:r w:rsidRPr="0024023A">
        <w:rPr>
          <w:rFonts w:eastAsia="Times New Roman"/>
          <w:lang w:eastAsia="sk-SK"/>
        </w:rPr>
        <w:t>ýnosy získané z dražieb kvót a peňažné prostriedky získané z predaja kvót skleníkových plynov alebo znečisťujúcich látok</w:t>
      </w:r>
      <w:r>
        <w:rPr>
          <w:rFonts w:eastAsia="Times New Roman"/>
          <w:lang w:eastAsia="sk-SK"/>
        </w:rPr>
        <w:t xml:space="preserve"> sú príjmom Environmentálneho fondu.</w:t>
      </w:r>
      <w:r w:rsidRPr="0024023A">
        <w:t xml:space="preserve"> </w:t>
      </w:r>
      <w:r w:rsidR="008E0359">
        <w:t xml:space="preserve">Výnosy z predaja emisných kvót predstavujú najvýznamnejšiu časť celkových príjmov Environmentálneho fondu, ktoré sa v rokoch 2015 až 2020 pohybovali v rozmedzí od 60,0 % až do 87,7 %. </w:t>
      </w:r>
      <w:r w:rsidRPr="0024023A">
        <w:rPr>
          <w:rFonts w:eastAsia="Times New Roman"/>
          <w:lang w:eastAsia="sk-SK"/>
        </w:rPr>
        <w:t>Funkciu aukcionára vykonáva Exportno-importná banka. Výnos získaný z dražieb kvót je príjmom fondu, ktorý tieto finančné prostriedky ďalej použ</w:t>
      </w:r>
      <w:r>
        <w:rPr>
          <w:rFonts w:eastAsia="Times New Roman"/>
          <w:lang w:eastAsia="sk-SK"/>
        </w:rPr>
        <w:t xml:space="preserve">íva </w:t>
      </w:r>
      <w:r w:rsidRPr="0024023A">
        <w:rPr>
          <w:rFonts w:eastAsia="Times New Roman"/>
          <w:lang w:eastAsia="sk-SK"/>
        </w:rPr>
        <w:t>v zmysle § 18 vyššie uvedeného zákona a v rámci limitov výdavkov schválených v rozpočte fondu na príslušný rozpočtový rok. Limity výdavkov použiteľných pre jednotlivé oblasti podpory, ktoré sú financované z príjmov z obchodovania s emisnými kvótami, sú stanovené Ministerstvom financií SR v návrhu rozpočtu fondu na najbližšie tri rozpočtové roky.</w:t>
      </w:r>
      <w:r>
        <w:rPr>
          <w:rFonts w:eastAsia="Times New Roman"/>
          <w:lang w:eastAsia="sk-SK"/>
        </w:rPr>
        <w:t xml:space="preserve"> </w:t>
      </w:r>
    </w:p>
    <w:p w14:paraId="2DFA6243" w14:textId="77777777" w:rsidR="008E0359" w:rsidRDefault="008E0359" w:rsidP="008E0359">
      <w:pPr>
        <w:spacing w:after="0" w:line="240" w:lineRule="auto"/>
        <w:ind w:firstLine="708"/>
        <w:jc w:val="both"/>
        <w:rPr>
          <w:rFonts w:eastAsia="Times New Roman"/>
          <w:lang w:eastAsia="sk-SK"/>
        </w:rPr>
      </w:pPr>
    </w:p>
    <w:p w14:paraId="73228BAF" w14:textId="77777777" w:rsidR="008E0359" w:rsidRPr="008E0359" w:rsidRDefault="008E0359" w:rsidP="008E0359">
      <w:pPr>
        <w:spacing w:after="0" w:line="240" w:lineRule="auto"/>
        <w:ind w:firstLine="708"/>
        <w:jc w:val="both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>V</w:t>
      </w:r>
      <w:r w:rsidRPr="008E0359">
        <w:rPr>
          <w:rFonts w:eastAsia="Times New Roman"/>
          <w:lang w:eastAsia="sk-SK"/>
        </w:rPr>
        <w:t xml:space="preserve"> zmysle smernice EÚ o obchodovaní s emisnými kvótami by sa malo použiť na</w:t>
      </w:r>
    </w:p>
    <w:p w14:paraId="0F55A526" w14:textId="77777777" w:rsidR="008E0359" w:rsidRDefault="008E0359" w:rsidP="008E0359">
      <w:pPr>
        <w:spacing w:after="0" w:line="240" w:lineRule="auto"/>
        <w:jc w:val="both"/>
        <w:rPr>
          <w:rFonts w:eastAsia="Times New Roman"/>
          <w:lang w:eastAsia="sk-SK"/>
        </w:rPr>
      </w:pPr>
      <w:r w:rsidRPr="008E0359">
        <w:rPr>
          <w:rFonts w:eastAsia="Times New Roman"/>
          <w:lang w:eastAsia="sk-SK"/>
        </w:rPr>
        <w:lastRenderedPageBreak/>
        <w:t>zelené ciele aspoň 50 % príjmov z obchodovania s emisnými kvótami, čo sa pri celkovom limite rozpočtu výdavkov</w:t>
      </w:r>
      <w:r>
        <w:rPr>
          <w:rFonts w:eastAsia="Times New Roman"/>
          <w:lang w:eastAsia="sk-SK"/>
        </w:rPr>
        <w:t xml:space="preserve"> </w:t>
      </w:r>
      <w:r w:rsidRPr="008E0359">
        <w:rPr>
          <w:rFonts w:eastAsia="Times New Roman"/>
          <w:lang w:eastAsia="sk-SK"/>
        </w:rPr>
        <w:t>fondu neplní. Najnižší podiel využitia výnosov z predaja emisných kvót na zelené ciele bol v roku 2020 – iba necelých 8 %, najvyšší v roku 2016 – 23,1 %. V priemere za sledované roky boli výnosy z emisií čerpané iba na 14 %.</w:t>
      </w:r>
    </w:p>
    <w:p w14:paraId="67D79748" w14:textId="77777777" w:rsidR="008E0359" w:rsidRDefault="008E0359" w:rsidP="008E0359">
      <w:pPr>
        <w:spacing w:after="0" w:line="240" w:lineRule="auto"/>
        <w:ind w:firstLine="708"/>
        <w:jc w:val="both"/>
        <w:rPr>
          <w:rFonts w:eastAsia="Times New Roman"/>
          <w:lang w:eastAsia="sk-SK"/>
        </w:rPr>
      </w:pPr>
    </w:p>
    <w:p w14:paraId="6B1DCEF7" w14:textId="77777777" w:rsidR="008E0359" w:rsidRDefault="0024023A" w:rsidP="008E0359">
      <w:pPr>
        <w:spacing w:after="0" w:line="240" w:lineRule="auto"/>
        <w:ind w:firstLine="708"/>
        <w:jc w:val="both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 xml:space="preserve">V roku 2021 bol schválený rozpočet 165 182 936 Eur a skutočný príjem bol 275 888 555 Eur </w:t>
      </w:r>
      <w:r w:rsidR="008E0359">
        <w:rPr>
          <w:rFonts w:eastAsia="Times New Roman"/>
          <w:lang w:eastAsia="sk-SK"/>
        </w:rPr>
        <w:t xml:space="preserve"> pričom  v roku 2021 f</w:t>
      </w:r>
      <w:r w:rsidRPr="0024023A">
        <w:rPr>
          <w:rFonts w:eastAsia="Times New Roman"/>
          <w:lang w:eastAsia="sk-SK"/>
        </w:rPr>
        <w:t xml:space="preserve">inančné prostriedky z predaja emisných kvót smerovali do oblastí: </w:t>
      </w:r>
    </w:p>
    <w:p w14:paraId="33567983" w14:textId="78844BEF" w:rsidR="008E0359" w:rsidRDefault="0024023A" w:rsidP="008E0359">
      <w:pPr>
        <w:spacing w:after="0" w:line="240" w:lineRule="auto"/>
        <w:ind w:firstLine="708"/>
        <w:jc w:val="both"/>
        <w:rPr>
          <w:rFonts w:eastAsia="Times New Roman"/>
          <w:lang w:eastAsia="sk-SK"/>
        </w:rPr>
      </w:pPr>
      <w:r w:rsidRPr="0024023A">
        <w:rPr>
          <w:rFonts w:eastAsia="Times New Roman"/>
          <w:lang w:eastAsia="sk-SK"/>
        </w:rPr>
        <w:t>•Kompenzácie priemyselným podnikom</w:t>
      </w:r>
      <w:r>
        <w:rPr>
          <w:rFonts w:eastAsia="Times New Roman"/>
          <w:lang w:eastAsia="sk-SK"/>
        </w:rPr>
        <w:t xml:space="preserve">  - </w:t>
      </w:r>
      <w:r w:rsidRPr="0024023A">
        <w:rPr>
          <w:rFonts w:eastAsia="Times New Roman"/>
          <w:lang w:eastAsia="sk-SK"/>
        </w:rPr>
        <w:t>11 000</w:t>
      </w:r>
      <w:r>
        <w:rPr>
          <w:rFonts w:eastAsia="Times New Roman"/>
          <w:lang w:eastAsia="sk-SK"/>
        </w:rPr>
        <w:t> </w:t>
      </w:r>
      <w:r w:rsidRPr="0024023A">
        <w:rPr>
          <w:rFonts w:eastAsia="Times New Roman"/>
          <w:lang w:eastAsia="sk-SK"/>
        </w:rPr>
        <w:t>000</w:t>
      </w:r>
      <w:r>
        <w:rPr>
          <w:rFonts w:eastAsia="Times New Roman"/>
          <w:lang w:eastAsia="sk-SK"/>
        </w:rPr>
        <w:t xml:space="preserve"> </w:t>
      </w:r>
      <w:r w:rsidR="008E0359">
        <w:rPr>
          <w:rFonts w:eastAsia="Times New Roman"/>
          <w:lang w:eastAsia="sk-SK"/>
        </w:rPr>
        <w:t>e</w:t>
      </w:r>
      <w:r>
        <w:rPr>
          <w:rFonts w:eastAsia="Times New Roman"/>
          <w:lang w:eastAsia="sk-SK"/>
        </w:rPr>
        <w:t>ur</w:t>
      </w:r>
      <w:r w:rsidRPr="0024023A">
        <w:rPr>
          <w:rFonts w:eastAsia="Times New Roman"/>
          <w:lang w:eastAsia="sk-SK"/>
        </w:rPr>
        <w:t xml:space="preserve"> </w:t>
      </w:r>
    </w:p>
    <w:p w14:paraId="0665EF57" w14:textId="7CA01C2E" w:rsidR="008E0359" w:rsidRDefault="0024023A" w:rsidP="008E0359">
      <w:pPr>
        <w:spacing w:after="0" w:line="240" w:lineRule="auto"/>
        <w:ind w:firstLine="708"/>
        <w:jc w:val="both"/>
        <w:rPr>
          <w:rFonts w:eastAsia="Times New Roman"/>
          <w:lang w:eastAsia="sk-SK"/>
        </w:rPr>
      </w:pPr>
      <w:r w:rsidRPr="0024023A">
        <w:rPr>
          <w:rFonts w:eastAsia="Times New Roman"/>
          <w:lang w:eastAsia="sk-SK"/>
        </w:rPr>
        <w:t>•Zatepľovanie verejných budov</w:t>
      </w:r>
      <w:r>
        <w:rPr>
          <w:rFonts w:eastAsia="Times New Roman"/>
          <w:lang w:eastAsia="sk-SK"/>
        </w:rPr>
        <w:t xml:space="preserve"> - </w:t>
      </w:r>
      <w:r w:rsidRPr="0024023A">
        <w:rPr>
          <w:rFonts w:eastAsia="Times New Roman"/>
          <w:lang w:eastAsia="sk-SK"/>
        </w:rPr>
        <w:t>17 049</w:t>
      </w:r>
      <w:r>
        <w:rPr>
          <w:rFonts w:eastAsia="Times New Roman"/>
          <w:lang w:eastAsia="sk-SK"/>
        </w:rPr>
        <w:t> </w:t>
      </w:r>
      <w:r w:rsidRPr="0024023A">
        <w:rPr>
          <w:rFonts w:eastAsia="Times New Roman"/>
          <w:lang w:eastAsia="sk-SK"/>
        </w:rPr>
        <w:t>117</w:t>
      </w:r>
      <w:r>
        <w:rPr>
          <w:rFonts w:eastAsia="Times New Roman"/>
          <w:lang w:eastAsia="sk-SK"/>
        </w:rPr>
        <w:t xml:space="preserve"> </w:t>
      </w:r>
      <w:r w:rsidR="008E0359">
        <w:rPr>
          <w:rFonts w:eastAsia="Times New Roman"/>
          <w:lang w:eastAsia="sk-SK"/>
        </w:rPr>
        <w:t>e</w:t>
      </w:r>
      <w:r>
        <w:rPr>
          <w:rFonts w:eastAsia="Times New Roman"/>
          <w:lang w:eastAsia="sk-SK"/>
        </w:rPr>
        <w:t>ur</w:t>
      </w:r>
    </w:p>
    <w:p w14:paraId="04A42E4D" w14:textId="58644A2A" w:rsidR="008E0359" w:rsidRDefault="0024023A" w:rsidP="008E0359">
      <w:pPr>
        <w:spacing w:after="0" w:line="240" w:lineRule="auto"/>
        <w:ind w:firstLine="708"/>
        <w:jc w:val="both"/>
        <w:rPr>
          <w:rFonts w:eastAsia="Times New Roman"/>
          <w:lang w:eastAsia="sk-SK"/>
        </w:rPr>
      </w:pPr>
      <w:r w:rsidRPr="0024023A">
        <w:rPr>
          <w:rFonts w:eastAsia="Times New Roman"/>
          <w:lang w:eastAsia="sk-SK"/>
        </w:rPr>
        <w:t>•Verejné vodovody, kanalizácie a</w:t>
      </w:r>
      <w:r>
        <w:rPr>
          <w:rFonts w:eastAsia="Times New Roman"/>
          <w:lang w:eastAsia="sk-SK"/>
        </w:rPr>
        <w:t> </w:t>
      </w:r>
      <w:r w:rsidRPr="0024023A">
        <w:rPr>
          <w:rFonts w:eastAsia="Times New Roman"/>
          <w:lang w:eastAsia="sk-SK"/>
        </w:rPr>
        <w:t>ČOV</w:t>
      </w:r>
      <w:r>
        <w:rPr>
          <w:rFonts w:eastAsia="Times New Roman"/>
          <w:lang w:eastAsia="sk-SK"/>
        </w:rPr>
        <w:t xml:space="preserve"> - </w:t>
      </w:r>
      <w:r w:rsidRPr="0024023A">
        <w:rPr>
          <w:rFonts w:eastAsia="Times New Roman"/>
          <w:lang w:eastAsia="sk-SK"/>
        </w:rPr>
        <w:t>15 495</w:t>
      </w:r>
      <w:r>
        <w:rPr>
          <w:rFonts w:eastAsia="Times New Roman"/>
          <w:lang w:eastAsia="sk-SK"/>
        </w:rPr>
        <w:t> </w:t>
      </w:r>
      <w:r w:rsidRPr="0024023A">
        <w:rPr>
          <w:rFonts w:eastAsia="Times New Roman"/>
          <w:lang w:eastAsia="sk-SK"/>
        </w:rPr>
        <w:t>835</w:t>
      </w:r>
      <w:r>
        <w:rPr>
          <w:rFonts w:eastAsia="Times New Roman"/>
          <w:lang w:eastAsia="sk-SK"/>
        </w:rPr>
        <w:t xml:space="preserve"> </w:t>
      </w:r>
      <w:r w:rsidR="008E0359">
        <w:rPr>
          <w:rFonts w:eastAsia="Times New Roman"/>
          <w:lang w:eastAsia="sk-SK"/>
        </w:rPr>
        <w:t>e</w:t>
      </w:r>
      <w:r>
        <w:rPr>
          <w:rFonts w:eastAsia="Times New Roman"/>
          <w:lang w:eastAsia="sk-SK"/>
        </w:rPr>
        <w:t xml:space="preserve">ur. </w:t>
      </w:r>
    </w:p>
    <w:p w14:paraId="372927D9" w14:textId="70C63189" w:rsidR="008E0359" w:rsidRDefault="0024023A" w:rsidP="008E0359">
      <w:pPr>
        <w:spacing w:after="0" w:line="240" w:lineRule="auto"/>
        <w:ind w:firstLine="708"/>
        <w:jc w:val="both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 xml:space="preserve">Spolu bolo použitých  </w:t>
      </w:r>
      <w:r w:rsidRPr="0024023A">
        <w:rPr>
          <w:rFonts w:eastAsia="Times New Roman"/>
          <w:lang w:eastAsia="sk-SK"/>
        </w:rPr>
        <w:t>43 544</w:t>
      </w:r>
      <w:r>
        <w:rPr>
          <w:rFonts w:eastAsia="Times New Roman"/>
          <w:lang w:eastAsia="sk-SK"/>
        </w:rPr>
        <w:t> </w:t>
      </w:r>
      <w:r w:rsidRPr="0024023A">
        <w:rPr>
          <w:rFonts w:eastAsia="Times New Roman"/>
          <w:lang w:eastAsia="sk-SK"/>
        </w:rPr>
        <w:t>952</w:t>
      </w:r>
      <w:r>
        <w:rPr>
          <w:rFonts w:eastAsia="Times New Roman"/>
          <w:lang w:eastAsia="sk-SK"/>
        </w:rPr>
        <w:t xml:space="preserve"> </w:t>
      </w:r>
      <w:r w:rsidR="008E0359">
        <w:rPr>
          <w:rFonts w:eastAsia="Times New Roman"/>
          <w:lang w:eastAsia="sk-SK"/>
        </w:rPr>
        <w:t>e</w:t>
      </w:r>
      <w:r>
        <w:rPr>
          <w:rFonts w:eastAsia="Times New Roman"/>
          <w:lang w:eastAsia="sk-SK"/>
        </w:rPr>
        <w:t xml:space="preserve">ur. </w:t>
      </w:r>
      <w:r w:rsidRPr="0024023A">
        <w:rPr>
          <w:rFonts w:eastAsia="Times New Roman"/>
          <w:lang w:eastAsia="sk-SK"/>
        </w:rPr>
        <w:t xml:space="preserve"> </w:t>
      </w:r>
    </w:p>
    <w:p w14:paraId="0145D66F" w14:textId="77777777" w:rsidR="008E0359" w:rsidRDefault="008E0359" w:rsidP="008E0359">
      <w:pPr>
        <w:spacing w:after="0" w:line="240" w:lineRule="auto"/>
        <w:ind w:firstLine="708"/>
        <w:jc w:val="both"/>
        <w:rPr>
          <w:rFonts w:eastAsia="Times New Roman"/>
          <w:lang w:eastAsia="sk-SK"/>
        </w:rPr>
      </w:pPr>
    </w:p>
    <w:p w14:paraId="5D1FBE6C" w14:textId="5A56A71B" w:rsidR="0024023A" w:rsidRPr="008E0359" w:rsidRDefault="0024023A" w:rsidP="008E0359">
      <w:pPr>
        <w:spacing w:after="0" w:line="240" w:lineRule="auto"/>
        <w:ind w:firstLine="708"/>
        <w:jc w:val="both"/>
      </w:pPr>
      <w:r w:rsidRPr="0024023A">
        <w:rPr>
          <w:rFonts w:eastAsia="Times New Roman"/>
          <w:lang w:eastAsia="sk-SK"/>
        </w:rPr>
        <w:t>Zvyšná časť prostriedkov vo výške 232 343</w:t>
      </w:r>
      <w:r>
        <w:rPr>
          <w:rFonts w:eastAsia="Times New Roman"/>
          <w:lang w:eastAsia="sk-SK"/>
        </w:rPr>
        <w:t> </w:t>
      </w:r>
      <w:r w:rsidRPr="0024023A">
        <w:rPr>
          <w:rFonts w:eastAsia="Times New Roman"/>
          <w:lang w:eastAsia="sk-SK"/>
        </w:rPr>
        <w:t>603</w:t>
      </w:r>
      <w:r>
        <w:rPr>
          <w:rFonts w:eastAsia="Times New Roman"/>
          <w:lang w:eastAsia="sk-SK"/>
        </w:rPr>
        <w:t xml:space="preserve"> </w:t>
      </w:r>
      <w:r w:rsidR="008E0359">
        <w:rPr>
          <w:rFonts w:eastAsia="Times New Roman"/>
          <w:lang w:eastAsia="sk-SK"/>
        </w:rPr>
        <w:t>e</w:t>
      </w:r>
      <w:r>
        <w:rPr>
          <w:rFonts w:eastAsia="Times New Roman"/>
          <w:lang w:eastAsia="sk-SK"/>
        </w:rPr>
        <w:t xml:space="preserve">ur </w:t>
      </w:r>
      <w:r w:rsidRPr="0024023A">
        <w:rPr>
          <w:rFonts w:eastAsia="Times New Roman"/>
          <w:lang w:eastAsia="sk-SK"/>
        </w:rPr>
        <w:t xml:space="preserve"> zost</w:t>
      </w:r>
      <w:r>
        <w:rPr>
          <w:rFonts w:eastAsia="Times New Roman"/>
          <w:lang w:eastAsia="sk-SK"/>
        </w:rPr>
        <w:t>ala</w:t>
      </w:r>
      <w:r w:rsidRPr="0024023A">
        <w:rPr>
          <w:rFonts w:eastAsia="Times New Roman"/>
          <w:lang w:eastAsia="sk-SK"/>
        </w:rPr>
        <w:t xml:space="preserve"> na samostatnom bankovom účte vedenom v Štátnej pokladnici ako súčasť rozpočtu verejnej správy.</w:t>
      </w:r>
      <w:r w:rsidR="008E0359">
        <w:rPr>
          <w:rFonts w:eastAsia="Times New Roman"/>
          <w:lang w:eastAsia="sk-SK"/>
        </w:rPr>
        <w:t xml:space="preserve"> </w:t>
      </w:r>
      <w:r w:rsidR="008E0359" w:rsidRPr="008E0359">
        <w:rPr>
          <w:rFonts w:eastAsia="Times New Roman"/>
          <w:lang w:eastAsia="sk-SK"/>
        </w:rPr>
        <w:t>Na účte, kam tieto výnosy smerujú, sa spolu s výnosmi z predošlých rokov nahromadilo už 826</w:t>
      </w:r>
      <w:r w:rsidR="008E0359">
        <w:rPr>
          <w:rFonts w:eastAsia="Times New Roman"/>
          <w:lang w:eastAsia="sk-SK"/>
        </w:rPr>
        <w:t xml:space="preserve"> </w:t>
      </w:r>
      <w:r w:rsidR="008E0359" w:rsidRPr="008E0359">
        <w:rPr>
          <w:rFonts w:eastAsia="Times New Roman"/>
          <w:lang w:eastAsia="sk-SK"/>
        </w:rPr>
        <w:t>miliónov eur.</w:t>
      </w:r>
      <w:r w:rsidR="008E0359" w:rsidRPr="008E0359">
        <w:rPr>
          <w:rFonts w:eastAsia="Times New Roman"/>
          <w:lang w:eastAsia="sk-SK"/>
        </w:rPr>
        <w:cr/>
      </w:r>
    </w:p>
    <w:p w14:paraId="7FF74EAA" w14:textId="69610D50" w:rsidR="00A83F6F" w:rsidRDefault="00A83F6F" w:rsidP="00A83F6F">
      <w:pPr>
        <w:spacing w:after="0" w:line="240" w:lineRule="auto"/>
        <w:ind w:firstLine="708"/>
        <w:jc w:val="both"/>
        <w:rPr>
          <w:rFonts w:eastAsia="Times New Roman"/>
          <w:lang w:eastAsia="sk-SK"/>
        </w:rPr>
      </w:pPr>
      <w:r w:rsidRPr="00A83F6F">
        <w:rPr>
          <w:rFonts w:eastAsia="Times New Roman"/>
          <w:lang w:eastAsia="sk-SK"/>
        </w:rPr>
        <w:t>Príjmy fondu za roky 2015 až 2020 vo výške</w:t>
      </w:r>
      <w:r>
        <w:rPr>
          <w:rFonts w:eastAsia="Times New Roman"/>
          <w:lang w:eastAsia="sk-SK"/>
        </w:rPr>
        <w:t xml:space="preserve"> </w:t>
      </w:r>
      <w:r w:rsidRPr="00A83F6F">
        <w:rPr>
          <w:rFonts w:eastAsia="Times New Roman"/>
          <w:lang w:eastAsia="sk-SK"/>
        </w:rPr>
        <w:t>cca 1,2 mld. eur tvorili najmä výnosy z dražby emisných kvót</w:t>
      </w:r>
      <w:r>
        <w:rPr>
          <w:rFonts w:eastAsia="Times New Roman"/>
          <w:lang w:eastAsia="sk-SK"/>
        </w:rPr>
        <w:t xml:space="preserve">. Z kontroly NKU vykonanej v roku 2021 vyplýva, že kumulácia prebytkov na účte fondu neefektívne a neprispieva k riešeniu závažných problémov v životnom prostredí. </w:t>
      </w:r>
    </w:p>
    <w:p w14:paraId="286C0BDF" w14:textId="77777777" w:rsidR="00CA337E" w:rsidRPr="00887007" w:rsidRDefault="00CA337E" w:rsidP="005A411D">
      <w:pPr>
        <w:spacing w:after="0" w:line="240" w:lineRule="auto"/>
        <w:ind w:firstLine="708"/>
        <w:jc w:val="both"/>
        <w:rPr>
          <w:rFonts w:eastAsia="Times New Roman"/>
          <w:lang w:eastAsia="sk-SK"/>
        </w:rPr>
      </w:pPr>
    </w:p>
    <w:p w14:paraId="66EE65C8" w14:textId="78DAED48" w:rsidR="00C45803" w:rsidRPr="00887007" w:rsidRDefault="008559B5" w:rsidP="00C45803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  <w:r w:rsidRPr="00887007">
        <w:rPr>
          <w:rFonts w:eastAsia="Times New Roman"/>
          <w:color w:val="000000"/>
          <w:lang w:eastAsia="sk-SK"/>
        </w:rPr>
        <w:t>Predložený návrh</w:t>
      </w:r>
      <w:r w:rsidR="00FE67F3" w:rsidRPr="00887007">
        <w:rPr>
          <w:rFonts w:eastAsia="Times New Roman"/>
          <w:color w:val="000000"/>
          <w:lang w:eastAsia="sk-SK"/>
        </w:rPr>
        <w:t xml:space="preserve"> zákona bude mať negatívny vplyv na rozpočet verejnej správy</w:t>
      </w:r>
      <w:r w:rsidR="00232EED" w:rsidRPr="00887007">
        <w:rPr>
          <w:rFonts w:eastAsia="Times New Roman"/>
          <w:color w:val="000000"/>
          <w:lang w:eastAsia="sk-SK"/>
        </w:rPr>
        <w:t>. Návrh zákona bude mať pozitívny vplyv na podnikateľské prostredie</w:t>
      </w:r>
      <w:r w:rsidRPr="00887007">
        <w:rPr>
          <w:rFonts w:eastAsia="Times New Roman"/>
          <w:color w:val="000000"/>
          <w:lang w:eastAsia="sk-SK"/>
        </w:rPr>
        <w:t xml:space="preserve"> </w:t>
      </w:r>
      <w:r w:rsidR="007829D3" w:rsidRPr="00887007">
        <w:rPr>
          <w:rFonts w:eastAsia="Times New Roman"/>
          <w:color w:val="000000"/>
          <w:lang w:eastAsia="sk-SK"/>
        </w:rPr>
        <w:t xml:space="preserve">ako aj na </w:t>
      </w:r>
      <w:r w:rsidR="00FE67F3" w:rsidRPr="00887007">
        <w:rPr>
          <w:rFonts w:eastAsia="Times New Roman"/>
          <w:color w:val="000000"/>
          <w:lang w:eastAsia="sk-SK"/>
        </w:rPr>
        <w:t>životné prostredie</w:t>
      </w:r>
      <w:r w:rsidR="007829D3" w:rsidRPr="00887007">
        <w:rPr>
          <w:rFonts w:eastAsia="Times New Roman"/>
          <w:color w:val="000000"/>
          <w:lang w:eastAsia="sk-SK"/>
        </w:rPr>
        <w:t xml:space="preserve">. </w:t>
      </w:r>
      <w:r w:rsidR="00FE67F3" w:rsidRPr="00887007">
        <w:rPr>
          <w:rFonts w:eastAsia="Times New Roman"/>
          <w:color w:val="000000"/>
          <w:lang w:eastAsia="sk-SK"/>
        </w:rPr>
        <w:t xml:space="preserve"> </w:t>
      </w:r>
      <w:r w:rsidR="008C0874" w:rsidRPr="00887007">
        <w:rPr>
          <w:rFonts w:eastAsia="Times New Roman"/>
          <w:color w:val="000000"/>
          <w:lang w:eastAsia="sk-SK"/>
        </w:rPr>
        <w:t>N</w:t>
      </w:r>
      <w:r w:rsidR="00FE67F3" w:rsidRPr="00887007">
        <w:rPr>
          <w:rFonts w:eastAsia="Times New Roman"/>
          <w:color w:val="000000"/>
          <w:lang w:eastAsia="sk-SK"/>
        </w:rPr>
        <w:t xml:space="preserve">ávrh zákona </w:t>
      </w:r>
      <w:r w:rsidR="008C0874" w:rsidRPr="00887007">
        <w:rPr>
          <w:rFonts w:eastAsia="Times New Roman"/>
          <w:color w:val="000000"/>
          <w:lang w:eastAsia="sk-SK"/>
        </w:rPr>
        <w:t xml:space="preserve">nebude mať vplyv </w:t>
      </w:r>
      <w:r w:rsidR="007829D3" w:rsidRPr="00887007">
        <w:rPr>
          <w:rFonts w:eastAsia="Times New Roman"/>
          <w:color w:val="000000"/>
          <w:lang w:eastAsia="sk-SK"/>
        </w:rPr>
        <w:t>na informatizáciu spoločnosti</w:t>
      </w:r>
      <w:r w:rsidR="00887007">
        <w:rPr>
          <w:rFonts w:eastAsia="Times New Roman"/>
          <w:color w:val="000000"/>
          <w:lang w:eastAsia="sk-SK"/>
        </w:rPr>
        <w:t xml:space="preserve">, nebude mať </w:t>
      </w:r>
      <w:r w:rsidR="00FE67F3" w:rsidRPr="00887007">
        <w:rPr>
          <w:rFonts w:eastAsia="Times New Roman"/>
          <w:color w:val="000000"/>
          <w:lang w:eastAsia="sk-SK"/>
        </w:rPr>
        <w:t>žiadne sociálne vplyvy</w:t>
      </w:r>
      <w:r w:rsidR="003954E1" w:rsidRPr="00887007">
        <w:rPr>
          <w:rFonts w:eastAsia="Times New Roman"/>
          <w:color w:val="000000"/>
          <w:lang w:eastAsia="sk-SK"/>
        </w:rPr>
        <w:t xml:space="preserve"> </w:t>
      </w:r>
      <w:r w:rsidR="002208E7" w:rsidRPr="00887007">
        <w:rPr>
          <w:rFonts w:eastAsia="Times New Roman"/>
          <w:color w:val="000000"/>
          <w:lang w:eastAsia="sk-SK"/>
        </w:rPr>
        <w:t>a</w:t>
      </w:r>
      <w:r w:rsidR="00FE67F3" w:rsidRPr="00887007">
        <w:rPr>
          <w:rFonts w:eastAsia="Times New Roman"/>
          <w:color w:val="000000"/>
          <w:lang w:eastAsia="sk-SK"/>
        </w:rPr>
        <w:t xml:space="preserve"> ani vplyvy na manželstvo, rodičovstvo a rodinu. </w:t>
      </w:r>
      <w:r w:rsidR="00A45A59" w:rsidRPr="00887007">
        <w:rPr>
          <w:rFonts w:eastAsia="Times New Roman"/>
          <w:color w:val="000000"/>
          <w:lang w:eastAsia="sk-SK"/>
        </w:rPr>
        <w:t xml:space="preserve">Návrh zákona </w:t>
      </w:r>
      <w:r w:rsidR="00232EED" w:rsidRPr="00887007">
        <w:rPr>
          <w:rFonts w:eastAsia="Times New Roman"/>
          <w:color w:val="000000"/>
          <w:lang w:eastAsia="sk-SK"/>
        </w:rPr>
        <w:t xml:space="preserve">tiež </w:t>
      </w:r>
      <w:r w:rsidR="00A45A59" w:rsidRPr="00887007">
        <w:rPr>
          <w:rFonts w:eastAsia="Times New Roman"/>
          <w:color w:val="000000"/>
          <w:lang w:eastAsia="sk-SK"/>
        </w:rPr>
        <w:t xml:space="preserve">nebude mať vplyv na </w:t>
      </w:r>
      <w:r w:rsidR="003954E1" w:rsidRPr="00887007">
        <w:rPr>
          <w:rFonts w:eastAsia="Times New Roman"/>
          <w:color w:val="000000"/>
          <w:lang w:eastAsia="sk-SK"/>
        </w:rPr>
        <w:t>služby verejnej správy</w:t>
      </w:r>
      <w:r w:rsidR="00232EED" w:rsidRPr="00887007">
        <w:rPr>
          <w:rFonts w:eastAsia="Times New Roman"/>
          <w:color w:val="000000"/>
          <w:lang w:eastAsia="sk-SK"/>
        </w:rPr>
        <w:t xml:space="preserve"> pre občana</w:t>
      </w:r>
      <w:r w:rsidR="00A45A59" w:rsidRPr="00887007">
        <w:rPr>
          <w:rFonts w:eastAsia="Times New Roman"/>
          <w:color w:val="000000"/>
          <w:lang w:eastAsia="sk-SK"/>
        </w:rPr>
        <w:t xml:space="preserve">. </w:t>
      </w:r>
    </w:p>
    <w:p w14:paraId="0704D259" w14:textId="77777777" w:rsidR="00C45803" w:rsidRPr="00887007" w:rsidRDefault="00C45803" w:rsidP="00C45803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5153D42E" w14:textId="62C3A7AF" w:rsidR="00AC71FA" w:rsidRPr="00887007" w:rsidRDefault="00FE67F3" w:rsidP="000C7071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  <w:r w:rsidRPr="00887007">
        <w:rPr>
          <w:rFonts w:eastAsia="Times New Roman"/>
          <w:color w:val="000000"/>
          <w:lang w:eastAsia="sk-SK"/>
        </w:rPr>
        <w:t xml:space="preserve">Návrh zákona je v súlade s Ústavou Slovenskej republiky, ústavnými zákonmi a </w:t>
      </w:r>
    </w:p>
    <w:p w14:paraId="637F0A4F" w14:textId="66D9EC87" w:rsidR="00FE67F3" w:rsidRPr="00887007" w:rsidRDefault="00FE67F3" w:rsidP="000C7071">
      <w:pPr>
        <w:spacing w:after="0" w:line="240" w:lineRule="auto"/>
        <w:jc w:val="both"/>
        <w:rPr>
          <w:rFonts w:eastAsia="Times New Roman"/>
          <w:color w:val="000000"/>
          <w:lang w:eastAsia="sk-SK"/>
        </w:rPr>
      </w:pPr>
      <w:r w:rsidRPr="00887007">
        <w:rPr>
          <w:rFonts w:eastAsia="Times New Roman"/>
          <w:color w:val="000000"/>
          <w:lang w:eastAsia="sk-SK"/>
        </w:rPr>
        <w:t>ostatnými všeobecne záväznými právnymi predpismi Slovenskej republiky, medzinárodnými zmluvami a inými medzinárodnými dokumentmi, ktorými je Slovenská republika viazaná, ako aj s právom Európskej únie.</w:t>
      </w:r>
    </w:p>
    <w:p w14:paraId="481ABC7B" w14:textId="7A767E06" w:rsidR="001D7269" w:rsidRPr="00887007" w:rsidRDefault="001D7269" w:rsidP="000C7071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2ECD9ADA" w14:textId="20BA5B9D" w:rsidR="008559B5" w:rsidRPr="00887007" w:rsidRDefault="008559B5" w:rsidP="00994269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28595547" w14:textId="062943F6" w:rsidR="008559B5" w:rsidRPr="00887007" w:rsidRDefault="008559B5" w:rsidP="00994269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7820EC8F" w14:textId="222032FF" w:rsidR="008559B5" w:rsidRPr="00887007" w:rsidRDefault="008559B5" w:rsidP="00994269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48511CA7" w14:textId="6AC51F76" w:rsidR="008559B5" w:rsidRPr="00887007" w:rsidRDefault="008559B5" w:rsidP="00994269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2754E82E" w14:textId="5F0657C7" w:rsidR="008559B5" w:rsidRPr="00887007" w:rsidRDefault="008559B5" w:rsidP="00994269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11625705" w14:textId="5893EE11" w:rsidR="00C45803" w:rsidRDefault="00C45803" w:rsidP="00994269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3E20F065" w14:textId="10B333F4" w:rsidR="00880AAF" w:rsidRDefault="00880AAF" w:rsidP="00994269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45DCC246" w14:textId="4115DED5" w:rsidR="00880AAF" w:rsidRDefault="00880AAF" w:rsidP="00994269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7F125E54" w14:textId="7EB9AB42" w:rsidR="00880AAF" w:rsidRDefault="00880AAF" w:rsidP="00994269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33EBEECD" w14:textId="7D34F0A2" w:rsidR="00880AAF" w:rsidRDefault="00880AAF" w:rsidP="00994269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73005F99" w14:textId="70606E62" w:rsidR="00880AAF" w:rsidRDefault="00880AAF" w:rsidP="00994269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3E77A4E8" w14:textId="0EFE2323" w:rsidR="00880AAF" w:rsidRDefault="00880AAF" w:rsidP="00994269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4696BACC" w14:textId="1F891015" w:rsidR="00880AAF" w:rsidRDefault="00880AAF" w:rsidP="00994269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683AC5A6" w14:textId="31BD7135" w:rsidR="00880AAF" w:rsidRDefault="00880AAF" w:rsidP="00994269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4BACDA6A" w14:textId="4143FE62" w:rsidR="00880AAF" w:rsidRDefault="00880AAF" w:rsidP="00994269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6882C253" w14:textId="77777777" w:rsidR="00880AAF" w:rsidRPr="00887007" w:rsidRDefault="00880AAF" w:rsidP="00994269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19303164" w14:textId="68E39A40" w:rsidR="00C45803" w:rsidRPr="00887007" w:rsidRDefault="00C45803" w:rsidP="00994269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1BBB58E9" w14:textId="2F0549F7" w:rsidR="00FE67F3" w:rsidRPr="00887007" w:rsidRDefault="00FE67F3" w:rsidP="006E3EAE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  <w:r w:rsidRPr="00887007">
        <w:rPr>
          <w:rFonts w:eastAsia="Times New Roman"/>
          <w:b/>
          <w:bCs/>
          <w:color w:val="000000"/>
          <w:lang w:eastAsia="sk-SK"/>
        </w:rPr>
        <w:lastRenderedPageBreak/>
        <w:t xml:space="preserve">B. Osobitná časť </w:t>
      </w:r>
    </w:p>
    <w:p w14:paraId="4729F51D" w14:textId="77777777" w:rsidR="00E52D7A" w:rsidRPr="00887007" w:rsidRDefault="00E52D7A" w:rsidP="00E52D7A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lang w:eastAsia="sk-SK"/>
        </w:rPr>
      </w:pPr>
    </w:p>
    <w:p w14:paraId="7D4E9ECF" w14:textId="7D51D374" w:rsidR="00FE67F3" w:rsidRPr="00887007" w:rsidRDefault="00FE67F3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  <w:r w:rsidRPr="00887007">
        <w:rPr>
          <w:rFonts w:eastAsia="Times New Roman"/>
          <w:b/>
          <w:bCs/>
          <w:color w:val="000000"/>
          <w:lang w:eastAsia="sk-SK"/>
        </w:rPr>
        <w:t>K čl. I</w:t>
      </w:r>
    </w:p>
    <w:p w14:paraId="21230C5D" w14:textId="45AD3F1D" w:rsidR="00E52D7A" w:rsidRPr="00887007" w:rsidRDefault="00E52D7A" w:rsidP="00E52D7A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lang w:eastAsia="sk-SK"/>
        </w:rPr>
      </w:pPr>
    </w:p>
    <w:p w14:paraId="225B24D0" w14:textId="039D38AB" w:rsidR="00503C0F" w:rsidRPr="00887007" w:rsidRDefault="00503C0F" w:rsidP="00E52D7A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lang w:eastAsia="sk-SK"/>
        </w:rPr>
      </w:pPr>
      <w:r w:rsidRPr="00887007">
        <w:rPr>
          <w:rFonts w:eastAsia="Times New Roman"/>
          <w:b/>
          <w:bCs/>
          <w:color w:val="000000"/>
          <w:lang w:eastAsia="sk-SK"/>
        </w:rPr>
        <w:t xml:space="preserve">K bodu 1 </w:t>
      </w:r>
    </w:p>
    <w:p w14:paraId="4193A288" w14:textId="57CF0DE7" w:rsidR="00503C0F" w:rsidRPr="00887007" w:rsidRDefault="00503C0F" w:rsidP="00E52D7A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lang w:eastAsia="sk-SK"/>
        </w:rPr>
      </w:pPr>
    </w:p>
    <w:p w14:paraId="3D55303C" w14:textId="114D203D" w:rsidR="00503C0F" w:rsidRPr="00887007" w:rsidRDefault="00503C0F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  <w:r w:rsidRPr="00887007">
        <w:rPr>
          <w:color w:val="000000"/>
          <w:shd w:val="clear" w:color="auto" w:fill="FFFFFF"/>
        </w:rPr>
        <w:t xml:space="preserve">V § 18 </w:t>
      </w:r>
      <w:r w:rsidR="000C7071">
        <w:rPr>
          <w:color w:val="000000"/>
          <w:shd w:val="clear" w:color="auto" w:fill="FFFFFF"/>
        </w:rPr>
        <w:t xml:space="preserve">v odseku 7 </w:t>
      </w:r>
      <w:r w:rsidRPr="00887007">
        <w:rPr>
          <w:color w:val="000000"/>
          <w:shd w:val="clear" w:color="auto" w:fill="FFFFFF"/>
        </w:rPr>
        <w:t xml:space="preserve">upravujúcom dražbu kvót a využitie výnosov sa navrhuje </w:t>
      </w:r>
      <w:r w:rsidRPr="00887007">
        <w:rPr>
          <w:rFonts w:eastAsia="Times New Roman"/>
          <w:lang w:eastAsia="sk-SK"/>
        </w:rPr>
        <w:t xml:space="preserve">zvýšenie výšky </w:t>
      </w:r>
      <w:r w:rsidRPr="00887007">
        <w:rPr>
          <w:shd w:val="clear" w:color="auto" w:fill="FFFFFF"/>
        </w:rPr>
        <w:t>použiteľného výnosu z dražieb kvót zo súčasných 30 % ročného výnosu z dražieb kvót na 70%</w:t>
      </w:r>
      <w:r w:rsidR="00222E2A" w:rsidRPr="00887007">
        <w:rPr>
          <w:shd w:val="clear" w:color="auto" w:fill="FFFFFF"/>
        </w:rPr>
        <w:t>.</w:t>
      </w:r>
    </w:p>
    <w:p w14:paraId="45A26BC9" w14:textId="030DDCBC" w:rsidR="00503C0F" w:rsidRPr="00887007" w:rsidRDefault="00503C0F" w:rsidP="00E52D7A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lang w:eastAsia="sk-SK"/>
        </w:rPr>
      </w:pPr>
    </w:p>
    <w:p w14:paraId="45D9D331" w14:textId="2A0A76AC" w:rsidR="00503C0F" w:rsidRPr="00887007" w:rsidRDefault="00503C0F" w:rsidP="00E52D7A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lang w:eastAsia="sk-SK"/>
        </w:rPr>
      </w:pPr>
      <w:r w:rsidRPr="00887007">
        <w:rPr>
          <w:rFonts w:eastAsia="Times New Roman"/>
          <w:b/>
          <w:bCs/>
          <w:color w:val="000000"/>
          <w:lang w:eastAsia="sk-SK"/>
        </w:rPr>
        <w:t xml:space="preserve">K bodu 2 </w:t>
      </w:r>
    </w:p>
    <w:p w14:paraId="6E7767EB" w14:textId="7599FE32" w:rsidR="00503C0F" w:rsidRPr="00887007" w:rsidRDefault="00503C0F" w:rsidP="00E52D7A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lang w:eastAsia="sk-SK"/>
        </w:rPr>
      </w:pPr>
    </w:p>
    <w:p w14:paraId="2FB9B3BC" w14:textId="77BC2F40" w:rsidR="00222E2A" w:rsidRPr="00887007" w:rsidRDefault="00222E2A" w:rsidP="00E52D7A">
      <w:pPr>
        <w:spacing w:after="0" w:line="240" w:lineRule="auto"/>
        <w:ind w:firstLine="708"/>
        <w:jc w:val="both"/>
        <w:rPr>
          <w:rFonts w:eastAsia="Times New Roman"/>
          <w:lang w:eastAsia="sk-SK"/>
        </w:rPr>
      </w:pPr>
      <w:r w:rsidRPr="00887007">
        <w:rPr>
          <w:rFonts w:eastAsia="Times New Roman"/>
          <w:lang w:eastAsia="sk-SK"/>
        </w:rPr>
        <w:t xml:space="preserve">Navrhuje sa vypustenie odseku 8 </w:t>
      </w:r>
      <w:r w:rsidR="000C7071">
        <w:rPr>
          <w:rFonts w:eastAsia="Times New Roman"/>
          <w:lang w:eastAsia="sk-SK"/>
        </w:rPr>
        <w:t>z</w:t>
      </w:r>
      <w:r w:rsidRPr="00887007">
        <w:rPr>
          <w:rFonts w:eastAsia="Times New Roman"/>
          <w:lang w:eastAsia="sk-SK"/>
        </w:rPr>
        <w:t xml:space="preserve"> §</w:t>
      </w:r>
      <w:r w:rsidR="000C7071">
        <w:rPr>
          <w:rFonts w:eastAsia="Times New Roman"/>
          <w:lang w:eastAsia="sk-SK"/>
        </w:rPr>
        <w:t>-u</w:t>
      </w:r>
      <w:r w:rsidRPr="00887007">
        <w:rPr>
          <w:rFonts w:eastAsia="Times New Roman"/>
          <w:lang w:eastAsia="sk-SK"/>
        </w:rPr>
        <w:t xml:space="preserve"> 18. </w:t>
      </w:r>
      <w:r w:rsidR="00533F2E">
        <w:rPr>
          <w:rFonts w:eastAsia="Times New Roman"/>
          <w:lang w:eastAsia="sk-SK"/>
        </w:rPr>
        <w:t>T</w:t>
      </w:r>
      <w:r w:rsidRPr="00887007">
        <w:rPr>
          <w:rFonts w:eastAsia="Times New Roman"/>
          <w:lang w:eastAsia="sk-SK"/>
        </w:rPr>
        <w:t xml:space="preserve">oto ustanovenie umožňovali ministerstvu </w:t>
      </w:r>
      <w:r w:rsidRPr="00887007">
        <w:rPr>
          <w:shd w:val="clear" w:color="auto" w:fill="FFFFFF"/>
        </w:rPr>
        <w:t xml:space="preserve">životného prostredia v odôvodnených prípadoch meniť výšku percentuálnej distribúcie použiteľného výnosu z dražieb kvót na účely podľa </w:t>
      </w:r>
      <w:r w:rsidR="002C658F" w:rsidRPr="00887007">
        <w:rPr>
          <w:shd w:val="clear" w:color="auto" w:fill="FFFFFF"/>
        </w:rPr>
        <w:t xml:space="preserve">§ 18 </w:t>
      </w:r>
      <w:r w:rsidRPr="00887007">
        <w:rPr>
          <w:shd w:val="clear" w:color="auto" w:fill="FFFFFF"/>
        </w:rPr>
        <w:t>ods</w:t>
      </w:r>
      <w:r w:rsidR="002C658F" w:rsidRPr="00887007">
        <w:rPr>
          <w:shd w:val="clear" w:color="auto" w:fill="FFFFFF"/>
        </w:rPr>
        <w:t>.</w:t>
      </w:r>
      <w:r w:rsidRPr="00887007">
        <w:rPr>
          <w:shd w:val="clear" w:color="auto" w:fill="FFFFFF"/>
        </w:rPr>
        <w:t xml:space="preserve"> 4.</w:t>
      </w:r>
    </w:p>
    <w:p w14:paraId="63276717" w14:textId="77777777" w:rsidR="00222E2A" w:rsidRPr="00887007" w:rsidRDefault="00222E2A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5C9955CF" w14:textId="0D2F1C8B" w:rsidR="00503C0F" w:rsidRDefault="00503C0F" w:rsidP="00E52D7A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lang w:eastAsia="sk-SK"/>
        </w:rPr>
      </w:pPr>
      <w:r w:rsidRPr="00887007">
        <w:rPr>
          <w:rFonts w:eastAsia="Times New Roman"/>
          <w:b/>
          <w:bCs/>
          <w:color w:val="000000"/>
          <w:lang w:eastAsia="sk-SK"/>
        </w:rPr>
        <w:t>K bodu 3</w:t>
      </w:r>
    </w:p>
    <w:p w14:paraId="4AD64389" w14:textId="77777777" w:rsidR="000C7071" w:rsidRDefault="000C7071" w:rsidP="000C7071">
      <w:pPr>
        <w:shd w:val="clear" w:color="auto" w:fill="FFFFFF"/>
        <w:spacing w:after="0" w:line="240" w:lineRule="auto"/>
        <w:ind w:firstLine="708"/>
        <w:jc w:val="both"/>
        <w:rPr>
          <w:shd w:val="clear" w:color="auto" w:fill="FFFFFF"/>
        </w:rPr>
      </w:pPr>
    </w:p>
    <w:p w14:paraId="76F35F0A" w14:textId="522A225D" w:rsidR="000C7071" w:rsidRPr="000C7071" w:rsidRDefault="000C7071" w:rsidP="000C7071">
      <w:pPr>
        <w:shd w:val="clear" w:color="auto" w:fill="FFFFFF"/>
        <w:spacing w:after="0" w:line="240" w:lineRule="auto"/>
        <w:ind w:firstLine="708"/>
        <w:jc w:val="both"/>
        <w:rPr>
          <w:shd w:val="clear" w:color="auto" w:fill="FFFFFF"/>
        </w:rPr>
      </w:pPr>
      <w:r w:rsidRPr="000C7071">
        <w:rPr>
          <w:shd w:val="clear" w:color="auto" w:fill="FFFFFF"/>
        </w:rPr>
        <w:t>Environmentáln</w:t>
      </w:r>
      <w:r w:rsidR="00533F2E">
        <w:rPr>
          <w:shd w:val="clear" w:color="auto" w:fill="FFFFFF"/>
        </w:rPr>
        <w:t xml:space="preserve">emu </w:t>
      </w:r>
      <w:r w:rsidRPr="000C7071">
        <w:rPr>
          <w:shd w:val="clear" w:color="auto" w:fill="FFFFFF"/>
        </w:rPr>
        <w:t>fond</w:t>
      </w:r>
      <w:r w:rsidR="00533F2E">
        <w:rPr>
          <w:shd w:val="clear" w:color="auto" w:fill="FFFFFF"/>
        </w:rPr>
        <w:t xml:space="preserve">u sa ukladá zákonná povinnosť </w:t>
      </w:r>
      <w:r w:rsidRPr="000C7071">
        <w:rPr>
          <w:shd w:val="clear" w:color="auto" w:fill="FFFFFF"/>
        </w:rPr>
        <w:t>zverejň</w:t>
      </w:r>
      <w:r w:rsidR="00533F2E">
        <w:rPr>
          <w:shd w:val="clear" w:color="auto" w:fill="FFFFFF"/>
        </w:rPr>
        <w:t xml:space="preserve">ovať </w:t>
      </w:r>
      <w:r w:rsidRPr="000C7071">
        <w:rPr>
          <w:shd w:val="clear" w:color="auto" w:fill="FFFFFF"/>
        </w:rPr>
        <w:t xml:space="preserve">do 31. decembra kalendárneho roka výzvy na poskytovanie finančných prostriedkov na účely podľa odseku 4 v sume zodpovedajúcej sume použiteľného výnosu z dražieb kvót v príslušnom kalendárnom roku.  Suma </w:t>
      </w:r>
      <w:r w:rsidR="00533F2E">
        <w:rPr>
          <w:shd w:val="clear" w:color="auto" w:fill="FFFFFF"/>
        </w:rPr>
        <w:t xml:space="preserve">zverejnená na základe výzvy </w:t>
      </w:r>
      <w:r w:rsidRPr="000C7071">
        <w:rPr>
          <w:shd w:val="clear" w:color="auto" w:fill="FFFFFF"/>
        </w:rPr>
        <w:t>sa môže zvýšiť najviac o nevyčerpanú sumu za predchádzajúce kalendárne roky.</w:t>
      </w:r>
    </w:p>
    <w:p w14:paraId="7191F3D9" w14:textId="77777777" w:rsidR="000C7071" w:rsidRPr="002A4E9B" w:rsidRDefault="000C7071" w:rsidP="000C7071">
      <w:pPr>
        <w:pStyle w:val="Odsekzoznamu"/>
        <w:shd w:val="clear" w:color="auto" w:fill="FFFFFF"/>
        <w:spacing w:after="0" w:line="240" w:lineRule="auto"/>
        <w:ind w:left="1068"/>
        <w:jc w:val="both"/>
        <w:rPr>
          <w:shd w:val="clear" w:color="auto" w:fill="FFFFFF"/>
        </w:rPr>
      </w:pPr>
    </w:p>
    <w:p w14:paraId="0B154667" w14:textId="3969ABBC" w:rsidR="005520CA" w:rsidRPr="00887007" w:rsidRDefault="005520CA" w:rsidP="005520CA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lang w:eastAsia="sk-SK"/>
        </w:rPr>
      </w:pPr>
      <w:r w:rsidRPr="00887007">
        <w:rPr>
          <w:rFonts w:eastAsia="Times New Roman"/>
          <w:b/>
          <w:bCs/>
          <w:color w:val="000000"/>
          <w:lang w:eastAsia="sk-SK"/>
        </w:rPr>
        <w:t>K bodom 4 až 6</w:t>
      </w:r>
    </w:p>
    <w:p w14:paraId="32D69C70" w14:textId="1B9A5756" w:rsidR="005520CA" w:rsidRPr="00887007" w:rsidRDefault="005520CA" w:rsidP="00E52D7A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lang w:eastAsia="sk-SK"/>
        </w:rPr>
      </w:pPr>
    </w:p>
    <w:p w14:paraId="3F95526D" w14:textId="31A1492D" w:rsidR="00222E2A" w:rsidRPr="00887007" w:rsidRDefault="00222E2A" w:rsidP="00E52D7A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  <w:r w:rsidRPr="00887007">
        <w:rPr>
          <w:rFonts w:eastAsia="Times New Roman"/>
          <w:color w:val="000000"/>
          <w:lang w:eastAsia="sk-SK"/>
        </w:rPr>
        <w:t xml:space="preserve">V bodoch 4 až 6 sa vykonávajú nevyhnutné legislatívno-technické úpravy vyvolané zmenou číslovania odsekov. </w:t>
      </w:r>
    </w:p>
    <w:p w14:paraId="41DEB505" w14:textId="77777777" w:rsidR="002C658F" w:rsidRPr="00887007" w:rsidRDefault="002C658F" w:rsidP="008559B5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lang w:eastAsia="sk-SK"/>
        </w:rPr>
      </w:pPr>
    </w:p>
    <w:p w14:paraId="486E1512" w14:textId="2E92694F" w:rsidR="008559B5" w:rsidRPr="00887007" w:rsidRDefault="008559B5" w:rsidP="008559B5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lang w:eastAsia="sk-SK"/>
        </w:rPr>
      </w:pPr>
      <w:r w:rsidRPr="00887007">
        <w:rPr>
          <w:rFonts w:eastAsia="Times New Roman"/>
          <w:b/>
          <w:bCs/>
          <w:color w:val="000000"/>
          <w:lang w:eastAsia="sk-SK"/>
        </w:rPr>
        <w:t>K čl. II</w:t>
      </w:r>
    </w:p>
    <w:p w14:paraId="204D16BD" w14:textId="77777777" w:rsidR="008559B5" w:rsidRPr="00887007" w:rsidRDefault="008559B5" w:rsidP="00C811F2">
      <w:pPr>
        <w:spacing w:after="0" w:line="240" w:lineRule="auto"/>
        <w:ind w:firstLine="708"/>
        <w:jc w:val="both"/>
        <w:rPr>
          <w:rFonts w:eastAsia="Times New Roman"/>
          <w:b/>
          <w:bCs/>
          <w:color w:val="000000"/>
          <w:lang w:eastAsia="sk-SK"/>
        </w:rPr>
      </w:pPr>
    </w:p>
    <w:p w14:paraId="1216BC60" w14:textId="4203B05C" w:rsidR="00BD27E1" w:rsidRPr="00887007" w:rsidRDefault="00ED5801" w:rsidP="00B520D0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  <w:r w:rsidRPr="00887007">
        <w:rPr>
          <w:rFonts w:eastAsia="Times New Roman"/>
          <w:color w:val="000000"/>
          <w:lang w:eastAsia="sk-SK"/>
        </w:rPr>
        <w:t>Nadobudnutie ú</w:t>
      </w:r>
      <w:r w:rsidR="00FE67F3" w:rsidRPr="00887007">
        <w:rPr>
          <w:rFonts w:eastAsia="Times New Roman"/>
          <w:color w:val="000000"/>
          <w:lang w:eastAsia="sk-SK"/>
        </w:rPr>
        <w:t>činnos</w:t>
      </w:r>
      <w:r w:rsidRPr="00887007">
        <w:rPr>
          <w:rFonts w:eastAsia="Times New Roman"/>
          <w:color w:val="000000"/>
          <w:lang w:eastAsia="sk-SK"/>
        </w:rPr>
        <w:t>ti</w:t>
      </w:r>
      <w:r w:rsidR="00FE67F3" w:rsidRPr="00887007">
        <w:rPr>
          <w:rFonts w:eastAsia="Times New Roman"/>
          <w:color w:val="000000"/>
          <w:lang w:eastAsia="sk-SK"/>
        </w:rPr>
        <w:t xml:space="preserve"> sa navrhuje </w:t>
      </w:r>
      <w:r w:rsidRPr="00887007">
        <w:rPr>
          <w:rFonts w:eastAsia="Times New Roman"/>
          <w:color w:val="000000"/>
          <w:lang w:eastAsia="sk-SK"/>
        </w:rPr>
        <w:t xml:space="preserve">na </w:t>
      </w:r>
      <w:r w:rsidR="00FE67F3" w:rsidRPr="00887007">
        <w:rPr>
          <w:rFonts w:eastAsia="Times New Roman"/>
          <w:color w:val="000000"/>
          <w:lang w:eastAsia="sk-SK"/>
        </w:rPr>
        <w:t xml:space="preserve">1. </w:t>
      </w:r>
      <w:r w:rsidR="001661C8" w:rsidRPr="00887007">
        <w:rPr>
          <w:rFonts w:eastAsia="Times New Roman"/>
          <w:color w:val="000000"/>
          <w:lang w:eastAsia="sk-SK"/>
        </w:rPr>
        <w:t xml:space="preserve">januára </w:t>
      </w:r>
      <w:r w:rsidR="00FE67F3" w:rsidRPr="00887007">
        <w:rPr>
          <w:rFonts w:eastAsia="Times New Roman"/>
          <w:color w:val="000000"/>
          <w:lang w:eastAsia="sk-SK"/>
        </w:rPr>
        <w:t>202</w:t>
      </w:r>
      <w:r w:rsidR="008559B5" w:rsidRPr="00887007">
        <w:rPr>
          <w:rFonts w:eastAsia="Times New Roman"/>
          <w:color w:val="000000"/>
          <w:lang w:eastAsia="sk-SK"/>
        </w:rPr>
        <w:t>3</w:t>
      </w:r>
      <w:r w:rsidR="00A40CE6" w:rsidRPr="00887007">
        <w:rPr>
          <w:rFonts w:eastAsia="Times New Roman"/>
          <w:color w:val="000000"/>
          <w:lang w:eastAsia="sk-SK"/>
        </w:rPr>
        <w:t xml:space="preserve">. </w:t>
      </w:r>
    </w:p>
    <w:p w14:paraId="39602348" w14:textId="383656BA" w:rsidR="002D304D" w:rsidRPr="00887007" w:rsidRDefault="002D304D" w:rsidP="00295513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17A9E1AF" w14:textId="6B43AE52" w:rsidR="002D304D" w:rsidRPr="00887007" w:rsidRDefault="002D304D" w:rsidP="00295513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</w:p>
    <w:p w14:paraId="1E835F06" w14:textId="77777777" w:rsidR="002D304D" w:rsidRPr="00887007" w:rsidRDefault="002D304D" w:rsidP="00295513">
      <w:pPr>
        <w:spacing w:after="0" w:line="240" w:lineRule="auto"/>
        <w:ind w:firstLine="708"/>
        <w:jc w:val="both"/>
      </w:pPr>
    </w:p>
    <w:sectPr w:rsidR="002D304D" w:rsidRPr="0088700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B7384" w14:textId="77777777" w:rsidR="004E7D63" w:rsidRDefault="004E7D63" w:rsidP="00ED5801">
      <w:pPr>
        <w:spacing w:after="0" w:line="240" w:lineRule="auto"/>
      </w:pPr>
      <w:r>
        <w:separator/>
      </w:r>
    </w:p>
  </w:endnote>
  <w:endnote w:type="continuationSeparator" w:id="0">
    <w:p w14:paraId="7429234F" w14:textId="77777777" w:rsidR="004E7D63" w:rsidRDefault="004E7D63" w:rsidP="00ED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AB37B" w14:textId="1550D759" w:rsidR="00ED5801" w:rsidRDefault="00ED5801">
    <w:pPr>
      <w:pStyle w:val="Pta"/>
      <w:jc w:val="center"/>
    </w:pPr>
  </w:p>
  <w:p w14:paraId="60FD9884" w14:textId="77777777" w:rsidR="00ED5801" w:rsidRDefault="00ED58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E10CB" w14:textId="77777777" w:rsidR="004E7D63" w:rsidRDefault="004E7D63" w:rsidP="00ED5801">
      <w:pPr>
        <w:spacing w:after="0" w:line="240" w:lineRule="auto"/>
      </w:pPr>
      <w:r>
        <w:separator/>
      </w:r>
    </w:p>
  </w:footnote>
  <w:footnote w:type="continuationSeparator" w:id="0">
    <w:p w14:paraId="4FADACCB" w14:textId="77777777" w:rsidR="004E7D63" w:rsidRDefault="004E7D63" w:rsidP="00ED5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01E97"/>
    <w:multiLevelType w:val="hybridMultilevel"/>
    <w:tmpl w:val="D5A804B4"/>
    <w:lvl w:ilvl="0" w:tplc="0FA217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26EDB"/>
    <w:multiLevelType w:val="hybridMultilevel"/>
    <w:tmpl w:val="15E69046"/>
    <w:lvl w:ilvl="0" w:tplc="443E499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61F03E9"/>
    <w:multiLevelType w:val="hybridMultilevel"/>
    <w:tmpl w:val="0050393A"/>
    <w:lvl w:ilvl="0" w:tplc="F6687856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7314303">
    <w:abstractNumId w:val="0"/>
  </w:num>
  <w:num w:numId="2" w16cid:durableId="19474313">
    <w:abstractNumId w:val="2"/>
  </w:num>
  <w:num w:numId="3" w16cid:durableId="2105565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F3"/>
    <w:rsid w:val="000021E5"/>
    <w:rsid w:val="00011031"/>
    <w:rsid w:val="000559FF"/>
    <w:rsid w:val="000668AA"/>
    <w:rsid w:val="000713B3"/>
    <w:rsid w:val="00074968"/>
    <w:rsid w:val="00082B94"/>
    <w:rsid w:val="00082CCE"/>
    <w:rsid w:val="00083CA6"/>
    <w:rsid w:val="00084B4B"/>
    <w:rsid w:val="000A3C72"/>
    <w:rsid w:val="000B5F7C"/>
    <w:rsid w:val="000B6789"/>
    <w:rsid w:val="000C7071"/>
    <w:rsid w:val="000F20BD"/>
    <w:rsid w:val="000F2ECC"/>
    <w:rsid w:val="00131D67"/>
    <w:rsid w:val="00132C03"/>
    <w:rsid w:val="0014328A"/>
    <w:rsid w:val="00144279"/>
    <w:rsid w:val="001661C8"/>
    <w:rsid w:val="0016771B"/>
    <w:rsid w:val="0017456C"/>
    <w:rsid w:val="00174DF4"/>
    <w:rsid w:val="00175EC2"/>
    <w:rsid w:val="001A40FD"/>
    <w:rsid w:val="001B0C52"/>
    <w:rsid w:val="001B7D0D"/>
    <w:rsid w:val="001D3795"/>
    <w:rsid w:val="001D7269"/>
    <w:rsid w:val="002069DD"/>
    <w:rsid w:val="00220001"/>
    <w:rsid w:val="002208E7"/>
    <w:rsid w:val="0022241E"/>
    <w:rsid w:val="00222E2A"/>
    <w:rsid w:val="0022794D"/>
    <w:rsid w:val="00232EED"/>
    <w:rsid w:val="0024023A"/>
    <w:rsid w:val="00261704"/>
    <w:rsid w:val="00295513"/>
    <w:rsid w:val="002B5F56"/>
    <w:rsid w:val="002C658F"/>
    <w:rsid w:val="002D304D"/>
    <w:rsid w:val="002E5F36"/>
    <w:rsid w:val="0031070D"/>
    <w:rsid w:val="003954E1"/>
    <w:rsid w:val="003A77FF"/>
    <w:rsid w:val="003B3659"/>
    <w:rsid w:val="003D1347"/>
    <w:rsid w:val="003D1D47"/>
    <w:rsid w:val="003E2A47"/>
    <w:rsid w:val="00401A40"/>
    <w:rsid w:val="00405BE7"/>
    <w:rsid w:val="00445409"/>
    <w:rsid w:val="00454013"/>
    <w:rsid w:val="004E21F5"/>
    <w:rsid w:val="004E7D63"/>
    <w:rsid w:val="004F49BF"/>
    <w:rsid w:val="004F4FC4"/>
    <w:rsid w:val="00503C0F"/>
    <w:rsid w:val="005302E5"/>
    <w:rsid w:val="00533F2E"/>
    <w:rsid w:val="00543AB4"/>
    <w:rsid w:val="005441AF"/>
    <w:rsid w:val="005461FA"/>
    <w:rsid w:val="005520CA"/>
    <w:rsid w:val="00565F37"/>
    <w:rsid w:val="005A411D"/>
    <w:rsid w:val="005A5B06"/>
    <w:rsid w:val="005C580B"/>
    <w:rsid w:val="00604889"/>
    <w:rsid w:val="00622A1A"/>
    <w:rsid w:val="0065539E"/>
    <w:rsid w:val="006949A9"/>
    <w:rsid w:val="006A0B7D"/>
    <w:rsid w:val="006D60AE"/>
    <w:rsid w:val="006D7CAE"/>
    <w:rsid w:val="006E3EAE"/>
    <w:rsid w:val="006E48FD"/>
    <w:rsid w:val="007062C5"/>
    <w:rsid w:val="00713A36"/>
    <w:rsid w:val="00716035"/>
    <w:rsid w:val="00720F54"/>
    <w:rsid w:val="00735BF8"/>
    <w:rsid w:val="00753559"/>
    <w:rsid w:val="00763EA8"/>
    <w:rsid w:val="00773401"/>
    <w:rsid w:val="00773B9D"/>
    <w:rsid w:val="00777385"/>
    <w:rsid w:val="007829D3"/>
    <w:rsid w:val="00783EE4"/>
    <w:rsid w:val="007A1161"/>
    <w:rsid w:val="007A42E6"/>
    <w:rsid w:val="007B1B0B"/>
    <w:rsid w:val="007B4B40"/>
    <w:rsid w:val="007C2047"/>
    <w:rsid w:val="007E0273"/>
    <w:rsid w:val="007E7389"/>
    <w:rsid w:val="007F233B"/>
    <w:rsid w:val="00806413"/>
    <w:rsid w:val="0081271F"/>
    <w:rsid w:val="00813170"/>
    <w:rsid w:val="00822B85"/>
    <w:rsid w:val="00823801"/>
    <w:rsid w:val="00830156"/>
    <w:rsid w:val="008559B5"/>
    <w:rsid w:val="00871000"/>
    <w:rsid w:val="00880AAF"/>
    <w:rsid w:val="00887007"/>
    <w:rsid w:val="00897620"/>
    <w:rsid w:val="008C0874"/>
    <w:rsid w:val="008D38B2"/>
    <w:rsid w:val="008E0359"/>
    <w:rsid w:val="008F602C"/>
    <w:rsid w:val="00926F35"/>
    <w:rsid w:val="00930966"/>
    <w:rsid w:val="00942D27"/>
    <w:rsid w:val="009473E3"/>
    <w:rsid w:val="00980CE6"/>
    <w:rsid w:val="00994269"/>
    <w:rsid w:val="009A4576"/>
    <w:rsid w:val="009A7EBA"/>
    <w:rsid w:val="009B5786"/>
    <w:rsid w:val="009D24AD"/>
    <w:rsid w:val="009F7788"/>
    <w:rsid w:val="00A03AF5"/>
    <w:rsid w:val="00A115DD"/>
    <w:rsid w:val="00A17B95"/>
    <w:rsid w:val="00A24C5E"/>
    <w:rsid w:val="00A25ABB"/>
    <w:rsid w:val="00A40CE6"/>
    <w:rsid w:val="00A45A59"/>
    <w:rsid w:val="00A83F6F"/>
    <w:rsid w:val="00A914F6"/>
    <w:rsid w:val="00AA5E80"/>
    <w:rsid w:val="00AC71FA"/>
    <w:rsid w:val="00AD7374"/>
    <w:rsid w:val="00AE6176"/>
    <w:rsid w:val="00AE64D6"/>
    <w:rsid w:val="00AF2653"/>
    <w:rsid w:val="00AF2FEB"/>
    <w:rsid w:val="00B14A8A"/>
    <w:rsid w:val="00B504F9"/>
    <w:rsid w:val="00B520D0"/>
    <w:rsid w:val="00B52105"/>
    <w:rsid w:val="00B74BA6"/>
    <w:rsid w:val="00B81F9E"/>
    <w:rsid w:val="00B935BA"/>
    <w:rsid w:val="00BB254B"/>
    <w:rsid w:val="00BD0A69"/>
    <w:rsid w:val="00BD27E1"/>
    <w:rsid w:val="00BF3269"/>
    <w:rsid w:val="00C45803"/>
    <w:rsid w:val="00C47548"/>
    <w:rsid w:val="00C47F0B"/>
    <w:rsid w:val="00C51938"/>
    <w:rsid w:val="00C568F0"/>
    <w:rsid w:val="00C61A3B"/>
    <w:rsid w:val="00C6333E"/>
    <w:rsid w:val="00C811F2"/>
    <w:rsid w:val="00C9310A"/>
    <w:rsid w:val="00CA2A54"/>
    <w:rsid w:val="00CA337E"/>
    <w:rsid w:val="00CD17DE"/>
    <w:rsid w:val="00CD5F67"/>
    <w:rsid w:val="00D05B18"/>
    <w:rsid w:val="00D134CD"/>
    <w:rsid w:val="00D16002"/>
    <w:rsid w:val="00D17CB3"/>
    <w:rsid w:val="00D22433"/>
    <w:rsid w:val="00D438FC"/>
    <w:rsid w:val="00D47B8B"/>
    <w:rsid w:val="00D74C6F"/>
    <w:rsid w:val="00D77666"/>
    <w:rsid w:val="00D860BE"/>
    <w:rsid w:val="00DA4CA3"/>
    <w:rsid w:val="00DA5842"/>
    <w:rsid w:val="00DA7AEF"/>
    <w:rsid w:val="00DD0327"/>
    <w:rsid w:val="00DD15D9"/>
    <w:rsid w:val="00DD220B"/>
    <w:rsid w:val="00DE0A66"/>
    <w:rsid w:val="00DE6291"/>
    <w:rsid w:val="00DF2228"/>
    <w:rsid w:val="00E020A2"/>
    <w:rsid w:val="00E13359"/>
    <w:rsid w:val="00E52D7A"/>
    <w:rsid w:val="00E651FD"/>
    <w:rsid w:val="00E67B22"/>
    <w:rsid w:val="00E67D16"/>
    <w:rsid w:val="00EC5225"/>
    <w:rsid w:val="00ED5801"/>
    <w:rsid w:val="00EE1417"/>
    <w:rsid w:val="00F17BFB"/>
    <w:rsid w:val="00F47109"/>
    <w:rsid w:val="00F567AF"/>
    <w:rsid w:val="00F77EF6"/>
    <w:rsid w:val="00F87E2B"/>
    <w:rsid w:val="00F90457"/>
    <w:rsid w:val="00F95456"/>
    <w:rsid w:val="00FB3F3A"/>
    <w:rsid w:val="00FC03A8"/>
    <w:rsid w:val="00FC1AD6"/>
    <w:rsid w:val="00FC4BAD"/>
    <w:rsid w:val="00FE67F3"/>
    <w:rsid w:val="00FF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D5B0"/>
  <w15:chartTrackingRefBased/>
  <w15:docId w15:val="{D8503961-E415-4275-8464-DDAEF230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67F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5801"/>
  </w:style>
  <w:style w:type="paragraph" w:styleId="Pta">
    <w:name w:val="footer"/>
    <w:basedOn w:val="Normlny"/>
    <w:link w:val="Pt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5801"/>
  </w:style>
  <w:style w:type="character" w:styleId="Hypertextovprepojenie">
    <w:name w:val="Hyperlink"/>
    <w:basedOn w:val="Predvolenpsmoodseku"/>
    <w:uiPriority w:val="99"/>
    <w:semiHidden/>
    <w:unhideWhenUsed/>
    <w:rsid w:val="005461FA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7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7EBA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CA2A5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A2A5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A2A5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A2A5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A2A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2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530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167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088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5583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9039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371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51046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418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2020</dc:creator>
  <cp:keywords/>
  <dc:description/>
  <cp:lastModifiedBy>Andrej Pitonak</cp:lastModifiedBy>
  <cp:revision>11</cp:revision>
  <cp:lastPrinted>2020-12-17T09:22:00Z</cp:lastPrinted>
  <dcterms:created xsi:type="dcterms:W3CDTF">2022-08-26T09:38:00Z</dcterms:created>
  <dcterms:modified xsi:type="dcterms:W3CDTF">2022-08-26T09:47:00Z</dcterms:modified>
</cp:coreProperties>
</file>