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376C9" w14:textId="77777777" w:rsidR="00366E68" w:rsidRDefault="00366E68" w:rsidP="00366E6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14:paraId="76D0AE3F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366E68" w14:paraId="72EF973A" w14:textId="77777777" w:rsidTr="00576EAC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EB9A4A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366E68" w14:paraId="7144E8DD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C897B1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366E68" w14:paraId="39719E43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BA664B0" w14:textId="48A42DF9" w:rsidR="00366E68" w:rsidRDefault="00E86F00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E86F00">
              <w:rPr>
                <w:rFonts w:ascii="Times" w:hAnsi="Times" w:cs="Times"/>
                <w:sz w:val="20"/>
                <w:szCs w:val="20"/>
              </w:rPr>
              <w:t>Návrh</w:t>
            </w:r>
            <w:r w:rsidR="00B4029B" w:rsidRPr="00B4029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A7ADC" w:rsidRPr="00BA7ADC">
              <w:rPr>
                <w:rFonts w:ascii="Times" w:hAnsi="Times" w:cs="Times"/>
                <w:sz w:val="20"/>
                <w:szCs w:val="20"/>
              </w:rPr>
              <w:t xml:space="preserve">zákona, ktorým sa mení </w:t>
            </w:r>
            <w:r w:rsidR="00F64230">
              <w:rPr>
                <w:rFonts w:ascii="Times" w:hAnsi="Times" w:cs="Times"/>
                <w:sz w:val="20"/>
                <w:szCs w:val="20"/>
              </w:rPr>
              <w:t xml:space="preserve">a dopĺňa </w:t>
            </w:r>
            <w:r w:rsidR="00BA7ADC" w:rsidRPr="00BA7ADC">
              <w:rPr>
                <w:rFonts w:ascii="Times" w:hAnsi="Times" w:cs="Times"/>
                <w:sz w:val="20"/>
                <w:szCs w:val="20"/>
              </w:rPr>
              <w:t>zákon č. 447/2008 Z. z. o peňažných príspevkoch na kompenzáciu ťažkého zdravotného postihnutia v znení neskorších predpisov</w:t>
            </w:r>
          </w:p>
        </w:tc>
      </w:tr>
      <w:tr w:rsidR="00366E68" w14:paraId="34A7A8F0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6D1409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366E68" w14:paraId="2FF9848C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1F08CEFD" w14:textId="11D06709" w:rsidR="00366E68" w:rsidRDefault="00693B46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693B46">
              <w:rPr>
                <w:rFonts w:ascii="Times" w:hAnsi="Times" w:cs="Times"/>
                <w:sz w:val="20"/>
                <w:szCs w:val="20"/>
              </w:rPr>
              <w:t>Poslan</w:t>
            </w:r>
            <w:r w:rsidR="0052215C">
              <w:rPr>
                <w:rFonts w:ascii="Times" w:hAnsi="Times" w:cs="Times"/>
                <w:sz w:val="20"/>
                <w:szCs w:val="20"/>
              </w:rPr>
              <w:t>kyňa</w:t>
            </w:r>
            <w:r w:rsidRPr="00693B46">
              <w:rPr>
                <w:rFonts w:ascii="Times" w:hAnsi="Times" w:cs="Times"/>
                <w:sz w:val="20"/>
                <w:szCs w:val="20"/>
              </w:rPr>
              <w:t xml:space="preserve"> Národnej rady Slovenskej republiky</w:t>
            </w:r>
            <w:r w:rsidR="002A21C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52215C">
              <w:rPr>
                <w:rFonts w:ascii="Times" w:hAnsi="Times" w:cs="Times"/>
                <w:sz w:val="20"/>
                <w:szCs w:val="20"/>
              </w:rPr>
              <w:t>Jana ŽITŇANSKÁ</w:t>
            </w:r>
          </w:p>
        </w:tc>
      </w:tr>
      <w:tr w:rsidR="00366E68" w14:paraId="5A0E92F7" w14:textId="77777777" w:rsidTr="00576EAC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25EB106" w14:textId="77777777" w:rsidR="00366E68" w:rsidRDefault="00366E68" w:rsidP="00576EAC">
            <w:pPr>
              <w:spacing w:line="276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5B9F59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366E68" w14:paraId="78EEA05B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8FF0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4BCC55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366E68" w14:paraId="58DF6CE7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AC0C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712D7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366E68" w14:paraId="5730F484" w14:textId="77777777" w:rsidTr="00576EAC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E61C0DF" w14:textId="77777777" w:rsidR="00366E68" w:rsidRDefault="00366E68" w:rsidP="00576EAC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3E9E57A8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C214D1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49621DF" w14:textId="042F737F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</w:r>
          </w:p>
        </w:tc>
      </w:tr>
      <w:tr w:rsidR="00366E68" w14:paraId="4DB0D3A5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B95946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146A50F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466D894B" w14:textId="77777777" w:rsidTr="00576EAC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3B4387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03E6C05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7338EB38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69A4AF8A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0A9400F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DEF260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366E68" w14:paraId="184A683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AF6C758" w14:textId="00E5523E" w:rsidR="00366E68" w:rsidRPr="00CB0F40" w:rsidRDefault="000550D7" w:rsidP="00FB0F06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Podľa súčasne účinného znenia zákona č. 447/2008 Z. z. </w:t>
            </w:r>
            <w:r w:rsidRPr="000550D7">
              <w:rPr>
                <w:rFonts w:ascii="Times" w:hAnsi="Times" w:cs="Times"/>
                <w:sz w:val="20"/>
                <w:szCs w:val="20"/>
              </w:rPr>
              <w:t xml:space="preserve">o peňažných príspevkoch na kompenzáciu ťažkého zdravotného postihnutia v znení neskorších predpisov </w:t>
            </w:r>
            <w:r w:rsidR="000008ED">
              <w:rPr>
                <w:rFonts w:ascii="Times" w:hAnsi="Times" w:cs="Times"/>
                <w:sz w:val="20"/>
                <w:szCs w:val="20"/>
              </w:rPr>
              <w:t xml:space="preserve">je možné posúdiť žiadosť o peňažný príspevok na osobnú asistenciu a rozsah osobnej asistencie výlučne pre súčasné potreby osoby so zdravotným postihnutím, pričom pokiaľ je osobe so zdravotným postihnutím poskytovaná celoročná pobytová sociálna služba, </w:t>
            </w:r>
            <w:r w:rsidR="000008ED" w:rsidRPr="000008ED">
              <w:rPr>
                <w:rFonts w:ascii="Times" w:hAnsi="Times" w:cs="Times"/>
                <w:sz w:val="20"/>
                <w:szCs w:val="20"/>
              </w:rPr>
              <w:t xml:space="preserve">je možné </w:t>
            </w:r>
            <w:r w:rsidR="000008ED">
              <w:rPr>
                <w:rFonts w:ascii="Times" w:hAnsi="Times" w:cs="Times"/>
                <w:sz w:val="20"/>
                <w:szCs w:val="20"/>
              </w:rPr>
              <w:t>jej</w:t>
            </w:r>
            <w:r w:rsidR="000008ED" w:rsidRPr="000008ED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F64230">
              <w:rPr>
                <w:rFonts w:ascii="Times" w:hAnsi="Times" w:cs="Times"/>
                <w:sz w:val="20"/>
                <w:szCs w:val="20"/>
              </w:rPr>
              <w:t xml:space="preserve">posúdiť a </w:t>
            </w:r>
            <w:r w:rsidR="000008ED" w:rsidRPr="000008ED">
              <w:rPr>
                <w:rFonts w:ascii="Times" w:hAnsi="Times" w:cs="Times"/>
                <w:sz w:val="20"/>
                <w:szCs w:val="20"/>
              </w:rPr>
              <w:t xml:space="preserve">priznať peňažný príspevok na osobnú asistenciu iba </w:t>
            </w:r>
            <w:r w:rsidR="000008ED">
              <w:rPr>
                <w:rFonts w:ascii="Times" w:hAnsi="Times" w:cs="Times"/>
                <w:sz w:val="20"/>
                <w:szCs w:val="20"/>
              </w:rPr>
              <w:t>v</w:t>
            </w:r>
            <w:r w:rsidR="000008ED" w:rsidRPr="000008ED">
              <w:rPr>
                <w:rFonts w:ascii="Times" w:hAnsi="Times" w:cs="Times"/>
                <w:sz w:val="20"/>
                <w:szCs w:val="20"/>
              </w:rPr>
              <w:t xml:space="preserve"> rozsah</w:t>
            </w:r>
            <w:r w:rsidR="000008ED">
              <w:rPr>
                <w:rFonts w:ascii="Times" w:hAnsi="Times" w:cs="Times"/>
                <w:sz w:val="20"/>
                <w:szCs w:val="20"/>
              </w:rPr>
              <w:t>u</w:t>
            </w:r>
            <w:r w:rsidR="000008ED" w:rsidRPr="000008ED">
              <w:rPr>
                <w:rFonts w:ascii="Times" w:hAnsi="Times" w:cs="Times"/>
                <w:sz w:val="20"/>
                <w:szCs w:val="20"/>
              </w:rPr>
              <w:t xml:space="preserve"> asistencie pri sprevádzaní odkázanej osoby z a do školy či školského zariadenia mimo priestorov zariadenia sociálnych služieb.</w:t>
            </w:r>
            <w:r w:rsidR="000008ED">
              <w:rPr>
                <w:rFonts w:ascii="Times" w:hAnsi="Times" w:cs="Times"/>
                <w:sz w:val="20"/>
                <w:szCs w:val="20"/>
              </w:rPr>
              <w:t xml:space="preserve"> Pokiaľ však osoba so zdravotným postihnutím plánuje požiadať o ukončenie poskytovania celoročnej pobytovej sociálnej služby,</w:t>
            </w:r>
            <w:r w:rsidR="00F64230">
              <w:rPr>
                <w:rFonts w:ascii="Times" w:hAnsi="Times" w:cs="Times"/>
                <w:sz w:val="20"/>
                <w:szCs w:val="20"/>
              </w:rPr>
              <w:t xml:space="preserve"> môže o peňažný príspevok na osobnú asistenciu požiadať až po ukončení poskytovania celoročnej pobytovej sociálnej služby a</w:t>
            </w:r>
            <w:r w:rsidR="000008ED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0008ED" w:rsidRPr="000008ED">
              <w:rPr>
                <w:rFonts w:ascii="Times" w:hAnsi="Times" w:cs="Times"/>
                <w:sz w:val="20"/>
                <w:szCs w:val="20"/>
              </w:rPr>
              <w:t>mus</w:t>
            </w:r>
            <w:r w:rsidR="000008ED">
              <w:rPr>
                <w:rFonts w:ascii="Times" w:hAnsi="Times" w:cs="Times"/>
                <w:sz w:val="20"/>
                <w:szCs w:val="20"/>
              </w:rPr>
              <w:t>í</w:t>
            </w:r>
            <w:r w:rsidR="000008ED" w:rsidRPr="000008ED">
              <w:rPr>
                <w:rFonts w:ascii="Times" w:hAnsi="Times" w:cs="Times"/>
                <w:sz w:val="20"/>
                <w:szCs w:val="20"/>
              </w:rPr>
              <w:t xml:space="preserve"> si do času, kedy </w:t>
            </w:r>
            <w:r w:rsidR="000008ED">
              <w:rPr>
                <w:rFonts w:ascii="Times" w:hAnsi="Times" w:cs="Times"/>
                <w:sz w:val="20"/>
                <w:szCs w:val="20"/>
              </w:rPr>
              <w:t>jej</w:t>
            </w:r>
            <w:r w:rsidR="000008ED" w:rsidRPr="000008ED">
              <w:rPr>
                <w:rFonts w:ascii="Times" w:hAnsi="Times" w:cs="Times"/>
                <w:sz w:val="20"/>
                <w:szCs w:val="20"/>
              </w:rPr>
              <w:t xml:space="preserve"> bude žiadosť posúdená, hradiť osobných asistentov z vlastných prostriedkov, čo je pre väčšinu finančne neúnosné. Naviac, keďže neexistuje </w:t>
            </w:r>
            <w:proofErr w:type="spellStart"/>
            <w:r w:rsidR="000008ED" w:rsidRPr="000008ED">
              <w:rPr>
                <w:rFonts w:ascii="Times" w:hAnsi="Times" w:cs="Times"/>
                <w:sz w:val="20"/>
                <w:szCs w:val="20"/>
              </w:rPr>
              <w:t>nárokovosť</w:t>
            </w:r>
            <w:proofErr w:type="spellEnd"/>
            <w:r w:rsidR="000008ED" w:rsidRPr="000008ED">
              <w:rPr>
                <w:rFonts w:ascii="Times" w:hAnsi="Times" w:cs="Times"/>
                <w:sz w:val="20"/>
                <w:szCs w:val="20"/>
              </w:rPr>
              <w:t xml:space="preserve"> takéhoto peňažného príspevku, jeho priznanie nie je isté.</w:t>
            </w:r>
            <w:r w:rsidR="000008ED">
              <w:rPr>
                <w:rFonts w:ascii="Times" w:hAnsi="Times" w:cs="Times"/>
                <w:sz w:val="20"/>
                <w:szCs w:val="20"/>
              </w:rPr>
              <w:t xml:space="preserve"> Súčasný právny stav tak predstavuje prekážku osamostatnenia sa osôb so zdravotným postihnutím a cieľov deinštitucionalizácie.</w:t>
            </w:r>
          </w:p>
        </w:tc>
      </w:tr>
      <w:tr w:rsidR="00366E68" w14:paraId="2B81D7D3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CD98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366E68" w14:paraId="01DB196A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F419418" w14:textId="23A31132" w:rsidR="00E86F00" w:rsidRDefault="00CB39F0" w:rsidP="00576EAC">
            <w:pPr>
              <w:spacing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CB39F0">
              <w:rPr>
                <w:rFonts w:ascii="Times" w:hAnsi="Times" w:cs="Times"/>
                <w:sz w:val="20"/>
                <w:szCs w:val="20"/>
              </w:rPr>
              <w:t xml:space="preserve">Cieľom predloženej novely zákona č. </w:t>
            </w:r>
            <w:r w:rsidR="000550D7">
              <w:rPr>
                <w:rFonts w:ascii="Times" w:hAnsi="Times" w:cs="Times"/>
                <w:sz w:val="20"/>
                <w:szCs w:val="20"/>
              </w:rPr>
              <w:t>447</w:t>
            </w:r>
            <w:r w:rsidRPr="00CB39F0">
              <w:rPr>
                <w:rFonts w:ascii="Times" w:hAnsi="Times" w:cs="Times"/>
                <w:sz w:val="20"/>
                <w:szCs w:val="20"/>
              </w:rPr>
              <w:t>/200</w:t>
            </w:r>
            <w:r w:rsidR="000550D7">
              <w:rPr>
                <w:rFonts w:ascii="Times" w:hAnsi="Times" w:cs="Times"/>
                <w:sz w:val="20"/>
                <w:szCs w:val="20"/>
              </w:rPr>
              <w:t>8</w:t>
            </w:r>
            <w:r w:rsidRPr="00CB39F0">
              <w:rPr>
                <w:rFonts w:ascii="Times" w:hAnsi="Times" w:cs="Times"/>
                <w:sz w:val="20"/>
                <w:szCs w:val="20"/>
              </w:rPr>
              <w:t xml:space="preserve"> Z. z. </w:t>
            </w:r>
            <w:r w:rsidR="000550D7" w:rsidRPr="000550D7">
              <w:rPr>
                <w:rFonts w:ascii="Times" w:hAnsi="Times" w:cs="Times"/>
                <w:sz w:val="20"/>
                <w:szCs w:val="20"/>
              </w:rPr>
              <w:t xml:space="preserve">o peňažných príspevkoch na kompenzáciu ťažkého zdravotného postihnutia v znení neskorších predpisov 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je </w:t>
            </w:r>
            <w:r w:rsidR="000008ED">
              <w:rPr>
                <w:rFonts w:ascii="Times" w:hAnsi="Times" w:cs="Times"/>
                <w:sz w:val="20"/>
                <w:szCs w:val="20"/>
              </w:rPr>
              <w:t xml:space="preserve">umožniť osobe so zdravotným postihnutím, ktorej sa poskytuje celoročná pobytová sociálna služba, aby požiadala o posúdenie žiadosti o osobnú asistenciu ešte počas poskytovania tejto sociálnej služby s ohľadom na jej budúce potreby po ukončení poskytovania celoročnej pobytovej sociálnej služby a zahájení samostatného života. </w:t>
            </w:r>
          </w:p>
        </w:tc>
      </w:tr>
      <w:tr w:rsidR="00366E68" w14:paraId="10EC0EB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D6AAFE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366E68" w14:paraId="49AA983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4AFC3C85" w14:textId="2948AF26" w:rsidR="005644DD" w:rsidRDefault="000008ED" w:rsidP="000550D7">
            <w:pPr>
              <w:spacing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Osoby so zdravotným postihnutím, ktorým sa poskytuje celoročná pobytová sociálna služba, a ktoré plánujú požiadať o jej ukončenie a zahájiť samostatný život za pomoci osobných asistentov.</w:t>
            </w:r>
          </w:p>
        </w:tc>
      </w:tr>
      <w:tr w:rsidR="00366E68" w14:paraId="30D6BE61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09DCD3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366E68" w14:paraId="2520C94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9524B55" w14:textId="217FDC57" w:rsidR="00366E68" w:rsidRPr="00E86F00" w:rsidRDefault="00E86F00" w:rsidP="00E86F00">
            <w:pPr>
              <w:pStyle w:val="Odsekzoznamu"/>
              <w:spacing w:line="276" w:lineRule="auto"/>
              <w:ind w:left="405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4504887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5D69AF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366E68" w14:paraId="2CD70A8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9F5269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lastRenderedPageBreak/>
              <w:t xml:space="preserve">Predpokladá sa prijatie/zmena vykonávacích predpisov?                           </w:t>
            </w:r>
            <w:r w:rsidR="00FE30F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Áno           </w:t>
            </w:r>
            <w:r w:rsidR="00FE30F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Nie</w:t>
            </w:r>
          </w:p>
        </w:tc>
      </w:tr>
      <w:tr w:rsidR="00366E68" w14:paraId="561D1DC7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0BBF7C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366E68" w14:paraId="0D25AD9D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60C33A2" w14:textId="44CA1D2B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0EFC9136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218C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366E68" w14:paraId="74CCE35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A5B8A14" w14:textId="02A1B256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</w:tbl>
    <w:p w14:paraId="733AD579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331C84CF" w14:textId="77777777" w:rsidR="00366E68" w:rsidRDefault="00366E68" w:rsidP="00366E68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681FCACB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** nepovinné</w:t>
      </w:r>
    </w:p>
    <w:p w14:paraId="26B3C688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59D421C0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366E68" w14:paraId="6D5C1545" w14:textId="77777777" w:rsidTr="00576EAC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A1FB47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366E68" w14:paraId="172D205A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0A8ED8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E33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045B0" w14:textId="1B8235F1" w:rsidR="00366E68" w:rsidRDefault="000008ED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Wingdings 2" w:hAnsi="Wingdings 2" w:cs="Times"/>
                <w:sz w:val="20"/>
                <w:szCs w:val="20"/>
              </w:rPr>
              <w:t>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="00366E68">
              <w:rPr>
                <w:rFonts w:ascii="Times" w:hAnsi="Times" w:cs="Times"/>
                <w:sz w:val="20"/>
                <w:szCs w:val="20"/>
              </w:rPr>
              <w:t xml:space="preserve">  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0AE3B7D" w14:textId="312B97BF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0008ED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0008ED">
              <w:rPr>
                <w:rFonts w:ascii="Wingdings 2" w:hAnsi="Wingdings 2" w:cs="Times"/>
                <w:sz w:val="28"/>
                <w:szCs w:val="28"/>
              </w:rPr>
              <w:t></w:t>
            </w:r>
            <w:r>
              <w:rPr>
                <w:rFonts w:ascii="Times" w:hAnsi="Times" w:cs="Times"/>
                <w:sz w:val="20"/>
                <w:szCs w:val="20"/>
              </w:rPr>
              <w:t>Negatívne</w:t>
            </w:r>
          </w:p>
        </w:tc>
      </w:tr>
      <w:tr w:rsidR="00366E68" w14:paraId="1273E62C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ECC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5402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9CCE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666025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366E68" w14:paraId="4ECF828F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351EC6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794D1" w14:textId="4FD93C5E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0550D7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0550D7" w:rsidRPr="00235E06"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35E06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50EDC" w14:textId="7EF991F4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 </w:t>
            </w:r>
            <w:r w:rsidR="000550D7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B4029B" w:rsidRPr="00235E0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F58054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1F5D726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074E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18A4D" w14:textId="356918F1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0550D7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0550D7" w:rsidRPr="00235E06"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35E06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37148" w14:textId="670DDCD8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0550D7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6DDB1A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1C4AC6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F4B811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4BA68" w14:textId="13A97173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8B358E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FFA47" w14:textId="6672155A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8B358E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3E814F1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F312A92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117C7D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A2859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AB35F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C5049EE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7E8FF1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C3AE74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83AA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F1605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C7CB99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7BD7407C" w14:textId="77777777" w:rsidTr="00576EAC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0900854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C3D9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43AE7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884705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43346182" w14:textId="77777777" w:rsidTr="00576EAC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1C56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ED55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A302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13757E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8A46861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B8D863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347C0" w14:textId="446DD880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 w:rsidR="000550D7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B4029B">
              <w:rPr>
                <w:rFonts w:ascii="Times" w:hAnsi="Times" w:cs="Times"/>
                <w:sz w:val="20"/>
                <w:szCs w:val="20"/>
              </w:rPr>
              <w:t xml:space="preserve">   </w:t>
            </w:r>
            <w:r>
              <w:rPr>
                <w:rFonts w:ascii="Times" w:hAnsi="Times" w:cs="Times"/>
                <w:sz w:val="20"/>
                <w:szCs w:val="20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43AB5" w14:textId="6ADFAF51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0550D7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0550D7">
              <w:rPr>
                <w:rFonts w:ascii="Wingdings 2" w:hAnsi="Wingdings 2" w:cs="Times"/>
                <w:sz w:val="28"/>
                <w:szCs w:val="28"/>
              </w:rPr>
              <w:t></w:t>
            </w:r>
            <w:r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90D272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2644F6EE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3EC1C9F3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1930A5D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2B6D3FA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366E68" w14:paraId="1C999FA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A57FD34" w14:textId="77777777" w:rsidR="00366E68" w:rsidRDefault="00366E68" w:rsidP="00576EAC">
            <w:pPr>
              <w:pStyle w:val="Normlnywebov"/>
              <w:spacing w:before="0" w:beforeAutospacing="0" w:after="0" w:afterAutospacing="0"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014F7F5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C8E11D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366E68" w14:paraId="1558F2F7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1D3CC7E" w14:textId="1A96C17B" w:rsidR="00366E68" w:rsidRDefault="00BC2B49" w:rsidP="00576EAC">
            <w:pPr>
              <w:pStyle w:val="Normlnywebov"/>
              <w:spacing w:before="0" w:beforeAutospacing="0" w:after="0" w:afterAutospacing="0"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jana.zitnanska</w:t>
            </w:r>
            <w:r w:rsidR="00FB0F06">
              <w:rPr>
                <w:rFonts w:ascii="Times" w:hAnsi="Times" w:cs="Times"/>
                <w:sz w:val="20"/>
                <w:szCs w:val="20"/>
              </w:rPr>
              <w:t>@nrsr.sk</w:t>
            </w:r>
          </w:p>
        </w:tc>
      </w:tr>
      <w:tr w:rsidR="00366E68" w14:paraId="5B048672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106DAFF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366E68" w14:paraId="32AB8195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7A6BCF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52F49BA4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896F9A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366E68" w14:paraId="6240B379" w14:textId="77777777" w:rsidTr="00576EAC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D03B4EE" w14:textId="77777777" w:rsidR="00366E68" w:rsidRDefault="00366E68" w:rsidP="00576EA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3CC9F134" w14:textId="77777777" w:rsidR="00B4029B" w:rsidRDefault="00B4029B" w:rsidP="000550D7">
      <w:pPr>
        <w:rPr>
          <w:b/>
          <w:caps/>
          <w:spacing w:val="30"/>
          <w:sz w:val="25"/>
          <w:szCs w:val="25"/>
        </w:rPr>
      </w:pPr>
    </w:p>
    <w:p w14:paraId="21DAABDA" w14:textId="77777777" w:rsidR="00B4029B" w:rsidRDefault="00B4029B" w:rsidP="002363CC">
      <w:pPr>
        <w:jc w:val="center"/>
        <w:rPr>
          <w:b/>
          <w:caps/>
          <w:spacing w:val="30"/>
          <w:sz w:val="25"/>
          <w:szCs w:val="25"/>
        </w:rPr>
      </w:pPr>
    </w:p>
    <w:p w14:paraId="62D75839" w14:textId="2A372D89" w:rsidR="002363CC" w:rsidRDefault="002363CC" w:rsidP="002363CC">
      <w:pPr>
        <w:jc w:val="center"/>
        <w:rPr>
          <w:b/>
          <w:caps/>
          <w:spacing w:val="30"/>
          <w:sz w:val="25"/>
          <w:szCs w:val="25"/>
        </w:rPr>
      </w:pPr>
      <w:r>
        <w:rPr>
          <w:b/>
          <w:caps/>
          <w:spacing w:val="30"/>
          <w:sz w:val="25"/>
          <w:szCs w:val="25"/>
        </w:rPr>
        <w:lastRenderedPageBreak/>
        <w:t>Doložka zlučiteľnosti</w:t>
      </w:r>
    </w:p>
    <w:p w14:paraId="7A607977" w14:textId="77777777" w:rsidR="002363CC" w:rsidRDefault="002363CC" w:rsidP="002363C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návrhu právneho predpisu s právom Európskej únie</w:t>
      </w:r>
    </w:p>
    <w:p w14:paraId="6220C69C" w14:textId="77777777" w:rsidR="002363CC" w:rsidRDefault="002363CC" w:rsidP="002363CC">
      <w:pPr>
        <w:jc w:val="center"/>
        <w:rPr>
          <w:b/>
          <w:sz w:val="25"/>
          <w:szCs w:val="25"/>
        </w:rPr>
      </w:pPr>
    </w:p>
    <w:p w14:paraId="1E703C98" w14:textId="77777777" w:rsidR="002363CC" w:rsidRDefault="002363CC" w:rsidP="002363CC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2363CC" w14:paraId="09E15481" w14:textId="77777777" w:rsidTr="00275CA9">
        <w:tc>
          <w:tcPr>
            <w:tcW w:w="404" w:type="dxa"/>
            <w:hideMark/>
          </w:tcPr>
          <w:p w14:paraId="52D1589A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hideMark/>
          </w:tcPr>
          <w:p w14:paraId="4440ED6D" w14:textId="6FD4355F" w:rsidR="002363CC" w:rsidRDefault="002363CC" w:rsidP="00275CA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Navrhovateľ právneho predpisu: </w:t>
            </w:r>
            <w:r w:rsidRPr="00693B46">
              <w:rPr>
                <w:sz w:val="25"/>
                <w:szCs w:val="25"/>
              </w:rPr>
              <w:t>Poslan</w:t>
            </w:r>
            <w:r w:rsidR="00BC2B49">
              <w:rPr>
                <w:sz w:val="25"/>
                <w:szCs w:val="25"/>
              </w:rPr>
              <w:t>kyňa</w:t>
            </w:r>
            <w:r w:rsidRPr="00693B46">
              <w:rPr>
                <w:sz w:val="25"/>
                <w:szCs w:val="25"/>
              </w:rPr>
              <w:t xml:space="preserve"> Národnej rady Slovenskej republiky</w:t>
            </w:r>
            <w:r w:rsidR="00FB0F06">
              <w:rPr>
                <w:sz w:val="25"/>
                <w:szCs w:val="25"/>
              </w:rPr>
              <w:t xml:space="preserve"> </w:t>
            </w:r>
            <w:r w:rsidR="00BC2B49">
              <w:rPr>
                <w:sz w:val="25"/>
                <w:szCs w:val="25"/>
              </w:rPr>
              <w:t>Jana ŽITŇANSK</w:t>
            </w:r>
            <w:r w:rsidR="00D42C39">
              <w:rPr>
                <w:sz w:val="25"/>
                <w:szCs w:val="25"/>
              </w:rPr>
              <w:t>Á</w:t>
            </w:r>
          </w:p>
        </w:tc>
      </w:tr>
      <w:tr w:rsidR="002363CC" w14:paraId="0F799670" w14:textId="77777777" w:rsidTr="00275CA9">
        <w:tc>
          <w:tcPr>
            <w:tcW w:w="404" w:type="dxa"/>
          </w:tcPr>
          <w:p w14:paraId="24738D8A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0009B536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79F6D476" w14:textId="77777777" w:rsidTr="00275CA9">
        <w:tc>
          <w:tcPr>
            <w:tcW w:w="404" w:type="dxa"/>
            <w:hideMark/>
          </w:tcPr>
          <w:p w14:paraId="468CF48C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hideMark/>
          </w:tcPr>
          <w:p w14:paraId="288E6649" w14:textId="4576310B" w:rsidR="002363CC" w:rsidRDefault="002363CC" w:rsidP="00C75541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Názov návrhu právneho predpisu:</w:t>
            </w:r>
            <w:r>
              <w:rPr>
                <w:sz w:val="25"/>
                <w:szCs w:val="25"/>
              </w:rPr>
              <w:t xml:space="preserve">  </w:t>
            </w:r>
            <w:r w:rsidR="00BC2B49" w:rsidRPr="00BC2B49">
              <w:rPr>
                <w:sz w:val="25"/>
                <w:szCs w:val="25"/>
              </w:rPr>
              <w:t xml:space="preserve">Návrh zákona, </w:t>
            </w:r>
            <w:r w:rsidR="000550D7" w:rsidRPr="000550D7">
              <w:rPr>
                <w:sz w:val="25"/>
                <w:szCs w:val="25"/>
              </w:rPr>
              <w:t>ktorým sa</w:t>
            </w:r>
            <w:r w:rsidR="000550D7">
              <w:rPr>
                <w:sz w:val="25"/>
                <w:szCs w:val="25"/>
              </w:rPr>
              <w:t xml:space="preserve"> </w:t>
            </w:r>
            <w:r w:rsidR="000550D7" w:rsidRPr="000550D7">
              <w:rPr>
                <w:sz w:val="25"/>
                <w:szCs w:val="25"/>
              </w:rPr>
              <w:t xml:space="preserve">mení </w:t>
            </w:r>
            <w:r w:rsidR="00F64230">
              <w:rPr>
                <w:sz w:val="25"/>
                <w:szCs w:val="25"/>
              </w:rPr>
              <w:t xml:space="preserve">a dopĺňa </w:t>
            </w:r>
            <w:bookmarkStart w:id="0" w:name="_GoBack"/>
            <w:bookmarkEnd w:id="0"/>
            <w:r w:rsidR="000550D7" w:rsidRPr="000550D7">
              <w:rPr>
                <w:sz w:val="25"/>
                <w:szCs w:val="25"/>
              </w:rPr>
              <w:t xml:space="preserve">zákon č. 447/2008 Z. z. o peňažných príspevkoch na kompenzáciu ťažkého zdravotného postihnutia v znení neskorších predpisov </w:t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>
              <w:rPr>
                <w:sz w:val="25"/>
                <w:szCs w:val="25"/>
              </w:rPr>
              <w:fldChar w:fldCharType="end"/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>
              <w:rPr>
                <w:sz w:val="25"/>
                <w:szCs w:val="25"/>
              </w:rPr>
              <w:fldChar w:fldCharType="end"/>
            </w:r>
          </w:p>
        </w:tc>
      </w:tr>
      <w:tr w:rsidR="002363CC" w14:paraId="0960CA99" w14:textId="77777777" w:rsidTr="00275CA9">
        <w:tc>
          <w:tcPr>
            <w:tcW w:w="404" w:type="dxa"/>
          </w:tcPr>
          <w:p w14:paraId="0D4199D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8B6D6F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4391B6C4" w14:textId="77777777" w:rsidTr="00275CA9">
        <w:tc>
          <w:tcPr>
            <w:tcW w:w="404" w:type="dxa"/>
            <w:hideMark/>
          </w:tcPr>
          <w:p w14:paraId="61490A66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3A0C7D4F" w14:textId="377B9A5E" w:rsidR="00D42C39" w:rsidRDefault="002363CC" w:rsidP="00D42C3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 návrhu právneho predpisu:</w:t>
            </w:r>
          </w:p>
          <w:p w14:paraId="698F8FEF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069F0198" w14:textId="77777777" w:rsidTr="00275CA9">
        <w:tc>
          <w:tcPr>
            <w:tcW w:w="404" w:type="dxa"/>
          </w:tcPr>
          <w:p w14:paraId="481D491B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02646824" w14:textId="386F253B" w:rsidR="00BC2B49" w:rsidRDefault="006A7FB4" w:rsidP="00BC2B4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nie </w:t>
            </w:r>
            <w:r w:rsidR="002363CC" w:rsidRPr="00BC2B49">
              <w:rPr>
                <w:color w:val="000000"/>
                <w:sz w:val="25"/>
                <w:szCs w:val="25"/>
              </w:rPr>
              <w:t>je upravený v primárnom práve Európskej únie</w:t>
            </w:r>
          </w:p>
          <w:p w14:paraId="62E128BC" w14:textId="77777777" w:rsidR="006A7FB4" w:rsidRPr="006A7FB4" w:rsidRDefault="006A7FB4" w:rsidP="006A7FB4">
            <w:pPr>
              <w:pStyle w:val="Odsekzoznamu"/>
              <w:rPr>
                <w:color w:val="000000"/>
                <w:sz w:val="25"/>
                <w:szCs w:val="25"/>
              </w:rPr>
            </w:pPr>
          </w:p>
          <w:p w14:paraId="272D13D9" w14:textId="078AA222" w:rsidR="002363CC" w:rsidRPr="00BC2B49" w:rsidRDefault="006A7FB4" w:rsidP="00BC2B4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nie </w:t>
            </w:r>
            <w:r w:rsidR="002363CC" w:rsidRPr="00BC2B49">
              <w:rPr>
                <w:color w:val="000000"/>
                <w:sz w:val="25"/>
                <w:szCs w:val="25"/>
              </w:rPr>
              <w:t>je upravený v sekundárnom práve Európskej únie</w:t>
            </w:r>
          </w:p>
          <w:p w14:paraId="75F3B4D3" w14:textId="77777777" w:rsidR="00727239" w:rsidRPr="00BC2B49" w:rsidRDefault="00727239" w:rsidP="00BC2B49">
            <w:pPr>
              <w:jc w:val="both"/>
              <w:rPr>
                <w:color w:val="000000"/>
              </w:rPr>
            </w:pPr>
          </w:p>
          <w:p w14:paraId="2B211EF1" w14:textId="77777777" w:rsidR="00D42C39" w:rsidRDefault="002363CC" w:rsidP="0072723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 w:rsidRPr="00727239">
              <w:rPr>
                <w:color w:val="000000"/>
                <w:sz w:val="25"/>
                <w:szCs w:val="25"/>
              </w:rPr>
              <w:t>nie je upravený v judikatúre Súdneho dvora Európskej únie</w:t>
            </w:r>
          </w:p>
          <w:p w14:paraId="1E77CDB0" w14:textId="77777777" w:rsidR="00727239" w:rsidRPr="00727239" w:rsidRDefault="00727239" w:rsidP="00727239">
            <w:pPr>
              <w:rPr>
                <w:color w:val="000000"/>
                <w:sz w:val="27"/>
                <w:szCs w:val="27"/>
              </w:rPr>
            </w:pPr>
          </w:p>
          <w:p w14:paraId="147FF1F3" w14:textId="77777777" w:rsidR="00D42C39" w:rsidRPr="00D42C39" w:rsidRDefault="00D42C39" w:rsidP="00D42C39">
            <w:pPr>
              <w:rPr>
                <w:color w:val="000000"/>
                <w:sz w:val="25"/>
                <w:szCs w:val="25"/>
              </w:rPr>
            </w:pPr>
            <w:r>
              <w:t xml:space="preserve">4.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Záväzky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Slovenskej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republiky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vo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vzťahu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k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Európskej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únii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: </w:t>
            </w:r>
          </w:p>
          <w:p w14:paraId="0B71B8FE" w14:textId="77777777" w:rsidR="00D42C39" w:rsidRDefault="00D42C39" w:rsidP="00D42C39">
            <w:pPr>
              <w:rPr>
                <w:rFonts w:eastAsia="Times New Roman"/>
                <w:color w:val="000000"/>
                <w:lang w:val="en-GB" w:eastAsia="en-GB"/>
              </w:rPr>
            </w:pP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bezpredmetné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</w:p>
          <w:p w14:paraId="24D2A737" w14:textId="77777777" w:rsidR="00D42C39" w:rsidRPr="00727239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val="en-GB" w:eastAsia="en-GB"/>
              </w:rPr>
            </w:pPr>
          </w:p>
          <w:p w14:paraId="4065B2A3" w14:textId="77777777" w:rsidR="00D42C39" w:rsidRPr="00727239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val="en-GB" w:eastAsia="en-GB"/>
              </w:rPr>
            </w:pPr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5.Stupeň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zlučiteľnosti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návrhu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právneho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predpisu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s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právom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Európskej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únie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:</w:t>
            </w:r>
          </w:p>
          <w:p w14:paraId="1882DFE6" w14:textId="77777777" w:rsidR="00D42C39" w:rsidRPr="00727239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val="en-GB" w:eastAsia="en-GB"/>
              </w:rPr>
            </w:pP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Stupeň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zlučiteľnosti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- </w:t>
            </w: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úplný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</w:p>
          <w:p w14:paraId="6C51510B" w14:textId="7682D706" w:rsidR="002363CC" w:rsidRDefault="002363CC" w:rsidP="00275CA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2363CC" w14:paraId="6E43D3F2" w14:textId="77777777" w:rsidTr="00275CA9">
        <w:tc>
          <w:tcPr>
            <w:tcW w:w="404" w:type="dxa"/>
          </w:tcPr>
          <w:p w14:paraId="1D0CDB98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1151129D" w14:textId="77777777" w:rsidR="002363CC" w:rsidRDefault="002363CC" w:rsidP="00275CA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2363CC" w14:paraId="3267F3EE" w14:textId="77777777" w:rsidTr="00275CA9">
        <w:tc>
          <w:tcPr>
            <w:tcW w:w="404" w:type="dxa"/>
          </w:tcPr>
          <w:p w14:paraId="3B26CC9F" w14:textId="77777777" w:rsidR="002363CC" w:rsidRDefault="002363CC" w:rsidP="00275CA9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5A84C434" w14:textId="77777777" w:rsidR="002363CC" w:rsidRDefault="002363CC" w:rsidP="00275CA9">
            <w:pPr>
              <w:tabs>
                <w:tab w:val="left" w:pos="360"/>
              </w:tabs>
            </w:pPr>
          </w:p>
        </w:tc>
      </w:tr>
    </w:tbl>
    <w:p w14:paraId="06DD48DC" w14:textId="77777777" w:rsidR="002363CC" w:rsidRDefault="002363CC" w:rsidP="002363CC">
      <w:pPr>
        <w:spacing w:after="200" w:line="276" w:lineRule="auto"/>
        <w:rPr>
          <w:b/>
        </w:rPr>
      </w:pPr>
    </w:p>
    <w:p w14:paraId="7240DF4F" w14:textId="77777777" w:rsidR="002363CC" w:rsidRDefault="002363CC" w:rsidP="002363CC">
      <w:pPr>
        <w:jc w:val="both"/>
        <w:rPr>
          <w:b/>
        </w:rPr>
      </w:pPr>
    </w:p>
    <w:p w14:paraId="3DC3CD2A" w14:textId="77777777" w:rsidR="002363CC" w:rsidRDefault="002363CC" w:rsidP="002363CC">
      <w:pPr>
        <w:ind w:firstLine="720"/>
        <w:jc w:val="both"/>
      </w:pPr>
    </w:p>
    <w:p w14:paraId="1BA29AA7" w14:textId="77777777" w:rsidR="002363CC" w:rsidRPr="00962FCA" w:rsidRDefault="002363CC" w:rsidP="002363CC">
      <w:pPr>
        <w:autoSpaceDE w:val="0"/>
        <w:ind w:firstLine="708"/>
        <w:jc w:val="both"/>
        <w:rPr>
          <w:rFonts w:eastAsia="Times New Roman"/>
        </w:rPr>
      </w:pPr>
    </w:p>
    <w:p w14:paraId="4813BCB4" w14:textId="77777777" w:rsidR="002363CC" w:rsidRDefault="002363CC" w:rsidP="002363CC"/>
    <w:p w14:paraId="383B1C88" w14:textId="77777777" w:rsidR="002363CC" w:rsidRDefault="002363CC" w:rsidP="002363CC"/>
    <w:p w14:paraId="4EC270C3" w14:textId="77777777" w:rsidR="002363CC" w:rsidRDefault="002363CC" w:rsidP="002363CC"/>
    <w:p w14:paraId="146CBD23" w14:textId="77777777" w:rsidR="002363CC" w:rsidRDefault="002363CC" w:rsidP="002363CC"/>
    <w:p w14:paraId="2AA0A874" w14:textId="77777777" w:rsidR="002363CC" w:rsidRDefault="002363CC" w:rsidP="002363CC"/>
    <w:p w14:paraId="706B4194" w14:textId="77777777" w:rsidR="002363CC" w:rsidRDefault="002363CC" w:rsidP="002363CC"/>
    <w:p w14:paraId="5DBFC9FE" w14:textId="77777777" w:rsidR="002363CC" w:rsidRDefault="002363CC" w:rsidP="002363CC"/>
    <w:p w14:paraId="39CFD015" w14:textId="77777777" w:rsidR="00366E68" w:rsidRDefault="00366E68"/>
    <w:p w14:paraId="746E9948" w14:textId="77777777" w:rsidR="00366E68" w:rsidRDefault="00366E68"/>
    <w:p w14:paraId="51FB4F53" w14:textId="77777777" w:rsidR="00366E68" w:rsidRDefault="00366E68"/>
    <w:p w14:paraId="311EF9D8" w14:textId="77777777" w:rsidR="00366E68" w:rsidRDefault="00366E68"/>
    <w:p w14:paraId="0C63B361" w14:textId="77777777" w:rsidR="00366E68" w:rsidRDefault="00366E68"/>
    <w:p w14:paraId="67E556E5" w14:textId="77777777" w:rsidR="00366E68" w:rsidRDefault="00366E68"/>
    <w:p w14:paraId="6443740B" w14:textId="77777777" w:rsidR="00366E68" w:rsidRDefault="00366E68"/>
    <w:p w14:paraId="0AC7B692" w14:textId="77777777" w:rsidR="00366E68" w:rsidRDefault="00366E68"/>
    <w:p w14:paraId="2AB3BA16" w14:textId="77777777" w:rsidR="00366E68" w:rsidRDefault="00366E68"/>
    <w:p w14:paraId="4BF69690" w14:textId="77777777" w:rsidR="00366E68" w:rsidRDefault="00366E68"/>
    <w:p w14:paraId="4DFAF179" w14:textId="77777777" w:rsidR="00366E68" w:rsidRDefault="00366E68"/>
    <w:p w14:paraId="2F0E7CA9" w14:textId="77777777" w:rsidR="00194F85" w:rsidRDefault="00194F85" w:rsidP="00366E68">
      <w:pPr>
        <w:jc w:val="both"/>
        <w:rPr>
          <w:b/>
        </w:rPr>
      </w:pPr>
    </w:p>
    <w:sectPr w:rsidR="0019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42EE"/>
    <w:multiLevelType w:val="hybridMultilevel"/>
    <w:tmpl w:val="60E6ED52"/>
    <w:lvl w:ilvl="0" w:tplc="DEF28270">
      <w:start w:val="7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724E"/>
    <w:multiLevelType w:val="hybridMultilevel"/>
    <w:tmpl w:val="572A601A"/>
    <w:lvl w:ilvl="0" w:tplc="C966C3D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07E8"/>
    <w:multiLevelType w:val="hybridMultilevel"/>
    <w:tmpl w:val="1436DB26"/>
    <w:lvl w:ilvl="0" w:tplc="A5A07544">
      <w:start w:val="8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A639F"/>
    <w:multiLevelType w:val="hybridMultilevel"/>
    <w:tmpl w:val="2B0A7790"/>
    <w:lvl w:ilvl="0" w:tplc="02780668">
      <w:start w:val="5"/>
      <w:numFmt w:val="bullet"/>
      <w:lvlText w:val="-"/>
      <w:lvlJc w:val="left"/>
      <w:pPr>
        <w:ind w:left="405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BE"/>
    <w:rsid w:val="000008ED"/>
    <w:rsid w:val="000550D7"/>
    <w:rsid w:val="000F1622"/>
    <w:rsid w:val="00154480"/>
    <w:rsid w:val="00194F85"/>
    <w:rsid w:val="002363CC"/>
    <w:rsid w:val="002A21CA"/>
    <w:rsid w:val="00366E68"/>
    <w:rsid w:val="004C29B2"/>
    <w:rsid w:val="004D56A3"/>
    <w:rsid w:val="004F1D6F"/>
    <w:rsid w:val="0052215C"/>
    <w:rsid w:val="0052758C"/>
    <w:rsid w:val="005644DD"/>
    <w:rsid w:val="005814AB"/>
    <w:rsid w:val="005B393F"/>
    <w:rsid w:val="00642C04"/>
    <w:rsid w:val="00643E95"/>
    <w:rsid w:val="00693B46"/>
    <w:rsid w:val="006A1DBE"/>
    <w:rsid w:val="006A7FB4"/>
    <w:rsid w:val="00727239"/>
    <w:rsid w:val="00741060"/>
    <w:rsid w:val="00834C2F"/>
    <w:rsid w:val="00882EDF"/>
    <w:rsid w:val="008909A2"/>
    <w:rsid w:val="008B358E"/>
    <w:rsid w:val="008B3B9B"/>
    <w:rsid w:val="008F7E39"/>
    <w:rsid w:val="00984CFC"/>
    <w:rsid w:val="00985AB6"/>
    <w:rsid w:val="00A217D2"/>
    <w:rsid w:val="00B13544"/>
    <w:rsid w:val="00B157D0"/>
    <w:rsid w:val="00B4029B"/>
    <w:rsid w:val="00B85923"/>
    <w:rsid w:val="00BA7ADC"/>
    <w:rsid w:val="00BB695D"/>
    <w:rsid w:val="00BC2B49"/>
    <w:rsid w:val="00C10F55"/>
    <w:rsid w:val="00C3011C"/>
    <w:rsid w:val="00C45DE2"/>
    <w:rsid w:val="00C75541"/>
    <w:rsid w:val="00CB0F40"/>
    <w:rsid w:val="00CB39F0"/>
    <w:rsid w:val="00CF2810"/>
    <w:rsid w:val="00D12E03"/>
    <w:rsid w:val="00D14B84"/>
    <w:rsid w:val="00D42C39"/>
    <w:rsid w:val="00DA7182"/>
    <w:rsid w:val="00E349A9"/>
    <w:rsid w:val="00E35AE9"/>
    <w:rsid w:val="00E503F6"/>
    <w:rsid w:val="00E86F00"/>
    <w:rsid w:val="00EA21C2"/>
    <w:rsid w:val="00EB59B3"/>
    <w:rsid w:val="00F64230"/>
    <w:rsid w:val="00FB0F06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F817"/>
  <w15:chartTrackingRefBased/>
  <w15:docId w15:val="{D7787EDC-4A29-4F54-9842-79386EF2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A1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66E68"/>
    <w:pPr>
      <w:spacing w:before="100" w:beforeAutospacing="1" w:after="100" w:afterAutospacing="1"/>
    </w:pPr>
    <w:rPr>
      <w:rFonts w:eastAsia="Times New Roman"/>
    </w:rPr>
  </w:style>
  <w:style w:type="paragraph" w:styleId="Odsekzoznamu">
    <w:name w:val="List Paragraph"/>
    <w:basedOn w:val="Normlny"/>
    <w:uiPriority w:val="34"/>
    <w:qFormat/>
    <w:rsid w:val="00366E68"/>
    <w:pPr>
      <w:ind w:left="720"/>
      <w:contextualSpacing/>
    </w:pPr>
  </w:style>
  <w:style w:type="table" w:styleId="Mriekatabuky">
    <w:name w:val="Table Grid"/>
    <w:basedOn w:val="Normlnatabuka"/>
    <w:uiPriority w:val="99"/>
    <w:rsid w:val="00366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12E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E03"/>
    <w:rPr>
      <w:rFonts w:ascii="Segoe UI" w:eastAsiaTheme="minorEastAsia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BC2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Svrček, Miloš</dc:creator>
  <cp:keywords/>
  <dc:description/>
  <cp:lastModifiedBy>Monika</cp:lastModifiedBy>
  <cp:revision>13</cp:revision>
  <cp:lastPrinted>2021-09-30T21:19:00Z</cp:lastPrinted>
  <dcterms:created xsi:type="dcterms:W3CDTF">2021-09-30T21:10:00Z</dcterms:created>
  <dcterms:modified xsi:type="dcterms:W3CDTF">2022-08-24T07:43:00Z</dcterms:modified>
</cp:coreProperties>
</file>