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376C9" w14:textId="77777777" w:rsidR="00366E68" w:rsidRDefault="00366E68" w:rsidP="00366E6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76D0AE3F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366E68" w14:paraId="72EF973A" w14:textId="77777777" w:rsidTr="00576EAC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EB9A4A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66E68" w14:paraId="7144E8DD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C897B1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66E68" w14:paraId="39719E43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BA664B0" w14:textId="34659CDE" w:rsidR="00366E68" w:rsidRDefault="00E86F00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E86F00">
              <w:rPr>
                <w:rFonts w:ascii="Times" w:hAnsi="Times" w:cs="Times"/>
                <w:sz w:val="20"/>
                <w:szCs w:val="20"/>
              </w:rPr>
              <w:t>Návrh</w:t>
            </w:r>
            <w:r w:rsidR="00B4029B" w:rsidRPr="00B4029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A7ADC" w:rsidRPr="00BA7ADC">
              <w:rPr>
                <w:rFonts w:ascii="Times" w:hAnsi="Times" w:cs="Times"/>
                <w:sz w:val="20"/>
                <w:szCs w:val="20"/>
              </w:rPr>
              <w:t xml:space="preserve">zákona, </w:t>
            </w:r>
            <w:r w:rsidR="00882E5F" w:rsidRPr="00882E5F">
              <w:rPr>
                <w:rFonts w:ascii="Times" w:hAnsi="Times" w:cs="Times"/>
                <w:sz w:val="20"/>
                <w:szCs w:val="20"/>
              </w:rPr>
              <w:t>ktorým sa mení a dopĺňa zákon č. 5/2004 Z. z. o službách zamestnanosti a o zmene a doplnení niektorých zákonov v znení neskorších predpisov</w:t>
            </w:r>
          </w:p>
        </w:tc>
      </w:tr>
      <w:tr w:rsidR="00366E68" w14:paraId="34A7A8F0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6D1409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366E68" w14:paraId="2FF9848C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1F08CEFD" w14:textId="11D06709" w:rsidR="00366E68" w:rsidRDefault="00693B46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693B46">
              <w:rPr>
                <w:rFonts w:ascii="Times" w:hAnsi="Times" w:cs="Times"/>
                <w:sz w:val="20"/>
                <w:szCs w:val="20"/>
              </w:rPr>
              <w:t>Poslan</w:t>
            </w:r>
            <w:r w:rsidR="0052215C">
              <w:rPr>
                <w:rFonts w:ascii="Times" w:hAnsi="Times" w:cs="Times"/>
                <w:sz w:val="20"/>
                <w:szCs w:val="20"/>
              </w:rPr>
              <w:t>kyňa</w:t>
            </w:r>
            <w:r w:rsidRPr="00693B46">
              <w:rPr>
                <w:rFonts w:ascii="Times" w:hAnsi="Times" w:cs="Times"/>
                <w:sz w:val="20"/>
                <w:szCs w:val="20"/>
              </w:rPr>
              <w:t xml:space="preserve"> Národnej rady Slovenskej republiky</w:t>
            </w:r>
            <w:r w:rsidR="002A21C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215C">
              <w:rPr>
                <w:rFonts w:ascii="Times" w:hAnsi="Times" w:cs="Times"/>
                <w:sz w:val="20"/>
                <w:szCs w:val="20"/>
              </w:rPr>
              <w:t>Jana ŽITŇANSKÁ</w:t>
            </w:r>
          </w:p>
        </w:tc>
      </w:tr>
      <w:tr w:rsidR="00366E68" w14:paraId="5A0E92F7" w14:textId="77777777" w:rsidTr="00576EAC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5EB106" w14:textId="77777777" w:rsidR="00366E68" w:rsidRDefault="00366E68" w:rsidP="00576EAC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5B9F59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66E68" w14:paraId="78EEA05B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8FF0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C55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66E68" w14:paraId="58DF6CE7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AC0C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712D7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66E68" w14:paraId="5730F484" w14:textId="77777777" w:rsidTr="00576EAC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E61C0DF" w14:textId="77777777" w:rsidR="00366E68" w:rsidRDefault="00366E68" w:rsidP="00576EA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3E9E57A8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214D1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749621DF" w14:textId="042F737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366E68" w14:paraId="4DB0D3A5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95946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146A50F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466D894B" w14:textId="77777777" w:rsidTr="00576EAC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3B4387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03E6C05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7338EB38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69A4AF8A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0A9400F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DEF260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66E68" w14:paraId="184A683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AF6C758" w14:textId="0659DF64" w:rsidR="00366E68" w:rsidRPr="00CB0F40" w:rsidRDefault="00D64521" w:rsidP="00D64521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</w:t>
            </w:r>
            <w:r w:rsidRPr="00D64521">
              <w:rPr>
                <w:rFonts w:ascii="Times" w:hAnsi="Times" w:cs="Times"/>
                <w:sz w:val="20"/>
                <w:szCs w:val="20"/>
              </w:rPr>
              <w:t xml:space="preserve"> č. 5/2004 Z. z. o službách zamestnanosti a o zmene a doplnení niektorých zákonov </w:t>
            </w:r>
            <w:r>
              <w:rPr>
                <w:rFonts w:ascii="Times" w:hAnsi="Times" w:cs="Times"/>
                <w:sz w:val="20"/>
                <w:szCs w:val="20"/>
              </w:rPr>
              <w:t xml:space="preserve">v účinnom znení umožňuje zamestnávateľom, ktorí majú podľa § 63 zákona povinnosť zamestnávať občanov so zdravotným postihnutím plniť túto povinnosť aj </w:t>
            </w:r>
            <w:r w:rsidRPr="00D64521">
              <w:rPr>
                <w:rFonts w:ascii="Times" w:hAnsi="Times" w:cs="Times"/>
                <w:sz w:val="20"/>
                <w:szCs w:val="20"/>
              </w:rPr>
              <w:t>zadaním zákazky vhodnej na zamestnávanie občanov so zdravotným postihnutím alebo</w:t>
            </w:r>
            <w:r>
              <w:rPr>
                <w:rFonts w:ascii="Times" w:hAnsi="Times" w:cs="Times"/>
                <w:sz w:val="20"/>
                <w:szCs w:val="20"/>
              </w:rPr>
              <w:t xml:space="preserve"> zadaním </w:t>
            </w:r>
            <w:r w:rsidRPr="00D64521">
              <w:rPr>
                <w:rFonts w:ascii="Times" w:hAnsi="Times" w:cs="Times"/>
                <w:sz w:val="20"/>
                <w:szCs w:val="20"/>
              </w:rPr>
              <w:t>zákazky občanovi so zdravotným postihnutím, ktorý prevádzkuje alebo vykonáva samostatnú zárobkovú činnosť</w:t>
            </w:r>
            <w:r>
              <w:rPr>
                <w:rFonts w:ascii="Times" w:hAnsi="Times" w:cs="Times"/>
                <w:sz w:val="20"/>
                <w:szCs w:val="20"/>
              </w:rPr>
              <w:t xml:space="preserve">, pričom </w:t>
            </w:r>
            <w:r w:rsidRPr="00D64521">
              <w:rPr>
                <w:rFonts w:ascii="Times" w:hAnsi="Times" w:cs="Times"/>
                <w:sz w:val="20"/>
                <w:szCs w:val="20"/>
              </w:rPr>
              <w:t>takéto náhradné plnenie</w:t>
            </w:r>
            <w:r>
              <w:rPr>
                <w:rFonts w:ascii="Times" w:hAnsi="Times" w:cs="Times"/>
                <w:sz w:val="20"/>
                <w:szCs w:val="20"/>
              </w:rPr>
              <w:t xml:space="preserve"> je možné</w:t>
            </w:r>
            <w:r w:rsidRPr="00D64521">
              <w:rPr>
                <w:rFonts w:ascii="Times" w:hAnsi="Times" w:cs="Times"/>
                <w:sz w:val="20"/>
                <w:szCs w:val="20"/>
              </w:rPr>
              <w:t xml:space="preserve"> za rovnakých podmienok, či už i</w:t>
            </w:r>
            <w:r>
              <w:rPr>
                <w:rFonts w:ascii="Times" w:hAnsi="Times" w:cs="Times"/>
                <w:sz w:val="20"/>
                <w:szCs w:val="20"/>
              </w:rPr>
              <w:t>de</w:t>
            </w:r>
            <w:r w:rsidRPr="00D64521">
              <w:rPr>
                <w:rFonts w:ascii="Times" w:hAnsi="Times" w:cs="Times"/>
                <w:sz w:val="20"/>
                <w:szCs w:val="20"/>
              </w:rPr>
              <w:t xml:space="preserve"> o zákazky na dodanie tovaru alebo zákazky na poskytnutie služby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  <w:r w:rsidRPr="00D64521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Právna úprava tak nemotivuje zamestnávateľov na preferovanie zákaziek na poskytovanie služieb, ktoré však </w:t>
            </w:r>
            <w:r w:rsidRPr="00D64521">
              <w:rPr>
                <w:rFonts w:ascii="Times" w:hAnsi="Times" w:cs="Times"/>
                <w:sz w:val="20"/>
                <w:szCs w:val="20"/>
              </w:rPr>
              <w:t>m</w:t>
            </w:r>
            <w:r>
              <w:rPr>
                <w:rFonts w:ascii="Times" w:hAnsi="Times" w:cs="Times"/>
                <w:sz w:val="20"/>
                <w:szCs w:val="20"/>
              </w:rPr>
              <w:t xml:space="preserve">ajú </w:t>
            </w:r>
            <w:r w:rsidRPr="00D64521">
              <w:rPr>
                <w:rFonts w:ascii="Times" w:hAnsi="Times" w:cs="Times"/>
                <w:sz w:val="20"/>
                <w:szCs w:val="20"/>
              </w:rPr>
              <w:t>pre uplatnenie osôb so zdravotným postihnutím a ich celkové zaradenie do spoločnosti omnoho priaznivejšie dopady ako vyrábanie výrobkov, ktoré sú často vyrábané v priestoroch izolovaných chránených dielní.</w:t>
            </w:r>
          </w:p>
        </w:tc>
      </w:tr>
      <w:tr w:rsidR="00366E68" w14:paraId="2B81D7D3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CD98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66E68" w14:paraId="01DB196A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2F419418" w14:textId="67A103CC" w:rsidR="00E86F00" w:rsidRDefault="00CB39F0" w:rsidP="00576EAC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B39F0">
              <w:rPr>
                <w:rFonts w:ascii="Times" w:hAnsi="Times" w:cs="Times"/>
                <w:sz w:val="20"/>
                <w:szCs w:val="20"/>
              </w:rPr>
              <w:t xml:space="preserve">Cieľom predloženej novely </w:t>
            </w:r>
            <w:r w:rsidR="00BA530E">
              <w:rPr>
                <w:rFonts w:ascii="Times" w:hAnsi="Times" w:cs="Times"/>
                <w:sz w:val="20"/>
                <w:szCs w:val="20"/>
              </w:rPr>
              <w:t xml:space="preserve">zákona č. </w:t>
            </w:r>
            <w:r w:rsidR="00BA530E" w:rsidRPr="00BA530E">
              <w:rPr>
                <w:rFonts w:ascii="Times" w:hAnsi="Times" w:cs="Times"/>
                <w:sz w:val="20"/>
                <w:szCs w:val="20"/>
              </w:rPr>
              <w:t>5/2004 Z. z. o službách zamestnanosti a o zmene a doplnení niektorých zákonov v znení neskorších predpiso</w:t>
            </w:r>
            <w:r w:rsidR="00BA530E">
              <w:rPr>
                <w:rFonts w:ascii="Times" w:hAnsi="Times" w:cs="Times"/>
                <w:sz w:val="20"/>
                <w:szCs w:val="20"/>
              </w:rPr>
              <w:t xml:space="preserve">v </w:t>
            </w:r>
            <w:r w:rsidR="00D64521">
              <w:rPr>
                <w:rFonts w:ascii="Times" w:hAnsi="Times" w:cs="Times"/>
                <w:sz w:val="20"/>
                <w:szCs w:val="20"/>
              </w:rPr>
              <w:t>je</w:t>
            </w:r>
            <w:r w:rsidR="00D64521" w:rsidRPr="00D64521">
              <w:rPr>
                <w:rFonts w:ascii="Times" w:hAnsi="Times" w:cs="Times"/>
                <w:sz w:val="20"/>
                <w:szCs w:val="20"/>
              </w:rPr>
              <w:t xml:space="preserve"> zaved</w:t>
            </w:r>
            <w:r w:rsidR="00D64521">
              <w:rPr>
                <w:rFonts w:ascii="Times" w:hAnsi="Times" w:cs="Times"/>
                <w:sz w:val="20"/>
                <w:szCs w:val="20"/>
              </w:rPr>
              <w:t>enie</w:t>
            </w:r>
            <w:r w:rsidR="00D64521" w:rsidRPr="00D64521">
              <w:rPr>
                <w:rFonts w:ascii="Times" w:hAnsi="Times" w:cs="Times"/>
                <w:sz w:val="20"/>
                <w:szCs w:val="20"/>
              </w:rPr>
              <w:t xml:space="preserve"> výhodnejš</w:t>
            </w:r>
            <w:r w:rsidR="00D64521">
              <w:rPr>
                <w:rFonts w:ascii="Times" w:hAnsi="Times" w:cs="Times"/>
                <w:sz w:val="20"/>
                <w:szCs w:val="20"/>
              </w:rPr>
              <w:t>ích</w:t>
            </w:r>
            <w:r w:rsidR="00D64521" w:rsidRPr="00D64521">
              <w:rPr>
                <w:rFonts w:ascii="Times" w:hAnsi="Times" w:cs="Times"/>
                <w:sz w:val="20"/>
                <w:szCs w:val="20"/>
              </w:rPr>
              <w:t xml:space="preserve"> podmien</w:t>
            </w:r>
            <w:r w:rsidR="00D64521">
              <w:rPr>
                <w:rFonts w:ascii="Times" w:hAnsi="Times" w:cs="Times"/>
                <w:sz w:val="20"/>
                <w:szCs w:val="20"/>
              </w:rPr>
              <w:t>ok</w:t>
            </w:r>
            <w:r w:rsidR="00D64521" w:rsidRPr="00D64521">
              <w:rPr>
                <w:rFonts w:ascii="Times" w:hAnsi="Times" w:cs="Times"/>
                <w:sz w:val="20"/>
                <w:szCs w:val="20"/>
              </w:rPr>
              <w:t xml:space="preserve"> pre zákazky na poskytnutie služby</w:t>
            </w:r>
            <w:r w:rsidR="00D64521">
              <w:rPr>
                <w:rFonts w:ascii="Times" w:hAnsi="Times" w:cs="Times"/>
                <w:sz w:val="20"/>
                <w:szCs w:val="20"/>
              </w:rPr>
              <w:t xml:space="preserve"> zadávané za</w:t>
            </w:r>
            <w:r w:rsidR="00D64521" w:rsidRPr="00D64521">
              <w:rPr>
                <w:rFonts w:ascii="Times" w:hAnsi="Times" w:cs="Times"/>
                <w:sz w:val="20"/>
                <w:szCs w:val="20"/>
              </w:rPr>
              <w:t xml:space="preserve"> účel</w:t>
            </w:r>
            <w:r w:rsidR="00D64521">
              <w:rPr>
                <w:rFonts w:ascii="Times" w:hAnsi="Times" w:cs="Times"/>
                <w:sz w:val="20"/>
                <w:szCs w:val="20"/>
              </w:rPr>
              <w:t>om</w:t>
            </w:r>
            <w:r w:rsidR="00D64521" w:rsidRPr="00D64521">
              <w:rPr>
                <w:rFonts w:ascii="Times" w:hAnsi="Times" w:cs="Times"/>
                <w:sz w:val="20"/>
                <w:szCs w:val="20"/>
              </w:rPr>
              <w:t xml:space="preserve"> plnenia povinného podielu zamestnávania občanov so zdravotným postihnutím. Zatiaľ čo výška zákazky na započítanie jedného občana so zdravotným postihnutím v prípade zákazky na dodanie tovaru zostáva vo výške 0,8-násobku celkovej ceny práce podľa § 49 ods. 4 vypočítanej z priemernej mzdy zamestnanca v hospodárstve, výška zákazky na započítanie jedného občana so zdravotným postihnutím v prípade zákazky na poskytnutie služby bude po novom stanovená vo výške 0,7-násobku celkovej ceny práce podľa § 49 ods. 4 vypočítanej z priemernej mzdy zamestnanca v hospodárstve, a bude tak pre zamestnávateľa výhodnejšia.</w:t>
            </w:r>
            <w:r w:rsidR="00D64521">
              <w:rPr>
                <w:rFonts w:ascii="Times" w:hAnsi="Times" w:cs="Times"/>
                <w:sz w:val="20"/>
                <w:szCs w:val="20"/>
              </w:rPr>
              <w:t xml:space="preserve"> Zamestnávatelia tak budú motivovaní k zadávaniu zákaziek na poskytovanie služieb, čím sa podporí získavanie zručností osôb so zdravotným postihnutím.</w:t>
            </w:r>
            <w:bookmarkStart w:id="0" w:name="_GoBack"/>
            <w:bookmarkEnd w:id="0"/>
          </w:p>
        </w:tc>
      </w:tr>
      <w:tr w:rsidR="00366E68" w14:paraId="10EC0EB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D6AAFE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66E68" w14:paraId="49AA983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4AFC3C85" w14:textId="045989BF" w:rsidR="005644DD" w:rsidRDefault="00882E5F" w:rsidP="000550D7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Osoby so zdravotným postihnutím</w:t>
            </w:r>
            <w:r w:rsidR="00D64521">
              <w:rPr>
                <w:rFonts w:ascii="Times" w:hAnsi="Times" w:cs="Times"/>
                <w:sz w:val="20"/>
                <w:szCs w:val="20"/>
              </w:rPr>
              <w:t>, zamestnávatelia.</w:t>
            </w:r>
          </w:p>
        </w:tc>
      </w:tr>
      <w:tr w:rsidR="00366E68" w14:paraId="30D6BE61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09DCD3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66E68" w14:paraId="2520C94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9524B55" w14:textId="217FDC57" w:rsidR="00366E68" w:rsidRPr="00E86F00" w:rsidRDefault="00E86F00" w:rsidP="00E86F00">
            <w:pPr>
              <w:pStyle w:val="Odsekzoznamu"/>
              <w:spacing w:line="276" w:lineRule="auto"/>
              <w:ind w:left="405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4504887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5D69AF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6.  Vykonávacie predpisy</w:t>
            </w:r>
          </w:p>
        </w:tc>
      </w:tr>
      <w:tr w:rsidR="00366E68" w14:paraId="2CD70A8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9F5269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 </w:t>
            </w:r>
            <w:r w:rsidR="00FE30F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Áno           </w:t>
            </w:r>
            <w:r w:rsidR="00FE30F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Nie</w:t>
            </w:r>
          </w:p>
        </w:tc>
      </w:tr>
      <w:tr w:rsidR="00366E68" w14:paraId="561D1DC7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0BBF7C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66E68" w14:paraId="0D25AD9D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60C33A2" w14:textId="44CA1D2B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0EFC9136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218C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366E68" w14:paraId="74CCE35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A5B8A14" w14:textId="02A1B256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</w:tbl>
    <w:p w14:paraId="733AD579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31C84CF" w14:textId="77777777" w:rsidR="00366E68" w:rsidRDefault="00366E68" w:rsidP="00366E68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81FCACB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14:paraId="26B3C688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59D421C0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366E68" w14:paraId="6D5C1545" w14:textId="77777777" w:rsidTr="00576EAC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A1FB47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66E68" w14:paraId="172D205A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0A8ED8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33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45B0" w14:textId="77723D1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82E5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82E5F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0AE3B7D" w14:textId="7310428B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82E5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82E5F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1273E62C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CC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402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CCE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666025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66E68" w14:paraId="4ECF828F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351EC6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94D1" w14:textId="1CF4A20F" w:rsidR="00366E68" w:rsidRPr="00235E06" w:rsidRDefault="00882E5F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66E68"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D64521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="00366E68"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0EDC" w14:textId="5DFE0138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 </w:t>
            </w:r>
            <w:r w:rsidR="00D64521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B4029B" w:rsidRPr="00235E0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F5805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1F5D726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74E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18A4D" w14:textId="3AEE366D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D6452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D64521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7148" w14:textId="02A2E4B0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D6452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D64521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6DDB1A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1C4AC6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F4B811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BA68" w14:textId="13A97173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FA47" w14:textId="6672155A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3E814F1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F312A92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117C7D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2859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B35F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C5049EE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7E8FF1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C3AE74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3AA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1605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C7CB99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7BD7407C" w14:textId="77777777" w:rsidTr="00576EAC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900854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3D9C" w14:textId="75E19491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D6452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D64521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3AE7" w14:textId="3D03EF61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D6452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D64521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D64521" w:rsidRPr="00235E0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884705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43346182" w14:textId="77777777" w:rsidTr="00576EA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1C56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D55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302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13757E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8A46861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B8D863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47C0" w14:textId="67B84B0D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D64521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4029B">
              <w:rPr>
                <w:rFonts w:ascii="Times" w:hAnsi="Times" w:cs="Times"/>
                <w:sz w:val="20"/>
                <w:szCs w:val="20"/>
              </w:rPr>
              <w:t xml:space="preserve">   </w:t>
            </w:r>
            <w:r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3AB5" w14:textId="65CA611A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D6452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D64521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>
              <w:rPr>
                <w:rFonts w:ascii="Wingdings 2" w:hAnsi="Wingdings 2" w:cs="Times"/>
                <w:sz w:val="28"/>
                <w:szCs w:val="28"/>
              </w:rPr>
              <w:t></w:t>
            </w:r>
            <w:r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90D272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2644F6EE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3EC1C9F3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1930A5D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2B6D3FA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66E68" w14:paraId="1C999FA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A57FD34" w14:textId="77777777" w:rsidR="00366E68" w:rsidRDefault="00366E68" w:rsidP="00576EAC">
            <w:pPr>
              <w:pStyle w:val="Normlnywebov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014F7F5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C8E11D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66E68" w14:paraId="1558F2F7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1D3CC7E" w14:textId="1A96C17B" w:rsidR="00366E68" w:rsidRDefault="00BC2B49" w:rsidP="00576EAC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jana.zitnanska</w:t>
            </w:r>
            <w:r w:rsidR="00FB0F06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 w:rsidR="00366E68" w14:paraId="5B048672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106DAFF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66E68" w14:paraId="32AB8195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7A6BCF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2F49BA4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896F9A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66E68" w14:paraId="6240B379" w14:textId="77777777" w:rsidTr="00576EAC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D03B4EE" w14:textId="77777777" w:rsidR="00366E68" w:rsidRDefault="00366E68" w:rsidP="00576EA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3CC9F134" w14:textId="77777777" w:rsidR="00B4029B" w:rsidRDefault="00B4029B" w:rsidP="000550D7">
      <w:pPr>
        <w:rPr>
          <w:b/>
          <w:caps/>
          <w:spacing w:val="30"/>
          <w:sz w:val="25"/>
          <w:szCs w:val="25"/>
        </w:rPr>
      </w:pPr>
    </w:p>
    <w:p w14:paraId="21DAABDA" w14:textId="77777777" w:rsidR="00B4029B" w:rsidRDefault="00B4029B" w:rsidP="002363CC">
      <w:pPr>
        <w:jc w:val="center"/>
        <w:rPr>
          <w:b/>
          <w:caps/>
          <w:spacing w:val="30"/>
          <w:sz w:val="25"/>
          <w:szCs w:val="25"/>
        </w:rPr>
      </w:pPr>
    </w:p>
    <w:p w14:paraId="32E72BBF" w14:textId="77777777" w:rsidR="00BA530E" w:rsidRDefault="00BA530E" w:rsidP="002363CC">
      <w:pPr>
        <w:jc w:val="center"/>
        <w:rPr>
          <w:b/>
          <w:caps/>
          <w:spacing w:val="30"/>
          <w:sz w:val="25"/>
          <w:szCs w:val="25"/>
        </w:rPr>
      </w:pPr>
    </w:p>
    <w:p w14:paraId="54CFE39C" w14:textId="77777777" w:rsidR="00BA530E" w:rsidRDefault="00BA530E" w:rsidP="002363CC">
      <w:pPr>
        <w:jc w:val="center"/>
        <w:rPr>
          <w:b/>
          <w:caps/>
          <w:spacing w:val="30"/>
          <w:sz w:val="25"/>
          <w:szCs w:val="25"/>
        </w:rPr>
      </w:pPr>
    </w:p>
    <w:p w14:paraId="465404A9" w14:textId="77777777" w:rsidR="00BA530E" w:rsidRDefault="00BA530E" w:rsidP="002363CC">
      <w:pPr>
        <w:jc w:val="center"/>
        <w:rPr>
          <w:b/>
          <w:caps/>
          <w:spacing w:val="30"/>
          <w:sz w:val="25"/>
          <w:szCs w:val="25"/>
        </w:rPr>
      </w:pPr>
    </w:p>
    <w:p w14:paraId="62D75839" w14:textId="465BAEF7" w:rsidR="002363CC" w:rsidRDefault="002363CC" w:rsidP="002363CC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t>Doložka zlučiteľnosti</w:t>
      </w:r>
    </w:p>
    <w:p w14:paraId="7A607977" w14:textId="77777777" w:rsidR="002363CC" w:rsidRDefault="002363CC" w:rsidP="002363C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14:paraId="6220C69C" w14:textId="77777777" w:rsidR="002363CC" w:rsidRDefault="002363CC" w:rsidP="002363CC">
      <w:pPr>
        <w:jc w:val="center"/>
        <w:rPr>
          <w:b/>
          <w:sz w:val="25"/>
          <w:szCs w:val="25"/>
        </w:rPr>
      </w:pPr>
    </w:p>
    <w:p w14:paraId="1E703C98" w14:textId="77777777" w:rsidR="002363CC" w:rsidRDefault="002363CC" w:rsidP="002363CC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363CC" w14:paraId="09E15481" w14:textId="77777777" w:rsidTr="00275CA9">
        <w:tc>
          <w:tcPr>
            <w:tcW w:w="404" w:type="dxa"/>
            <w:hideMark/>
          </w:tcPr>
          <w:p w14:paraId="52D1589A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14:paraId="4440ED6D" w14:textId="6FD4355F" w:rsidR="002363CC" w:rsidRDefault="002363CC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693B46">
              <w:rPr>
                <w:sz w:val="25"/>
                <w:szCs w:val="25"/>
              </w:rPr>
              <w:t>Poslan</w:t>
            </w:r>
            <w:r w:rsidR="00BC2B49">
              <w:rPr>
                <w:sz w:val="25"/>
                <w:szCs w:val="25"/>
              </w:rPr>
              <w:t>kyňa</w:t>
            </w:r>
            <w:r w:rsidRPr="00693B46">
              <w:rPr>
                <w:sz w:val="25"/>
                <w:szCs w:val="25"/>
              </w:rPr>
              <w:t xml:space="preserve"> Národnej rady Slovenskej republiky</w:t>
            </w:r>
            <w:r w:rsidR="00FB0F06">
              <w:rPr>
                <w:sz w:val="25"/>
                <w:szCs w:val="25"/>
              </w:rPr>
              <w:t xml:space="preserve"> </w:t>
            </w:r>
            <w:r w:rsidR="00BC2B49">
              <w:rPr>
                <w:sz w:val="25"/>
                <w:szCs w:val="25"/>
              </w:rPr>
              <w:t>Jana ŽITŇANSK</w:t>
            </w:r>
            <w:r w:rsidR="00D42C39">
              <w:rPr>
                <w:sz w:val="25"/>
                <w:szCs w:val="25"/>
              </w:rPr>
              <w:t>Á</w:t>
            </w:r>
          </w:p>
        </w:tc>
      </w:tr>
      <w:tr w:rsidR="002363CC" w14:paraId="0F799670" w14:textId="77777777" w:rsidTr="00275CA9">
        <w:tc>
          <w:tcPr>
            <w:tcW w:w="404" w:type="dxa"/>
          </w:tcPr>
          <w:p w14:paraId="24738D8A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0009B536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79F6D476" w14:textId="77777777" w:rsidTr="00275CA9">
        <w:tc>
          <w:tcPr>
            <w:tcW w:w="404" w:type="dxa"/>
            <w:hideMark/>
          </w:tcPr>
          <w:p w14:paraId="468CF48C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14:paraId="288E6649" w14:textId="009AE2D0" w:rsidR="002363CC" w:rsidRDefault="002363CC" w:rsidP="00C75541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 </w:t>
            </w:r>
            <w:r w:rsidR="00BC2B49" w:rsidRPr="00BC2B49">
              <w:rPr>
                <w:sz w:val="25"/>
                <w:szCs w:val="25"/>
              </w:rPr>
              <w:t xml:space="preserve">Návrh zákona, </w:t>
            </w:r>
            <w:r w:rsidR="00882E5F" w:rsidRPr="00882E5F">
              <w:rPr>
                <w:sz w:val="25"/>
                <w:szCs w:val="25"/>
              </w:rPr>
              <w:t>ktorým sa mení a dopĺňa zákon č. 5/2004 Z. z. o službách zamestnanosti a o zmene a doplnení niektorých zákonov v znení neskorších predpisov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2363CC" w14:paraId="0960CA99" w14:textId="77777777" w:rsidTr="00275CA9">
        <w:tc>
          <w:tcPr>
            <w:tcW w:w="404" w:type="dxa"/>
          </w:tcPr>
          <w:p w14:paraId="0D4199D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8B6D6F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4391B6C4" w14:textId="77777777" w:rsidTr="00275CA9">
        <w:tc>
          <w:tcPr>
            <w:tcW w:w="404" w:type="dxa"/>
            <w:hideMark/>
          </w:tcPr>
          <w:p w14:paraId="61490A66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3A0C7D4F" w14:textId="377B9A5E" w:rsidR="00D42C39" w:rsidRDefault="002363CC" w:rsidP="00D42C3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14:paraId="698F8FEF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069F0198" w14:textId="77777777" w:rsidTr="00275CA9">
        <w:tc>
          <w:tcPr>
            <w:tcW w:w="404" w:type="dxa"/>
          </w:tcPr>
          <w:p w14:paraId="481D491B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02646824" w14:textId="386F253B" w:rsid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primárnom práve Európskej únie</w:t>
            </w:r>
          </w:p>
          <w:p w14:paraId="62E128BC" w14:textId="77777777" w:rsidR="006A7FB4" w:rsidRPr="006A7FB4" w:rsidRDefault="006A7FB4" w:rsidP="006A7FB4">
            <w:pPr>
              <w:pStyle w:val="Odsekzoznamu"/>
              <w:rPr>
                <w:color w:val="000000"/>
                <w:sz w:val="25"/>
                <w:szCs w:val="25"/>
              </w:rPr>
            </w:pPr>
          </w:p>
          <w:p w14:paraId="272D13D9" w14:textId="078AA222" w:rsidR="002363CC" w:rsidRP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sekundárnom práve Európskej únie</w:t>
            </w:r>
          </w:p>
          <w:p w14:paraId="75F3B4D3" w14:textId="77777777" w:rsidR="00727239" w:rsidRPr="00BC2B49" w:rsidRDefault="00727239" w:rsidP="00BC2B49">
            <w:pPr>
              <w:jc w:val="both"/>
              <w:rPr>
                <w:color w:val="000000"/>
              </w:rPr>
            </w:pPr>
          </w:p>
          <w:p w14:paraId="2B211EF1" w14:textId="77777777" w:rsidR="00D42C39" w:rsidRDefault="002363CC" w:rsidP="0072723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 w:rsidRPr="00727239"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14:paraId="1E77CDB0" w14:textId="77777777" w:rsidR="00727239" w:rsidRPr="00727239" w:rsidRDefault="00727239" w:rsidP="00727239">
            <w:pPr>
              <w:rPr>
                <w:color w:val="000000"/>
                <w:sz w:val="27"/>
                <w:szCs w:val="27"/>
              </w:rPr>
            </w:pPr>
          </w:p>
          <w:p w14:paraId="147FF1F3" w14:textId="77777777" w:rsidR="00D42C39" w:rsidRPr="00D42C39" w:rsidRDefault="00D42C39" w:rsidP="00D42C39">
            <w:pPr>
              <w:rPr>
                <w:color w:val="000000"/>
                <w:sz w:val="25"/>
                <w:szCs w:val="25"/>
              </w:rPr>
            </w:pPr>
            <w:r>
              <w:t xml:space="preserve">4.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Záväzky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Slovenskej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republiky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vo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vzťahu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k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Európskej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únii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: </w:t>
            </w:r>
          </w:p>
          <w:p w14:paraId="0B71B8FE" w14:textId="77777777" w:rsidR="00D42C39" w:rsidRDefault="00D42C39" w:rsidP="00D42C39">
            <w:pPr>
              <w:rPr>
                <w:rFonts w:eastAsia="Times New Roman"/>
                <w:color w:val="000000"/>
                <w:lang w:val="en-GB" w:eastAsia="en-GB"/>
              </w:rPr>
            </w:pP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bezpredmetné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</w:p>
          <w:p w14:paraId="24D2A737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</w:p>
          <w:p w14:paraId="4065B2A3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5.Stupeň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zlučiteľnosti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návrhu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právneho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predpisu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s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právom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Európskej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únie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:</w:t>
            </w:r>
          </w:p>
          <w:p w14:paraId="1882DFE6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Stupeň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zlučiteľnosti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-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úplný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</w:p>
          <w:p w14:paraId="6C51510B" w14:textId="7682D706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6E43D3F2" w14:textId="77777777" w:rsidTr="00275CA9">
        <w:tc>
          <w:tcPr>
            <w:tcW w:w="404" w:type="dxa"/>
          </w:tcPr>
          <w:p w14:paraId="1D0CDB98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151129D" w14:textId="77777777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3267F3EE" w14:textId="77777777" w:rsidTr="00275CA9">
        <w:tc>
          <w:tcPr>
            <w:tcW w:w="404" w:type="dxa"/>
          </w:tcPr>
          <w:p w14:paraId="3B26CC9F" w14:textId="77777777" w:rsidR="002363CC" w:rsidRDefault="002363CC" w:rsidP="00275CA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5A84C434" w14:textId="77777777" w:rsidR="002363CC" w:rsidRDefault="002363CC" w:rsidP="00275CA9">
            <w:pPr>
              <w:tabs>
                <w:tab w:val="left" w:pos="360"/>
              </w:tabs>
            </w:pPr>
          </w:p>
        </w:tc>
      </w:tr>
    </w:tbl>
    <w:p w14:paraId="06DD48DC" w14:textId="77777777" w:rsidR="002363CC" w:rsidRDefault="002363CC" w:rsidP="002363CC">
      <w:pPr>
        <w:spacing w:after="200" w:line="276" w:lineRule="auto"/>
        <w:rPr>
          <w:b/>
        </w:rPr>
      </w:pPr>
    </w:p>
    <w:p w14:paraId="7240DF4F" w14:textId="77777777" w:rsidR="002363CC" w:rsidRDefault="002363CC" w:rsidP="002363CC">
      <w:pPr>
        <w:jc w:val="both"/>
        <w:rPr>
          <w:b/>
        </w:rPr>
      </w:pPr>
    </w:p>
    <w:p w14:paraId="3DC3CD2A" w14:textId="77777777" w:rsidR="002363CC" w:rsidRDefault="002363CC" w:rsidP="002363CC">
      <w:pPr>
        <w:ind w:firstLine="720"/>
        <w:jc w:val="both"/>
      </w:pPr>
    </w:p>
    <w:p w14:paraId="1BA29AA7" w14:textId="77777777" w:rsidR="002363CC" w:rsidRPr="00962FCA" w:rsidRDefault="002363CC" w:rsidP="002363CC">
      <w:pPr>
        <w:autoSpaceDE w:val="0"/>
        <w:ind w:firstLine="708"/>
        <w:jc w:val="both"/>
        <w:rPr>
          <w:rFonts w:eastAsia="Times New Roman"/>
        </w:rPr>
      </w:pPr>
    </w:p>
    <w:p w14:paraId="4813BCB4" w14:textId="77777777" w:rsidR="002363CC" w:rsidRDefault="002363CC" w:rsidP="002363CC"/>
    <w:p w14:paraId="383B1C88" w14:textId="77777777" w:rsidR="002363CC" w:rsidRDefault="002363CC" w:rsidP="002363CC"/>
    <w:p w14:paraId="4EC270C3" w14:textId="77777777" w:rsidR="002363CC" w:rsidRDefault="002363CC" w:rsidP="002363CC"/>
    <w:p w14:paraId="146CBD23" w14:textId="77777777" w:rsidR="002363CC" w:rsidRDefault="002363CC" w:rsidP="002363CC"/>
    <w:p w14:paraId="2AA0A874" w14:textId="77777777" w:rsidR="002363CC" w:rsidRDefault="002363CC" w:rsidP="002363CC"/>
    <w:p w14:paraId="706B4194" w14:textId="77777777" w:rsidR="002363CC" w:rsidRDefault="002363CC" w:rsidP="002363CC"/>
    <w:p w14:paraId="5DBFC9FE" w14:textId="77777777" w:rsidR="002363CC" w:rsidRDefault="002363CC" w:rsidP="002363CC"/>
    <w:p w14:paraId="39CFD015" w14:textId="77777777" w:rsidR="00366E68" w:rsidRDefault="00366E68"/>
    <w:p w14:paraId="746E9948" w14:textId="77777777" w:rsidR="00366E68" w:rsidRDefault="00366E68"/>
    <w:p w14:paraId="51FB4F53" w14:textId="77777777" w:rsidR="00366E68" w:rsidRDefault="00366E68"/>
    <w:p w14:paraId="311EF9D8" w14:textId="77777777" w:rsidR="00366E68" w:rsidRDefault="00366E68"/>
    <w:p w14:paraId="0C63B361" w14:textId="77777777" w:rsidR="00366E68" w:rsidRDefault="00366E68"/>
    <w:p w14:paraId="67E556E5" w14:textId="77777777" w:rsidR="00366E68" w:rsidRDefault="00366E68"/>
    <w:p w14:paraId="6443740B" w14:textId="77777777" w:rsidR="00366E68" w:rsidRDefault="00366E68"/>
    <w:p w14:paraId="0AC7B692" w14:textId="77777777" w:rsidR="00366E68" w:rsidRDefault="00366E68"/>
    <w:p w14:paraId="2AB3BA16" w14:textId="77777777" w:rsidR="00366E68" w:rsidRDefault="00366E68"/>
    <w:p w14:paraId="4BF69690" w14:textId="77777777" w:rsidR="00366E68" w:rsidRDefault="00366E68"/>
    <w:p w14:paraId="4DFAF179" w14:textId="77777777" w:rsidR="00366E68" w:rsidRDefault="00366E68"/>
    <w:p w14:paraId="2F0E7CA9" w14:textId="77777777" w:rsidR="00194F85" w:rsidRDefault="00194F85" w:rsidP="00366E68">
      <w:pPr>
        <w:jc w:val="both"/>
        <w:rPr>
          <w:b/>
        </w:rPr>
      </w:pPr>
    </w:p>
    <w:sectPr w:rsidR="0019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2EE"/>
    <w:multiLevelType w:val="hybridMultilevel"/>
    <w:tmpl w:val="60E6ED52"/>
    <w:lvl w:ilvl="0" w:tplc="DEF28270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24E"/>
    <w:multiLevelType w:val="hybridMultilevel"/>
    <w:tmpl w:val="572A601A"/>
    <w:lvl w:ilvl="0" w:tplc="C966C3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007E8"/>
    <w:multiLevelType w:val="hybridMultilevel"/>
    <w:tmpl w:val="1436DB26"/>
    <w:lvl w:ilvl="0" w:tplc="A5A07544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639F"/>
    <w:multiLevelType w:val="hybridMultilevel"/>
    <w:tmpl w:val="2B0A7790"/>
    <w:lvl w:ilvl="0" w:tplc="02780668">
      <w:start w:val="5"/>
      <w:numFmt w:val="bullet"/>
      <w:lvlText w:val="-"/>
      <w:lvlJc w:val="left"/>
      <w:pPr>
        <w:ind w:left="405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BE"/>
    <w:rsid w:val="000550D7"/>
    <w:rsid w:val="000F1622"/>
    <w:rsid w:val="00154480"/>
    <w:rsid w:val="00194F85"/>
    <w:rsid w:val="002363CC"/>
    <w:rsid w:val="002A21CA"/>
    <w:rsid w:val="00366E68"/>
    <w:rsid w:val="004C29B2"/>
    <w:rsid w:val="004D56A3"/>
    <w:rsid w:val="004F1D6F"/>
    <w:rsid w:val="0052215C"/>
    <w:rsid w:val="0052758C"/>
    <w:rsid w:val="005644DD"/>
    <w:rsid w:val="005814AB"/>
    <w:rsid w:val="005B393F"/>
    <w:rsid w:val="00642C04"/>
    <w:rsid w:val="00643E95"/>
    <w:rsid w:val="00693B46"/>
    <w:rsid w:val="006A1DBE"/>
    <w:rsid w:val="006A7FB4"/>
    <w:rsid w:val="00727239"/>
    <w:rsid w:val="00741060"/>
    <w:rsid w:val="00834C2F"/>
    <w:rsid w:val="00882E5F"/>
    <w:rsid w:val="00882EDF"/>
    <w:rsid w:val="008909A2"/>
    <w:rsid w:val="008B358E"/>
    <w:rsid w:val="008B3B9B"/>
    <w:rsid w:val="008F7E39"/>
    <w:rsid w:val="00984CFC"/>
    <w:rsid w:val="00985AB6"/>
    <w:rsid w:val="00A217D2"/>
    <w:rsid w:val="00B13544"/>
    <w:rsid w:val="00B157D0"/>
    <w:rsid w:val="00B4029B"/>
    <w:rsid w:val="00B85923"/>
    <w:rsid w:val="00BA530E"/>
    <w:rsid w:val="00BA7ADC"/>
    <w:rsid w:val="00BB695D"/>
    <w:rsid w:val="00BC2B49"/>
    <w:rsid w:val="00C10F55"/>
    <w:rsid w:val="00C3011C"/>
    <w:rsid w:val="00C45DE2"/>
    <w:rsid w:val="00C75541"/>
    <w:rsid w:val="00CB0F40"/>
    <w:rsid w:val="00CB39F0"/>
    <w:rsid w:val="00CF2810"/>
    <w:rsid w:val="00D12E03"/>
    <w:rsid w:val="00D14B84"/>
    <w:rsid w:val="00D42C39"/>
    <w:rsid w:val="00D64521"/>
    <w:rsid w:val="00DA7182"/>
    <w:rsid w:val="00E349A9"/>
    <w:rsid w:val="00E35AE9"/>
    <w:rsid w:val="00E503F6"/>
    <w:rsid w:val="00E86F00"/>
    <w:rsid w:val="00EA21C2"/>
    <w:rsid w:val="00EB59B3"/>
    <w:rsid w:val="00FB0F06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F817"/>
  <w15:chartTrackingRefBased/>
  <w15:docId w15:val="{D7787EDC-4A29-4F54-9842-79386E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A1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6E68"/>
    <w:pPr>
      <w:spacing w:before="100" w:beforeAutospacing="1" w:after="100" w:afterAutospacing="1"/>
    </w:pPr>
    <w:rPr>
      <w:rFonts w:eastAsia="Times New Roman"/>
    </w:rPr>
  </w:style>
  <w:style w:type="paragraph" w:styleId="Odsekzoznamu">
    <w:name w:val="List Paragraph"/>
    <w:basedOn w:val="Normlny"/>
    <w:uiPriority w:val="34"/>
    <w:qFormat/>
    <w:rsid w:val="00366E68"/>
    <w:pPr>
      <w:ind w:left="720"/>
      <w:contextualSpacing/>
    </w:pPr>
  </w:style>
  <w:style w:type="table" w:styleId="Mriekatabuky">
    <w:name w:val="Table Grid"/>
    <w:basedOn w:val="Normlnatabuka"/>
    <w:uiPriority w:val="99"/>
    <w:rsid w:val="00366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2E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2E03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BC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Monika</cp:lastModifiedBy>
  <cp:revision>13</cp:revision>
  <cp:lastPrinted>2021-09-30T21:19:00Z</cp:lastPrinted>
  <dcterms:created xsi:type="dcterms:W3CDTF">2021-09-30T21:10:00Z</dcterms:created>
  <dcterms:modified xsi:type="dcterms:W3CDTF">2022-08-24T16:46:00Z</dcterms:modified>
</cp:coreProperties>
</file>