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4D81906D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 xml:space="preserve">Návrh zákona, 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>zákona, ktorým sa mení a dopĺňa zákon č. 5/2004 Z. z. o službách zamestnanosti a o zmene a doplnení niektorých zákonov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6F7E6BAC" w:rsidR="00366E68" w:rsidRPr="00CB0F40" w:rsidRDefault="005814AB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Osoby samostatne zárobkovo činné, ktoré vykonávajú tzv. slobodné povolania</w:t>
            </w:r>
            <w:r w:rsidR="00CB39F0">
              <w:rPr>
                <w:rFonts w:ascii="Times" w:hAnsi="Times" w:cs="Times"/>
                <w:sz w:val="20"/>
                <w:szCs w:val="20"/>
              </w:rPr>
              <w:t xml:space="preserve">, ako je napríklad umelecká činnosť, nemajú podľa súčasne účinného znenia zákona č. 5/2004 Z. z. možnosť požiadať o poskytnutie príspevku na činnosť pracovného asistenta. 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55D4B04B" w:rsidR="00E86F00" w:rsidRDefault="00CB39F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B39F0">
              <w:rPr>
                <w:rFonts w:ascii="Times" w:hAnsi="Times" w:cs="Times"/>
                <w:sz w:val="20"/>
                <w:szCs w:val="20"/>
              </w:rPr>
              <w:t>Cieľom predloženej novely zákona č. 5/2004 Z. z. o službách zamestnanosti a o zmene a doplnení niektorých zákonov v znení neskorších predpisov je lepšie začlenenie osôb so zdravotným postihnutím na trh práce</w:t>
            </w:r>
            <w:r>
              <w:rPr>
                <w:rFonts w:ascii="Times" w:hAnsi="Times" w:cs="Times"/>
                <w:sz w:val="20"/>
                <w:szCs w:val="20"/>
              </w:rPr>
              <w:t xml:space="preserve">. Na základe navrhnutej zmeny by o príspevok na činnosť pracovného asistenta mohli požiadať aj samostatne zárobkovo činné osoby, ktoré vykonávajú </w:t>
            </w:r>
            <w:r w:rsidRPr="00CB39F0">
              <w:rPr>
                <w:rFonts w:ascii="Times" w:hAnsi="Times" w:cs="Times"/>
                <w:sz w:val="20"/>
                <w:szCs w:val="20"/>
              </w:rPr>
              <w:t>činnosť, ktorá spočíva vo využívaní výsledkov duševnej tvorivej činnosti chránených osobitnými zákonmi, ku ktorým patrí napríklad zákon č. 527/1990 Zb. o vynálezoch, priemyselných vzoroch a zlepšovacích návrhoch alebo zákon č. 185/2015 Z. z. autorský zákon.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6712EF42" w:rsidR="005644DD" w:rsidRDefault="00B4029B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Osoby so zdravotným postihnutím vykonávajúce činnosť, </w:t>
            </w:r>
            <w:r w:rsidRPr="00B4029B">
              <w:rPr>
                <w:rFonts w:ascii="Times" w:hAnsi="Times" w:cs="Times"/>
                <w:sz w:val="20"/>
                <w:szCs w:val="20"/>
              </w:rPr>
              <w:t>ktorá spočíva vo využívaní výsledkov duševnej tvorivej činnosti chránených osobitnými zákonmi</w:t>
            </w:r>
            <w:r w:rsidR="005644DD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1EABB233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C5A5EEC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BC2B4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06BE1AF0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4029B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6D3247E9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B4029B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679654E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4029B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3E401382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B4029B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705C298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4029B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67321ED1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08D52D6B" w14:textId="77777777" w:rsidR="00366E68" w:rsidRPr="00A3271B" w:rsidRDefault="00366E68" w:rsidP="00366E68">
      <w:pPr>
        <w:spacing w:after="200" w:line="276" w:lineRule="auto"/>
        <w:rPr>
          <w:b/>
          <w:bCs/>
          <w:spacing w:val="30"/>
        </w:rPr>
      </w:pPr>
    </w:p>
    <w:p w14:paraId="753C0E27" w14:textId="77777777" w:rsidR="00366E68" w:rsidRDefault="00366E68" w:rsidP="00643E95">
      <w:pPr>
        <w:jc w:val="both"/>
      </w:pPr>
    </w:p>
    <w:p w14:paraId="1BF7D56C" w14:textId="77777777" w:rsidR="00366E68" w:rsidRDefault="00366E68" w:rsidP="006A1DBE">
      <w:pPr>
        <w:ind w:firstLine="720"/>
        <w:jc w:val="both"/>
      </w:pPr>
    </w:p>
    <w:p w14:paraId="0DC34F67" w14:textId="77777777" w:rsidR="00642C04" w:rsidRDefault="00642C04" w:rsidP="00366E68">
      <w:pPr>
        <w:jc w:val="center"/>
        <w:rPr>
          <w:b/>
          <w:caps/>
          <w:spacing w:val="30"/>
          <w:sz w:val="25"/>
          <w:szCs w:val="25"/>
        </w:rPr>
      </w:pPr>
    </w:p>
    <w:p w14:paraId="18C9DA9E" w14:textId="77777777" w:rsidR="00643E95" w:rsidRDefault="00643E95" w:rsidP="00366E68">
      <w:pPr>
        <w:jc w:val="center"/>
        <w:rPr>
          <w:b/>
          <w:caps/>
          <w:spacing w:val="30"/>
          <w:sz w:val="25"/>
          <w:szCs w:val="25"/>
        </w:rPr>
      </w:pPr>
    </w:p>
    <w:p w14:paraId="4959D1DE" w14:textId="4134B00D" w:rsidR="00366E68" w:rsidRDefault="00366E68"/>
    <w:p w14:paraId="1D52B047" w14:textId="77777777" w:rsidR="00E86F00" w:rsidRDefault="00E86F00"/>
    <w:p w14:paraId="3CC9F134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A372D89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54AC4DBF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CB39F0" w:rsidRPr="00CB39F0">
              <w:rPr>
                <w:sz w:val="25"/>
                <w:szCs w:val="25"/>
              </w:rPr>
              <w:t>ktorým sa mení a dopĺňa zákon č. 5/2004 Z. z. o službách zamestnanosti a o zmene a doplnení niektorých zákonov v znení neskorších predpisov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</w:t>
            </w:r>
            <w:bookmarkStart w:id="0" w:name="_GoBack"/>
            <w:bookmarkEnd w:id="0"/>
            <w:r>
              <w:rPr>
                <w:color w:val="000000"/>
                <w:sz w:val="25"/>
                <w:szCs w:val="25"/>
              </w:rPr>
              <w:t xml:space="preserve">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Záväzky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Slovenskej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republiky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vo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vzťahu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k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únii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  <w:p w14:paraId="0B71B8FE" w14:textId="77777777" w:rsidR="00D42C39" w:rsidRDefault="00D42C39" w:rsidP="00D42C39">
            <w:pPr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bezpredmetné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24D2A737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</w:p>
          <w:p w14:paraId="4065B2A3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5.Stupeň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návrhu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právneho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predpisu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s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právom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únie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814AB"/>
    <w:rsid w:val="005B393F"/>
    <w:rsid w:val="00642C04"/>
    <w:rsid w:val="00643E95"/>
    <w:rsid w:val="00693B46"/>
    <w:rsid w:val="006A1DBE"/>
    <w:rsid w:val="006A7FB4"/>
    <w:rsid w:val="00727239"/>
    <w:rsid w:val="00741060"/>
    <w:rsid w:val="00834C2F"/>
    <w:rsid w:val="00882EDF"/>
    <w:rsid w:val="008909A2"/>
    <w:rsid w:val="008B358E"/>
    <w:rsid w:val="008B3B9B"/>
    <w:rsid w:val="008F7E39"/>
    <w:rsid w:val="00984CFC"/>
    <w:rsid w:val="00985AB6"/>
    <w:rsid w:val="00A217D2"/>
    <w:rsid w:val="00B13544"/>
    <w:rsid w:val="00B157D0"/>
    <w:rsid w:val="00B4029B"/>
    <w:rsid w:val="00B85923"/>
    <w:rsid w:val="00BB695D"/>
    <w:rsid w:val="00BC2B49"/>
    <w:rsid w:val="00C10F55"/>
    <w:rsid w:val="00C3011C"/>
    <w:rsid w:val="00C45DE2"/>
    <w:rsid w:val="00C75541"/>
    <w:rsid w:val="00CB0F40"/>
    <w:rsid w:val="00CB39F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Monika</cp:lastModifiedBy>
  <cp:revision>9</cp:revision>
  <cp:lastPrinted>2021-09-30T21:19:00Z</cp:lastPrinted>
  <dcterms:created xsi:type="dcterms:W3CDTF">2021-09-30T21:10:00Z</dcterms:created>
  <dcterms:modified xsi:type="dcterms:W3CDTF">2022-08-11T07:53:00Z</dcterms:modified>
</cp:coreProperties>
</file>