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5A2B2" w14:textId="77777777" w:rsidR="006A4F0D" w:rsidRPr="00D60773" w:rsidRDefault="00BE2399" w:rsidP="007270FB">
      <w:pPr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Dôvodová správa</w:t>
      </w:r>
    </w:p>
    <w:p w14:paraId="7A5F7CD3" w14:textId="77777777" w:rsidR="00BE2399" w:rsidRPr="00D60773" w:rsidRDefault="00BE2399" w:rsidP="007270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C4495BA" w14:textId="77777777" w:rsidR="00BE2399" w:rsidRPr="00EF0811" w:rsidRDefault="00BE2399" w:rsidP="00EF081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F0811">
        <w:rPr>
          <w:rFonts w:ascii="Times New Roman" w:hAnsi="Times New Roman" w:cs="Times New Roman"/>
          <w:b/>
          <w:bCs/>
          <w:color w:val="000000" w:themeColor="text1"/>
        </w:rPr>
        <w:t>Všeobecná časť</w:t>
      </w:r>
    </w:p>
    <w:p w14:paraId="2E30C9C7" w14:textId="77777777" w:rsidR="00BE2399" w:rsidRPr="00D60773" w:rsidRDefault="00BE2399" w:rsidP="007270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0B99C87" w14:textId="1234BE3D" w:rsidR="00145931" w:rsidRDefault="00145931" w:rsidP="00A967F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</w:t>
      </w:r>
      <w:r w:rsidR="00EF0811" w:rsidRPr="00EF0811">
        <w:rPr>
          <w:rFonts w:ascii="Times New Roman" w:hAnsi="Times New Roman" w:cs="Times New Roman"/>
          <w:color w:val="000000" w:themeColor="text1"/>
        </w:rPr>
        <w:t xml:space="preserve">ávrh zákona, </w:t>
      </w:r>
      <w:r w:rsidR="00620725" w:rsidRPr="00620725">
        <w:rPr>
          <w:rFonts w:ascii="Times New Roman" w:hAnsi="Times New Roman" w:cs="Times New Roman"/>
          <w:color w:val="000000" w:themeColor="text1"/>
        </w:rPr>
        <w:t xml:space="preserve">ktorým sa mení a dopĺňa </w:t>
      </w:r>
      <w:r w:rsidR="00DA0152" w:rsidRPr="00DA0152">
        <w:rPr>
          <w:rFonts w:ascii="Times New Roman" w:hAnsi="Times New Roman" w:cs="Times New Roman"/>
          <w:color w:val="000000" w:themeColor="text1"/>
        </w:rPr>
        <w:t xml:space="preserve">zákon č. </w:t>
      </w:r>
      <w:r w:rsidR="000B0860" w:rsidRPr="000B0860">
        <w:rPr>
          <w:rFonts w:ascii="Times New Roman" w:hAnsi="Times New Roman" w:cs="Times New Roman"/>
          <w:color w:val="000000" w:themeColor="text1"/>
        </w:rPr>
        <w:t>211/2000 Z. z. o slobodnom prístupe k informáciám a o zmene a doplnení niektorých zákonov (zákon o slobode informácií) v znení neskorších predpisov</w:t>
      </w:r>
      <w:r w:rsidR="00EF0811" w:rsidRPr="00EF081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sa predkladá ako návrh skupiny poslancov NRSR</w:t>
      </w:r>
      <w:r w:rsidR="00D300D7">
        <w:rPr>
          <w:rFonts w:ascii="Times New Roman" w:hAnsi="Times New Roman" w:cs="Times New Roman"/>
          <w:color w:val="000000" w:themeColor="text1"/>
        </w:rPr>
        <w:t xml:space="preserve"> za stranu </w:t>
      </w:r>
      <w:r w:rsidR="00D300D7" w:rsidRPr="00D300D7">
        <w:rPr>
          <w:rFonts w:ascii="Times New Roman" w:hAnsi="Times New Roman" w:cs="Times New Roman"/>
          <w:color w:val="000000" w:themeColor="text1"/>
        </w:rPr>
        <w:t>HLAS – sociálna demokracia</w:t>
      </w:r>
      <w:r>
        <w:rPr>
          <w:rFonts w:ascii="Times New Roman" w:hAnsi="Times New Roman" w:cs="Times New Roman"/>
          <w:color w:val="000000" w:themeColor="text1"/>
        </w:rPr>
        <w:t>.</w:t>
      </w:r>
      <w:r w:rsidR="000B0860">
        <w:rPr>
          <w:rFonts w:ascii="Times New Roman" w:hAnsi="Times New Roman" w:cs="Times New Roman"/>
          <w:color w:val="000000" w:themeColor="text1"/>
        </w:rPr>
        <w:t xml:space="preserve"> </w:t>
      </w:r>
    </w:p>
    <w:p w14:paraId="0BB6BA97" w14:textId="63285842" w:rsidR="00145931" w:rsidRDefault="00785EB5" w:rsidP="00A967F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1D1F2AF6" w14:textId="6F8B4558" w:rsidR="00C5678E" w:rsidRDefault="0078172F" w:rsidP="00A967FD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="0048441E">
        <w:rPr>
          <w:rFonts w:ascii="Times New Roman" w:hAnsi="Times New Roman" w:cs="Times New Roman"/>
          <w:color w:val="000000" w:themeColor="text1"/>
        </w:rPr>
        <w:t xml:space="preserve">Súčasná regulácia </w:t>
      </w:r>
      <w:r w:rsidR="00C5678E">
        <w:rPr>
          <w:rFonts w:ascii="Times New Roman" w:hAnsi="Times New Roman" w:cs="Times New Roman"/>
          <w:color w:val="000000" w:themeColor="text1"/>
        </w:rPr>
        <w:t xml:space="preserve">nenávratných finančných výpomocí poskytovaných štátom v prospech subjektov súkromného sektora </w:t>
      </w:r>
      <w:r w:rsidR="0048441E">
        <w:rPr>
          <w:rFonts w:ascii="Times New Roman" w:hAnsi="Times New Roman" w:cs="Times New Roman"/>
          <w:color w:val="000000" w:themeColor="text1"/>
        </w:rPr>
        <w:t>je značne fragmentovaná, neprehľadná</w:t>
      </w:r>
      <w:r w:rsidR="00C5678E">
        <w:rPr>
          <w:rFonts w:ascii="Times New Roman" w:hAnsi="Times New Roman" w:cs="Times New Roman"/>
          <w:color w:val="000000" w:themeColor="text1"/>
        </w:rPr>
        <w:t>,</w:t>
      </w:r>
      <w:r w:rsidR="0048441E">
        <w:rPr>
          <w:rFonts w:ascii="Times New Roman" w:hAnsi="Times New Roman" w:cs="Times New Roman"/>
          <w:color w:val="000000" w:themeColor="text1"/>
        </w:rPr>
        <w:t xml:space="preserve"> rozdielne sú  spôsoby zverejňovania výziev, na základe ktorých sa môžu subjekty prihlásiť a získať niektorú z vymedzených foriem </w:t>
      </w:r>
      <w:r w:rsidR="00C5678E">
        <w:rPr>
          <w:rFonts w:ascii="Times New Roman" w:hAnsi="Times New Roman" w:cs="Times New Roman"/>
          <w:color w:val="000000" w:themeColor="text1"/>
        </w:rPr>
        <w:t xml:space="preserve">štátnej </w:t>
      </w:r>
      <w:r w:rsidR="0048441E">
        <w:rPr>
          <w:rFonts w:ascii="Times New Roman" w:hAnsi="Times New Roman" w:cs="Times New Roman"/>
          <w:color w:val="000000" w:themeColor="text1"/>
        </w:rPr>
        <w:t xml:space="preserve">pomoci. </w:t>
      </w:r>
      <w:r w:rsidR="00C5678E">
        <w:rPr>
          <w:rFonts w:ascii="Times New Roman" w:hAnsi="Times New Roman" w:cs="Times New Roman"/>
          <w:color w:val="000000" w:themeColor="text1"/>
        </w:rPr>
        <w:t xml:space="preserve">Vo všeobecnosti je takýmto prepisom zákon </w:t>
      </w:r>
      <w:r w:rsidR="00C5678E" w:rsidRPr="00C5678E">
        <w:rPr>
          <w:rFonts w:ascii="Times New Roman" w:hAnsi="Times New Roman" w:cs="Times New Roman"/>
          <w:color w:val="000000" w:themeColor="text1"/>
        </w:rPr>
        <w:t>č. 523/2004 Z. z. o rozpočtových pravidlách verejnej správy</w:t>
      </w:r>
      <w:r w:rsidR="00C5678E">
        <w:rPr>
          <w:rFonts w:ascii="Times New Roman" w:hAnsi="Times New Roman" w:cs="Times New Roman"/>
          <w:color w:val="000000" w:themeColor="text1"/>
        </w:rPr>
        <w:t xml:space="preserve">, ktorý definuje pojem dotácia a určuje základné pravidlá jej poskytovania, oblasť </w:t>
      </w:r>
      <w:r w:rsidR="00C5678E" w:rsidRPr="0048441E">
        <w:rPr>
          <w:rFonts w:ascii="Times New Roman" w:hAnsi="Times New Roman" w:cs="Times New Roman"/>
          <w:color w:val="000000" w:themeColor="text1"/>
        </w:rPr>
        <w:t>štátnej pomoci</w:t>
      </w:r>
      <w:r w:rsidR="00C5678E">
        <w:rPr>
          <w:rFonts w:ascii="Times New Roman" w:hAnsi="Times New Roman" w:cs="Times New Roman"/>
          <w:color w:val="000000" w:themeColor="text1"/>
        </w:rPr>
        <w:t xml:space="preserve"> je potom upravená najmä zákonom </w:t>
      </w:r>
      <w:r w:rsidR="00C5678E" w:rsidRPr="0048441E">
        <w:rPr>
          <w:rFonts w:ascii="Times New Roman" w:hAnsi="Times New Roman" w:cs="Times New Roman"/>
          <w:color w:val="000000" w:themeColor="text1"/>
        </w:rPr>
        <w:t>č. 358/2015 Z. z.</w:t>
      </w:r>
      <w:r w:rsidR="00C5678E">
        <w:rPr>
          <w:rFonts w:ascii="Times New Roman" w:hAnsi="Times New Roman" w:cs="Times New Roman"/>
          <w:color w:val="000000" w:themeColor="text1"/>
        </w:rPr>
        <w:t xml:space="preserve"> o štátnej pomoci, ktorý stipuluje základné práva a povinnosti poskytovateľa pomoci a chráni hospodársku súťaž. Konkrétne postupy, ktorými jednotlivé rezorty prideľujú dotácie, granty či príspevky sú upravené osobitnými predpismi.</w:t>
      </w:r>
    </w:p>
    <w:p w14:paraId="12597027" w14:textId="0B85FCE1" w:rsidR="00205B99" w:rsidRDefault="0048441E" w:rsidP="00A967FD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Spravidla sa výzvy </w:t>
      </w:r>
      <w:r w:rsidR="00C5678E">
        <w:rPr>
          <w:rFonts w:ascii="Times New Roman" w:hAnsi="Times New Roman" w:cs="Times New Roman"/>
          <w:color w:val="000000" w:themeColor="text1"/>
        </w:rPr>
        <w:t xml:space="preserve">na predkladanie žiadostí </w:t>
      </w:r>
      <w:r>
        <w:rPr>
          <w:rFonts w:ascii="Times New Roman" w:hAnsi="Times New Roman" w:cs="Times New Roman"/>
          <w:color w:val="000000" w:themeColor="text1"/>
        </w:rPr>
        <w:t xml:space="preserve">zverejňujú na webstránkach jednotlivých rezortov, </w:t>
      </w:r>
      <w:r w:rsidR="00C5678E">
        <w:rPr>
          <w:rFonts w:ascii="Times New Roman" w:hAnsi="Times New Roman" w:cs="Times New Roman"/>
          <w:color w:val="000000" w:themeColor="text1"/>
        </w:rPr>
        <w:t>kde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C5678E">
        <w:rPr>
          <w:rFonts w:ascii="Times New Roman" w:hAnsi="Times New Roman" w:cs="Times New Roman"/>
          <w:color w:val="000000" w:themeColor="text1"/>
        </w:rPr>
        <w:t>je</w:t>
      </w:r>
      <w:r>
        <w:rPr>
          <w:rFonts w:ascii="Times New Roman" w:hAnsi="Times New Roman" w:cs="Times New Roman"/>
          <w:color w:val="000000" w:themeColor="text1"/>
        </w:rPr>
        <w:t xml:space="preserve"> pomerne</w:t>
      </w:r>
      <w:r w:rsidR="00C5678E">
        <w:rPr>
          <w:rFonts w:ascii="Times New Roman" w:hAnsi="Times New Roman" w:cs="Times New Roman"/>
          <w:color w:val="000000" w:themeColor="text1"/>
        </w:rPr>
        <w:t xml:space="preserve"> náročné ich nájsť</w:t>
      </w:r>
      <w:r>
        <w:rPr>
          <w:rFonts w:ascii="Times New Roman" w:hAnsi="Times New Roman" w:cs="Times New Roman"/>
          <w:color w:val="000000" w:themeColor="text1"/>
        </w:rPr>
        <w:t xml:space="preserve"> a verejnosť </w:t>
      </w:r>
      <w:r w:rsidR="00A51E70">
        <w:rPr>
          <w:rFonts w:ascii="Times New Roman" w:hAnsi="Times New Roman" w:cs="Times New Roman"/>
          <w:color w:val="000000" w:themeColor="text1"/>
        </w:rPr>
        <w:t>sa o výzvach často nedozvedá, čo vedie</w:t>
      </w:r>
      <w:r w:rsidR="002947DF">
        <w:rPr>
          <w:rFonts w:ascii="Times New Roman" w:hAnsi="Times New Roman" w:cs="Times New Roman"/>
          <w:color w:val="000000" w:themeColor="text1"/>
        </w:rPr>
        <w:t xml:space="preserve"> v konečnom dôsledku </w:t>
      </w:r>
      <w:r w:rsidR="00A51E70">
        <w:rPr>
          <w:rFonts w:ascii="Times New Roman" w:hAnsi="Times New Roman" w:cs="Times New Roman"/>
          <w:color w:val="000000" w:themeColor="text1"/>
        </w:rPr>
        <w:t>k tomu, že dotácie, granty, príspevky a iné formy pomoci získavajú problematické subjekty, ktoré využívajú prepojenia na úradníkov či politické strany.</w:t>
      </w:r>
    </w:p>
    <w:p w14:paraId="73F5A102" w14:textId="44AE4A91" w:rsidR="005E4EB9" w:rsidRDefault="00A51E70" w:rsidP="00A967FD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 xml:space="preserve">Predkladaný návrh zákona smeruje k zjednoteniu tejto oblasti a k zvýšeniu transparentnosti či už na strane dohľadu verejnosti nad výsledkami procesov, v rámci ktorých sa poskytujú rôzne formy </w:t>
      </w:r>
      <w:r w:rsidR="004667E3">
        <w:rPr>
          <w:rFonts w:ascii="Times New Roman" w:hAnsi="Times New Roman" w:cs="Times New Roman"/>
          <w:color w:val="000000" w:themeColor="text1"/>
        </w:rPr>
        <w:t>finančnej</w:t>
      </w:r>
      <w:r>
        <w:rPr>
          <w:rFonts w:ascii="Times New Roman" w:hAnsi="Times New Roman" w:cs="Times New Roman"/>
          <w:color w:val="000000" w:themeColor="text1"/>
        </w:rPr>
        <w:t xml:space="preserve"> pomoci, ale taktiež i na strane žiadateľov, ktorí by získali jednotný informačný systém, kde by </w:t>
      </w:r>
      <w:r w:rsidR="002947DF">
        <w:rPr>
          <w:rFonts w:ascii="Times New Roman" w:hAnsi="Times New Roman" w:cs="Times New Roman"/>
          <w:color w:val="000000" w:themeColor="text1"/>
        </w:rPr>
        <w:t xml:space="preserve">bolo možné </w:t>
      </w:r>
      <w:r>
        <w:rPr>
          <w:rFonts w:ascii="Times New Roman" w:hAnsi="Times New Roman" w:cs="Times New Roman"/>
          <w:color w:val="000000" w:themeColor="text1"/>
        </w:rPr>
        <w:t xml:space="preserve">jednoduchou formou a včas získať údaje o vyhlásených výzvach. Zákon po vzore centrálneho registra zmlúv navrhuje zriadiť centrálny register výziev, kde by povinné osoby (rovnaký okruh subjektov verejného sektora ako pri CRZ) zverejňovali </w:t>
      </w:r>
      <w:r w:rsidRPr="00A51E70">
        <w:rPr>
          <w:rFonts w:ascii="Times New Roman" w:hAnsi="Times New Roman" w:cs="Times New Roman"/>
          <w:color w:val="000000" w:themeColor="text1"/>
        </w:rPr>
        <w:t>výzv</w:t>
      </w:r>
      <w:r>
        <w:rPr>
          <w:rFonts w:ascii="Times New Roman" w:hAnsi="Times New Roman" w:cs="Times New Roman"/>
          <w:color w:val="000000" w:themeColor="text1"/>
        </w:rPr>
        <w:t>y</w:t>
      </w:r>
      <w:r w:rsidRPr="00A51E70">
        <w:rPr>
          <w:rFonts w:ascii="Times New Roman" w:hAnsi="Times New Roman" w:cs="Times New Roman"/>
          <w:color w:val="000000" w:themeColor="text1"/>
        </w:rPr>
        <w:t xml:space="preserve"> na predkladanie žiadostí o </w:t>
      </w:r>
      <w:r w:rsidR="004667E3" w:rsidRPr="004667E3">
        <w:rPr>
          <w:rFonts w:ascii="Times New Roman" w:hAnsi="Times New Roman" w:cs="Times New Roman"/>
          <w:color w:val="000000" w:themeColor="text1"/>
        </w:rPr>
        <w:t>dotácie, priame formy pomoci či iné druhy nenávratných finančných výpomocí</w:t>
      </w:r>
      <w:r w:rsidR="004667E3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pričom výzvy by sa považovali za vyhlásené dňom zverejnenia v registri a žiadna z foriem pomoci by nemohla byť poskytnutá bez zverejnenia výzvy v registri.</w:t>
      </w:r>
      <w:r w:rsidR="00BF2F31">
        <w:rPr>
          <w:rFonts w:ascii="Times New Roman" w:hAnsi="Times New Roman" w:cs="Times New Roman"/>
          <w:color w:val="000000" w:themeColor="text1"/>
        </w:rPr>
        <w:t xml:space="preserve"> Ďalej by mal register ako jednotný informačný systém obsahovať i informácie o schválených žiadostiach, recipientoch pomoci a neschválených žiadostiach. Register by spravoval </w:t>
      </w:r>
      <w:r w:rsidR="00BF2F31" w:rsidRPr="00BF2F31">
        <w:rPr>
          <w:rFonts w:ascii="Times New Roman" w:hAnsi="Times New Roman" w:cs="Times New Roman"/>
          <w:color w:val="000000" w:themeColor="text1"/>
        </w:rPr>
        <w:t>Úrad vlády Slovenskej republiky</w:t>
      </w:r>
      <w:r w:rsidR="00BF2F31">
        <w:rPr>
          <w:rFonts w:ascii="Times New Roman" w:hAnsi="Times New Roman" w:cs="Times New Roman"/>
          <w:color w:val="000000" w:themeColor="text1"/>
        </w:rPr>
        <w:t xml:space="preserve"> rovnako ako CRZ.</w:t>
      </w:r>
    </w:p>
    <w:p w14:paraId="2FA044B9" w14:textId="77777777" w:rsidR="00BF2F31" w:rsidRDefault="00BF2F31" w:rsidP="00A967FD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6EF7449" w14:textId="7BB6135F" w:rsidR="00D63F73" w:rsidRPr="00DE4D20" w:rsidRDefault="00E25D8A" w:rsidP="00A967F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 w:themeColor="text1"/>
        </w:rPr>
        <w:t xml:space="preserve">Cieľom návrhu </w:t>
      </w:r>
      <w:r w:rsidR="00D63F73">
        <w:rPr>
          <w:rFonts w:ascii="Times New Roman" w:hAnsi="Times New Roman" w:cs="Times New Roman"/>
          <w:color w:val="000000" w:themeColor="text1"/>
        </w:rPr>
        <w:t xml:space="preserve">zákona je </w:t>
      </w:r>
      <w:r w:rsidR="00BF2F31">
        <w:rPr>
          <w:rFonts w:ascii="Times New Roman" w:hAnsi="Times New Roman" w:cs="Times New Roman"/>
          <w:color w:val="000000" w:themeColor="text1"/>
        </w:rPr>
        <w:t xml:space="preserve">zjednotiť právnu úpravu evidencie výziev </w:t>
      </w:r>
      <w:r w:rsidR="00BF2F31" w:rsidRPr="00BF2F31">
        <w:rPr>
          <w:rFonts w:ascii="Times New Roman" w:hAnsi="Times New Roman" w:cs="Times New Roman"/>
          <w:color w:val="000000" w:themeColor="text1"/>
        </w:rPr>
        <w:t>na predkladanie žiadostí o niektorú z priamych foriem pomoci</w:t>
      </w:r>
      <w:r w:rsidR="00BF2F31">
        <w:rPr>
          <w:rFonts w:ascii="Times New Roman" w:hAnsi="Times New Roman" w:cs="Times New Roman"/>
          <w:color w:val="000000" w:themeColor="text1"/>
        </w:rPr>
        <w:t xml:space="preserve"> a údajov o výsledkoch procesov poskytovania priamych foriem pomoci, za účelom zvýšenia transparentnosti, dohľad</w:t>
      </w:r>
      <w:r w:rsidR="002947DF">
        <w:rPr>
          <w:rFonts w:ascii="Times New Roman" w:hAnsi="Times New Roman" w:cs="Times New Roman"/>
          <w:color w:val="000000" w:themeColor="text1"/>
        </w:rPr>
        <w:t>u</w:t>
      </w:r>
      <w:r w:rsidR="00BF2F31">
        <w:rPr>
          <w:rFonts w:ascii="Times New Roman" w:hAnsi="Times New Roman" w:cs="Times New Roman"/>
          <w:color w:val="000000" w:themeColor="text1"/>
        </w:rPr>
        <w:t xml:space="preserve"> verejnosti na týmito procesmi a zvýšen</w:t>
      </w:r>
      <w:r w:rsidR="002947DF">
        <w:rPr>
          <w:rFonts w:ascii="Times New Roman" w:hAnsi="Times New Roman" w:cs="Times New Roman"/>
          <w:color w:val="000000" w:themeColor="text1"/>
        </w:rPr>
        <w:t>ia</w:t>
      </w:r>
      <w:r w:rsidR="00BF2F31">
        <w:rPr>
          <w:rFonts w:ascii="Times New Roman" w:hAnsi="Times New Roman" w:cs="Times New Roman"/>
          <w:color w:val="000000" w:themeColor="text1"/>
        </w:rPr>
        <w:t xml:space="preserve"> prehľadnosti </w:t>
      </w:r>
      <w:r w:rsidR="002947DF">
        <w:rPr>
          <w:rFonts w:ascii="Times New Roman" w:hAnsi="Times New Roman" w:cs="Times New Roman"/>
          <w:color w:val="000000" w:themeColor="text1"/>
        </w:rPr>
        <w:t xml:space="preserve">zverejňovaných údajov </w:t>
      </w:r>
      <w:r w:rsidR="00BF2F31">
        <w:rPr>
          <w:rFonts w:ascii="Times New Roman" w:hAnsi="Times New Roman" w:cs="Times New Roman"/>
          <w:color w:val="000000" w:themeColor="text1"/>
        </w:rPr>
        <w:t>pre žiadateľov o štátnu pomoc.</w:t>
      </w:r>
    </w:p>
    <w:p w14:paraId="34AEBDEB" w14:textId="6B4D00A4" w:rsidR="00E25D8A" w:rsidRDefault="00E25D8A" w:rsidP="00A967FD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83C1982" w14:textId="2B13FFFB" w:rsidR="007270FB" w:rsidRDefault="00706D76" w:rsidP="00A967F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60773">
        <w:rPr>
          <w:rFonts w:ascii="Times New Roman" w:hAnsi="Times New Roman" w:cs="Times New Roman"/>
          <w:color w:val="000000" w:themeColor="text1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489EEA15" w14:textId="6252A94B" w:rsidR="00BE2399" w:rsidRPr="00D60773" w:rsidRDefault="00BE2399" w:rsidP="00A967FD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Osobitná časť </w:t>
      </w:r>
    </w:p>
    <w:p w14:paraId="1386F3FC" w14:textId="77777777" w:rsidR="008D7E9B" w:rsidRPr="00D60773" w:rsidRDefault="008D7E9B" w:rsidP="00A967F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B4AC18B" w14:textId="4A381D97" w:rsidR="008D7E9B" w:rsidRDefault="008D7E9B" w:rsidP="00A967F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K čl. I</w:t>
      </w:r>
    </w:p>
    <w:p w14:paraId="29CAE2EA" w14:textId="77777777" w:rsidR="00205B99" w:rsidRDefault="00205B99" w:rsidP="00A967FD">
      <w:pPr>
        <w:spacing w:line="276" w:lineRule="auto"/>
        <w:jc w:val="both"/>
        <w:rPr>
          <w:rFonts w:ascii="Times New Roman" w:hAnsi="Times New Roman" w:cs="Times New Roman"/>
        </w:rPr>
      </w:pPr>
    </w:p>
    <w:p w14:paraId="1C9E14A2" w14:textId="0DFEA8C2" w:rsidR="006A17D4" w:rsidRDefault="00240D70" w:rsidP="006A17D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</w:t>
      </w:r>
      <w:r w:rsidR="0029345A">
        <w:rPr>
          <w:rFonts w:ascii="Times New Roman" w:hAnsi="Times New Roman" w:cs="Times New Roman"/>
        </w:rPr>
        <w:t xml:space="preserve"> sa</w:t>
      </w:r>
      <w:r w:rsidR="006A17D4">
        <w:rPr>
          <w:rFonts w:ascii="Times New Roman" w:hAnsi="Times New Roman" w:cs="Times New Roman"/>
        </w:rPr>
        <w:t xml:space="preserve"> do zákona </w:t>
      </w:r>
      <w:r w:rsidR="006A17D4" w:rsidRPr="006A17D4">
        <w:rPr>
          <w:rFonts w:ascii="Times New Roman" w:hAnsi="Times New Roman" w:cs="Times New Roman"/>
        </w:rPr>
        <w:t>o slobode informácií</w:t>
      </w:r>
      <w:r w:rsidR="0029345A">
        <w:rPr>
          <w:rFonts w:ascii="Times New Roman" w:hAnsi="Times New Roman" w:cs="Times New Roman"/>
        </w:rPr>
        <w:t xml:space="preserve"> doplniť § </w:t>
      </w:r>
      <w:r w:rsidR="006A17D4">
        <w:rPr>
          <w:rFonts w:ascii="Times New Roman" w:hAnsi="Times New Roman" w:cs="Times New Roman"/>
        </w:rPr>
        <w:t>5c, ktorý upravuje takzvané p</w:t>
      </w:r>
      <w:r w:rsidR="006A17D4" w:rsidRPr="006A17D4">
        <w:rPr>
          <w:rFonts w:ascii="Times New Roman" w:hAnsi="Times New Roman" w:cs="Times New Roman"/>
        </w:rPr>
        <w:t>ovinne zverejňovan</w:t>
      </w:r>
      <w:r w:rsidR="006A17D4">
        <w:rPr>
          <w:rFonts w:ascii="Times New Roman" w:hAnsi="Times New Roman" w:cs="Times New Roman"/>
        </w:rPr>
        <w:t>é</w:t>
      </w:r>
      <w:r w:rsidR="006A17D4" w:rsidRPr="006A17D4">
        <w:rPr>
          <w:rFonts w:ascii="Times New Roman" w:hAnsi="Times New Roman" w:cs="Times New Roman"/>
        </w:rPr>
        <w:t xml:space="preserve"> výzv</w:t>
      </w:r>
      <w:r w:rsidR="006A17D4">
        <w:rPr>
          <w:rFonts w:ascii="Times New Roman" w:hAnsi="Times New Roman" w:cs="Times New Roman"/>
        </w:rPr>
        <w:t xml:space="preserve">y. </w:t>
      </w:r>
    </w:p>
    <w:p w14:paraId="7D9CE03B" w14:textId="1D96CAD4" w:rsidR="006A17D4" w:rsidRDefault="006A17D4" w:rsidP="006A17D4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Tieto výzvy sú výzvami </w:t>
      </w:r>
      <w:r w:rsidRPr="006A17D4">
        <w:rPr>
          <w:rFonts w:ascii="Times New Roman" w:hAnsi="Times New Roman" w:cs="Times New Roman"/>
        </w:rPr>
        <w:t>na predkladanie žiadostí o niektorú z priamych foriem pomoci podľa</w:t>
      </w:r>
      <w:r>
        <w:rPr>
          <w:rFonts w:ascii="Times New Roman" w:hAnsi="Times New Roman" w:cs="Times New Roman"/>
        </w:rPr>
        <w:t xml:space="preserve"> zákona </w:t>
      </w:r>
      <w:r w:rsidRPr="0048441E">
        <w:rPr>
          <w:rFonts w:ascii="Times New Roman" w:hAnsi="Times New Roman" w:cs="Times New Roman"/>
          <w:color w:val="000000" w:themeColor="text1"/>
        </w:rPr>
        <w:t>č. 358/2015 Z. z.</w:t>
      </w:r>
      <w:r>
        <w:rPr>
          <w:rFonts w:ascii="Times New Roman" w:hAnsi="Times New Roman" w:cs="Times New Roman"/>
          <w:color w:val="000000" w:themeColor="text1"/>
        </w:rPr>
        <w:t xml:space="preserve"> o štátnej pomoci. Takýmito najčastejšie poskytovanými formami pomoci na základe výziev budú najmä dotácie, granty alebo príspevky.</w:t>
      </w:r>
    </w:p>
    <w:p w14:paraId="3CEFF850" w14:textId="304CCCF7" w:rsidR="006A17D4" w:rsidRDefault="006A17D4" w:rsidP="006A17D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Okruh poskytovateľov pomoci, na ktorých sa viaže povinnosť zverejňovať výzvy v registri výziev je vymedzený ako okruh povinných osôb podľa § 2 </w:t>
      </w:r>
      <w:r>
        <w:rPr>
          <w:rFonts w:ascii="Times New Roman" w:hAnsi="Times New Roman" w:cs="Times New Roman"/>
        </w:rPr>
        <w:t xml:space="preserve">zákona </w:t>
      </w:r>
      <w:r w:rsidRPr="006A17D4">
        <w:rPr>
          <w:rFonts w:ascii="Times New Roman" w:hAnsi="Times New Roman" w:cs="Times New Roman"/>
        </w:rPr>
        <w:t>o slobode informácií</w:t>
      </w:r>
      <w:r>
        <w:rPr>
          <w:rFonts w:ascii="Times New Roman" w:hAnsi="Times New Roman" w:cs="Times New Roman"/>
        </w:rPr>
        <w:t>.</w:t>
      </w:r>
    </w:p>
    <w:p w14:paraId="0D5FF274" w14:textId="6B19211E" w:rsidR="006A17D4" w:rsidRDefault="006A17D4" w:rsidP="006A17D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Presný postup pri </w:t>
      </w:r>
      <w:r w:rsidR="006504C9">
        <w:rPr>
          <w:rFonts w:ascii="Times New Roman" w:hAnsi="Times New Roman" w:cs="Times New Roman"/>
        </w:rPr>
        <w:t xml:space="preserve">zasielaní výziev povinnými osobami Úradu vlády SR a pri </w:t>
      </w:r>
      <w:r>
        <w:rPr>
          <w:rFonts w:ascii="Times New Roman" w:hAnsi="Times New Roman" w:cs="Times New Roman"/>
        </w:rPr>
        <w:t>zverejňovaní</w:t>
      </w:r>
      <w:r w:rsidR="006504C9">
        <w:rPr>
          <w:rFonts w:ascii="Times New Roman" w:hAnsi="Times New Roman" w:cs="Times New Roman"/>
        </w:rPr>
        <w:t xml:space="preserve"> výziev v registri </w:t>
      </w:r>
      <w:r w:rsidR="006504C9" w:rsidRPr="006504C9">
        <w:rPr>
          <w:rFonts w:ascii="Times New Roman" w:hAnsi="Times New Roman" w:cs="Times New Roman"/>
        </w:rPr>
        <w:t>výziev ustanoví nariadenie vlády Slovenskej republiky</w:t>
      </w:r>
      <w:r w:rsidR="006504C9">
        <w:rPr>
          <w:rFonts w:ascii="Times New Roman" w:hAnsi="Times New Roman" w:cs="Times New Roman"/>
        </w:rPr>
        <w:t xml:space="preserve">. Základný zákonom vymedzený postup nariaďuje povinnej osobe zaslať </w:t>
      </w:r>
      <w:r w:rsidR="006504C9" w:rsidRPr="006504C9">
        <w:rPr>
          <w:rFonts w:ascii="Times New Roman" w:hAnsi="Times New Roman" w:cs="Times New Roman"/>
        </w:rPr>
        <w:t xml:space="preserve">Úradu vlády </w:t>
      </w:r>
      <w:r w:rsidR="00D079A6">
        <w:rPr>
          <w:rFonts w:ascii="Times New Roman" w:hAnsi="Times New Roman" w:cs="Times New Roman"/>
        </w:rPr>
        <w:t>SR</w:t>
      </w:r>
      <w:r w:rsidR="006504C9" w:rsidRPr="006504C9">
        <w:rPr>
          <w:rFonts w:ascii="Times New Roman" w:hAnsi="Times New Roman" w:cs="Times New Roman"/>
        </w:rPr>
        <w:t xml:space="preserve"> výzvu na predkladanie žiadostí na zverejnenie</w:t>
      </w:r>
      <w:r w:rsidR="006504C9">
        <w:rPr>
          <w:rFonts w:ascii="Times New Roman" w:hAnsi="Times New Roman" w:cs="Times New Roman"/>
        </w:rPr>
        <w:t xml:space="preserve">, pričom výzva má obsahovať náležitosti podľa odseku 6. </w:t>
      </w:r>
      <w:r w:rsidR="006504C9" w:rsidRPr="006504C9">
        <w:rPr>
          <w:rFonts w:ascii="Times New Roman" w:hAnsi="Times New Roman" w:cs="Times New Roman"/>
        </w:rPr>
        <w:t>Výzva sa považuje za vyhlásenú dňom zverejnenia v registri výziev</w:t>
      </w:r>
      <w:r w:rsidR="006504C9">
        <w:rPr>
          <w:rFonts w:ascii="Times New Roman" w:hAnsi="Times New Roman" w:cs="Times New Roman"/>
        </w:rPr>
        <w:t xml:space="preserve"> a bez jej vyhlásenia v registri nemožno poskytnúť žiadateľom vymedzenú pomoc.</w:t>
      </w:r>
    </w:p>
    <w:p w14:paraId="3E1875CF" w14:textId="332A963F" w:rsidR="00D079A6" w:rsidRPr="006A17D4" w:rsidRDefault="00D079A6" w:rsidP="006A17D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Register obsahuje taktiež údaje o ďalšom postupe po zaslaní žiadostí o niektorú z foriem pomoci na základe vyhlásených výziev. P</w:t>
      </w:r>
      <w:r w:rsidRPr="00D079A6">
        <w:rPr>
          <w:rFonts w:ascii="Times New Roman" w:hAnsi="Times New Roman" w:cs="Times New Roman"/>
        </w:rPr>
        <w:t>ri každej vyhlásenej výzve</w:t>
      </w:r>
      <w:r>
        <w:rPr>
          <w:rFonts w:ascii="Times New Roman" w:hAnsi="Times New Roman" w:cs="Times New Roman"/>
        </w:rPr>
        <w:t xml:space="preserve"> sa budú nachádzať informácie o </w:t>
      </w:r>
      <w:r w:rsidRPr="00D079A6">
        <w:rPr>
          <w:rFonts w:ascii="Times New Roman" w:hAnsi="Times New Roman" w:cs="Times New Roman"/>
        </w:rPr>
        <w:t>všetkých schválených žiadostiach aj so sumami žiadanej a poskytnutej pomoci vrátane dátumu schválenia, výšky a účelu pomoci a identifikácie prijímateľa pomoci</w:t>
      </w:r>
      <w:r>
        <w:rPr>
          <w:rFonts w:ascii="Times New Roman" w:hAnsi="Times New Roman" w:cs="Times New Roman"/>
        </w:rPr>
        <w:t xml:space="preserve"> a </w:t>
      </w:r>
      <w:r w:rsidRPr="00D079A6">
        <w:rPr>
          <w:rFonts w:ascii="Times New Roman" w:hAnsi="Times New Roman" w:cs="Times New Roman"/>
        </w:rPr>
        <w:t>o všetkých neschválených žiadostiach vrátane dátumu a dôvodu neschválenia žiadosti</w:t>
      </w:r>
      <w:r>
        <w:rPr>
          <w:rFonts w:ascii="Times New Roman" w:hAnsi="Times New Roman" w:cs="Times New Roman"/>
        </w:rPr>
        <w:t xml:space="preserve">, pričom tieto zašle povinná osoba Úradu vlády SR tak, aby boli zverejnené do 30 dní od rozhodnutia. Pri každej výzve v registri budú taktiež priložené </w:t>
      </w:r>
      <w:r w:rsidRPr="00D079A6">
        <w:rPr>
          <w:rFonts w:ascii="Times New Roman" w:hAnsi="Times New Roman" w:cs="Times New Roman"/>
        </w:rPr>
        <w:t>všetky podklady a dokumenty potrebné na vypracovanie žiadosti</w:t>
      </w:r>
      <w:r>
        <w:rPr>
          <w:rFonts w:ascii="Times New Roman" w:hAnsi="Times New Roman" w:cs="Times New Roman"/>
        </w:rPr>
        <w:t>, aby register plnil úlohu jednotného kontaktného miesta pre žiadateľov a poskytovateľov pomoci.</w:t>
      </w:r>
    </w:p>
    <w:p w14:paraId="6C44E18C" w14:textId="7B7ED837" w:rsidR="0029345A" w:rsidRDefault="0029345A" w:rsidP="00A967F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DF4912A" w14:textId="77777777" w:rsidR="00F52CE4" w:rsidRDefault="00F52CE4" w:rsidP="00A967F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4A71BE17" w14:textId="77777777" w:rsidR="008D7E9B" w:rsidRPr="00D60773" w:rsidRDefault="008D7E9B" w:rsidP="00A967F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K čl. II</w:t>
      </w:r>
    </w:p>
    <w:p w14:paraId="08965D4A" w14:textId="77777777" w:rsidR="00316A26" w:rsidRDefault="00316A26" w:rsidP="00A967FD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B8586B3" w14:textId="13081278" w:rsidR="00316A26" w:rsidRPr="00B86ECF" w:rsidRDefault="001768EC" w:rsidP="006A17D4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Účinnosť zákona sa navrhuje </w:t>
      </w:r>
      <w:r w:rsidR="0048441E" w:rsidRPr="0048441E">
        <w:rPr>
          <w:rFonts w:ascii="Times New Roman" w:hAnsi="Times New Roman" w:cs="Times New Roman"/>
          <w:color w:val="000000" w:themeColor="text1"/>
        </w:rPr>
        <w:t>1. januára 2023</w:t>
      </w:r>
      <w:r w:rsidR="0048441E">
        <w:rPr>
          <w:rFonts w:ascii="Times New Roman" w:hAnsi="Times New Roman" w:cs="Times New Roman"/>
          <w:color w:val="000000" w:themeColor="text1"/>
        </w:rPr>
        <w:t>, aby sa vytvoril dostatočný časový priestor na prípravu verejného sektora</w:t>
      </w:r>
      <w:r w:rsidR="001B60D2">
        <w:rPr>
          <w:rFonts w:ascii="Times New Roman" w:hAnsi="Times New Roman" w:cs="Times New Roman"/>
          <w:color w:val="000000" w:themeColor="text1"/>
        </w:rPr>
        <w:t xml:space="preserve"> na nové povinnosti súvisiace s prekladanými zmenami</w:t>
      </w:r>
      <w:r w:rsidR="00A967FD">
        <w:rPr>
          <w:rFonts w:ascii="Times New Roman" w:hAnsi="Times New Roman" w:cs="Times New Roman"/>
          <w:color w:val="000000" w:themeColor="text1"/>
        </w:rPr>
        <w:t>.</w:t>
      </w:r>
      <w:r w:rsidR="00316A26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br w:type="page"/>
      </w:r>
    </w:p>
    <w:p w14:paraId="1C8D37F4" w14:textId="77777777" w:rsidR="00B83154" w:rsidRPr="00D60773" w:rsidRDefault="00B83154" w:rsidP="00B83154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DOLOŽKA ZLUČITEĽNOSTI</w:t>
      </w:r>
    </w:p>
    <w:p w14:paraId="70A84495" w14:textId="77777777" w:rsidR="00B83154" w:rsidRPr="00D60773" w:rsidRDefault="00B83154" w:rsidP="00E26760">
      <w:pPr>
        <w:pStyle w:val="Normlnywebov"/>
        <w:spacing w:line="276" w:lineRule="auto"/>
        <w:jc w:val="center"/>
        <w:rPr>
          <w:color w:val="000000" w:themeColor="text1"/>
        </w:rPr>
      </w:pPr>
      <w:r w:rsidRPr="00D60773">
        <w:rPr>
          <w:b/>
          <w:bCs/>
          <w:color w:val="000000" w:themeColor="text1"/>
        </w:rPr>
        <w:t>návrhu zákona</w:t>
      </w:r>
      <w:r w:rsidRPr="00D60773">
        <w:rPr>
          <w:color w:val="000000" w:themeColor="text1"/>
        </w:rPr>
        <w:t xml:space="preserve"> </w:t>
      </w:r>
      <w:r w:rsidRPr="00D60773">
        <w:rPr>
          <w:b/>
          <w:bCs/>
          <w:color w:val="000000" w:themeColor="text1"/>
        </w:rPr>
        <w:t>s právom Európskej únie</w:t>
      </w:r>
    </w:p>
    <w:p w14:paraId="1FFD7386" w14:textId="5C691BD6" w:rsidR="00B83154" w:rsidRPr="00D60773" w:rsidRDefault="00B83154" w:rsidP="00B83154">
      <w:pPr>
        <w:pStyle w:val="Normlnywebov"/>
        <w:spacing w:before="120" w:after="0" w:line="276" w:lineRule="auto"/>
        <w:jc w:val="both"/>
        <w:rPr>
          <w:strike/>
          <w:color w:val="000000" w:themeColor="text1"/>
        </w:rPr>
      </w:pPr>
      <w:r w:rsidRPr="00D60773">
        <w:rPr>
          <w:color w:val="000000" w:themeColor="text1"/>
        </w:rPr>
        <w:t> </w:t>
      </w:r>
      <w:r w:rsidRPr="00D60773">
        <w:rPr>
          <w:b/>
          <w:bCs/>
          <w:color w:val="000000" w:themeColor="text1"/>
        </w:rPr>
        <w:t>1. Navrhovateľ zákona:</w:t>
      </w:r>
      <w:r w:rsidRPr="00D60773">
        <w:rPr>
          <w:color w:val="000000" w:themeColor="text1"/>
        </w:rPr>
        <w:t xml:space="preserve"> skupina poslancov Národnej rady Slovenskej republiky</w:t>
      </w:r>
    </w:p>
    <w:p w14:paraId="5945A5DC" w14:textId="1C0A3ABD" w:rsidR="00B83154" w:rsidRPr="00D60773" w:rsidRDefault="00B83154" w:rsidP="00B83154">
      <w:pPr>
        <w:pStyle w:val="Normlnywebov"/>
        <w:spacing w:line="276" w:lineRule="auto"/>
        <w:jc w:val="both"/>
        <w:rPr>
          <w:bCs/>
          <w:color w:val="000000" w:themeColor="text1"/>
        </w:rPr>
      </w:pPr>
      <w:r w:rsidRPr="00D60773">
        <w:rPr>
          <w:b/>
          <w:color w:val="000000" w:themeColor="text1"/>
        </w:rPr>
        <w:t>2. Názov návrhu zákona</w:t>
      </w:r>
      <w:r w:rsidRPr="00D60773">
        <w:rPr>
          <w:color w:val="000000" w:themeColor="text1"/>
        </w:rPr>
        <w:t xml:space="preserve">: </w:t>
      </w:r>
      <w:r w:rsidR="00E85017" w:rsidRPr="00E85017">
        <w:rPr>
          <w:color w:val="000000" w:themeColor="text1"/>
        </w:rPr>
        <w:t xml:space="preserve">Návrh zákona, ktorým sa mení a dopĺňa </w:t>
      </w:r>
      <w:r w:rsidR="00DA0152" w:rsidRPr="00DA0152">
        <w:rPr>
          <w:color w:val="000000" w:themeColor="text1"/>
        </w:rPr>
        <w:t xml:space="preserve">zákon č. </w:t>
      </w:r>
      <w:r w:rsidR="0048441E" w:rsidRPr="0048441E">
        <w:rPr>
          <w:color w:val="000000" w:themeColor="text1"/>
        </w:rPr>
        <w:t>211/2000 Z. z. o slobodnom prístupe k informáciám a o zmene a doplnení niektorých zákonov (zákon o slobode informácií) v znení neskorších predpisov</w:t>
      </w:r>
      <w:r w:rsidR="00331C5C">
        <w:rPr>
          <w:color w:val="000000" w:themeColor="text1"/>
        </w:rPr>
        <w:t xml:space="preserve"> </w:t>
      </w:r>
    </w:p>
    <w:p w14:paraId="72082F79" w14:textId="77777777" w:rsidR="008A7D43" w:rsidRDefault="008A7D43" w:rsidP="008A7D43">
      <w:pPr>
        <w:pStyle w:val="Normlnywebov"/>
        <w:spacing w:line="276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3. Predmet návrhu zákona:</w:t>
      </w:r>
    </w:p>
    <w:p w14:paraId="3F12317D" w14:textId="77777777" w:rsidR="008A7D43" w:rsidRDefault="008A7D43" w:rsidP="008A7D43">
      <w:pPr>
        <w:pStyle w:val="Normlnywebov"/>
        <w:numPr>
          <w:ilvl w:val="0"/>
          <w:numId w:val="9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nie je upravený v primárnom práve Európskej únie,</w:t>
      </w:r>
    </w:p>
    <w:p w14:paraId="38015E0E" w14:textId="77777777" w:rsidR="008A7D43" w:rsidRDefault="008A7D43" w:rsidP="008A7D43">
      <w:pPr>
        <w:pStyle w:val="Normlnywebov"/>
        <w:numPr>
          <w:ilvl w:val="0"/>
          <w:numId w:val="9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nie je upravený v sekundárnom práve Európskej únie,</w:t>
      </w:r>
    </w:p>
    <w:p w14:paraId="27820A2A" w14:textId="77777777" w:rsidR="008A7D43" w:rsidRDefault="008A7D43" w:rsidP="008A7D43">
      <w:pPr>
        <w:pStyle w:val="Normlnywebov"/>
        <w:numPr>
          <w:ilvl w:val="0"/>
          <w:numId w:val="9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nie je obsiahnutý v judikatúre Súdneho dvora Európskej únie.</w:t>
      </w:r>
    </w:p>
    <w:p w14:paraId="42CCC73F" w14:textId="77777777" w:rsidR="008A7D43" w:rsidRDefault="008A7D43" w:rsidP="008A7D43">
      <w:pPr>
        <w:pStyle w:val="Normlnywebov"/>
        <w:suppressAutoHyphens/>
        <w:spacing w:before="120" w:beforeAutospacing="0" w:after="0" w:afterAutospacing="0" w:line="276" w:lineRule="auto"/>
        <w:ind w:left="720"/>
        <w:jc w:val="both"/>
        <w:rPr>
          <w:bCs/>
          <w:color w:val="000000" w:themeColor="text1"/>
        </w:rPr>
      </w:pPr>
    </w:p>
    <w:p w14:paraId="45049B7F" w14:textId="77777777" w:rsidR="008A7D43" w:rsidRDefault="008A7D43" w:rsidP="008A7D43">
      <w:pPr>
        <w:rPr>
          <w:rFonts w:ascii="Times New Roman" w:eastAsia="Times New Roman" w:hAnsi="Times New Roman" w:cs="Times New Roman"/>
          <w:color w:val="000000"/>
          <w:lang w:eastAsia="zh-CN"/>
        </w:rPr>
      </w:pP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4.  Záväzky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Slovenskej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republiky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vo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vzťahu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k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Európskej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únii:</w:t>
      </w:r>
      <w:r w:rsidRPr="001F728A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Nie</w:t>
      </w:r>
      <w:r w:rsidRPr="001F728A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sú</w:t>
      </w:r>
      <w:r w:rsidRPr="001F728A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prekladaným  návrhom právneho predpisu dotknuté.</w:t>
      </w:r>
    </w:p>
    <w:p w14:paraId="5CCE2848" w14:textId="77777777" w:rsidR="008A7D43" w:rsidRPr="001F728A" w:rsidRDefault="008A7D43" w:rsidP="008A7D43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</w:p>
    <w:p w14:paraId="27EB0E1A" w14:textId="5042A402" w:rsidR="00B83154" w:rsidRPr="008A7D43" w:rsidRDefault="008A7D43" w:rsidP="008A7D43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5.    Stupeň zlučiteľnosti návrhu právneho predpisu s právom Európskej únie: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 xml:space="preserve"> Úplný</w:t>
      </w:r>
      <w:r>
        <w:rPr>
          <w:rFonts w:ascii="Times New Roman" w:eastAsia="Times New Roman" w:hAnsi="Times New Roman" w:cs="Times New Roman"/>
          <w:color w:val="000000"/>
          <w:lang w:eastAsia="zh-CN"/>
        </w:rPr>
        <w:t>.</w:t>
      </w:r>
      <w:r w:rsidR="00E8501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7F88C8B1" w14:textId="77777777" w:rsidR="00B83154" w:rsidRPr="00D60773" w:rsidRDefault="00B83154" w:rsidP="00B8315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D8838EB" w14:textId="3FEF22B8" w:rsidR="00161C27" w:rsidRDefault="00161C27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611775DA" w14:textId="77777777" w:rsidR="00F42969" w:rsidRDefault="00F42969" w:rsidP="00F42969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Doložka</w:t>
      </w:r>
    </w:p>
    <w:p w14:paraId="5C111851" w14:textId="77777777" w:rsidR="00F42969" w:rsidRDefault="00F42969" w:rsidP="00F42969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vybraných vplyvov</w:t>
      </w:r>
    </w:p>
    <w:p w14:paraId="16DEB964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97ADC42" w14:textId="033E17A6" w:rsidR="00F42969" w:rsidRPr="006E26EC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A.1. Názov materiálu: </w:t>
      </w:r>
      <w:r w:rsidR="00E85017">
        <w:rPr>
          <w:rFonts w:ascii="Times New Roman" w:hAnsi="Times New Roman" w:cs="Times New Roman"/>
          <w:color w:val="000000" w:themeColor="text1"/>
        </w:rPr>
        <w:t>N</w:t>
      </w:r>
      <w:r w:rsidR="00E85017" w:rsidRPr="00EF0811">
        <w:rPr>
          <w:rFonts w:ascii="Times New Roman" w:hAnsi="Times New Roman" w:cs="Times New Roman"/>
          <w:color w:val="000000" w:themeColor="text1"/>
        </w:rPr>
        <w:t xml:space="preserve">ávrh zákona, </w:t>
      </w:r>
      <w:r w:rsidR="008A7D43" w:rsidRPr="008A7D43">
        <w:rPr>
          <w:rFonts w:ascii="Times New Roman" w:hAnsi="Times New Roman" w:cs="Times New Roman"/>
          <w:color w:val="000000" w:themeColor="text1"/>
        </w:rPr>
        <w:t xml:space="preserve">ktorým sa mení a dopĺňa zákon č. </w:t>
      </w:r>
      <w:r w:rsidR="0048441E" w:rsidRPr="0048441E">
        <w:rPr>
          <w:rFonts w:ascii="Times New Roman" w:hAnsi="Times New Roman" w:cs="Times New Roman"/>
          <w:color w:val="000000" w:themeColor="text1"/>
        </w:rPr>
        <w:t>211/2000 Z. z. o slobodnom prístupe k informáciám a o zmene a doplnení niektorých zákonov (zákon o slobode informácií) v znení neskorších predpisov</w:t>
      </w:r>
      <w:r w:rsidR="0048441E">
        <w:rPr>
          <w:rFonts w:ascii="Times New Roman" w:hAnsi="Times New Roman" w:cs="Times New Roman"/>
          <w:color w:val="000000" w:themeColor="text1"/>
        </w:rPr>
        <w:t xml:space="preserve"> </w:t>
      </w:r>
      <w:r w:rsidR="00DA0152">
        <w:rPr>
          <w:rFonts w:ascii="Times New Roman" w:hAnsi="Times New Roman" w:cs="Times New Roman"/>
          <w:color w:val="000000" w:themeColor="text1"/>
        </w:rPr>
        <w:t xml:space="preserve"> </w:t>
      </w:r>
    </w:p>
    <w:p w14:paraId="7960D33F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Termín začatia a ukončenia PPK: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bezpredmetné</w:t>
      </w:r>
    </w:p>
    <w:p w14:paraId="12952115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E22EC94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A.2. Vplyvy:</w:t>
      </w:r>
    </w:p>
    <w:tbl>
      <w:tblPr>
        <w:tblW w:w="5000" w:type="pct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9"/>
        <w:gridCol w:w="1188"/>
        <w:gridCol w:w="1177"/>
        <w:gridCol w:w="1196"/>
      </w:tblGrid>
      <w:tr w:rsidR="00F42969" w14:paraId="78A10856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CDAF4AF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6E9AE6D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Pozitívne 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DD53EB3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8D32E3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Negatívne </w:t>
            </w:r>
          </w:p>
        </w:tc>
      </w:tr>
      <w:tr w:rsidR="00F42969" w14:paraId="3B63268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4C9BDF5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Vplyvy na rozpočet verejnej správy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A893D70" w14:textId="7BB81EDB" w:rsidR="00F42969" w:rsidRDefault="00F42969" w:rsidP="001F728A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E06DEEE" w14:textId="3606AD33" w:rsidR="00F42969" w:rsidRDefault="0048441E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8A34A38" w14:textId="53A3A923" w:rsidR="00F42969" w:rsidRDefault="00F42969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7CA97B8F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5CAD1C0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0DDAD7C" w14:textId="1FC5FF41" w:rsidR="00F42969" w:rsidRDefault="0048441E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35535C1" w14:textId="001DF035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FC006F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F65490B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CF629F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 Sociálne vplyvy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AB4BCE0" w14:textId="75082EB3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2BEB68A" w14:textId="384F2FA2" w:rsidR="00F42969" w:rsidRDefault="0048441E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96DABD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1512199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BAFF5DA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8777147" w14:textId="09DE2181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9419CC4" w14:textId="4076A350" w:rsidR="00F42969" w:rsidRDefault="0048441E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527DB3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3117AD3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26D51E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sociálnu exklúziu,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6EC221F" w14:textId="7886AC57" w:rsidR="00F42969" w:rsidRDefault="00F42969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BE5EE62" w14:textId="58351D1B" w:rsidR="00F42969" w:rsidRDefault="0048441E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EF6E764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2C744298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45DC2B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C02EFB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7B34395" w14:textId="038BA281" w:rsidR="00F42969" w:rsidRDefault="0048441E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3346786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D6D0010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32B7C9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 Vplyvy na životné prostredie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5674C2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DCA0528" w14:textId="6F2AABD5" w:rsidR="00F42969" w:rsidRDefault="0048441E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A348F5F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1CF4CEE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9A8236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 Vplyvy na informatizáciu spoločnosti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2630C19" w14:textId="11A8CDCF" w:rsidR="00F42969" w:rsidRDefault="0048441E" w:rsidP="0048441E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CD3E138" w14:textId="300D538B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773D56C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8C6FEE3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52CF553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A.3. Poznámky</w:t>
      </w:r>
    </w:p>
    <w:p w14:paraId="7B8A81E2" w14:textId="77777777" w:rsidR="00331C5C" w:rsidRDefault="00331C5C" w:rsidP="00331C5C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bezpredmetné </w:t>
      </w:r>
    </w:p>
    <w:p w14:paraId="134266F5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5748D3B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A.4. Alternatívne riešenia</w:t>
      </w:r>
    </w:p>
    <w:p w14:paraId="135B1489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bezpredmetné </w:t>
      </w:r>
    </w:p>
    <w:p w14:paraId="282F883D" w14:textId="77777777" w:rsidR="00F42969" w:rsidRDefault="00F42969" w:rsidP="00F42969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b/>
          <w:bCs/>
          <w:color w:val="000000" w:themeColor="text1"/>
        </w:rPr>
      </w:pPr>
    </w:p>
    <w:p w14:paraId="428A560A" w14:textId="77777777" w:rsidR="00F42969" w:rsidRDefault="00F42969" w:rsidP="00F42969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A.5. </w:t>
      </w:r>
      <w:r>
        <w:rPr>
          <w:b/>
          <w:bCs/>
          <w:color w:val="000000" w:themeColor="text1"/>
        </w:rPr>
        <w:tab/>
        <w:t>Stanovisko gestorov</w:t>
      </w:r>
    </w:p>
    <w:p w14:paraId="7BDF9C41" w14:textId="26083884" w:rsidR="00F42969" w:rsidRPr="00D60773" w:rsidRDefault="00F42969" w:rsidP="00B61F43">
      <w:pPr>
        <w:pStyle w:val="Normlnywebov"/>
        <w:spacing w:before="120" w:beforeAutospacing="0" w:after="0" w:afterAutospacing="0" w:line="276" w:lineRule="auto"/>
        <w:jc w:val="both"/>
        <w:rPr>
          <w:color w:val="000000" w:themeColor="text1"/>
        </w:rPr>
      </w:pPr>
      <w:r>
        <w:rPr>
          <w:i/>
          <w:iCs/>
          <w:color w:val="000000" w:themeColor="text1"/>
        </w:rPr>
        <w:t>Návrh zákona bol zaslaný na vyjadrenie Ministerstvu financií SR a stanovisko tohto ministerstva tvorí súčasť predkladaného materiálu.</w:t>
      </w:r>
    </w:p>
    <w:sectPr w:rsidR="00F42969" w:rsidRPr="00D60773" w:rsidSect="00A8760C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73DFD" w14:textId="77777777" w:rsidR="00ED2334" w:rsidRDefault="00ED2334" w:rsidP="00A8760C">
      <w:r>
        <w:separator/>
      </w:r>
    </w:p>
  </w:endnote>
  <w:endnote w:type="continuationSeparator" w:id="0">
    <w:p w14:paraId="121C25CA" w14:textId="77777777" w:rsidR="00ED2334" w:rsidRDefault="00ED2334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A86EBEA" w14:textId="77777777" w:rsidR="00A8760C" w:rsidRDefault="00A8760C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25156606" w14:textId="77777777" w:rsidR="00A8760C" w:rsidRDefault="00A8760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8662402" w14:textId="77777777" w:rsidR="00A8760C" w:rsidRPr="00A8760C" w:rsidRDefault="00A8760C" w:rsidP="001D1D86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127F4B">
          <w:rPr>
            <w:rStyle w:val="slostrany"/>
            <w:rFonts w:ascii="Times New Roman" w:hAnsi="Times New Roman" w:cs="Times New Roman"/>
            <w:noProof/>
          </w:rPr>
          <w:t>2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01806AF9" w14:textId="77777777" w:rsidR="00A8760C" w:rsidRPr="00A8760C" w:rsidRDefault="00A8760C">
    <w:pPr>
      <w:pStyle w:val="Pt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547904"/>
      <w:docPartObj>
        <w:docPartGallery w:val="Page Numbers (Bottom of Page)"/>
        <w:docPartUnique/>
      </w:docPartObj>
    </w:sdtPr>
    <w:sdtEndPr/>
    <w:sdtContent>
      <w:p w14:paraId="2C659F72" w14:textId="77777777" w:rsidR="00EF0811" w:rsidRDefault="00EF081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A2A61D" w14:textId="77777777" w:rsidR="00EF0811" w:rsidRDefault="00EF08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9FE7B" w14:textId="77777777" w:rsidR="00ED2334" w:rsidRDefault="00ED2334" w:rsidP="00A8760C">
      <w:r>
        <w:separator/>
      </w:r>
    </w:p>
  </w:footnote>
  <w:footnote w:type="continuationSeparator" w:id="0">
    <w:p w14:paraId="14ACA1B7" w14:textId="77777777" w:rsidR="00ED2334" w:rsidRDefault="00ED2334" w:rsidP="00A8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0AAF5" w14:textId="77777777" w:rsidR="00EF0811" w:rsidRDefault="00EF0811">
    <w:pPr>
      <w:pStyle w:val="Hlavika"/>
      <w:jc w:val="center"/>
    </w:pPr>
  </w:p>
  <w:p w14:paraId="5DCB80C6" w14:textId="77777777" w:rsidR="00EF0811" w:rsidRDefault="00EF08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146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C80296"/>
    <w:multiLevelType w:val="multilevel"/>
    <w:tmpl w:val="C2B08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D2084"/>
    <w:multiLevelType w:val="multilevel"/>
    <w:tmpl w:val="20165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7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wszA2MDY1MDUxNDJT0lEKTi0uzszPAymwrAUAHgEATiwAAAA="/>
  </w:docVars>
  <w:rsids>
    <w:rsidRoot w:val="00BE2399"/>
    <w:rsid w:val="00036D03"/>
    <w:rsid w:val="00045086"/>
    <w:rsid w:val="00055641"/>
    <w:rsid w:val="00057603"/>
    <w:rsid w:val="000761CB"/>
    <w:rsid w:val="00082E79"/>
    <w:rsid w:val="000843A4"/>
    <w:rsid w:val="00090EA2"/>
    <w:rsid w:val="0009435F"/>
    <w:rsid w:val="000A35E6"/>
    <w:rsid w:val="000A6519"/>
    <w:rsid w:val="000B0860"/>
    <w:rsid w:val="000B2CBC"/>
    <w:rsid w:val="000B54AD"/>
    <w:rsid w:val="000B5E7A"/>
    <w:rsid w:val="000C493B"/>
    <w:rsid w:val="000D3FBA"/>
    <w:rsid w:val="000F56B6"/>
    <w:rsid w:val="001264FB"/>
    <w:rsid w:val="00127F4B"/>
    <w:rsid w:val="00145931"/>
    <w:rsid w:val="00155991"/>
    <w:rsid w:val="00161C27"/>
    <w:rsid w:val="0016296F"/>
    <w:rsid w:val="00166E44"/>
    <w:rsid w:val="001768EC"/>
    <w:rsid w:val="0019318E"/>
    <w:rsid w:val="001B22FF"/>
    <w:rsid w:val="001B60D2"/>
    <w:rsid w:val="001F103A"/>
    <w:rsid w:val="001F4D4E"/>
    <w:rsid w:val="001F728A"/>
    <w:rsid w:val="00205B99"/>
    <w:rsid w:val="002061AA"/>
    <w:rsid w:val="002063ED"/>
    <w:rsid w:val="00240D70"/>
    <w:rsid w:val="002471FC"/>
    <w:rsid w:val="00260CC7"/>
    <w:rsid w:val="00263889"/>
    <w:rsid w:val="00277BE4"/>
    <w:rsid w:val="00281B1D"/>
    <w:rsid w:val="00282821"/>
    <w:rsid w:val="0029345A"/>
    <w:rsid w:val="002947DF"/>
    <w:rsid w:val="002A37C4"/>
    <w:rsid w:val="00316A26"/>
    <w:rsid w:val="003175E8"/>
    <w:rsid w:val="003205C3"/>
    <w:rsid w:val="00331C5C"/>
    <w:rsid w:val="00350DC1"/>
    <w:rsid w:val="003527EB"/>
    <w:rsid w:val="00355B12"/>
    <w:rsid w:val="003639F7"/>
    <w:rsid w:val="0037025A"/>
    <w:rsid w:val="00377B0D"/>
    <w:rsid w:val="003920F8"/>
    <w:rsid w:val="003A4F3F"/>
    <w:rsid w:val="003D2FCA"/>
    <w:rsid w:val="003E1AD9"/>
    <w:rsid w:val="003F46AF"/>
    <w:rsid w:val="00404741"/>
    <w:rsid w:val="00433141"/>
    <w:rsid w:val="00433D46"/>
    <w:rsid w:val="00437C29"/>
    <w:rsid w:val="00446004"/>
    <w:rsid w:val="00463651"/>
    <w:rsid w:val="004667E3"/>
    <w:rsid w:val="00483D00"/>
    <w:rsid w:val="0048441E"/>
    <w:rsid w:val="004C5139"/>
    <w:rsid w:val="004C77BF"/>
    <w:rsid w:val="004D1400"/>
    <w:rsid w:val="00500013"/>
    <w:rsid w:val="00505E0A"/>
    <w:rsid w:val="0051761C"/>
    <w:rsid w:val="005220DF"/>
    <w:rsid w:val="00526BCB"/>
    <w:rsid w:val="00535B17"/>
    <w:rsid w:val="00544392"/>
    <w:rsid w:val="005776A7"/>
    <w:rsid w:val="00587C8F"/>
    <w:rsid w:val="00595908"/>
    <w:rsid w:val="00595F40"/>
    <w:rsid w:val="005B0819"/>
    <w:rsid w:val="005B4EF1"/>
    <w:rsid w:val="005C0DF7"/>
    <w:rsid w:val="005C51CF"/>
    <w:rsid w:val="005D6D52"/>
    <w:rsid w:val="005E4818"/>
    <w:rsid w:val="005E4EB9"/>
    <w:rsid w:val="00620725"/>
    <w:rsid w:val="006213AF"/>
    <w:rsid w:val="00630934"/>
    <w:rsid w:val="006351F6"/>
    <w:rsid w:val="00635F60"/>
    <w:rsid w:val="00647E00"/>
    <w:rsid w:val="006504C9"/>
    <w:rsid w:val="00680087"/>
    <w:rsid w:val="006864D9"/>
    <w:rsid w:val="00696D3E"/>
    <w:rsid w:val="006A17D4"/>
    <w:rsid w:val="006B23A7"/>
    <w:rsid w:val="006C15A1"/>
    <w:rsid w:val="006C74C4"/>
    <w:rsid w:val="006E26EC"/>
    <w:rsid w:val="00706D76"/>
    <w:rsid w:val="00711180"/>
    <w:rsid w:val="007270FB"/>
    <w:rsid w:val="0073149C"/>
    <w:rsid w:val="007453F7"/>
    <w:rsid w:val="00750A03"/>
    <w:rsid w:val="0076386C"/>
    <w:rsid w:val="0076645F"/>
    <w:rsid w:val="00774679"/>
    <w:rsid w:val="0078172F"/>
    <w:rsid w:val="00785942"/>
    <w:rsid w:val="00785EB5"/>
    <w:rsid w:val="00794488"/>
    <w:rsid w:val="00794C60"/>
    <w:rsid w:val="007C2246"/>
    <w:rsid w:val="007D4705"/>
    <w:rsid w:val="007F535E"/>
    <w:rsid w:val="007F56D1"/>
    <w:rsid w:val="00800B99"/>
    <w:rsid w:val="00803C87"/>
    <w:rsid w:val="008126BB"/>
    <w:rsid w:val="00851889"/>
    <w:rsid w:val="008525F7"/>
    <w:rsid w:val="00866D63"/>
    <w:rsid w:val="00866E16"/>
    <w:rsid w:val="00872B76"/>
    <w:rsid w:val="00874878"/>
    <w:rsid w:val="0089040E"/>
    <w:rsid w:val="008936FE"/>
    <w:rsid w:val="008A7D43"/>
    <w:rsid w:val="008A7D9F"/>
    <w:rsid w:val="008C014A"/>
    <w:rsid w:val="008D3514"/>
    <w:rsid w:val="008D7E9B"/>
    <w:rsid w:val="008E0FBE"/>
    <w:rsid w:val="008E19F7"/>
    <w:rsid w:val="008E37A2"/>
    <w:rsid w:val="008F0400"/>
    <w:rsid w:val="00905CEF"/>
    <w:rsid w:val="0091278C"/>
    <w:rsid w:val="009239F8"/>
    <w:rsid w:val="009337B1"/>
    <w:rsid w:val="00936279"/>
    <w:rsid w:val="009425C3"/>
    <w:rsid w:val="00947904"/>
    <w:rsid w:val="00995168"/>
    <w:rsid w:val="009A1EA0"/>
    <w:rsid w:val="009C0174"/>
    <w:rsid w:val="009D10CE"/>
    <w:rsid w:val="009E363D"/>
    <w:rsid w:val="00A14F3D"/>
    <w:rsid w:val="00A17B2E"/>
    <w:rsid w:val="00A246F7"/>
    <w:rsid w:val="00A34902"/>
    <w:rsid w:val="00A45566"/>
    <w:rsid w:val="00A503B5"/>
    <w:rsid w:val="00A51E70"/>
    <w:rsid w:val="00A82E11"/>
    <w:rsid w:val="00A8760C"/>
    <w:rsid w:val="00A9400B"/>
    <w:rsid w:val="00A967FD"/>
    <w:rsid w:val="00AA4BFC"/>
    <w:rsid w:val="00AF7F00"/>
    <w:rsid w:val="00B026AE"/>
    <w:rsid w:val="00B14ECB"/>
    <w:rsid w:val="00B1528B"/>
    <w:rsid w:val="00B15AA7"/>
    <w:rsid w:val="00B2540E"/>
    <w:rsid w:val="00B27823"/>
    <w:rsid w:val="00B4147C"/>
    <w:rsid w:val="00B61F43"/>
    <w:rsid w:val="00B83154"/>
    <w:rsid w:val="00B86ECF"/>
    <w:rsid w:val="00B94948"/>
    <w:rsid w:val="00BB4A28"/>
    <w:rsid w:val="00BD39E2"/>
    <w:rsid w:val="00BE1434"/>
    <w:rsid w:val="00BE2399"/>
    <w:rsid w:val="00BE418B"/>
    <w:rsid w:val="00BF2F31"/>
    <w:rsid w:val="00BF4062"/>
    <w:rsid w:val="00BF538E"/>
    <w:rsid w:val="00C01600"/>
    <w:rsid w:val="00C102D7"/>
    <w:rsid w:val="00C20288"/>
    <w:rsid w:val="00C27F38"/>
    <w:rsid w:val="00C5445B"/>
    <w:rsid w:val="00C5678E"/>
    <w:rsid w:val="00C66CD7"/>
    <w:rsid w:val="00C8069D"/>
    <w:rsid w:val="00C87D0B"/>
    <w:rsid w:val="00C90AC6"/>
    <w:rsid w:val="00CC33BC"/>
    <w:rsid w:val="00CC46FA"/>
    <w:rsid w:val="00CD71EC"/>
    <w:rsid w:val="00CE530C"/>
    <w:rsid w:val="00CF644F"/>
    <w:rsid w:val="00CF7915"/>
    <w:rsid w:val="00CF7CED"/>
    <w:rsid w:val="00D079A6"/>
    <w:rsid w:val="00D300D7"/>
    <w:rsid w:val="00D60773"/>
    <w:rsid w:val="00D63F73"/>
    <w:rsid w:val="00D768CD"/>
    <w:rsid w:val="00D76EEA"/>
    <w:rsid w:val="00D83641"/>
    <w:rsid w:val="00D85EA2"/>
    <w:rsid w:val="00DA0152"/>
    <w:rsid w:val="00DA3104"/>
    <w:rsid w:val="00DB7F26"/>
    <w:rsid w:val="00DC68C8"/>
    <w:rsid w:val="00DE4D20"/>
    <w:rsid w:val="00DE6B19"/>
    <w:rsid w:val="00DF7B06"/>
    <w:rsid w:val="00E14DDF"/>
    <w:rsid w:val="00E22B80"/>
    <w:rsid w:val="00E24535"/>
    <w:rsid w:val="00E25D8A"/>
    <w:rsid w:val="00E26760"/>
    <w:rsid w:val="00E64BD2"/>
    <w:rsid w:val="00E85017"/>
    <w:rsid w:val="00EA1B5A"/>
    <w:rsid w:val="00EA3411"/>
    <w:rsid w:val="00ED2334"/>
    <w:rsid w:val="00EE7B5F"/>
    <w:rsid w:val="00EF0811"/>
    <w:rsid w:val="00EF4DB6"/>
    <w:rsid w:val="00EF5B40"/>
    <w:rsid w:val="00F17D4B"/>
    <w:rsid w:val="00F25E33"/>
    <w:rsid w:val="00F31928"/>
    <w:rsid w:val="00F3698B"/>
    <w:rsid w:val="00F421EB"/>
    <w:rsid w:val="00F42969"/>
    <w:rsid w:val="00F5283D"/>
    <w:rsid w:val="00F52CE4"/>
    <w:rsid w:val="00F56ACD"/>
    <w:rsid w:val="00F763F4"/>
    <w:rsid w:val="00F90A93"/>
    <w:rsid w:val="00FC029C"/>
    <w:rsid w:val="00FD6032"/>
    <w:rsid w:val="00FD7D83"/>
    <w:rsid w:val="00FE1257"/>
    <w:rsid w:val="00FE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B2F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  <w:style w:type="character" w:customStyle="1" w:styleId="awspan">
    <w:name w:val="awspan"/>
    <w:basedOn w:val="Predvolenpsmoodseku"/>
    <w:rsid w:val="001F728A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E530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E530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E530C"/>
    <w:rPr>
      <w:vertAlign w:val="superscript"/>
    </w:rPr>
  </w:style>
  <w:style w:type="character" w:styleId="Zvraznenie">
    <w:name w:val="Emphasis"/>
    <w:basedOn w:val="Predvolenpsmoodseku"/>
    <w:uiPriority w:val="20"/>
    <w:qFormat/>
    <w:rsid w:val="00161C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033DD-2C18-4C6A-9556-5F405615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Zigo</cp:lastModifiedBy>
  <cp:revision>141</cp:revision>
  <dcterms:created xsi:type="dcterms:W3CDTF">2020-05-18T13:18:00Z</dcterms:created>
  <dcterms:modified xsi:type="dcterms:W3CDTF">2022-08-17T19:57:00Z</dcterms:modified>
</cp:coreProperties>
</file>