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25" w:rsidRPr="00132525" w:rsidRDefault="00132525" w:rsidP="001325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bookmarkStart w:id="0" w:name="_GoBack"/>
      <w:bookmarkEnd w:id="0"/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Dôvodová správa</w:t>
      </w:r>
    </w:p>
    <w:p w:rsidR="00132525" w:rsidRPr="00132525" w:rsidRDefault="00132525" w:rsidP="00132525">
      <w:pPr>
        <w:spacing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132525" w:rsidRP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 Všeobecná časť</w:t>
      </w:r>
    </w:p>
    <w:p w:rsidR="00132525" w:rsidRP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/>
        <w:ind w:firstLine="708"/>
        <w:jc w:val="both"/>
        <w:rPr>
          <w:rFonts w:ascii="Book Antiqua" w:hAnsi="Book Antiqua" w:cs="Arial"/>
          <w:color w:val="000000" w:themeColor="text1"/>
        </w:rPr>
      </w:pPr>
      <w:r w:rsidRPr="00132525">
        <w:rPr>
          <w:rFonts w:ascii="Book Antiqua" w:hAnsi="Book Antiqua" w:cs="Arial"/>
        </w:rPr>
        <w:t xml:space="preserve">Návrh zákona, ktorým sa mení a dopĺňa zákon </w:t>
      </w:r>
      <w:r w:rsidRPr="00132525">
        <w:rPr>
          <w:rFonts w:ascii="Book Antiqua" w:hAnsi="Book Antiqua" w:cs="Arial"/>
          <w:bCs/>
        </w:rPr>
        <w:t xml:space="preserve">č. 135/1961 Zb.  o pozemných komunikáciách (cestný zákon) v znení neskorších predpisov </w:t>
      </w:r>
      <w:r w:rsidRPr="00132525">
        <w:rPr>
          <w:rFonts w:ascii="Book Antiqua" w:hAnsi="Book Antiqua" w:cs="Arial"/>
        </w:rPr>
        <w:t xml:space="preserve">predkladajú do Národnej rady Slovenskej republiky </w:t>
      </w:r>
      <w:r w:rsidRPr="00132525">
        <w:rPr>
          <w:rFonts w:ascii="Book Antiqua" w:hAnsi="Book Antiqua" w:cs="Arial"/>
          <w:color w:val="000000" w:themeColor="text1"/>
        </w:rPr>
        <w:t xml:space="preserve">poslanci za politické hnutie SME RODINA Miloš Svrček a Igor Kašper. </w:t>
      </w:r>
    </w:p>
    <w:p w:rsidR="00132525" w:rsidRPr="00132525" w:rsidRDefault="00132525" w:rsidP="00132525">
      <w:pPr>
        <w:spacing w:after="0"/>
        <w:ind w:firstLine="708"/>
        <w:jc w:val="both"/>
        <w:rPr>
          <w:rFonts w:ascii="Book Antiqua" w:hAnsi="Book Antiqua" w:cs="Arial"/>
          <w:color w:val="000000" w:themeColor="text1"/>
        </w:rPr>
      </w:pPr>
    </w:p>
    <w:p w:rsidR="00094063" w:rsidRPr="00132525" w:rsidRDefault="00132525" w:rsidP="00132525">
      <w:pPr>
        <w:spacing w:after="0"/>
        <w:ind w:firstLine="709"/>
        <w:jc w:val="both"/>
        <w:rPr>
          <w:rFonts w:ascii="Book Antiqua" w:hAnsi="Book Antiqua" w:cs="Arial"/>
          <w:b/>
          <w:bCs/>
          <w:color w:val="000000" w:themeColor="text1"/>
        </w:rPr>
      </w:pPr>
      <w:r w:rsidRPr="00132525">
        <w:rPr>
          <w:rFonts w:ascii="Book Antiqua" w:hAnsi="Book Antiqua" w:cs="Arial"/>
          <w:b/>
          <w:bCs/>
          <w:color w:val="000000" w:themeColor="text1"/>
        </w:rPr>
        <w:t xml:space="preserve">Cieľom predloženého legislatívneho návrhu je </w:t>
      </w: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zrovnoprávnenie postavenia</w:t>
      </w:r>
      <w:r w:rsidR="0009406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SSC, ako správcu ciest I. triedy s ostatnými správcami ciest.</w:t>
      </w:r>
      <w:r w:rsidRPr="00132525">
        <w:rPr>
          <w:rFonts w:ascii="Book Antiqua" w:hAnsi="Book Antiqua" w:cs="Arial"/>
          <w:b/>
          <w:bCs/>
          <w:color w:val="000000" w:themeColor="text1"/>
        </w:rPr>
        <w:t xml:space="preserve"> </w:t>
      </w:r>
      <w:r w:rsidR="0009406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SSC </w:t>
      </w: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je jediným správcom ciest</w:t>
      </w:r>
      <w:r w:rsidR="0009406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a jedinou organizáciou v rámci rezortu dopravy bez zákonného vecného bremena, čo spôsobuje narastajúce komplikácie pri správe ciest I. triedy.</w:t>
      </w: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</w:t>
      </w:r>
      <w:r w:rsidR="0009406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Návrh </w:t>
      </w:r>
      <w:r w:rsidR="00465020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na doplnenie zákona </w:t>
      </w:r>
      <w:r w:rsidR="0009406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vychádza z obdobnej úpravy zákonného vecného bremena v zákone č. 513/2009 Z. z. Zákon o dráhach a o zmene a doplnení niektorých zákonov, má teda oporu v súvisiacej legislatívnej úprave a jeho oprávnenosť a využitie je potvrdené aplikačnou praxou</w:t>
      </w: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. </w:t>
      </w:r>
    </w:p>
    <w:p w:rsidR="00094063" w:rsidRPr="00132525" w:rsidRDefault="00094063" w:rsidP="001325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3F63E3" w:rsidRDefault="00BA0AA4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Majetkovoprávne vysporiadanie pozemkov pod cestami I. triedy je dlhoročným problémom, s ktorým Slovenská republika v zastúpení Slovenská správa ciest bojuje 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bez akejkoľvek zákonnej opory.</w:t>
      </w:r>
      <w:r w:rsidR="003F63E3" w:rsidRPr="00132525">
        <w:rPr>
          <w:rFonts w:ascii="Book Antiqua" w:eastAsia="Times New Roman" w:hAnsi="Book Antiqua" w:cs="Times New Roman"/>
          <w:lang w:eastAsia="cs-CZ"/>
        </w:rPr>
        <w:t xml:space="preserve"> 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Slovenská správa ciest ako správca ciest I. triedy </w:t>
      </w:r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bola doposiaľ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jediným </w:t>
      </w:r>
      <w:r w:rsidR="006946C6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vlastníkom a 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správcom pozemných komunikácií</w:t>
      </w:r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a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</w:t>
      </w:r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jedinou organizáciou v rámci rezortu </w:t>
      </w:r>
      <w:r w:rsidR="006946C6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dopravy 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bez zákonného vecného bremena</w:t>
      </w:r>
      <w:r w:rsidR="00546E4F" w:rsidRPr="00132525">
        <w:rPr>
          <w:rStyle w:val="Odkaznapoznmkupodiarou"/>
          <w:rFonts w:ascii="Book Antiqua" w:eastAsia="Times New Roman" w:hAnsi="Book Antiqua" w:cs="Times New Roman"/>
          <w:bCs/>
          <w:color w:val="000000"/>
          <w:lang w:eastAsia="sk-SK"/>
        </w:rPr>
        <w:footnoteReference w:id="1"/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, 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následkom čoho</w:t>
      </w:r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čelí mnohým súdnym sporom o vydanie bezdôvodného obohatenia, resp. náhrady za užívanie za pozemky pod cestami I. triedy, ktoré sú majetkovo </w:t>
      </w:r>
      <w:proofErr w:type="spellStart"/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nevysporiadané</w:t>
      </w:r>
      <w:proofErr w:type="spellEnd"/>
      <w:r w:rsidR="00546E4F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v dôsledku zmeny právnych úprav v čase od výstavby cesty až po dnešnú právnu úpravu. 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</w:p>
    <w:p w:rsidR="00BD2449" w:rsidRDefault="00BD2449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Textácia návrhu zákona vychádza z právnej úpravy zákonného vecného bremena pre železnice uvedenej v zákone č. 513/2009 Z. z. Zákon o dráhach a o zmene a doplnení niektorých zákonov. 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</w:p>
    <w:p w:rsidR="00B75650" w:rsidRDefault="00537F73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Účelom zákona je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</w:t>
      </w:r>
      <w:r w:rsidR="005427AE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napraviť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neúnosný a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 diskriminačný </w:t>
      </w: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stav právnej úpravy,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 </w:t>
      </w:r>
      <w:r w:rsidR="003F3734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nahrávajúci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špekulantom s pozemkami, ktorí od pôvodných vlastníkov </w:t>
      </w:r>
      <w:r w:rsidR="003F3734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účelovo 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skupujú pozemky pod cestami I. triedy a následne žiadajú vydanie bezdôvodného obohatenia a výkup pozemku od Slovenskej republiky v </w:t>
      </w:r>
      <w:proofErr w:type="spellStart"/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zast</w:t>
      </w:r>
      <w:proofErr w:type="spellEnd"/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. Slovenskej správy ciest</w:t>
      </w:r>
      <w:r w:rsidR="00722B2A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za niekoľkonásobne vyššiu cenu. Tieto nároky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vlastníkov pozemkov pod cestami I. triedy </w:t>
      </w:r>
      <w:r w:rsidR="003F3734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znamenajú značnú a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nepredvídanú záťaž pre verejné financie vo forme</w:t>
      </w: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</w:t>
      </w:r>
      <w:r w:rsidR="005427AE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povinnosti plniť do troch dní od </w:t>
      </w: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vydania právoplatných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súdny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ch rozhodnutí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, resp. exekučných </w:t>
      </w:r>
      <w:r w:rsidR="005427AE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výziev</w:t>
      </w:r>
      <w:r w:rsidR="003F63E3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.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Požiadavka na legislatívnu úpravu zákonného vecného bremena bola na </w:t>
      </w: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súdnych 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pojednávaniach formulovaná zo strany sudcov, reprezentuj</w:t>
      </w:r>
      <w:r w:rsidR="005427AE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>úcich výkon súdnej moci v štáte s odkazom na nedostatočnú legislatívnu úpravu v danej veci.</w:t>
      </w:r>
      <w:r w:rsidR="0041208B"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</w:p>
    <w:p w:rsidR="00B75650" w:rsidRDefault="003F63E3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Návrh zákona je v súlade s Ústavou Slovenskej republiky, ústavnými zákonmi, nálezmi Ústavného súdu Slovenskej republiky, ako aj s medzinárodnými zmluvami a inými </w:t>
      </w:r>
      <w:r w:rsidRPr="00132525">
        <w:rPr>
          <w:rFonts w:ascii="Book Antiqua" w:eastAsia="Times New Roman" w:hAnsi="Book Antiqua" w:cs="Times New Roman"/>
          <w:bCs/>
          <w:color w:val="000000"/>
          <w:lang w:eastAsia="sk-SK"/>
        </w:rPr>
        <w:lastRenderedPageBreak/>
        <w:t>medzinárodnými dokumentami, ktorými je Slovenská republika viazaná, ako aj s právom Európskej únie.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</w:p>
    <w:p w:rsidR="00132525" w:rsidRDefault="00722B2A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>Návrh zákona bude mať pozitívn</w:t>
      </w:r>
      <w:r w:rsidR="003F63E3" w:rsidRPr="00132525">
        <w:rPr>
          <w:rFonts w:ascii="Book Antiqua" w:eastAsia="Times New Roman" w:hAnsi="Book Antiqua" w:cs="Times New Roman"/>
          <w:color w:val="000000"/>
          <w:lang w:eastAsia="sk-SK"/>
        </w:rPr>
        <w:t>y vplyv na verejné financie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v zmysle </w:t>
      </w:r>
      <w:r w:rsidR="00C04FCD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zamedzenia nárazových a neplánovaných povinností k úhrade neprimeraných plnení vyplývajúcich zo súdnych rozhodnutí a exekučných výziev na účet špekulantov s pozemkami a 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>plánovania verejných financií na postupné vysporiadanie pozemkov pod stavbami postupným zápisom zákonného vecného bremena do katastra nehnuteľností podľa dopredu pridel</w:t>
      </w:r>
      <w:r w:rsidR="00C04FCD" w:rsidRPr="00132525">
        <w:rPr>
          <w:rFonts w:ascii="Book Antiqua" w:eastAsia="Times New Roman" w:hAnsi="Book Antiqua" w:cs="Times New Roman"/>
          <w:color w:val="000000"/>
          <w:lang w:eastAsia="sk-SK"/>
        </w:rPr>
        <w:t>ených finančných prostriedkov</w:t>
      </w:r>
      <w:r w:rsidR="006946C6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  <w:r w:rsidR="006946C6" w:rsidRPr="00132525">
        <w:rPr>
          <w:rFonts w:ascii="Book Antiqua" w:eastAsia="Times New Roman" w:hAnsi="Book Antiqua" w:cs="Times New Roman"/>
          <w:color w:val="000000"/>
          <w:lang w:eastAsia="sk-SK"/>
        </w:rPr>
        <w:tab/>
      </w:r>
    </w:p>
    <w:p w:rsid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537F73" w:rsidRDefault="006946C6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>Návrh zákona bude mať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> 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čiastočne 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negatívny vplyv na verejné financie </w:t>
      </w:r>
      <w:r w:rsidR="00C04FCD" w:rsidRPr="00132525">
        <w:rPr>
          <w:rFonts w:ascii="Book Antiqua" w:eastAsia="Times New Roman" w:hAnsi="Book Antiqua" w:cs="Times New Roman"/>
          <w:color w:val="000000"/>
          <w:lang w:eastAsia="sk-SK"/>
        </w:rPr>
        <w:t>z dôvodu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potreby čerpania finančných prostriedkov na úhradu </w:t>
      </w:r>
      <w:r w:rsidR="007831AA" w:rsidRPr="00132525">
        <w:rPr>
          <w:rFonts w:ascii="Book Antiqua" w:eastAsia="Times New Roman" w:hAnsi="Book Antiqua" w:cs="Times New Roman"/>
          <w:color w:val="000000"/>
          <w:lang w:eastAsia="sk-SK"/>
        </w:rPr>
        <w:t>primeraných náhrad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>,</w:t>
      </w:r>
      <w:r w:rsidR="00C04FCD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avšak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potreba čerpania finančných prostriedkov na majetkovoprávne vysporiadanie pozemkov </w:t>
      </w:r>
      <w:r w:rsidR="007831A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už dlhodobo 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>existuje a pretrváva bez ohľadu na navrhovaný zákon</w:t>
      </w:r>
      <w:r w:rsidR="00C04FCD" w:rsidRPr="00132525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Návrh zákona </w:t>
      </w:r>
      <w:r w:rsidR="003F63E3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bude mať 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pozitívny 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vplyv na služby verejnej správy pre občana, 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>nebude mať dopad na sociálne vplyvy ani</w:t>
      </w:r>
      <w:r w:rsidR="003F63E3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na podnikateľské prostredie, životné prostredie a informatizáciu spoločnosti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a </w:t>
      </w:r>
      <w:r w:rsidR="00722B2A" w:rsidRPr="00132525">
        <w:rPr>
          <w:rFonts w:ascii="Book Antiqua" w:eastAsia="Times New Roman" w:hAnsi="Book Antiqua" w:cs="Times New Roman"/>
          <w:color w:val="000000"/>
          <w:lang w:eastAsia="sk-SK"/>
        </w:rPr>
        <w:t>ani vplyv na manželstvo, rodičovstvo a rodinu</w:t>
      </w:r>
      <w:r w:rsidR="003F63E3" w:rsidRPr="00132525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2700C4" w:rsidRPr="00132525" w:rsidRDefault="002700C4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Uzákonenie predkupného práva vlastníka a správcu cesty je právny mechanizmus, ktorý sťaží špekulantom s pozemkami skupovať veľké výmery pozemkov bez toho, aby ich najprv ponúkli vlastníkovi cesty na nich umiestnenej. </w:t>
      </w:r>
    </w:p>
    <w:p w:rsidR="002700C4" w:rsidRPr="00132525" w:rsidRDefault="002700C4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537F73" w:rsidRPr="00132525" w:rsidRDefault="00537F73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E63097" w:rsidRPr="00132525" w:rsidRDefault="00E63097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lastRenderedPageBreak/>
        <w:t>B. Osobitná časť</w:t>
      </w:r>
    </w:p>
    <w:p w:rsidR="00E63097" w:rsidRPr="00132525" w:rsidRDefault="00E63097" w:rsidP="00132525">
      <w:pPr>
        <w:spacing w:after="0" w:line="240" w:lineRule="auto"/>
        <w:rPr>
          <w:rFonts w:ascii="Book Antiqua" w:eastAsia="Times New Roman" w:hAnsi="Book Antiqua" w:cs="Times New Roman"/>
          <w:color w:val="000000"/>
          <w:spacing w:val="8"/>
          <w:lang w:eastAsia="sk-SK"/>
        </w:rPr>
      </w:pPr>
    </w:p>
    <w:p w:rsidR="00537F73" w:rsidRPr="00132525" w:rsidRDefault="00537F73" w:rsidP="0013252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b/>
          <w:color w:val="000000"/>
          <w:lang w:eastAsia="sk-SK"/>
        </w:rPr>
        <w:t>K čl. I</w:t>
      </w:r>
    </w:p>
    <w:p w:rsidR="00537F73" w:rsidRPr="00132525" w:rsidRDefault="00537F73" w:rsidP="0013252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537F73" w:rsidRPr="00132525" w:rsidRDefault="00537F73" w:rsidP="0013252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511A7F" w:rsidRPr="00132525" w:rsidRDefault="00511A7F" w:rsidP="0013252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5427AE" w:rsidRPr="00132525" w:rsidRDefault="00537F73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>Ustanovenie</w:t>
      </w:r>
      <w:r w:rsidR="00225F45">
        <w:rPr>
          <w:rFonts w:ascii="Book Antiqua" w:eastAsia="Times New Roman" w:hAnsi="Book Antiqua" w:cs="Times New Roman"/>
          <w:color w:val="000000"/>
          <w:lang w:eastAsia="sk-SK"/>
        </w:rPr>
        <w:t xml:space="preserve"> v odseku 2</w:t>
      </w:r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definuje predmet právnej úpravy, ktorým sú </w:t>
      </w:r>
      <w:proofErr w:type="spellStart"/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>nevysporiadané</w:t>
      </w:r>
      <w:proofErr w:type="spellEnd"/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pozemky pod cestami </w:t>
      </w:r>
      <w:r w:rsidR="00B75650" w:rsidRPr="00132525">
        <w:rPr>
          <w:rFonts w:ascii="Book Antiqua" w:eastAsia="Times New Roman" w:hAnsi="Book Antiqua" w:cs="Times New Roman"/>
          <w:color w:val="000000"/>
          <w:lang w:eastAsia="sk-SK"/>
        </w:rPr>
        <w:t>I. triedy (ďalej len „pozemk</w:t>
      </w:r>
      <w:r w:rsidR="005427AE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y“). </w:t>
      </w:r>
    </w:p>
    <w:p w:rsid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537F73" w:rsidRPr="00132525" w:rsidRDefault="005427AE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>U</w:t>
      </w:r>
      <w:r w:rsidR="00225F45">
        <w:rPr>
          <w:rFonts w:ascii="Book Antiqua" w:eastAsia="Times New Roman" w:hAnsi="Book Antiqua" w:cs="Times New Roman"/>
          <w:color w:val="000000"/>
          <w:lang w:eastAsia="sk-SK"/>
        </w:rPr>
        <w:t>stanovenie odseku 3</w:t>
      </w:r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zakladá právny vzťah k týmto pozemkom vo forme práva zodpovedajúceho vecnému bremenu, ktorého obsahom je právo pozemky užívať, vykonávať správu, údržbu, opravy a rekonštrukcie stavieb na nich umiestnenýc</w:t>
      </w:r>
      <w:r w:rsidR="00080749" w:rsidRPr="00132525">
        <w:rPr>
          <w:rFonts w:ascii="Book Antiqua" w:eastAsia="Times New Roman" w:hAnsi="Book Antiqua" w:cs="Times New Roman"/>
          <w:color w:val="000000"/>
          <w:lang w:eastAsia="sk-SK"/>
        </w:rPr>
        <w:t>h a zabezpečenie prístupu k nim. Ku dňu účinnosti zákona dôjde k majetkovoprávnemu vysporiadaniu pozemkov pod cestami I. triedy.</w:t>
      </w:r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 </w:t>
      </w:r>
    </w:p>
    <w:p w:rsidR="00511A7F" w:rsidRPr="00132525" w:rsidRDefault="00511A7F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537F73" w:rsidRPr="00132525" w:rsidRDefault="00225F4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Ustanovenie v odseku 4</w:t>
      </w:r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definuje povinnosť vlastníka stavby cesty I. triedy podať návrh na vykonanie záznamu v katastri nehnuteľností, ktoré má deklaratórny charakter.</w:t>
      </w:r>
    </w:p>
    <w:p w:rsidR="00511A7F" w:rsidRPr="00132525" w:rsidRDefault="00511A7F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511A7F" w:rsidRPr="00132525" w:rsidRDefault="00511A7F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>Ustanove</w:t>
      </w:r>
      <w:r w:rsidR="00225F45">
        <w:rPr>
          <w:rFonts w:ascii="Book Antiqua" w:eastAsia="Times New Roman" w:hAnsi="Book Antiqua" w:cs="Times New Roman"/>
          <w:color w:val="000000"/>
          <w:lang w:eastAsia="sk-SK"/>
        </w:rPr>
        <w:t>nie v odseku 5</w:t>
      </w: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zakladá vlastníkovi pozemku právo na jednorazovú primeranú náhradu stanovenú znaleckým posudkom za nútené obmedzenie užívania nehnuteľnosti  a zakladá jednoročnú prekluzívnu lehotu na uplatnenie zákonného nároku na jednorazovú primeranú náhradu.</w:t>
      </w:r>
      <w:r w:rsidR="00080749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Primeraná náhrada bude vyplácaná </w:t>
      </w:r>
      <w:r w:rsidR="00810BB2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postupne </w:t>
      </w:r>
      <w:r w:rsidR="00080749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podľa pridelených finančných prostriedkov rozdelených v čase </w:t>
      </w:r>
      <w:r w:rsidR="00810BB2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a </w:t>
      </w:r>
      <w:r w:rsidR="00080749" w:rsidRPr="00132525">
        <w:rPr>
          <w:rFonts w:ascii="Book Antiqua" w:eastAsia="Times New Roman" w:hAnsi="Book Antiqua" w:cs="Times New Roman"/>
          <w:color w:val="000000"/>
          <w:lang w:eastAsia="sk-SK"/>
        </w:rPr>
        <w:t>na základe postupného vyhotovovania podkladov potrebných pre zápis vecného bremena do katastra nehnuteľností.</w:t>
      </w:r>
    </w:p>
    <w:p w:rsidR="00511A7F" w:rsidRPr="00132525" w:rsidRDefault="00511A7F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177A6A" w:rsidRPr="00132525" w:rsidRDefault="00225F4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Ustanovenie v odseku 6 </w:t>
      </w:r>
      <w:r w:rsidR="00511A7F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zakladá </w:t>
      </w:r>
      <w:r w:rsidR="00177A6A" w:rsidRPr="00132525">
        <w:rPr>
          <w:rFonts w:ascii="Book Antiqua" w:eastAsia="Times New Roman" w:hAnsi="Book Antiqua" w:cs="Times New Roman"/>
          <w:color w:val="000000"/>
          <w:lang w:eastAsia="sk-SK"/>
        </w:rPr>
        <w:t>povinnosť ponúknuť pozemok pod cestou na predaj vlastníkovi a správcovi cesty. Účelom všeobecnej formulácie ustanovenia je zabezpečiť predkupné právo všetkým vlastníkom a správcom ciest, t.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177A6A" w:rsidRPr="00132525">
        <w:rPr>
          <w:rFonts w:ascii="Book Antiqua" w:eastAsia="Times New Roman" w:hAnsi="Book Antiqua" w:cs="Times New Roman"/>
          <w:color w:val="000000"/>
          <w:lang w:eastAsia="sk-SK"/>
        </w:rPr>
        <w:t>j. aj pre diaľnice, cesty I., II., III., triedy a miestne komunikácie.</w:t>
      </w:r>
      <w:r w:rsidR="00080749"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</w:p>
    <w:p w:rsidR="000F50BF" w:rsidRPr="00132525" w:rsidRDefault="000F50BF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B43CA5" w:rsidRPr="00132525" w:rsidRDefault="00B43CA5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A1697D" w:rsidRPr="00132525" w:rsidRDefault="00A1697D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A1697D" w:rsidRPr="00132525" w:rsidRDefault="00A1697D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260FA3" w:rsidRPr="00132525" w:rsidRDefault="006A2EA2" w:rsidP="004D1CDD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 č</w:t>
      </w:r>
      <w:r w:rsidR="00260FA3" w:rsidRPr="0013252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l. II</w:t>
      </w:r>
    </w:p>
    <w:p w:rsidR="00A1697D" w:rsidRPr="00132525" w:rsidRDefault="00A1697D" w:rsidP="00132525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260FA3" w:rsidRPr="00132525" w:rsidRDefault="004841CD" w:rsidP="00132525">
      <w:pPr>
        <w:spacing w:after="0" w:line="240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132525">
        <w:rPr>
          <w:rFonts w:ascii="Book Antiqua" w:eastAsia="Times New Roman" w:hAnsi="Book Antiqua" w:cs="Times New Roman"/>
          <w:color w:val="000000"/>
          <w:lang w:eastAsia="sk-SK"/>
        </w:rPr>
        <w:t xml:space="preserve">Navrhuje sa </w:t>
      </w:r>
      <w:r w:rsidR="00260FA3" w:rsidRPr="00132525">
        <w:rPr>
          <w:rFonts w:ascii="Book Antiqua" w:eastAsia="Times New Roman" w:hAnsi="Book Antiqua" w:cs="Times New Roman"/>
          <w:color w:val="000000"/>
          <w:lang w:eastAsia="sk-SK"/>
        </w:rPr>
        <w:t>účinnosť</w:t>
      </w:r>
      <w:r w:rsidR="006A2EA2">
        <w:rPr>
          <w:rFonts w:ascii="Book Antiqua" w:eastAsia="Times New Roman" w:hAnsi="Book Antiqua" w:cs="Times New Roman"/>
          <w:color w:val="000000"/>
          <w:lang w:eastAsia="sk-SK"/>
        </w:rPr>
        <w:t xml:space="preserve"> od 1. januára 2023.</w:t>
      </w:r>
    </w:p>
    <w:p w:rsidR="00194671" w:rsidRPr="00132525" w:rsidRDefault="00CB40D0" w:rsidP="00132525">
      <w:pPr>
        <w:spacing w:after="0"/>
        <w:rPr>
          <w:rFonts w:ascii="Book Antiqua" w:hAnsi="Book Antiqua"/>
        </w:rPr>
      </w:pPr>
    </w:p>
    <w:sectPr w:rsidR="00194671" w:rsidRPr="0013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D0" w:rsidRDefault="00CB40D0" w:rsidP="00546E4F">
      <w:pPr>
        <w:spacing w:after="0" w:line="240" w:lineRule="auto"/>
      </w:pPr>
      <w:r>
        <w:separator/>
      </w:r>
    </w:p>
  </w:endnote>
  <w:endnote w:type="continuationSeparator" w:id="0">
    <w:p w:rsidR="00CB40D0" w:rsidRDefault="00CB40D0" w:rsidP="0054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D0" w:rsidRDefault="00CB40D0" w:rsidP="00546E4F">
      <w:pPr>
        <w:spacing w:after="0" w:line="240" w:lineRule="auto"/>
      </w:pPr>
      <w:r>
        <w:separator/>
      </w:r>
    </w:p>
  </w:footnote>
  <w:footnote w:type="continuationSeparator" w:id="0">
    <w:p w:rsidR="00CB40D0" w:rsidRDefault="00CB40D0" w:rsidP="00546E4F">
      <w:pPr>
        <w:spacing w:after="0" w:line="240" w:lineRule="auto"/>
      </w:pPr>
      <w:r>
        <w:continuationSeparator/>
      </w:r>
    </w:p>
  </w:footnote>
  <w:footnote w:id="1">
    <w:p w:rsidR="00546E4F" w:rsidRPr="000B03C8" w:rsidRDefault="00546E4F" w:rsidP="00546E4F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0B03C8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0B03C8">
        <w:rPr>
          <w:rFonts w:ascii="Times New Roman" w:hAnsi="Times New Roman" w:cs="Times New Roman"/>
          <w:sz w:val="16"/>
          <w:szCs w:val="16"/>
        </w:rPr>
        <w:t xml:space="preserve"> zákonné vecné bremeno k pozemkom pod stavbami je formulované</w:t>
      </w:r>
    </w:p>
    <w:p w:rsidR="00546E4F" w:rsidRPr="000B03C8" w:rsidRDefault="00546E4F" w:rsidP="00546E4F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03C8">
        <w:rPr>
          <w:rFonts w:ascii="Times New Roman" w:hAnsi="Times New Roman" w:cs="Times New Roman"/>
          <w:sz w:val="16"/>
          <w:szCs w:val="16"/>
        </w:rPr>
        <w:t xml:space="preserve">v zákone č. 639/2004 </w:t>
      </w:r>
      <w:proofErr w:type="spellStart"/>
      <w:r w:rsidRPr="000B03C8">
        <w:rPr>
          <w:rFonts w:ascii="Times New Roman" w:hAnsi="Times New Roman" w:cs="Times New Roman"/>
          <w:sz w:val="16"/>
          <w:szCs w:val="16"/>
        </w:rPr>
        <w:t>Z.z</w:t>
      </w:r>
      <w:proofErr w:type="spellEnd"/>
      <w:r w:rsidRPr="000B03C8">
        <w:rPr>
          <w:rFonts w:ascii="Times New Roman" w:hAnsi="Times New Roman" w:cs="Times New Roman"/>
          <w:sz w:val="16"/>
          <w:szCs w:val="16"/>
        </w:rPr>
        <w:t>. o Národnej diaľničnej spoločnosti v § 6 pre diaľnice</w:t>
      </w:r>
    </w:p>
    <w:p w:rsidR="00546E4F" w:rsidRPr="000B03C8" w:rsidRDefault="00546E4F" w:rsidP="00546E4F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03C8">
        <w:rPr>
          <w:rFonts w:ascii="Times New Roman" w:hAnsi="Times New Roman" w:cs="Times New Roman"/>
          <w:sz w:val="16"/>
          <w:szCs w:val="16"/>
        </w:rPr>
        <w:t xml:space="preserve">v zákone č. 66/2009 </w:t>
      </w:r>
      <w:proofErr w:type="spellStart"/>
      <w:r w:rsidRPr="000B03C8">
        <w:rPr>
          <w:rFonts w:ascii="Times New Roman" w:hAnsi="Times New Roman" w:cs="Times New Roman"/>
          <w:sz w:val="16"/>
          <w:szCs w:val="16"/>
        </w:rPr>
        <w:t>Z.z</w:t>
      </w:r>
      <w:proofErr w:type="spellEnd"/>
      <w:r w:rsidRPr="000B03C8">
        <w:rPr>
          <w:rFonts w:ascii="Times New Roman" w:hAnsi="Times New Roman" w:cs="Times New Roman"/>
          <w:sz w:val="16"/>
          <w:szCs w:val="16"/>
        </w:rPr>
        <w:t xml:space="preserve">. o niektorých opatreniach pri </w:t>
      </w:r>
      <w:proofErr w:type="spellStart"/>
      <w:r w:rsidRPr="000B03C8">
        <w:rPr>
          <w:rFonts w:ascii="Times New Roman" w:hAnsi="Times New Roman" w:cs="Times New Roman"/>
          <w:sz w:val="16"/>
          <w:szCs w:val="16"/>
        </w:rPr>
        <w:t>majetkoprávnom</w:t>
      </w:r>
      <w:proofErr w:type="spellEnd"/>
      <w:r w:rsidRPr="000B03C8">
        <w:rPr>
          <w:rFonts w:ascii="Times New Roman" w:hAnsi="Times New Roman" w:cs="Times New Roman"/>
          <w:sz w:val="16"/>
          <w:szCs w:val="16"/>
        </w:rPr>
        <w:t xml:space="preserve"> usporiadaní pozemkov pod stavbami, ktoré prešli z vlastníctva štátu na obce a vyššie územné celky, v § 4 ods. 1 pre cesty II. a III. Triedy  a miestne komunikácie</w:t>
      </w:r>
    </w:p>
    <w:p w:rsidR="00546E4F" w:rsidRPr="000B03C8" w:rsidRDefault="00546E4F" w:rsidP="00546E4F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0B03C8">
        <w:rPr>
          <w:rFonts w:ascii="Times New Roman" w:hAnsi="Times New Roman" w:cs="Times New Roman"/>
          <w:sz w:val="16"/>
          <w:szCs w:val="16"/>
        </w:rPr>
        <w:t>v zákone č.</w:t>
      </w:r>
      <w:r w:rsidRPr="000B03C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B03C8">
        <w:rPr>
          <w:rFonts w:ascii="Times New Roman" w:hAnsi="Times New Roman" w:cs="Times New Roman"/>
          <w:bCs/>
          <w:sz w:val="16"/>
          <w:szCs w:val="16"/>
        </w:rPr>
        <w:t>513/2009 Z. z. Zákon o dráhach a o zmene a doplnení niektorých zákonov, v § 4 ods. 4 a v § 6a pre železnice</w:t>
      </w:r>
    </w:p>
    <w:p w:rsidR="00546E4F" w:rsidRPr="000B03C8" w:rsidRDefault="00546E4F" w:rsidP="00546E4F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0B03C8">
        <w:rPr>
          <w:rFonts w:ascii="Times New Roman" w:hAnsi="Times New Roman" w:cs="Times New Roman"/>
          <w:bCs/>
          <w:sz w:val="16"/>
          <w:szCs w:val="16"/>
        </w:rPr>
        <w:t>v zákone č. 251/2012 Z. z. o energetike v § 11</w:t>
      </w:r>
      <w:r w:rsidR="00004A49" w:rsidRPr="000B03C8">
        <w:rPr>
          <w:rFonts w:ascii="Times New Roman" w:hAnsi="Times New Roman" w:cs="Times New Roman"/>
          <w:bCs/>
          <w:sz w:val="16"/>
          <w:szCs w:val="16"/>
        </w:rPr>
        <w:t xml:space="preserve"> ods. 1 písm. f)</w:t>
      </w:r>
      <w:r w:rsidRPr="000B03C8">
        <w:rPr>
          <w:rFonts w:ascii="Times New Roman" w:hAnsi="Times New Roman" w:cs="Times New Roman"/>
          <w:bCs/>
          <w:sz w:val="16"/>
          <w:szCs w:val="16"/>
        </w:rPr>
        <w:t>, § 64</w:t>
      </w:r>
      <w:r w:rsidR="0014578B" w:rsidRPr="000B03C8">
        <w:rPr>
          <w:rFonts w:ascii="Times New Roman" w:hAnsi="Times New Roman" w:cs="Times New Roman"/>
          <w:bCs/>
          <w:sz w:val="16"/>
          <w:szCs w:val="16"/>
        </w:rPr>
        <w:t xml:space="preserve"> ods. 13</w:t>
      </w:r>
      <w:r w:rsidRPr="000B03C8">
        <w:rPr>
          <w:rFonts w:ascii="Times New Roman" w:hAnsi="Times New Roman" w:cs="Times New Roman"/>
          <w:bCs/>
          <w:sz w:val="16"/>
          <w:szCs w:val="16"/>
        </w:rPr>
        <w:t>, § 96</w:t>
      </w:r>
    </w:p>
    <w:p w:rsidR="0014578B" w:rsidRPr="000B03C8" w:rsidRDefault="0014578B" w:rsidP="0014578B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0B03C8">
        <w:rPr>
          <w:rFonts w:ascii="Times New Roman" w:hAnsi="Times New Roman" w:cs="Times New Roman"/>
          <w:bCs/>
          <w:sz w:val="16"/>
          <w:szCs w:val="16"/>
        </w:rPr>
        <w:t>v zákone č. 351/2011 Z. z. o elektronických komunikáciách v § 66</w:t>
      </w:r>
    </w:p>
    <w:p w:rsidR="0014578B" w:rsidRPr="000B03C8" w:rsidRDefault="0014578B" w:rsidP="0014578B">
      <w:pPr>
        <w:pStyle w:val="Textpoznmkypodiarou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0B03C8">
        <w:rPr>
          <w:rFonts w:ascii="Times New Roman" w:hAnsi="Times New Roman" w:cs="Times New Roman"/>
          <w:bCs/>
          <w:sz w:val="16"/>
          <w:szCs w:val="16"/>
        </w:rPr>
        <w:t>v zákone č. 657/2004 Z. z. o tepelnej energetike v § 10, § 33</w:t>
      </w:r>
    </w:p>
    <w:p w:rsidR="00546E4F" w:rsidRDefault="0041208B" w:rsidP="0041208B">
      <w:pPr>
        <w:pStyle w:val="Textpoznmkypodiarou"/>
        <w:ind w:left="709" w:firstLine="360"/>
      </w:pPr>
      <w:r w:rsidRPr="000B03C8">
        <w:rPr>
          <w:rFonts w:ascii="Times New Roman" w:hAnsi="Times New Roman" w:cs="Times New Roman"/>
          <w:sz w:val="16"/>
          <w:szCs w:val="16"/>
        </w:rPr>
        <w:t>a 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6AFD"/>
    <w:multiLevelType w:val="hybridMultilevel"/>
    <w:tmpl w:val="83AE2EEA"/>
    <w:lvl w:ilvl="0" w:tplc="D776783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90"/>
    <w:rsid w:val="00004A49"/>
    <w:rsid w:val="00027766"/>
    <w:rsid w:val="00042C2B"/>
    <w:rsid w:val="00080749"/>
    <w:rsid w:val="00082642"/>
    <w:rsid w:val="00094063"/>
    <w:rsid w:val="000B03C8"/>
    <w:rsid w:val="000F50BF"/>
    <w:rsid w:val="00132525"/>
    <w:rsid w:val="0014578B"/>
    <w:rsid w:val="00154B3A"/>
    <w:rsid w:val="001612F0"/>
    <w:rsid w:val="00177A6A"/>
    <w:rsid w:val="001C6E68"/>
    <w:rsid w:val="00225F45"/>
    <w:rsid w:val="00260FA3"/>
    <w:rsid w:val="002700C4"/>
    <w:rsid w:val="002A2789"/>
    <w:rsid w:val="002B19AE"/>
    <w:rsid w:val="003750E5"/>
    <w:rsid w:val="003D71E9"/>
    <w:rsid w:val="003F3734"/>
    <w:rsid w:val="003F63E3"/>
    <w:rsid w:val="0040323F"/>
    <w:rsid w:val="0041208B"/>
    <w:rsid w:val="00465020"/>
    <w:rsid w:val="004841CD"/>
    <w:rsid w:val="004D1CDD"/>
    <w:rsid w:val="004E5604"/>
    <w:rsid w:val="00511A7F"/>
    <w:rsid w:val="00537F73"/>
    <w:rsid w:val="005427AE"/>
    <w:rsid w:val="00546E4F"/>
    <w:rsid w:val="005A6620"/>
    <w:rsid w:val="006946C6"/>
    <w:rsid w:val="00694EB2"/>
    <w:rsid w:val="006A2EA2"/>
    <w:rsid w:val="006A7019"/>
    <w:rsid w:val="006F7B2F"/>
    <w:rsid w:val="00722B2A"/>
    <w:rsid w:val="007831AA"/>
    <w:rsid w:val="007C630D"/>
    <w:rsid w:val="00810BB2"/>
    <w:rsid w:val="009770D8"/>
    <w:rsid w:val="00990948"/>
    <w:rsid w:val="009D260F"/>
    <w:rsid w:val="00A1697D"/>
    <w:rsid w:val="00AC203D"/>
    <w:rsid w:val="00B43CA5"/>
    <w:rsid w:val="00B658D4"/>
    <w:rsid w:val="00B75650"/>
    <w:rsid w:val="00BA0AA4"/>
    <w:rsid w:val="00BD2449"/>
    <w:rsid w:val="00BE65BE"/>
    <w:rsid w:val="00C04FCD"/>
    <w:rsid w:val="00C10FB3"/>
    <w:rsid w:val="00C956CC"/>
    <w:rsid w:val="00CB40D0"/>
    <w:rsid w:val="00DB3690"/>
    <w:rsid w:val="00DE64CE"/>
    <w:rsid w:val="00E03FB1"/>
    <w:rsid w:val="00E63097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EFD3-D78E-4080-A23E-4B93051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260FA3"/>
  </w:style>
  <w:style w:type="character" w:styleId="Hypertextovprepojenie">
    <w:name w:val="Hyperlink"/>
    <w:basedOn w:val="Predvolenpsmoodseku"/>
    <w:uiPriority w:val="99"/>
    <w:unhideWhenUsed/>
    <w:rsid w:val="00B43CA5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6E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6E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46E4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0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64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73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970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845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00CE941E-BDA7-4E1D-8B19-EB6E9CAB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 (asistent)</cp:lastModifiedBy>
  <cp:revision>4</cp:revision>
  <cp:lastPrinted>2022-08-25T13:15:00Z</cp:lastPrinted>
  <dcterms:created xsi:type="dcterms:W3CDTF">2022-08-25T09:49:00Z</dcterms:created>
  <dcterms:modified xsi:type="dcterms:W3CDTF">2022-08-25T13:16:00Z</dcterms:modified>
</cp:coreProperties>
</file>