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EB31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NÁRODNÁ RADA SLOVENSKEJ REPUBLIKY</w:t>
      </w:r>
    </w:p>
    <w:p w14:paraId="643673CA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5070B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 volebné obdobie</w:t>
      </w:r>
    </w:p>
    <w:p w14:paraId="13EBF1BD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A590BD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Návrh</w:t>
      </w:r>
    </w:p>
    <w:p w14:paraId="33AE7B87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5ADDA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Zákon</w:t>
      </w:r>
    </w:p>
    <w:p w14:paraId="05AB6CCD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799777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... 2022,</w:t>
      </w:r>
    </w:p>
    <w:p w14:paraId="7FB48366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ktorým sa dopĺňa zákon č. 135/1961 Zb. Zákon o pozemných komunikáciách </w:t>
      </w:r>
    </w:p>
    <w:p w14:paraId="4B21D1B8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(cestný zákon)</w:t>
      </w:r>
    </w:p>
    <w:p w14:paraId="6B776ECF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E2FBC6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21E1CF72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6EE00D32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672DA1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I</w:t>
      </w:r>
    </w:p>
    <w:p w14:paraId="254E33B6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442285C3" w14:textId="72D947C5" w:rsidR="002C74C3" w:rsidRPr="00891E0E" w:rsidRDefault="002C74C3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135/1961 Zb. Zákon o pozemných komunikáciách (cestný zákon) v znení zákona č. 72/1969 Zb., zákona č. 139/1982 Zb., zákona č. 27/1984 Zb., zákona </w:t>
      </w:r>
      <w:r w:rsidR="00F00650">
        <w:rPr>
          <w:rFonts w:ascii="Times New Roman" w:hAnsi="Times New Roman" w:cs="Times New Roman"/>
          <w:color w:val="000000"/>
          <w:spacing w:val="8"/>
          <w:sz w:val="24"/>
          <w:szCs w:val="24"/>
        </w:rPr>
        <w:t>Národnej rady S</w:t>
      </w:r>
      <w:r w:rsidR="00FB25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lovenskej republiky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č. 160/1996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58/1997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395/1998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343/1999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388/2000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439/2001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416/2001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524/2003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534/2003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639/2004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725/2004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93/2005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479/2005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25/2007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275/2007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664/2007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86/2008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8/2009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70/2009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60/2010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144/2010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249/2011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317/2012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345/2012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180/2013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388/2013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368/2013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488/2013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293/2014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387/2015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282/2015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106/2018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9/2019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149/2019 Z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393/2019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147/2021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z., zákona č. 149/2021 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z.</w:t>
      </w:r>
      <w:r w:rsidR="00891E0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a zákona č. 181/2022 Z. z.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 dopĺňa takto:</w:t>
      </w:r>
    </w:p>
    <w:p w14:paraId="7B726FF7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3E46AC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14:paraId="202A1CB6" w14:textId="6C88E7DF" w:rsidR="002C74C3" w:rsidRDefault="002C74C3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00650">
        <w:rPr>
          <w:rFonts w:ascii="Times New Roman" w:hAnsi="Times New Roman" w:cs="Times New Roman"/>
          <w:color w:val="000000"/>
          <w:sz w:val="24"/>
          <w:szCs w:val="24"/>
        </w:rPr>
        <w:t xml:space="preserve">Doterajší text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§ 3g sa označuje ako odsek 1 a dopĺňa sa odsekmi 2 až 5, ktoré znejú: </w:t>
      </w:r>
    </w:p>
    <w:p w14:paraId="0A9C3F12" w14:textId="469113B5" w:rsidR="002C74C3" w:rsidRDefault="002C74C3" w:rsidP="002C74C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„(2) Ak vlastník</w:t>
      </w:r>
      <w:r w:rsidR="00921AE2">
        <w:rPr>
          <w:rFonts w:ascii="Times New Roman" w:hAnsi="Times New Roman" w:cs="Times New Roman"/>
          <w:color w:val="000000"/>
          <w:sz w:val="24"/>
          <w:szCs w:val="24"/>
        </w:rPr>
        <w:t xml:space="preserve"> diaľnice alebo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cest</w:t>
      </w:r>
      <w:r w:rsidR="001E2AB1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I. triedy nie je vlastníkom pozemkov pod týmito stavbami, má vlastník týchto stavieb k pozemkom pod nimi právo zodpovedajúce vecnému bremenu</w:t>
      </w:r>
      <w:r w:rsidR="00B3643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9D67D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cbba</w:t>
      </w:r>
      <w:r w:rsidRPr="00CD7847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ktorého obsahom je jeho užívanie, výkon správy, údržby, opráv a rekonštrukcie stavieb na nich umiestnených a na zabezpečenie prístupu k nim.</w:t>
      </w:r>
    </w:p>
    <w:p w14:paraId="272C5DEC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1BEC0A" w14:textId="46ADDFFF" w:rsidR="002C74C3" w:rsidRDefault="002C74C3" w:rsidP="002C74C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(3) Návrh na vykonanie záznamu v katastri nehnuteľností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9D67D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cbbb</w:t>
      </w:r>
      <w:r w:rsidRPr="00CD7847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podľa odseku 1 podá vlastník </w:t>
      </w:r>
      <w:r w:rsidR="00921AE2">
        <w:rPr>
          <w:rFonts w:ascii="Times New Roman" w:hAnsi="Times New Roman" w:cs="Times New Roman"/>
          <w:color w:val="000000"/>
          <w:sz w:val="24"/>
          <w:szCs w:val="24"/>
        </w:rPr>
        <w:t xml:space="preserve">diaľnice alebo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cesty I. triedy. Prílohou návrhu na vykonanie záznamu do katastra nehnuteľností je geometrický plán, ak nie je možné určiť výmeru uplatneného vecného bremena bez geometrického plánu. </w:t>
      </w:r>
    </w:p>
    <w:p w14:paraId="063B3C83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8D3140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(4) Vlastník pozemku pod </w:t>
      </w:r>
      <w:r w:rsidR="00921AE2">
        <w:rPr>
          <w:rFonts w:ascii="Times New Roman" w:hAnsi="Times New Roman" w:cs="Times New Roman"/>
          <w:color w:val="000000"/>
          <w:sz w:val="24"/>
          <w:szCs w:val="24"/>
        </w:rPr>
        <w:t xml:space="preserve">diaľnicou alebo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cestou I. triedy má za zriadenie vecného bremena podľa prvého odseku a za obmedzenie vlastníckeho práva nárok na primeranú náhradu, ktorá sa poskytne jednorazovo a ktorá je stanovená znaleckým posudkom (ďalej len „náhrada“). Náhrada sa poskytne za výmeru, v ktorej je vlastník obmedzený pri obvyklom užívaní nehnuteľnosti v dôsledku uplatnenia vecného bremena vlastníkom cesty I. triedy. </w:t>
      </w:r>
    </w:p>
    <w:p w14:paraId="28A73EEA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25689B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(5) Náhradu uhradí vlastníkovi pozemku vlastník </w:t>
      </w:r>
      <w:r w:rsidR="00921AE2">
        <w:rPr>
          <w:rFonts w:ascii="Times New Roman" w:hAnsi="Times New Roman" w:cs="Times New Roman"/>
          <w:color w:val="000000"/>
          <w:sz w:val="24"/>
          <w:szCs w:val="24"/>
        </w:rPr>
        <w:t xml:space="preserve">diaľnice alebo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cesty I. triedy. Nárok na náhradu možno uplatniť u vlastníka </w:t>
      </w:r>
      <w:r w:rsidR="00921AE2">
        <w:rPr>
          <w:rFonts w:ascii="Times New Roman" w:hAnsi="Times New Roman" w:cs="Times New Roman"/>
          <w:color w:val="000000"/>
          <w:sz w:val="24"/>
          <w:szCs w:val="24"/>
        </w:rPr>
        <w:t xml:space="preserve">diaľnice alebo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cesty I. triedy do </w:t>
      </w:r>
      <w:r w:rsidR="00194946">
        <w:rPr>
          <w:rFonts w:ascii="Times New Roman" w:hAnsi="Times New Roman" w:cs="Times New Roman"/>
          <w:color w:val="000000"/>
          <w:sz w:val="24"/>
          <w:szCs w:val="24"/>
        </w:rPr>
        <w:t>šiestich mesiacov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odo dňa, keď sa vlastník pozemku o uplatnení zákonného vecného bremena vlastníkom </w:t>
      </w:r>
      <w:r w:rsidR="00921AE2">
        <w:rPr>
          <w:rFonts w:ascii="Times New Roman" w:hAnsi="Times New Roman" w:cs="Times New Roman"/>
          <w:color w:val="000000"/>
          <w:sz w:val="24"/>
          <w:szCs w:val="24"/>
        </w:rPr>
        <w:t xml:space="preserve">diaľnice alebo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cesty I. tried dozvedel, najneskôr však do </w:t>
      </w:r>
      <w:r w:rsidR="00921AE2">
        <w:rPr>
          <w:rFonts w:ascii="Times New Roman" w:hAnsi="Times New Roman" w:cs="Times New Roman"/>
          <w:color w:val="000000"/>
          <w:sz w:val="24"/>
          <w:szCs w:val="24"/>
        </w:rPr>
        <w:t xml:space="preserve">jedného </w:t>
      </w:r>
      <w:r>
        <w:rPr>
          <w:rFonts w:ascii="Times New Roman" w:hAnsi="Times New Roman" w:cs="Times New Roman"/>
          <w:color w:val="000000"/>
          <w:sz w:val="24"/>
          <w:szCs w:val="24"/>
        </w:rPr>
        <w:t>rok</w:t>
      </w:r>
      <w:r w:rsidR="00921AE2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odo dňa vykonania zápisu zákonného vecného bremena do katastra nehnuteľností. Vlastník </w:t>
      </w:r>
      <w:r w:rsidR="00921AE2">
        <w:rPr>
          <w:rFonts w:ascii="Times New Roman" w:hAnsi="Times New Roman" w:cs="Times New Roman"/>
          <w:color w:val="000000"/>
          <w:sz w:val="24"/>
          <w:szCs w:val="24"/>
        </w:rPr>
        <w:t xml:space="preserve">diaľnice alebo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cesty I. triedy je povinný najneskôr do troch mesiacov od zápisu vecného bremena do katastra nehnuteľností písomne oznámiť vlastníkovi pozemku pod </w:t>
      </w:r>
      <w:r w:rsidR="00921AE2">
        <w:rPr>
          <w:rFonts w:ascii="Times New Roman" w:hAnsi="Times New Roman" w:cs="Times New Roman"/>
          <w:color w:val="000000"/>
          <w:sz w:val="24"/>
          <w:szCs w:val="24"/>
        </w:rPr>
        <w:t xml:space="preserve">diaľnicou alebo </w:t>
      </w:r>
      <w:r>
        <w:rPr>
          <w:rFonts w:ascii="Times New Roman" w:hAnsi="Times New Roman" w:cs="Times New Roman"/>
          <w:color w:val="000000"/>
          <w:sz w:val="24"/>
          <w:szCs w:val="24"/>
        </w:rPr>
        <w:t>cestou I. triedy vykonanie tohto zápisu.</w:t>
      </w:r>
    </w:p>
    <w:p w14:paraId="3D2AD4BB" w14:textId="77777777" w:rsidR="00F27047" w:rsidRDefault="00F27047" w:rsidP="002C74C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2FDC48" w14:textId="77777777" w:rsidR="00F27047" w:rsidRDefault="00F27047" w:rsidP="002C74C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r w:rsidRPr="007C63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 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vlastníctvo k pozem</w:t>
      </w:r>
      <w:r w:rsidRPr="007C63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</w:t>
      </w:r>
      <w:r w:rsidRPr="007C63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diaľnicou alebo </w:t>
      </w:r>
      <w:r w:rsidRPr="007C63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cestou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I. triedy</w:t>
      </w:r>
      <w:r w:rsidRPr="007C63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prevádza, má vlastník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diaľnice alebo </w:t>
      </w:r>
      <w:r w:rsidRPr="007C63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cesty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I. triedy, ktorá je umiestnená na danom pozemku</w:t>
      </w:r>
      <w:r w:rsidRPr="007C63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predkupné právo.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</w:t>
      </w:r>
      <w:r w:rsidR="00B364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A228188" w14:textId="77777777" w:rsidR="00F27047" w:rsidRDefault="00F27047" w:rsidP="002C74C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03444" w14:textId="77777777" w:rsidR="00F27047" w:rsidRDefault="00F27047" w:rsidP="002C74C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720A30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3FFDCC72" w14:textId="1A042639" w:rsidR="002C74C3" w:rsidRPr="00891E0E" w:rsidRDefault="00891E0E" w:rsidP="00891E0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E0E">
        <w:rPr>
          <w:rFonts w:ascii="Times New Roman" w:hAnsi="Times New Roman" w:cs="Times New Roman"/>
          <w:color w:val="000000"/>
          <w:sz w:val="24"/>
          <w:szCs w:val="24"/>
        </w:rPr>
        <w:t>Poznámky pod čiarou k odkazom 2cbba a 2cbb</w:t>
      </w:r>
      <w:r w:rsidR="009D67D8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891E0E">
        <w:rPr>
          <w:rFonts w:ascii="Times New Roman" w:hAnsi="Times New Roman" w:cs="Times New Roman"/>
          <w:color w:val="000000"/>
          <w:sz w:val="24"/>
          <w:szCs w:val="24"/>
        </w:rPr>
        <w:t xml:space="preserve"> znejú:</w:t>
      </w:r>
    </w:p>
    <w:p w14:paraId="069918AB" w14:textId="2C3B06DD" w:rsidR="00891E0E" w:rsidRPr="00891E0E" w:rsidRDefault="00FB2523" w:rsidP="00891E0E">
      <w:pPr>
        <w:autoSpaceDE w:val="0"/>
        <w:autoSpaceDN w:val="0"/>
        <w:adjustRightInd w:val="0"/>
        <w:spacing w:after="0" w:line="252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="00891E0E" w:rsidRPr="00CD7847">
        <w:rPr>
          <w:rFonts w:ascii="Times New Roman" w:hAnsi="Times New Roman" w:cs="Times New Roman"/>
          <w:sz w:val="20"/>
          <w:szCs w:val="20"/>
          <w:vertAlign w:val="superscript"/>
        </w:rPr>
        <w:t>2cbba</w:t>
      </w:r>
      <w:r w:rsidR="00891E0E" w:rsidRPr="00891E0E">
        <w:rPr>
          <w:rFonts w:ascii="Times New Roman" w:hAnsi="Times New Roman" w:cs="Times New Roman"/>
          <w:sz w:val="20"/>
          <w:szCs w:val="20"/>
        </w:rPr>
        <w:t>) § 151n až 151p Občianskeho zákonníka.</w:t>
      </w:r>
    </w:p>
    <w:p w14:paraId="3A541723" w14:textId="6F8321ED" w:rsidR="00891E0E" w:rsidRPr="00891E0E" w:rsidRDefault="00891E0E" w:rsidP="00891E0E">
      <w:pPr>
        <w:autoSpaceDE w:val="0"/>
        <w:autoSpaceDN w:val="0"/>
        <w:adjustRightInd w:val="0"/>
        <w:spacing w:after="0" w:line="252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CD7847">
        <w:rPr>
          <w:rFonts w:ascii="Times New Roman" w:hAnsi="Times New Roman" w:cs="Times New Roman"/>
          <w:sz w:val="20"/>
          <w:szCs w:val="20"/>
          <w:vertAlign w:val="superscript"/>
        </w:rPr>
        <w:t>2cbb</w:t>
      </w:r>
      <w:r w:rsidR="009D67D8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891E0E">
        <w:rPr>
          <w:rFonts w:ascii="Times New Roman" w:hAnsi="Times New Roman" w:cs="Times New Roman"/>
          <w:sz w:val="20"/>
          <w:szCs w:val="20"/>
        </w:rPr>
        <w:t>) § 34 zákona Národnej rady Slovenskej republiky č. 162/1995 Z. z. o katastri nehnuteľností a o zápise vlastníckych a iných práv k nehnuteľnostiam (katastrálny zákon) v znení neskorších predpisov.</w:t>
      </w:r>
    </w:p>
    <w:p w14:paraId="28E4502B" w14:textId="77777777" w:rsidR="00891E0E" w:rsidRDefault="00891E0E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9E43CD0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3FDE46F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II</w:t>
      </w:r>
    </w:p>
    <w:p w14:paraId="5E314D3D" w14:textId="77777777" w:rsidR="002C74C3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246D11FA" w14:textId="2D3A2E9D" w:rsidR="002C74C3" w:rsidRDefault="002C74C3" w:rsidP="00891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Tento zákon nadobúda účinnosť </w:t>
      </w:r>
      <w:r w:rsidR="00FB2523">
        <w:rPr>
          <w:rFonts w:ascii="Times New Roman" w:hAnsi="Times New Roman" w:cs="Times New Roman"/>
          <w:color w:val="000000"/>
          <w:sz w:val="24"/>
          <w:szCs w:val="24"/>
        </w:rPr>
        <w:t>1. januára 2023</w:t>
      </w:r>
      <w:bookmarkStart w:id="0" w:name="_GoBack"/>
      <w:bookmarkEnd w:id="0"/>
      <w:r w:rsidR="00F270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575E1E" w14:textId="77777777" w:rsidR="002C74C3" w:rsidRDefault="002C74C3" w:rsidP="002C74C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3DC26483" w14:textId="77777777" w:rsidR="002C74C3" w:rsidRDefault="002C74C3" w:rsidP="002C74C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6596D798" w14:textId="77777777" w:rsidR="002C74C3" w:rsidRDefault="002C74C3" w:rsidP="002C74C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66D9D289" w14:textId="77777777" w:rsidR="002C74C3" w:rsidRDefault="002C74C3" w:rsidP="002C74C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4D6EB653" w14:textId="77777777" w:rsidR="002C74C3" w:rsidRDefault="002C74C3" w:rsidP="002C74C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2B555EDA" w14:textId="77777777" w:rsidR="002C74C3" w:rsidRDefault="002C74C3" w:rsidP="002C74C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05249CBA" w14:textId="77777777" w:rsidR="00A34982" w:rsidRDefault="00CD7847"/>
    <w:sectPr w:rsidR="00A34982" w:rsidSect="002C74C3">
      <w:pgSz w:w="12240" w:h="15840"/>
      <w:pgMar w:top="1417" w:right="1417" w:bottom="212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3"/>
    <w:rsid w:val="00194946"/>
    <w:rsid w:val="001E2AB1"/>
    <w:rsid w:val="002C74C3"/>
    <w:rsid w:val="003147F5"/>
    <w:rsid w:val="00353411"/>
    <w:rsid w:val="004378C8"/>
    <w:rsid w:val="006F5AB3"/>
    <w:rsid w:val="00891E0E"/>
    <w:rsid w:val="0090082B"/>
    <w:rsid w:val="00921AE2"/>
    <w:rsid w:val="009D67D8"/>
    <w:rsid w:val="00A406C9"/>
    <w:rsid w:val="00B3643C"/>
    <w:rsid w:val="00C477AA"/>
    <w:rsid w:val="00CD7847"/>
    <w:rsid w:val="00DD302D"/>
    <w:rsid w:val="00F00650"/>
    <w:rsid w:val="00F03A26"/>
    <w:rsid w:val="00F27047"/>
    <w:rsid w:val="00FB2523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1884"/>
  <w15:chartTrackingRefBased/>
  <w15:docId w15:val="{0222D5EF-6F1B-4027-9FB0-1EFFED79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7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7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704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B25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25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25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25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25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Svrček, Miloš (asistent)</cp:lastModifiedBy>
  <cp:revision>4</cp:revision>
  <cp:lastPrinted>2022-08-25T13:24:00Z</cp:lastPrinted>
  <dcterms:created xsi:type="dcterms:W3CDTF">2022-08-25T10:48:00Z</dcterms:created>
  <dcterms:modified xsi:type="dcterms:W3CDTF">2022-08-25T13:26:00Z</dcterms:modified>
</cp:coreProperties>
</file>