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26B0" w14:textId="77777777" w:rsidR="00E77796" w:rsidRDefault="00E77796" w:rsidP="00E777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DOLOŽKA ZLUČITEĽNOSTI</w:t>
      </w:r>
    </w:p>
    <w:p w14:paraId="599CD63F" w14:textId="77777777" w:rsidR="00E77796" w:rsidRDefault="00E77796" w:rsidP="00E777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právneho predpisu s právom Európskej únie</w:t>
      </w:r>
    </w:p>
    <w:p w14:paraId="70D42472" w14:textId="77777777" w:rsidR="00E77796" w:rsidRDefault="00E77796" w:rsidP="00E77796">
      <w:pPr>
        <w:rPr>
          <w:rFonts w:ascii="Times New Roman" w:eastAsia="Times New Roman" w:hAnsi="Times New Roman" w:cs="Times New Roman"/>
          <w:sz w:val="24"/>
          <w:szCs w:val="24"/>
        </w:rPr>
      </w:pPr>
    </w:p>
    <w:p w14:paraId="15872965"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Predkladateľ právneho predpisu</w:t>
      </w:r>
      <w:r>
        <w:rPr>
          <w:rFonts w:ascii="Times New Roman" w:eastAsia="Times New Roman" w:hAnsi="Times New Roman" w:cs="Times New Roman"/>
          <w:sz w:val="24"/>
          <w:szCs w:val="24"/>
        </w:rPr>
        <w:t>: poslanec Národnej rady Slovenskej republiky Tomáš Valášek</w:t>
      </w:r>
    </w:p>
    <w:p w14:paraId="7D4BC474" w14:textId="77777777" w:rsidR="00E77796" w:rsidRDefault="00E77796" w:rsidP="00E77796">
      <w:pPr>
        <w:rPr>
          <w:rFonts w:ascii="Times New Roman" w:eastAsia="Times New Roman" w:hAnsi="Times New Roman" w:cs="Times New Roman"/>
          <w:sz w:val="24"/>
          <w:szCs w:val="24"/>
        </w:rPr>
      </w:pPr>
    </w:p>
    <w:p w14:paraId="5EBCA241"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Názov návrhu právneho predpisu</w:t>
      </w:r>
      <w:r>
        <w:rPr>
          <w:rFonts w:ascii="Times New Roman" w:eastAsia="Times New Roman" w:hAnsi="Times New Roman" w:cs="Times New Roman"/>
          <w:sz w:val="24"/>
          <w:szCs w:val="24"/>
        </w:rPr>
        <w:t>: Návrh zákona o životnom partnerstve</w:t>
      </w:r>
    </w:p>
    <w:p w14:paraId="05A98B3B" w14:textId="77777777" w:rsidR="00E77796" w:rsidRDefault="00E77796" w:rsidP="00E77796">
      <w:pPr>
        <w:rPr>
          <w:rFonts w:ascii="Times New Roman" w:eastAsia="Times New Roman" w:hAnsi="Times New Roman" w:cs="Times New Roman"/>
          <w:sz w:val="24"/>
          <w:szCs w:val="24"/>
        </w:rPr>
      </w:pPr>
    </w:p>
    <w:p w14:paraId="544F1453" w14:textId="77777777" w:rsidR="00E77796" w:rsidRDefault="00E77796" w:rsidP="00E777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Problematika návrhu zákona:</w:t>
      </w:r>
    </w:p>
    <w:p w14:paraId="78CB8F56" w14:textId="77777777" w:rsidR="00E77796" w:rsidRDefault="00E77796" w:rsidP="00E77796">
      <w:pPr>
        <w:rPr>
          <w:rFonts w:ascii="Times New Roman" w:eastAsia="Times New Roman" w:hAnsi="Times New Roman" w:cs="Times New Roman"/>
          <w:sz w:val="24"/>
          <w:szCs w:val="24"/>
        </w:rPr>
      </w:pPr>
    </w:p>
    <w:p w14:paraId="3446D89E"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a) nie je upravená v práve Európskych spoločenstiev</w:t>
      </w:r>
    </w:p>
    <w:p w14:paraId="1CF10157" w14:textId="77777777" w:rsidR="00E77796" w:rsidRDefault="00E77796" w:rsidP="00E77796">
      <w:pPr>
        <w:rPr>
          <w:rFonts w:ascii="Times New Roman" w:eastAsia="Times New Roman" w:hAnsi="Times New Roman" w:cs="Times New Roman"/>
          <w:sz w:val="24"/>
          <w:szCs w:val="24"/>
        </w:rPr>
      </w:pPr>
    </w:p>
    <w:p w14:paraId="64CD1535"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b) nie je obsiahnutá v práve Európskej únie</w:t>
      </w:r>
    </w:p>
    <w:p w14:paraId="2AB391B5" w14:textId="77777777" w:rsidR="00E77796" w:rsidRDefault="00E77796" w:rsidP="00E77796">
      <w:pPr>
        <w:rPr>
          <w:rFonts w:ascii="Times New Roman" w:eastAsia="Times New Roman" w:hAnsi="Times New Roman" w:cs="Times New Roman"/>
          <w:sz w:val="24"/>
          <w:szCs w:val="24"/>
        </w:rPr>
      </w:pPr>
    </w:p>
    <w:p w14:paraId="45E9A578"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c) nie je obsiahnutá v judikatúre Súdneho dvora Európskej únie</w:t>
      </w:r>
    </w:p>
    <w:p w14:paraId="2F7DC8D5" w14:textId="77777777" w:rsidR="00E77796" w:rsidRDefault="00E77796" w:rsidP="00E77796">
      <w:pPr>
        <w:rPr>
          <w:rFonts w:ascii="Times New Roman" w:eastAsia="Times New Roman" w:hAnsi="Times New Roman" w:cs="Times New Roman"/>
          <w:sz w:val="24"/>
          <w:szCs w:val="24"/>
        </w:rPr>
      </w:pPr>
    </w:p>
    <w:p w14:paraId="078E5DDD"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Keďže predmet návrhu zákona nie je v práve Európskej únie upravený, body 4 a 5 sa nevypĺňajú.</w:t>
      </w:r>
    </w:p>
    <w:p w14:paraId="7BB38986" w14:textId="77777777" w:rsidR="00E77796" w:rsidRDefault="00E77796" w:rsidP="00E77796">
      <w:pPr>
        <w:rPr>
          <w:rFonts w:ascii="Times New Roman" w:eastAsia="Times New Roman" w:hAnsi="Times New Roman" w:cs="Times New Roman"/>
          <w:sz w:val="24"/>
          <w:szCs w:val="24"/>
        </w:rPr>
      </w:pPr>
    </w:p>
    <w:p w14:paraId="31AFDA42" w14:textId="77777777" w:rsidR="00E77796" w:rsidRDefault="00E77796" w:rsidP="00E77796">
      <w:pPr>
        <w:rPr>
          <w:rFonts w:ascii="Times New Roman" w:eastAsia="Times New Roman" w:hAnsi="Times New Roman" w:cs="Times New Roman"/>
          <w:sz w:val="24"/>
          <w:szCs w:val="24"/>
        </w:rPr>
      </w:pPr>
    </w:p>
    <w:p w14:paraId="4254E421" w14:textId="77777777" w:rsidR="00E77796" w:rsidRDefault="00E77796" w:rsidP="00E777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DOLOŽKA </w:t>
      </w:r>
    </w:p>
    <w:p w14:paraId="4DC08AC6" w14:textId="77777777" w:rsidR="00E77796" w:rsidRDefault="00E77796" w:rsidP="00E777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vybraných vplyvov</w:t>
      </w:r>
    </w:p>
    <w:p w14:paraId="6E989E07" w14:textId="77777777" w:rsidR="00E77796" w:rsidRDefault="00E77796" w:rsidP="00E77796">
      <w:pPr>
        <w:rPr>
          <w:rFonts w:ascii="Times New Roman" w:eastAsia="Times New Roman" w:hAnsi="Times New Roman" w:cs="Times New Roman"/>
          <w:sz w:val="24"/>
          <w:szCs w:val="24"/>
        </w:rPr>
      </w:pPr>
    </w:p>
    <w:p w14:paraId="6FF3530C"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A.1. Názov materiálu: </w:t>
      </w:r>
      <w:r>
        <w:rPr>
          <w:rFonts w:ascii="Times New Roman" w:eastAsia="Times New Roman" w:hAnsi="Times New Roman" w:cs="Times New Roman"/>
          <w:sz w:val="24"/>
          <w:szCs w:val="24"/>
        </w:rPr>
        <w:t>Návrh zákona o životnom partnerstve</w:t>
      </w:r>
    </w:p>
    <w:p w14:paraId="64C5F1C3" w14:textId="77777777" w:rsidR="00E77796" w:rsidRDefault="00E77796" w:rsidP="00E77796">
      <w:pPr>
        <w:rPr>
          <w:rFonts w:ascii="Times New Roman" w:eastAsia="Times New Roman" w:hAnsi="Times New Roman" w:cs="Times New Roman"/>
          <w:sz w:val="24"/>
          <w:szCs w:val="24"/>
        </w:rPr>
      </w:pPr>
    </w:p>
    <w:p w14:paraId="18D8B02A" w14:textId="77777777" w:rsidR="00E77796" w:rsidRDefault="00E77796" w:rsidP="00E777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A.2. Vplyvy navrhovaného materiálu:</w:t>
      </w:r>
    </w:p>
    <w:p w14:paraId="4BEB0B6E" w14:textId="77777777" w:rsidR="00E77796" w:rsidRDefault="00E77796" w:rsidP="00E77796">
      <w:pPr>
        <w:rPr>
          <w:rFonts w:ascii="Times New Roman" w:eastAsia="Times New Roman" w:hAnsi="Times New Roman" w:cs="Times New Roman"/>
          <w:sz w:val="24"/>
          <w:szCs w:val="24"/>
        </w:rPr>
      </w:pPr>
    </w:p>
    <w:p w14:paraId="13226271" w14:textId="77777777" w:rsidR="00E77796" w:rsidRDefault="00E77796" w:rsidP="00E77796">
      <w:pPr>
        <w:rPr>
          <w:rFonts w:ascii="Times New Roman" w:eastAsia="Times New Roman" w:hAnsi="Times New Roman" w:cs="Times New Roman"/>
          <w:sz w:val="24"/>
          <w:szCs w:val="24"/>
        </w:rPr>
      </w:pP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815"/>
        <w:gridCol w:w="1740"/>
        <w:gridCol w:w="1755"/>
      </w:tblGrid>
      <w:tr w:rsidR="00E77796" w14:paraId="737493C2" w14:textId="77777777" w:rsidTr="003314B5">
        <w:tc>
          <w:tcPr>
            <w:tcW w:w="3750" w:type="dxa"/>
            <w:shd w:val="clear" w:color="auto" w:fill="auto"/>
            <w:tcMar>
              <w:top w:w="100" w:type="dxa"/>
              <w:left w:w="100" w:type="dxa"/>
              <w:bottom w:w="100" w:type="dxa"/>
              <w:right w:w="100" w:type="dxa"/>
            </w:tcMar>
          </w:tcPr>
          <w:p w14:paraId="2927369C"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w:t>
            </w:r>
          </w:p>
        </w:tc>
        <w:tc>
          <w:tcPr>
            <w:tcW w:w="1815" w:type="dxa"/>
            <w:shd w:val="clear" w:color="auto" w:fill="auto"/>
            <w:tcMar>
              <w:top w:w="100" w:type="dxa"/>
              <w:left w:w="100" w:type="dxa"/>
              <w:bottom w:w="100" w:type="dxa"/>
              <w:right w:w="100" w:type="dxa"/>
            </w:tcMar>
          </w:tcPr>
          <w:p w14:paraId="6066C2E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Pozitívne</w:t>
            </w:r>
          </w:p>
        </w:tc>
        <w:tc>
          <w:tcPr>
            <w:tcW w:w="1740" w:type="dxa"/>
            <w:shd w:val="clear" w:color="auto" w:fill="auto"/>
            <w:tcMar>
              <w:top w:w="100" w:type="dxa"/>
              <w:left w:w="100" w:type="dxa"/>
              <w:bottom w:w="100" w:type="dxa"/>
              <w:right w:w="100" w:type="dxa"/>
            </w:tcMar>
          </w:tcPr>
          <w:p w14:paraId="61511081"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Žiadne</w:t>
            </w:r>
          </w:p>
        </w:tc>
        <w:tc>
          <w:tcPr>
            <w:tcW w:w="1755" w:type="dxa"/>
            <w:shd w:val="clear" w:color="auto" w:fill="auto"/>
            <w:tcMar>
              <w:top w:w="100" w:type="dxa"/>
              <w:left w:w="100" w:type="dxa"/>
              <w:bottom w:w="100" w:type="dxa"/>
              <w:right w:w="100" w:type="dxa"/>
            </w:tcMar>
          </w:tcPr>
          <w:p w14:paraId="7DF32237"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Negatívne</w:t>
            </w:r>
          </w:p>
        </w:tc>
      </w:tr>
      <w:tr w:rsidR="00E77796" w14:paraId="12BC413E" w14:textId="77777777" w:rsidTr="003314B5">
        <w:tc>
          <w:tcPr>
            <w:tcW w:w="3750" w:type="dxa"/>
            <w:shd w:val="clear" w:color="auto" w:fill="auto"/>
            <w:tcMar>
              <w:top w:w="100" w:type="dxa"/>
              <w:left w:w="100" w:type="dxa"/>
              <w:bottom w:w="100" w:type="dxa"/>
              <w:right w:w="100" w:type="dxa"/>
            </w:tcMar>
          </w:tcPr>
          <w:p w14:paraId="5A557C60"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Vplyvy na rozpočet verejnej správy</w:t>
            </w:r>
          </w:p>
        </w:tc>
        <w:tc>
          <w:tcPr>
            <w:tcW w:w="1815" w:type="dxa"/>
            <w:shd w:val="clear" w:color="auto" w:fill="auto"/>
            <w:tcMar>
              <w:top w:w="100" w:type="dxa"/>
              <w:left w:w="100" w:type="dxa"/>
              <w:bottom w:w="100" w:type="dxa"/>
              <w:right w:w="100" w:type="dxa"/>
            </w:tcMar>
          </w:tcPr>
          <w:p w14:paraId="1C91554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0E82506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38543D31"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77796" w14:paraId="6859B58C" w14:textId="77777777" w:rsidTr="003314B5">
        <w:tc>
          <w:tcPr>
            <w:tcW w:w="3750" w:type="dxa"/>
            <w:shd w:val="clear" w:color="auto" w:fill="auto"/>
            <w:tcMar>
              <w:top w:w="100" w:type="dxa"/>
              <w:left w:w="100" w:type="dxa"/>
              <w:bottom w:w="100" w:type="dxa"/>
              <w:right w:w="100" w:type="dxa"/>
            </w:tcMar>
          </w:tcPr>
          <w:p w14:paraId="5B1FA317"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Vplyvy na podnikateľské prostredie – dochádza k zvýšeniu regulačného zaťaženia?</w:t>
            </w:r>
          </w:p>
        </w:tc>
        <w:tc>
          <w:tcPr>
            <w:tcW w:w="1815" w:type="dxa"/>
            <w:shd w:val="clear" w:color="auto" w:fill="auto"/>
            <w:tcMar>
              <w:top w:w="100" w:type="dxa"/>
              <w:left w:w="100" w:type="dxa"/>
              <w:bottom w:w="100" w:type="dxa"/>
              <w:right w:w="100" w:type="dxa"/>
            </w:tcMar>
          </w:tcPr>
          <w:p w14:paraId="67C092B4"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61C8EC10"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7415187F"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00F01E65" w14:textId="77777777" w:rsidTr="003314B5">
        <w:tc>
          <w:tcPr>
            <w:tcW w:w="3750" w:type="dxa"/>
            <w:shd w:val="clear" w:color="auto" w:fill="auto"/>
            <w:tcMar>
              <w:top w:w="100" w:type="dxa"/>
              <w:left w:w="100" w:type="dxa"/>
              <w:bottom w:w="100" w:type="dxa"/>
              <w:right w:w="100" w:type="dxa"/>
            </w:tcMar>
          </w:tcPr>
          <w:p w14:paraId="5496ADF9" w14:textId="77777777" w:rsidR="00E77796" w:rsidRDefault="00E77796" w:rsidP="003314B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Sociálne vplyvy</w:t>
            </w:r>
          </w:p>
        </w:tc>
        <w:tc>
          <w:tcPr>
            <w:tcW w:w="1815" w:type="dxa"/>
            <w:shd w:val="clear" w:color="auto" w:fill="auto"/>
            <w:tcMar>
              <w:top w:w="100" w:type="dxa"/>
              <w:left w:w="100" w:type="dxa"/>
              <w:bottom w:w="100" w:type="dxa"/>
              <w:right w:w="100" w:type="dxa"/>
            </w:tcMar>
          </w:tcPr>
          <w:p w14:paraId="339D1BCC"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2D4041F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153081CC"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75E16D43" w14:textId="77777777" w:rsidTr="003314B5">
        <w:tc>
          <w:tcPr>
            <w:tcW w:w="3750" w:type="dxa"/>
            <w:shd w:val="clear" w:color="auto" w:fill="auto"/>
            <w:tcMar>
              <w:top w:w="100" w:type="dxa"/>
              <w:left w:w="100" w:type="dxa"/>
              <w:bottom w:w="100" w:type="dxa"/>
              <w:right w:w="100" w:type="dxa"/>
            </w:tcMar>
          </w:tcPr>
          <w:p w14:paraId="16CAAD69"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vplyvy na hospodárenie obyvateľstva</w:t>
            </w:r>
          </w:p>
        </w:tc>
        <w:tc>
          <w:tcPr>
            <w:tcW w:w="1815" w:type="dxa"/>
            <w:shd w:val="clear" w:color="auto" w:fill="auto"/>
            <w:tcMar>
              <w:top w:w="100" w:type="dxa"/>
              <w:left w:w="100" w:type="dxa"/>
              <w:bottom w:w="100" w:type="dxa"/>
              <w:right w:w="100" w:type="dxa"/>
            </w:tcMar>
          </w:tcPr>
          <w:p w14:paraId="786B48C5"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46D398AD"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3E9504A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628743FE" w14:textId="77777777" w:rsidTr="003314B5">
        <w:tc>
          <w:tcPr>
            <w:tcW w:w="3750" w:type="dxa"/>
            <w:shd w:val="clear" w:color="auto" w:fill="auto"/>
            <w:tcMar>
              <w:top w:w="100" w:type="dxa"/>
              <w:left w:w="100" w:type="dxa"/>
              <w:bottom w:w="100" w:type="dxa"/>
              <w:right w:w="100" w:type="dxa"/>
            </w:tcMar>
          </w:tcPr>
          <w:p w14:paraId="64298C50" w14:textId="77777777" w:rsidR="00E77796" w:rsidRDefault="00E77796" w:rsidP="003314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sociálnu </w:t>
            </w:r>
            <w:proofErr w:type="spellStart"/>
            <w:r>
              <w:rPr>
                <w:rFonts w:ascii="Times New Roman" w:eastAsia="Times New Roman" w:hAnsi="Times New Roman" w:cs="Times New Roman"/>
                <w:sz w:val="24"/>
                <w:szCs w:val="24"/>
              </w:rPr>
              <w:t>exklúziu</w:t>
            </w:r>
            <w:proofErr w:type="spellEnd"/>
          </w:p>
        </w:tc>
        <w:tc>
          <w:tcPr>
            <w:tcW w:w="1815" w:type="dxa"/>
            <w:shd w:val="clear" w:color="auto" w:fill="auto"/>
            <w:tcMar>
              <w:top w:w="100" w:type="dxa"/>
              <w:left w:w="100" w:type="dxa"/>
              <w:bottom w:w="100" w:type="dxa"/>
              <w:right w:w="100" w:type="dxa"/>
            </w:tcMar>
          </w:tcPr>
          <w:p w14:paraId="28F8C556"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6AB739C6"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1230505A"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1DFA01F8" w14:textId="77777777" w:rsidTr="003314B5">
        <w:tc>
          <w:tcPr>
            <w:tcW w:w="3750" w:type="dxa"/>
            <w:shd w:val="clear" w:color="auto" w:fill="auto"/>
            <w:tcMar>
              <w:top w:w="100" w:type="dxa"/>
              <w:left w:w="100" w:type="dxa"/>
              <w:bottom w:w="100" w:type="dxa"/>
              <w:right w:w="100" w:type="dxa"/>
            </w:tcMar>
          </w:tcPr>
          <w:p w14:paraId="7A48430F" w14:textId="77777777" w:rsidR="00E77796" w:rsidRDefault="00E77796" w:rsidP="003314B5">
            <w:pPr>
              <w:rPr>
                <w:rFonts w:ascii="Times New Roman" w:eastAsia="Times New Roman" w:hAnsi="Times New Roman" w:cs="Times New Roman"/>
                <w:sz w:val="24"/>
                <w:szCs w:val="24"/>
              </w:rPr>
            </w:pPr>
            <w:r>
              <w:rPr>
                <w:rFonts w:ascii="Times New Roman" w:eastAsia="Times New Roman" w:hAnsi="Times New Roman" w:cs="Times New Roman"/>
                <w:sz w:val="24"/>
                <w:szCs w:val="24"/>
              </w:rPr>
              <w:t>– rovnosť príležitostí a rodovú rovnosť a vplyvy na zamestnanosť</w:t>
            </w:r>
          </w:p>
        </w:tc>
        <w:tc>
          <w:tcPr>
            <w:tcW w:w="1815" w:type="dxa"/>
            <w:shd w:val="clear" w:color="auto" w:fill="auto"/>
            <w:tcMar>
              <w:top w:w="100" w:type="dxa"/>
              <w:left w:w="100" w:type="dxa"/>
              <w:bottom w:w="100" w:type="dxa"/>
              <w:right w:w="100" w:type="dxa"/>
            </w:tcMar>
          </w:tcPr>
          <w:p w14:paraId="414183D8"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096BD6C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091C4E71"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05611C34" w14:textId="77777777" w:rsidTr="003314B5">
        <w:tc>
          <w:tcPr>
            <w:tcW w:w="3750" w:type="dxa"/>
            <w:shd w:val="clear" w:color="auto" w:fill="auto"/>
            <w:tcMar>
              <w:top w:w="100" w:type="dxa"/>
              <w:left w:w="100" w:type="dxa"/>
              <w:bottom w:w="100" w:type="dxa"/>
              <w:right w:w="100" w:type="dxa"/>
            </w:tcMar>
          </w:tcPr>
          <w:p w14:paraId="1B2A546C"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Vplyvy na životné prostredie</w:t>
            </w:r>
          </w:p>
        </w:tc>
        <w:tc>
          <w:tcPr>
            <w:tcW w:w="1815" w:type="dxa"/>
            <w:shd w:val="clear" w:color="auto" w:fill="auto"/>
            <w:tcMar>
              <w:top w:w="100" w:type="dxa"/>
              <w:left w:w="100" w:type="dxa"/>
              <w:bottom w:w="100" w:type="dxa"/>
              <w:right w:w="100" w:type="dxa"/>
            </w:tcMar>
          </w:tcPr>
          <w:p w14:paraId="41F57818"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010D07CA"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6BF08667"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4841BCCE" w14:textId="77777777" w:rsidTr="003314B5">
        <w:tc>
          <w:tcPr>
            <w:tcW w:w="3750" w:type="dxa"/>
            <w:shd w:val="clear" w:color="auto" w:fill="auto"/>
            <w:tcMar>
              <w:top w:w="100" w:type="dxa"/>
              <w:left w:w="100" w:type="dxa"/>
              <w:bottom w:w="100" w:type="dxa"/>
              <w:right w:w="100" w:type="dxa"/>
            </w:tcMar>
          </w:tcPr>
          <w:p w14:paraId="79839C6D"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Vplyvy na informatizáciu spoločnosti</w:t>
            </w:r>
          </w:p>
        </w:tc>
        <w:tc>
          <w:tcPr>
            <w:tcW w:w="1815" w:type="dxa"/>
            <w:shd w:val="clear" w:color="auto" w:fill="auto"/>
            <w:tcMar>
              <w:top w:w="100" w:type="dxa"/>
              <w:left w:w="100" w:type="dxa"/>
              <w:bottom w:w="100" w:type="dxa"/>
              <w:right w:w="100" w:type="dxa"/>
            </w:tcMar>
          </w:tcPr>
          <w:p w14:paraId="491501E0"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45F5C704"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00E0B9BA"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2203CA2D" w14:textId="77777777" w:rsidTr="003314B5">
        <w:tc>
          <w:tcPr>
            <w:tcW w:w="3750" w:type="dxa"/>
            <w:shd w:val="clear" w:color="auto" w:fill="auto"/>
            <w:tcMar>
              <w:top w:w="100" w:type="dxa"/>
              <w:left w:w="100" w:type="dxa"/>
              <w:bottom w:w="100" w:type="dxa"/>
              <w:right w:w="100" w:type="dxa"/>
            </w:tcMar>
          </w:tcPr>
          <w:p w14:paraId="1CF5196F" w14:textId="77777777" w:rsidR="00E77796" w:rsidRDefault="00E77796" w:rsidP="003314B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Vplyvy na služby pre občana z toho</w:t>
            </w:r>
          </w:p>
        </w:tc>
        <w:tc>
          <w:tcPr>
            <w:tcW w:w="1815" w:type="dxa"/>
            <w:shd w:val="clear" w:color="auto" w:fill="auto"/>
            <w:tcMar>
              <w:top w:w="100" w:type="dxa"/>
              <w:left w:w="100" w:type="dxa"/>
              <w:bottom w:w="100" w:type="dxa"/>
              <w:right w:w="100" w:type="dxa"/>
            </w:tcMar>
          </w:tcPr>
          <w:p w14:paraId="01DD7A2A"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28A451A2"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42DC8C6B"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35B3282F" w14:textId="77777777" w:rsidTr="003314B5">
        <w:tc>
          <w:tcPr>
            <w:tcW w:w="3750" w:type="dxa"/>
            <w:shd w:val="clear" w:color="auto" w:fill="auto"/>
            <w:tcMar>
              <w:top w:w="100" w:type="dxa"/>
              <w:left w:w="100" w:type="dxa"/>
              <w:bottom w:w="100" w:type="dxa"/>
              <w:right w:w="100" w:type="dxa"/>
            </w:tcMar>
          </w:tcPr>
          <w:p w14:paraId="066FEA02" w14:textId="77777777" w:rsidR="00E77796" w:rsidRDefault="00E77796" w:rsidP="003314B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vplyvy služieb verejnej správy na občana</w:t>
            </w:r>
          </w:p>
        </w:tc>
        <w:tc>
          <w:tcPr>
            <w:tcW w:w="1815" w:type="dxa"/>
            <w:shd w:val="clear" w:color="auto" w:fill="auto"/>
            <w:tcMar>
              <w:top w:w="100" w:type="dxa"/>
              <w:left w:w="100" w:type="dxa"/>
              <w:bottom w:w="100" w:type="dxa"/>
              <w:right w:w="100" w:type="dxa"/>
            </w:tcMar>
          </w:tcPr>
          <w:p w14:paraId="0E70F10C"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1DDC142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1EFEF2BE"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21F3776D" w14:textId="77777777" w:rsidTr="003314B5">
        <w:tc>
          <w:tcPr>
            <w:tcW w:w="3750" w:type="dxa"/>
            <w:shd w:val="clear" w:color="auto" w:fill="auto"/>
            <w:tcMar>
              <w:top w:w="100" w:type="dxa"/>
              <w:left w:w="100" w:type="dxa"/>
              <w:bottom w:w="100" w:type="dxa"/>
              <w:right w:w="100" w:type="dxa"/>
            </w:tcMar>
          </w:tcPr>
          <w:p w14:paraId="35195FA7" w14:textId="77777777" w:rsidR="00E77796" w:rsidRDefault="00E77796" w:rsidP="003314B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vplyvy na procesy služieb vo verejnej správe</w:t>
            </w:r>
          </w:p>
        </w:tc>
        <w:tc>
          <w:tcPr>
            <w:tcW w:w="1815" w:type="dxa"/>
            <w:shd w:val="clear" w:color="auto" w:fill="auto"/>
            <w:tcMar>
              <w:top w:w="100" w:type="dxa"/>
              <w:left w:w="100" w:type="dxa"/>
              <w:bottom w:w="100" w:type="dxa"/>
              <w:right w:w="100" w:type="dxa"/>
            </w:tcMar>
          </w:tcPr>
          <w:p w14:paraId="29775592"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621A9BF4"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31DDB848"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r w:rsidR="00E77796" w14:paraId="60CBF2A8" w14:textId="77777777" w:rsidTr="003314B5">
        <w:tc>
          <w:tcPr>
            <w:tcW w:w="3750" w:type="dxa"/>
            <w:shd w:val="clear" w:color="auto" w:fill="auto"/>
            <w:tcMar>
              <w:top w:w="100" w:type="dxa"/>
              <w:left w:w="100" w:type="dxa"/>
              <w:bottom w:w="100" w:type="dxa"/>
              <w:right w:w="100" w:type="dxa"/>
            </w:tcMar>
          </w:tcPr>
          <w:p w14:paraId="14395F33" w14:textId="77777777" w:rsidR="00E77796" w:rsidRDefault="00E77796" w:rsidP="00331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Vplyvy na manželstvo, rodičovstvo a rodinu</w:t>
            </w:r>
          </w:p>
        </w:tc>
        <w:tc>
          <w:tcPr>
            <w:tcW w:w="1815" w:type="dxa"/>
            <w:shd w:val="clear" w:color="auto" w:fill="auto"/>
            <w:tcMar>
              <w:top w:w="100" w:type="dxa"/>
              <w:left w:w="100" w:type="dxa"/>
              <w:bottom w:w="100" w:type="dxa"/>
              <w:right w:w="100" w:type="dxa"/>
            </w:tcMar>
          </w:tcPr>
          <w:p w14:paraId="7805EFC1"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16CBC337"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220CD173" w14:textId="77777777" w:rsidR="00E77796" w:rsidRDefault="00E77796" w:rsidP="003314B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bl>
    <w:p w14:paraId="0B28F49F" w14:textId="77777777" w:rsidR="00E77796" w:rsidRDefault="00E77796" w:rsidP="00E77796">
      <w:pPr>
        <w:rPr>
          <w:rFonts w:ascii="Times New Roman" w:eastAsia="Times New Roman" w:hAnsi="Times New Roman" w:cs="Times New Roman"/>
          <w:sz w:val="24"/>
          <w:szCs w:val="24"/>
        </w:rPr>
      </w:pPr>
    </w:p>
    <w:p w14:paraId="3D3D2638" w14:textId="77777777" w:rsidR="00E77796" w:rsidRDefault="00E77796" w:rsidP="00E777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Poznámky</w:t>
      </w:r>
    </w:p>
    <w:p w14:paraId="6DEFFD7F" w14:textId="77777777" w:rsidR="00E77796" w:rsidRDefault="00E77796" w:rsidP="00E77796">
      <w:pPr>
        <w:rPr>
          <w:rFonts w:ascii="Times New Roman" w:eastAsia="Times New Roman" w:hAnsi="Times New Roman" w:cs="Times New Roman"/>
          <w:sz w:val="24"/>
          <w:szCs w:val="24"/>
        </w:rPr>
      </w:pPr>
    </w:p>
    <w:p w14:paraId="2ADCD218" w14:textId="77777777" w:rsidR="00E77796" w:rsidRDefault="00E77796" w:rsidP="00E77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Máme za to, že návrh bude mať aj pozitívny, aj negatívny vplyv na rozpočet verejnej správy. Čo sa týka pozitívneho vplyvu na rozpočet verejnej správy, okrem toho, že na príjmovej strane rozpočtu pribudnú príjmy z poplatkov vyberaných za úkony realizované pri vzniku a zániku životného partnerstva, tak ustanovením vzájomnej vyživovacej povinnosti životných partnerov dochádza k prevzatiu niektorých záväzkov sociálneho zabezpečenia štátu životnými partnermi, čím dôjde k finančnému odbremeneniu štátu. Obdobne sa pozitívne dopady týkajú dopadov možnosti osvojenia dieťaťa životného partnera, čím sa rozšíri okruh osôb s vyživovacími záväzkami voči dieťaťu, čím opätovne dochádza k finančnému odbremeneniu štátu. Životní partneri a partnerky budú tiež spoločne posudzovaní pre účely niektorých sociálnych dávok, čím sa zúži okruh osôb, ktorým musí štát sociálne dávky vyplácať. Negatívny dopad na rozpočet verejnej správy sa týka najmä povinnosti štátu vyplácať sociálne dávky obdobné ako v prípade manželov, napr. vdovský/vdovecký dôchodok, ako aj daňových úľav obdobne ako v prípade manželov. </w:t>
      </w:r>
    </w:p>
    <w:p w14:paraId="7474BE5A" w14:textId="77777777" w:rsidR="00E77796" w:rsidRDefault="00E77796" w:rsidP="00E77796">
      <w:pPr>
        <w:jc w:val="both"/>
        <w:rPr>
          <w:rFonts w:ascii="Times New Roman" w:eastAsia="Times New Roman" w:hAnsi="Times New Roman" w:cs="Times New Roman"/>
          <w:sz w:val="24"/>
          <w:szCs w:val="24"/>
        </w:rPr>
      </w:pPr>
    </w:p>
    <w:p w14:paraId="3DB78885" w14:textId="77777777" w:rsidR="00E77796" w:rsidRDefault="00E77796" w:rsidP="00E77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absenciu dát o počte párov, ktorých sa návrh zákona bude priamo dotýkať, nie je možné dopady na rozpočet verejnej správy presne vyčísliť.</w:t>
      </w:r>
    </w:p>
    <w:p w14:paraId="44FD19AD"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CEE700" w14:textId="77777777" w:rsidR="00E77796" w:rsidRDefault="00E77796" w:rsidP="00E77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zákona má zároveň významné pozitívne sociálne vplyvy a pozitívne vplyvy na rodičovstvo a rodinu, a to vďaka posilneniu postavenia dotknutých párov a rodín v rámci spoločnosti. Návrh zákona jednoznačne pozitívne ovplyvní život detí vyrastajúcich v rodinách párov rovnakého pohlavia, keď dôjde k odstráneniu ich znevýhodneného právneho postavenia. </w:t>
      </w:r>
    </w:p>
    <w:p w14:paraId="6880CD14" w14:textId="77777777" w:rsidR="00E77796" w:rsidRDefault="00E77796" w:rsidP="00E77796">
      <w:pPr>
        <w:rPr>
          <w:rFonts w:ascii="Times New Roman" w:eastAsia="Times New Roman" w:hAnsi="Times New Roman" w:cs="Times New Roman"/>
          <w:sz w:val="24"/>
          <w:szCs w:val="24"/>
        </w:rPr>
      </w:pPr>
    </w:p>
    <w:p w14:paraId="30486F8E"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môže mať tiež vplyv na snahy o zabránenie odchodu LGBTI ľudí do zahraničia, čo bude mať pozitívny dopad na verejný rozpočet, ako aj na rodiny.</w:t>
      </w:r>
    </w:p>
    <w:p w14:paraId="65EC54A7" w14:textId="77777777" w:rsidR="00E77796" w:rsidRDefault="00E77796" w:rsidP="00E77796">
      <w:pPr>
        <w:rPr>
          <w:rFonts w:ascii="Times New Roman" w:eastAsia="Times New Roman" w:hAnsi="Times New Roman" w:cs="Times New Roman"/>
          <w:sz w:val="24"/>
          <w:szCs w:val="24"/>
        </w:rPr>
      </w:pPr>
    </w:p>
    <w:p w14:paraId="3678821B" w14:textId="77777777" w:rsidR="00E77796" w:rsidRDefault="00E77796" w:rsidP="00E777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A.4. Alternatívne riešenia</w:t>
      </w:r>
    </w:p>
    <w:p w14:paraId="48240DD1"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Bezpredmetné </w:t>
      </w:r>
    </w:p>
    <w:p w14:paraId="2A32D3C2" w14:textId="77777777" w:rsidR="00E77796" w:rsidRDefault="00E77796" w:rsidP="00E77796">
      <w:pPr>
        <w:rPr>
          <w:rFonts w:ascii="Times New Roman" w:eastAsia="Times New Roman" w:hAnsi="Times New Roman" w:cs="Times New Roman"/>
          <w:sz w:val="24"/>
          <w:szCs w:val="24"/>
        </w:rPr>
      </w:pPr>
    </w:p>
    <w:p w14:paraId="7AF2823B" w14:textId="77777777" w:rsidR="00E77796" w:rsidRDefault="00E77796" w:rsidP="00E777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A.5. Stanovisko gestorov</w:t>
      </w:r>
    </w:p>
    <w:p w14:paraId="447AF996" w14:textId="77777777" w:rsidR="00E77796" w:rsidRDefault="00E77796" w:rsidP="00E77796">
      <w:pPr>
        <w:rPr>
          <w:rFonts w:ascii="Times New Roman" w:eastAsia="Times New Roman" w:hAnsi="Times New Roman" w:cs="Times New Roman"/>
          <w:sz w:val="24"/>
          <w:szCs w:val="24"/>
        </w:rPr>
      </w:pPr>
      <w:r>
        <w:rPr>
          <w:rFonts w:ascii="Times New Roman" w:eastAsia="Times New Roman" w:hAnsi="Times New Roman" w:cs="Times New Roman"/>
          <w:sz w:val="24"/>
          <w:szCs w:val="24"/>
        </w:rPr>
        <w:t>Bezpredmetné</w:t>
      </w:r>
    </w:p>
    <w:p w14:paraId="3CC5B58D" w14:textId="77777777" w:rsidR="00E77796" w:rsidRDefault="00E77796" w:rsidP="00E77796">
      <w:pPr>
        <w:rPr>
          <w:rFonts w:ascii="Times New Roman" w:eastAsia="Times New Roman" w:hAnsi="Times New Roman" w:cs="Times New Roman"/>
          <w:sz w:val="24"/>
          <w:szCs w:val="24"/>
        </w:rPr>
      </w:pPr>
    </w:p>
    <w:p w14:paraId="07D2B5B2" w14:textId="77777777" w:rsidR="00E77796" w:rsidRDefault="00E77796" w:rsidP="00E77796">
      <w:pPr>
        <w:spacing w:line="276" w:lineRule="auto"/>
        <w:rPr>
          <w:rFonts w:ascii="Times New Roman" w:eastAsia="Times New Roman" w:hAnsi="Times New Roman" w:cs="Times New Roman"/>
          <w:sz w:val="24"/>
          <w:szCs w:val="24"/>
        </w:rPr>
      </w:pPr>
    </w:p>
    <w:p w14:paraId="4B4ACE95" w14:textId="77777777" w:rsidR="00E77796" w:rsidRDefault="00E77796"/>
    <w:sectPr w:rsidR="00E7779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96"/>
    <w:rsid w:val="00E777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4EF1"/>
  <w15:chartTrackingRefBased/>
  <w15:docId w15:val="{A9EFC506-43F3-45C1-9C66-77984CCA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7796"/>
    <w:pPr>
      <w:spacing w:after="0"/>
    </w:pPr>
    <w:rPr>
      <w:rFonts w:ascii="Arial" w:eastAsia="Arial"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Benakova</dc:creator>
  <cp:keywords/>
  <dc:description/>
  <cp:lastModifiedBy>Nora Benakova</cp:lastModifiedBy>
  <cp:revision>1</cp:revision>
  <dcterms:created xsi:type="dcterms:W3CDTF">2022-08-25T07:49:00Z</dcterms:created>
  <dcterms:modified xsi:type="dcterms:W3CDTF">2022-08-25T07:50:00Z</dcterms:modified>
</cp:coreProperties>
</file>