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NÁRODNÁ RADA SLOVENSKEJ REPUBLIKY</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VIII. volebné obdobie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Návrh</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ZÁKON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 . . . . . . . . . . . 2022</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 dani z výhody získanej v dôsledku osobitnej situácie na trhu s ropou a o zmene a doplnení niektorých zákonov</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Národná rada Slovenskej republiky sa uzniesla na tomto zákone:  </w:t>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Čl. I</w:t>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w:t>
      </w:r>
    </w:p>
    <w:p w:rsidR="00000000" w:rsidDel="00000000" w:rsidP="00000000" w:rsidRDefault="00000000" w:rsidRPr="00000000" w14:paraId="0000001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Predmet úpravy</w:t>
      </w:r>
    </w:p>
    <w:p w:rsidR="00000000" w:rsidDel="00000000" w:rsidP="00000000" w:rsidRDefault="00000000" w:rsidRPr="00000000" w14:paraId="0000001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Týmto zákonom sa ustanovuje daň z </w:t>
      </w:r>
      <w:r w:rsidDel="00000000" w:rsidR="00000000" w:rsidRPr="00000000">
        <w:rPr>
          <w:rFonts w:ascii="Times New Roman" w:cs="Times New Roman" w:eastAsia="Times New Roman" w:hAnsi="Times New Roman"/>
          <w:color w:val="000000"/>
          <w:sz w:val="24"/>
          <w:szCs w:val="24"/>
          <w:rtl w:val="0"/>
        </w:rPr>
        <w:t xml:space="preserve">výhody získanej v dôsledku osobitnej situácie na trhu s ropou </w:t>
      </w:r>
      <w:r w:rsidDel="00000000" w:rsidR="00000000" w:rsidRPr="00000000">
        <w:rPr>
          <w:rFonts w:ascii="Times New Roman" w:cs="Times New Roman" w:eastAsia="Times New Roman" w:hAnsi="Times New Roman"/>
          <w:sz w:val="24"/>
          <w:szCs w:val="24"/>
          <w:rtl w:val="0"/>
        </w:rPr>
        <w:t xml:space="preserve">(ďalej len „daň“).</w:t>
      </w:r>
    </w:p>
    <w:p w:rsidR="00000000" w:rsidDel="00000000" w:rsidP="00000000" w:rsidRDefault="00000000" w:rsidRPr="00000000" w14:paraId="0000001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w:t>
      </w:r>
    </w:p>
    <w:p w:rsidR="00000000" w:rsidDel="00000000" w:rsidP="00000000" w:rsidRDefault="00000000" w:rsidRPr="00000000" w14:paraId="0000001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Základné ustanovenia</w:t>
      </w:r>
    </w:p>
    <w:p w:rsidR="00000000" w:rsidDel="00000000" w:rsidP="00000000" w:rsidRDefault="00000000" w:rsidRPr="00000000" w14:paraId="0000001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účely tohto zákona sa rozumie</w:t>
      </w:r>
    </w:p>
    <w:p w:rsidR="00000000" w:rsidDel="00000000" w:rsidP="00000000" w:rsidRDefault="00000000" w:rsidRPr="00000000" w14:paraId="0000001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ropou surový ropný olej patriaci do podpoložky 2709 00 90 kombinovanej nomenklatúry Spoločného colného sadzobníka,</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referenčnou cenou priemerná cena ropy Brent za jeden barel v amerických dolároch (ďalej len „dolár“) za príslušné zdaňovacie obdobie, zverejnená na webovom sídle Svetovej banky, </w:t>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cenou obstarania  cena, za ktorú bola ropa obstaraná daňovníkom v príslušnom zdaňovacom období, bez nákladov súvisiacich s jej obstaraním vzniknutých daňovníkovi, prepočítaná na doláre, ak bola cena dohodnutá v inej mene, </w:t>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priemernou cenou obstarania cena obstarania za jeden barel vypočítaná váženým aritmetickým priemerom zo všetkých obstaraní v príslušnom zdaňovacom období.</w:t>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w:t>
      </w:r>
    </w:p>
    <w:p w:rsidR="00000000" w:rsidDel="00000000" w:rsidP="00000000" w:rsidRDefault="00000000" w:rsidRPr="00000000" w14:paraId="0000002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Predmet </w:t>
      </w:r>
      <w:r w:rsidDel="00000000" w:rsidR="00000000" w:rsidRPr="00000000">
        <w:rPr>
          <w:rFonts w:ascii="Times New Roman" w:cs="Times New Roman" w:eastAsia="Times New Roman" w:hAnsi="Times New Roman"/>
          <w:color w:val="000000"/>
          <w:sz w:val="24"/>
          <w:szCs w:val="24"/>
          <w:rtl w:val="0"/>
        </w:rPr>
        <w:t xml:space="preserve">dane</w:t>
      </w:r>
    </w:p>
    <w:p w:rsidR="00000000" w:rsidDel="00000000" w:rsidP="00000000" w:rsidRDefault="00000000" w:rsidRPr="00000000" w14:paraId="00000022">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Predmetom dane je ekonomická výhoda získaná v dôsledku osobitnej situácie na trhu s ropou.</w:t>
      </w:r>
    </w:p>
    <w:p w:rsidR="00000000" w:rsidDel="00000000" w:rsidP="00000000" w:rsidRDefault="00000000" w:rsidRPr="00000000" w14:paraId="0000002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w:t>
      </w:r>
    </w:p>
    <w:p w:rsidR="00000000" w:rsidDel="00000000" w:rsidP="00000000" w:rsidRDefault="00000000" w:rsidRPr="00000000" w14:paraId="0000002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Daňovník </w:t>
      </w:r>
    </w:p>
    <w:p w:rsidR="00000000" w:rsidDel="00000000" w:rsidP="00000000" w:rsidRDefault="00000000" w:rsidRPr="00000000" w14:paraId="00000027">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Daňovníkom je držiteľ živnostenského oprávnenia, na základe ktorého je oprávnený vyrábať výrobky z ropy a chemicky ropu spracovávať. </w:t>
      </w:r>
    </w:p>
    <w:p w:rsidR="00000000" w:rsidDel="00000000" w:rsidP="00000000" w:rsidRDefault="00000000" w:rsidRPr="00000000" w14:paraId="0000002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5</w:t>
      </w:r>
    </w:p>
    <w:p w:rsidR="00000000" w:rsidDel="00000000" w:rsidP="00000000" w:rsidRDefault="00000000" w:rsidRPr="00000000" w14:paraId="0000002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Základ dane</w:t>
      </w:r>
    </w:p>
    <w:p w:rsidR="00000000" w:rsidDel="00000000" w:rsidP="00000000" w:rsidRDefault="00000000" w:rsidRPr="00000000" w14:paraId="0000002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Základom dane je súčin množstva ropy s pôvodom v Ruskej federácii v bareloch obstaranej daňovníkom v príslušnom zdaňovacom období a rozdielu medzi referenčnou cenou a priemernou cenou obstarania zníženého o 5 dolárov. Na záporný základ dane sa neprihliada. </w:t>
      </w:r>
    </w:p>
    <w:p w:rsidR="00000000" w:rsidDel="00000000" w:rsidP="00000000" w:rsidRDefault="00000000" w:rsidRPr="00000000" w14:paraId="0000002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Základ dane sa zaokrúhľuje na celé doláre nadol.</w:t>
      </w:r>
    </w:p>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w:t>
      </w:r>
    </w:p>
    <w:p w:rsidR="00000000" w:rsidDel="00000000" w:rsidP="00000000" w:rsidRDefault="00000000" w:rsidRPr="00000000" w14:paraId="0000003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Zdaňovacie obdobie</w:t>
      </w:r>
    </w:p>
    <w:p w:rsidR="00000000" w:rsidDel="00000000" w:rsidP="00000000" w:rsidRDefault="00000000" w:rsidRPr="00000000" w14:paraId="0000003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Zdaňovacím obdobím je kalendárny mesiac.</w:t>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7</w:t>
      </w:r>
    </w:p>
    <w:p w:rsidR="00000000" w:rsidDel="00000000" w:rsidP="00000000" w:rsidRDefault="00000000" w:rsidRPr="00000000" w14:paraId="0000003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Sadzba dane </w:t>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Sadzba dane je 100 % zo základu dane.</w:t>
      </w:r>
    </w:p>
    <w:p w:rsidR="00000000" w:rsidDel="00000000" w:rsidP="00000000" w:rsidRDefault="00000000" w:rsidRPr="00000000" w14:paraId="0000003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8</w:t>
      </w:r>
    </w:p>
    <w:p w:rsidR="00000000" w:rsidDel="00000000" w:rsidP="00000000" w:rsidRDefault="00000000" w:rsidRPr="00000000" w14:paraId="0000003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Výpočet dane</w:t>
      </w:r>
    </w:p>
    <w:p w:rsidR="00000000" w:rsidDel="00000000" w:rsidP="00000000" w:rsidRDefault="00000000" w:rsidRPr="00000000" w14:paraId="0000003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Daň sa vypočíta ako súčin základu dane a sadzby dane a zaokrúhli sa na celé doláre nadol. Daň sa prepočíta na eurá a zaokrúhľuje sa na celé eurá nadol. </w:t>
      </w:r>
    </w:p>
    <w:p w:rsidR="00000000" w:rsidDel="00000000" w:rsidP="00000000" w:rsidRDefault="00000000" w:rsidRPr="00000000" w14:paraId="0000003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9</w:t>
      </w:r>
      <w:r w:rsidDel="00000000" w:rsidR="00000000" w:rsidRPr="00000000">
        <w:rPr>
          <w:rtl w:val="0"/>
        </w:rPr>
      </w:r>
    </w:p>
    <w:p w:rsidR="00000000" w:rsidDel="00000000" w:rsidP="00000000" w:rsidRDefault="00000000" w:rsidRPr="00000000" w14:paraId="0000003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Vyrubenie dane </w:t>
      </w:r>
    </w:p>
    <w:p w:rsidR="00000000" w:rsidDel="00000000" w:rsidP="00000000" w:rsidRDefault="00000000" w:rsidRPr="00000000" w14:paraId="00000040">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Daňovník je povinný doručiť správcovi dane do 25. dňa nasledujúceho kalendárneho mesiaca po zdaňovacom období oznámenie, v ktorom uvedie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identifikačné údaje o daňovníkovi, najmä jeho názov, sídlo, identifikačné číslo organizácie a daňové identifikačné číslo, ak mu bolo pridelené,</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príslušné zdaňovacie obdobie,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množstvo ropy s pôvodom v Ruskej federácii v bareloch obstaranej v zdaňovacom období,</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priemernú cenu obstarania v dolároch,</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daň za príslušné zdaňovacie obdobie v eurách.</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Daňovník je povinný na základe oznámenia podľa odseku 1 zaplatiť daň za zdaňovacie obdobie do 25. dňa nasledujúceho kalendárneho mesiaca po tomto zdaňovacom období.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Oznámenie podľa odseku 1 sa podáva, ak daň za príslušné zdaňovacie obdobie je vyššia ako nula.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Oznámenie podľa odseku 1 sa považuje za daňové priznanie podľa Daňového poriadku. Ak daňovník podá oznámenie, ktorým z dôvodu dodatočnej zmeny priemernej ceny obstarania</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dodatočne zvýši daň, správca dane neuloží pokutu podľa Daňového poriadku.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10</w:t>
      </w:r>
    </w:p>
    <w:p w:rsidR="00000000" w:rsidDel="00000000" w:rsidP="00000000" w:rsidRDefault="00000000" w:rsidRPr="00000000" w14:paraId="0000004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Správca dane </w:t>
      </w:r>
    </w:p>
    <w:p w:rsidR="00000000" w:rsidDel="00000000" w:rsidP="00000000" w:rsidRDefault="00000000" w:rsidRPr="00000000" w14:paraId="0000004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Správu dane vykonáva Úrad pre vybrané hospodárske subjekty.</w:t>
      </w:r>
    </w:p>
    <w:p w:rsidR="00000000" w:rsidDel="00000000" w:rsidP="00000000" w:rsidRDefault="00000000" w:rsidRPr="00000000" w14:paraId="0000004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Spoločné, prechodné a záverečné ustanovenia</w:t>
      </w:r>
    </w:p>
    <w:p w:rsidR="00000000" w:rsidDel="00000000" w:rsidP="00000000" w:rsidRDefault="00000000" w:rsidRPr="00000000" w14:paraId="0000005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11</w:t>
      </w:r>
    </w:p>
    <w:p w:rsidR="00000000" w:rsidDel="00000000" w:rsidP="00000000" w:rsidRDefault="00000000" w:rsidRPr="00000000" w14:paraId="0000005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0" w:line="24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Na správu dane sa použijú ustanovenia Daňového poriadku. </w:t>
      </w:r>
      <w:r w:rsidDel="00000000" w:rsidR="00000000" w:rsidRPr="00000000">
        <w:rPr>
          <w:rtl w:val="0"/>
        </w:rPr>
      </w:r>
    </w:p>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w:t>
      </w:r>
    </w:p>
    <w:p w:rsidR="00000000" w:rsidDel="00000000" w:rsidP="00000000" w:rsidRDefault="00000000" w:rsidRPr="00000000" w14:paraId="0000005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 správe dane sa berie do úvahy skutočný obsah právneho úkonu alebo inej skutočnosti rozhodujúcej pre zistenie, vyrubenie alebo vybratie dane. Na právny úkon, viacero právnych úkonov alebo iné skutočnosti uskutočnené bez riadneho podnikateľského dôvodu alebo iného dôvodu, ktorý odráža ekonomickú realitu, a ktorých najmenej jedným z účelov je obchádzanie daňovej povinnosti alebo získanie takého daňového zvýhodnenia, na ktoré by inak nebol daňový subjekt oprávnený, sa pri správe dane neprihliada.</w:t>
      </w:r>
    </w:p>
    <w:p w:rsidR="00000000" w:rsidDel="00000000" w:rsidP="00000000" w:rsidRDefault="00000000" w:rsidRPr="00000000" w14:paraId="0000005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13</w:t>
      </w:r>
    </w:p>
    <w:p w:rsidR="00000000" w:rsidDel="00000000" w:rsidP="00000000" w:rsidRDefault="00000000" w:rsidRPr="00000000" w14:paraId="0000005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Povinnosť platiť daň podľa tohto zákona má daňovník počnúc prvým zdaňovacím obdobím, ktorým je jún 2022.</w:t>
      </w:r>
    </w:p>
    <w:p w:rsidR="00000000" w:rsidDel="00000000" w:rsidP="00000000" w:rsidRDefault="00000000" w:rsidRPr="00000000" w14:paraId="0000005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14</w:t>
      </w:r>
    </w:p>
    <w:p w:rsidR="00000000" w:rsidDel="00000000" w:rsidP="00000000" w:rsidRDefault="00000000" w:rsidRPr="00000000" w14:paraId="0000005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prepočet eura alebo cudzej meny na dolár a na prepočet  dolára na euro sa použije priemerný kurz za kalendárny mesiac vyhlásený Európskou centrálnou bankou alebo Národnou bankou Slovenska platný za príslušné zdaňovacie obdobie.</w:t>
      </w:r>
    </w:p>
    <w:p w:rsidR="00000000" w:rsidDel="00000000" w:rsidP="00000000" w:rsidRDefault="00000000" w:rsidRPr="00000000" w14:paraId="0000006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15</w:t>
      </w:r>
    </w:p>
    <w:p w:rsidR="00000000" w:rsidDel="00000000" w:rsidP="00000000" w:rsidRDefault="00000000" w:rsidRPr="00000000" w14:paraId="0000006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Posledné zdaňovacie obdobie podľa tohto zákona je december 2024 a ak rozdiel medzi referenčnou cenou a priemernou cenou obstarania bude menší alebo rovný 5 dolárom v každom z troch bezprostredne po sebe nasledujúcich kalendárnych mesiacov nasledujúcich po </w:t>
        <w:br w:type="textWrapping"/>
        <w:t xml:space="preserve">31. decembri 2022</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posledným zdaňovacím obdobím daňovníka je tento tretí kalendárny mesiac.  </w:t>
      </w:r>
    </w:p>
    <w:p w:rsidR="00000000" w:rsidDel="00000000" w:rsidP="00000000" w:rsidRDefault="00000000" w:rsidRPr="00000000" w14:paraId="0000006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Čl. II</w:t>
      </w:r>
    </w:p>
    <w:p w:rsidR="00000000" w:rsidDel="00000000" w:rsidP="00000000" w:rsidRDefault="00000000" w:rsidRPr="00000000" w14:paraId="0000006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uznesenia Ústavného súdu Slovenskej republiky č. 188/2012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317/2018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z., zákona č. 198/2020 Z. z., zákona č. 296/2020 Z. z., zákona č. 416/2020 Z. z., zákona č. 420/2020 Z. z., zákona č. 421/2020 Z. z., zákona č. 76/2021 Z. z., zákona č. 215/2021 Z. z., zákona č. 257/2021 Z. z., zákona č. 310/2021 Z. z., zákona č. 408/2021 Z. z., zákona </w:t>
        <w:br w:type="textWrapping"/>
        <w:t xml:space="preserve">č. 416/2021 Z. z. a zákona č. 129/2022 Z. z. sa dopĺňa takto:</w:t>
      </w:r>
    </w:p>
    <w:p w:rsidR="00000000" w:rsidDel="00000000" w:rsidP="00000000" w:rsidRDefault="00000000" w:rsidRPr="00000000" w14:paraId="0000006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after="0" w:line="24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V § 19 ods. 3 písm. j) sa za slovo „predpisu</w:t>
      </w:r>
      <w:r w:rsidDel="00000000" w:rsidR="00000000" w:rsidRPr="00000000">
        <w:rPr>
          <w:rFonts w:ascii="Times New Roman" w:cs="Times New Roman" w:eastAsia="Times New Roman" w:hAnsi="Times New Roman"/>
          <w:sz w:val="24"/>
          <w:szCs w:val="24"/>
          <w:vertAlign w:val="superscript"/>
          <w:rtl w:val="0"/>
        </w:rPr>
        <w:t xml:space="preserve">90a</w:t>
      </w:r>
      <w:r w:rsidDel="00000000" w:rsidR="00000000" w:rsidRPr="00000000">
        <w:rPr>
          <w:rFonts w:ascii="Times New Roman" w:cs="Times New Roman" w:eastAsia="Times New Roman" w:hAnsi="Times New Roman"/>
          <w:sz w:val="24"/>
          <w:szCs w:val="24"/>
          <w:rtl w:val="0"/>
        </w:rPr>
        <w:t xml:space="preserve">)“ vkladá čiarka a slová „miestny poplatok za rozvoj,</w:t>
      </w:r>
      <w:r w:rsidDel="00000000" w:rsidR="00000000" w:rsidRPr="00000000">
        <w:rPr>
          <w:rFonts w:ascii="Times New Roman" w:cs="Times New Roman" w:eastAsia="Times New Roman" w:hAnsi="Times New Roman"/>
          <w:sz w:val="24"/>
          <w:szCs w:val="24"/>
          <w:vertAlign w:val="superscript"/>
          <w:rtl w:val="0"/>
        </w:rPr>
        <w:t xml:space="preserve">90ab)</w:t>
      </w:r>
      <w:r w:rsidDel="00000000" w:rsidR="00000000" w:rsidRPr="00000000">
        <w:rPr>
          <w:rFonts w:ascii="Times New Roman" w:cs="Times New Roman" w:eastAsia="Times New Roman" w:hAnsi="Times New Roman"/>
          <w:sz w:val="24"/>
          <w:szCs w:val="24"/>
          <w:rtl w:val="0"/>
        </w:rPr>
        <w:t xml:space="preserve"> daň z </w:t>
      </w:r>
      <w:r w:rsidDel="00000000" w:rsidR="00000000" w:rsidRPr="00000000">
        <w:rPr>
          <w:rFonts w:ascii="Times New Roman" w:cs="Times New Roman" w:eastAsia="Times New Roman" w:hAnsi="Times New Roman"/>
          <w:color w:val="000000"/>
          <w:sz w:val="24"/>
          <w:szCs w:val="24"/>
          <w:rtl w:val="0"/>
        </w:rPr>
        <w:t xml:space="preserve">výhody získanej v dôsledku osobitnej situácie na trhu s </w:t>
      </w:r>
      <w:r w:rsidDel="00000000" w:rsidR="00000000" w:rsidRPr="00000000">
        <w:rPr>
          <w:rFonts w:ascii="Times New Roman" w:cs="Times New Roman" w:eastAsia="Times New Roman" w:hAnsi="Times New Roman"/>
          <w:sz w:val="24"/>
          <w:szCs w:val="24"/>
          <w:rtl w:val="0"/>
        </w:rPr>
        <w:t xml:space="preserve">ropou</w:t>
      </w:r>
      <w:r w:rsidDel="00000000" w:rsidR="00000000" w:rsidRPr="00000000">
        <w:rPr>
          <w:rFonts w:ascii="Times New Roman" w:cs="Times New Roman" w:eastAsia="Times New Roman" w:hAnsi="Times New Roman"/>
          <w:sz w:val="24"/>
          <w:szCs w:val="24"/>
          <w:vertAlign w:val="superscript"/>
          <w:rtl w:val="0"/>
        </w:rPr>
        <w:t xml:space="preserve">90ac</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6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Poznámky pod čiarou k odkazom 90ab a 90ac znejú:</w:t>
      </w:r>
    </w:p>
    <w:p w:rsidR="00000000" w:rsidDel="00000000" w:rsidP="00000000" w:rsidRDefault="00000000" w:rsidRPr="00000000" w14:paraId="0000006D">
      <w:pPr>
        <w:spacing w:after="0" w:line="240" w:lineRule="auto"/>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tl w:val="0"/>
        </w:rPr>
        <w:t xml:space="preserve">90ab</w:t>
      </w:r>
      <w:r w:rsidDel="00000000" w:rsidR="00000000" w:rsidRPr="00000000">
        <w:rPr>
          <w:rFonts w:ascii="Times New Roman" w:cs="Times New Roman" w:eastAsia="Times New Roman" w:hAnsi="Times New Roman"/>
          <w:sz w:val="24"/>
          <w:szCs w:val="24"/>
          <w:rtl w:val="0"/>
        </w:rPr>
        <w:t xml:space="preserve">) Zákon č. 447/2015 Z. z. o miestnom poplatku za rozvoj a o zmene a doplnení niektorých zákonov v znení neskorších predpisov.</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6E">
      <w:pPr>
        <w:spacing w:after="0" w:line="240" w:lineRule="auto"/>
        <w:jc w:val="both"/>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vertAlign w:val="superscript"/>
          <w:rtl w:val="0"/>
        </w:rPr>
        <w:t xml:space="preserve">90ac</w:t>
      </w:r>
      <w:r w:rsidDel="00000000" w:rsidR="00000000" w:rsidRPr="00000000">
        <w:rPr>
          <w:rFonts w:ascii="Times New Roman" w:cs="Times New Roman" w:eastAsia="Times New Roman" w:hAnsi="Times New Roman"/>
          <w:sz w:val="24"/>
          <w:szCs w:val="24"/>
          <w:rtl w:val="0"/>
        </w:rPr>
        <w:t xml:space="preserve">) Zákon č. ..../2022 Z. z. o dani z </w:t>
      </w:r>
      <w:r w:rsidDel="00000000" w:rsidR="00000000" w:rsidRPr="00000000">
        <w:rPr>
          <w:rFonts w:ascii="Times New Roman" w:cs="Times New Roman" w:eastAsia="Times New Roman" w:hAnsi="Times New Roman"/>
          <w:color w:val="000000"/>
          <w:sz w:val="24"/>
          <w:szCs w:val="24"/>
          <w:rtl w:val="0"/>
        </w:rPr>
        <w:t xml:space="preserve">výhody získanej v dôsledku osobitnej situácie na trhu s ropou</w:t>
      </w:r>
      <w:r w:rsidDel="00000000" w:rsidR="00000000" w:rsidRPr="00000000">
        <w:rPr>
          <w:rFonts w:ascii="Times New Roman" w:cs="Times New Roman" w:eastAsia="Times New Roman" w:hAnsi="Times New Roman"/>
          <w:sz w:val="24"/>
          <w:szCs w:val="24"/>
          <w:rtl w:val="0"/>
        </w:rPr>
        <w:t xml:space="preserve"> a o zmene a doplnení niektorých zákonov.“.</w:t>
      </w:r>
      <w:r w:rsidDel="00000000" w:rsidR="00000000" w:rsidRPr="00000000">
        <w:rPr>
          <w:rtl w:val="0"/>
        </w:rPr>
      </w:r>
    </w:p>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ČI. III</w:t>
      </w:r>
    </w:p>
    <w:p w:rsidR="00000000" w:rsidDel="00000000" w:rsidP="00000000" w:rsidRDefault="00000000" w:rsidRPr="00000000" w14:paraId="0000007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Zákon č. </w:t>
      </w:r>
      <w:hyperlink r:id="rId8">
        <w:r w:rsidDel="00000000" w:rsidR="00000000" w:rsidRPr="00000000">
          <w:rPr>
            <w:rFonts w:ascii="Times New Roman" w:cs="Times New Roman" w:eastAsia="Times New Roman" w:hAnsi="Times New Roman"/>
            <w:sz w:val="24"/>
            <w:szCs w:val="24"/>
            <w:rtl w:val="0"/>
          </w:rPr>
          <w:t xml:space="preserve">563/2009 Z. z.</w:t>
        </w:r>
      </w:hyperlink>
      <w:r w:rsidDel="00000000" w:rsidR="00000000" w:rsidRPr="00000000">
        <w:rPr>
          <w:rFonts w:ascii="Times New Roman" w:cs="Times New Roman" w:eastAsia="Times New Roman" w:hAnsi="Times New Roman"/>
          <w:sz w:val="24"/>
          <w:szCs w:val="24"/>
          <w:rtl w:val="0"/>
        </w:rPr>
        <w:t xml:space="preserve"> o správe daní (daňový poriadok) a o zmene a doplnení niektorých zákonov v znení zákona č. 331/2011 Z. z., zákona č. 332/2011 Z. z., zákona                  č. 384/2011 Z. z., zákona č. 546/2011 Z. z., zákona č. 69/2012 Z. z., zákona č. 91/2012 Z. z., zákona č. 235/2012 Z. z., zákona č. 246/2012 Z. z., zákona č. 440/2012 Z. z., zákona                        č. 218/2013 Z. z., zákona č. 435/2013 Z. z., zákona č. 213/2014 Z. z., zákona č. 218/2014                  Z. z., zákona č. 333/2014 Z. z., zákona č. 361/2014 Z. z., zákona č. 130/2015 Z. z., zákona           č. 176/2015 Z. z., zákona č. 252/2015 Z. z., zákona č. 269/2015 Z. z., zákona č. 393/2015 Z. z., zákona č. 447/2015 Z. z., zákona č. 125/2016 Z. z., zákona č. 298/2016 Z. z., zákona                        č. 339/2016 Z. z., zákona č. 267/2017 Z. z., zákona č. 344/2017 Z. z., zákona č. 177/2018 Z. z., zákona č. 213/2018 Z. z., zákona č. 368/2018 Z. z., zákona č. 35/2019 Z. z., zákona                           č. 221/2019 Z. z., zákona č. 369/2019 Z. z., zákona č. 390/2019 Z. z., zákona č. 46/2020 Z. z., zákona č. 198/2020 Z. z., zákona č. 296/2020 Z. z., zákona č. 312/2020 Z. z., zákona                        č. 390/2020 Z. z., zákona č. 416/2020 Z. z., zákona č. 421/2020 Z. z., zákona č. 45/2021 Z. z., zákona č. 395/2021, zákona č. 408/2021 Z. z. a zákona č. 39/2022 Z. z. sa dopĺňa takto:</w:t>
      </w:r>
    </w:p>
    <w:p w:rsidR="00000000" w:rsidDel="00000000" w:rsidP="00000000" w:rsidRDefault="00000000" w:rsidRPr="00000000" w14:paraId="0000007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poznámke pod čiarou k odkazu 1 sa na konci pripája táto citácia: „Zákon č. .../2022 Z. z. o dani z </w:t>
      </w:r>
      <w:r w:rsidDel="00000000" w:rsidR="00000000" w:rsidRPr="00000000">
        <w:rPr>
          <w:rFonts w:ascii="Times New Roman" w:cs="Times New Roman" w:eastAsia="Times New Roman" w:hAnsi="Times New Roman"/>
          <w:color w:val="000000"/>
          <w:sz w:val="24"/>
          <w:szCs w:val="24"/>
          <w:rtl w:val="0"/>
        </w:rPr>
        <w:t xml:space="preserve">výhody získanej v dôsledku osobitnej situácie na trhu s ropou</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a o zmene a doplnení niektorých zákonov.“.</w:t>
      </w:r>
    </w:p>
    <w:p w:rsidR="00000000" w:rsidDel="00000000" w:rsidP="00000000" w:rsidRDefault="00000000" w:rsidRPr="00000000" w14:paraId="0000007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Čl. IV</w:t>
      </w:r>
    </w:p>
    <w:p w:rsidR="00000000" w:rsidDel="00000000" w:rsidP="00000000" w:rsidRDefault="00000000" w:rsidRPr="00000000" w14:paraId="00000077">
      <w:pPr>
        <w:spacing w:after="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Tento zákon nadobúda účinnosť 1. novembra 2022.</w:t>
      </w:r>
    </w:p>
    <w:sectPr>
      <w:footerReference r:id="rId9" w:type="default"/>
      <w:footerReference r:id="rId10" w:type="first"/>
      <w:pgSz w:h="16838" w:w="11906"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9">
      <w:pPr>
        <w:spacing w:after="0" w:line="24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Príloha I k nariadeniu Rady (EHS) č. 2658/87 o colnej a štatistickej nomenklatúre a o Spoločnom colnom sadzobníku (Mimoriadne vydanie Ú.v. EÚ, kap. 2/zv. 2; Ú.v. ES L 256, 7. 9. 1987) v platnom znení.</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ootnote>
  <w:footnote w:id="1">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155 ods. 1 písm. f) prvý bod Daňového poriadku.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sk-SK"/>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y" w:default="1">
    <w:name w:val="Normal"/>
    <w:qFormat w:val="1"/>
  </w:style>
  <w:style w:type="character" w:styleId="Predvolenpsmoodseku" w:default="1">
    <w:name w:val="Default Paragraph Font"/>
    <w:uiPriority w:val="1"/>
    <w:semiHidden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paragraph" w:styleId="Textpoznmkypodiarou">
    <w:name w:val="footnote text"/>
    <w:basedOn w:val="Normlny"/>
    <w:link w:val="TextpoznmkypodiarouChar"/>
    <w:uiPriority w:val="99"/>
    <w:semiHidden w:val="1"/>
    <w:unhideWhenUsed w:val="1"/>
    <w:rsid w:val="00380B1D"/>
    <w:pPr>
      <w:spacing w:after="0" w:line="240" w:lineRule="auto"/>
    </w:pPr>
    <w:rPr>
      <w:sz w:val="20"/>
      <w:szCs w:val="20"/>
    </w:rPr>
  </w:style>
  <w:style w:type="character" w:styleId="TextpoznmkypodiarouChar" w:customStyle="1">
    <w:name w:val="Text poznámky pod čiarou Char"/>
    <w:basedOn w:val="Predvolenpsmoodseku"/>
    <w:link w:val="Textpoznmkypodiarou"/>
    <w:uiPriority w:val="99"/>
    <w:semiHidden w:val="1"/>
    <w:rsid w:val="00380B1D"/>
    <w:rPr>
      <w:sz w:val="20"/>
      <w:szCs w:val="20"/>
    </w:rPr>
  </w:style>
  <w:style w:type="character" w:styleId="Odkaznapoznmkupodiarou">
    <w:name w:val="footnote reference"/>
    <w:basedOn w:val="Predvolenpsmoodseku"/>
    <w:uiPriority w:val="99"/>
    <w:unhideWhenUsed w:val="1"/>
    <w:rsid w:val="00380B1D"/>
    <w:rPr>
      <w:vertAlign w:val="superscript"/>
    </w:rPr>
  </w:style>
  <w:style w:type="paragraph" w:styleId="Odsekzoznamu">
    <w:name w:val="List Paragraph"/>
    <w:aliases w:val="tabulky,Conclusion de partie,Numbered Para 1,Dot pt,No Spacing1,List Paragraph Char Char Char,Indicator Text,Bullet 1,List Paragraph1,Bullet Points,MAIN CONTENT,List Paragraph12,F5 List Paragraph,Heading 2_sj,Nad"/>
    <w:basedOn w:val="Normlny"/>
    <w:link w:val="OdsekzoznamuChar"/>
    <w:uiPriority w:val="34"/>
    <w:qFormat w:val="1"/>
    <w:rsid w:val="00EB30D0"/>
    <w:pPr>
      <w:ind w:left="720"/>
      <w:contextualSpacing w:val="1"/>
    </w:pPr>
  </w:style>
  <w:style w:type="paragraph" w:styleId="Textbubliny">
    <w:name w:val="Balloon Text"/>
    <w:basedOn w:val="Normlny"/>
    <w:link w:val="TextbublinyChar"/>
    <w:uiPriority w:val="99"/>
    <w:semiHidden w:val="1"/>
    <w:unhideWhenUsed w:val="1"/>
    <w:rsid w:val="00705D89"/>
    <w:pPr>
      <w:spacing w:after="0" w:line="240" w:lineRule="auto"/>
    </w:pPr>
    <w:rPr>
      <w:rFonts w:ascii="Segoe UI" w:cs="Segoe UI" w:hAnsi="Segoe UI"/>
      <w:sz w:val="18"/>
      <w:szCs w:val="18"/>
    </w:rPr>
  </w:style>
  <w:style w:type="character" w:styleId="TextbublinyChar" w:customStyle="1">
    <w:name w:val="Text bubliny Char"/>
    <w:basedOn w:val="Predvolenpsmoodseku"/>
    <w:link w:val="Textbubliny"/>
    <w:uiPriority w:val="99"/>
    <w:semiHidden w:val="1"/>
    <w:rsid w:val="00705D89"/>
    <w:rPr>
      <w:rFonts w:ascii="Segoe UI" w:cs="Segoe UI" w:hAnsi="Segoe UI"/>
      <w:sz w:val="18"/>
      <w:szCs w:val="18"/>
    </w:rPr>
  </w:style>
  <w:style w:type="character" w:styleId="Odkaznakomentr">
    <w:name w:val="annotation reference"/>
    <w:basedOn w:val="Predvolenpsmoodseku"/>
    <w:uiPriority w:val="99"/>
    <w:semiHidden w:val="1"/>
    <w:unhideWhenUsed w:val="1"/>
    <w:rsid w:val="004361EE"/>
    <w:rPr>
      <w:sz w:val="16"/>
      <w:szCs w:val="16"/>
    </w:rPr>
  </w:style>
  <w:style w:type="paragraph" w:styleId="Textkomentra">
    <w:name w:val="annotation text"/>
    <w:basedOn w:val="Normlny"/>
    <w:link w:val="TextkomentraChar"/>
    <w:uiPriority w:val="99"/>
    <w:semiHidden w:val="1"/>
    <w:unhideWhenUsed w:val="1"/>
    <w:rsid w:val="004361EE"/>
    <w:pPr>
      <w:spacing w:line="240" w:lineRule="auto"/>
    </w:pPr>
    <w:rPr>
      <w:sz w:val="20"/>
      <w:szCs w:val="20"/>
    </w:rPr>
  </w:style>
  <w:style w:type="character" w:styleId="TextkomentraChar" w:customStyle="1">
    <w:name w:val="Text komentára Char"/>
    <w:basedOn w:val="Predvolenpsmoodseku"/>
    <w:link w:val="Textkomentra"/>
    <w:uiPriority w:val="99"/>
    <w:semiHidden w:val="1"/>
    <w:rsid w:val="004361EE"/>
    <w:rPr>
      <w:sz w:val="20"/>
      <w:szCs w:val="20"/>
    </w:rPr>
  </w:style>
  <w:style w:type="paragraph" w:styleId="Predmetkomentra">
    <w:name w:val="annotation subject"/>
    <w:basedOn w:val="Textkomentra"/>
    <w:next w:val="Textkomentra"/>
    <w:link w:val="PredmetkomentraChar"/>
    <w:uiPriority w:val="99"/>
    <w:semiHidden w:val="1"/>
    <w:unhideWhenUsed w:val="1"/>
    <w:rsid w:val="004361EE"/>
    <w:rPr>
      <w:b w:val="1"/>
      <w:bCs w:val="1"/>
    </w:rPr>
  </w:style>
  <w:style w:type="character" w:styleId="PredmetkomentraChar" w:customStyle="1">
    <w:name w:val="Predmet komentára Char"/>
    <w:basedOn w:val="TextkomentraChar"/>
    <w:link w:val="Predmetkomentra"/>
    <w:uiPriority w:val="99"/>
    <w:semiHidden w:val="1"/>
    <w:rsid w:val="004361EE"/>
    <w:rPr>
      <w:b w:val="1"/>
      <w:bCs w:val="1"/>
      <w:sz w:val="20"/>
      <w:szCs w:val="20"/>
    </w:rPr>
  </w:style>
  <w:style w:type="character" w:styleId="Hypertextovprepojenie">
    <w:name w:val="Hyperlink"/>
    <w:basedOn w:val="Predvolenpsmoodseku"/>
    <w:uiPriority w:val="99"/>
    <w:semiHidden w:val="1"/>
    <w:unhideWhenUsed w:val="1"/>
    <w:rsid w:val="00D510ED"/>
    <w:rPr>
      <w:color w:val="0563c1" w:themeColor="hyperlink"/>
      <w:u w:val="single"/>
    </w:rPr>
  </w:style>
  <w:style w:type="character" w:styleId="OdsekzoznamuChar" w:customStyle="1">
    <w:name w:val="Odsek zoznamu Char"/>
    <w:aliases w:val="tabulky Char,Conclusion de partie Char,Numbered Para 1 Char,Dot pt Char,No Spacing1 Char,List Paragraph Char Char Char Char,Indicator Text Char,Bullet 1 Char,List Paragraph1 Char,Bullet Points Char,MAIN CONTENT Char,Heading 2_sj Char"/>
    <w:link w:val="Odsekzoznamu"/>
    <w:uiPriority w:val="34"/>
    <w:qFormat w:val="1"/>
    <w:locked w:val="1"/>
    <w:rsid w:val="00D510ED"/>
  </w:style>
  <w:style w:type="paragraph" w:styleId="Hlavika">
    <w:name w:val="header"/>
    <w:basedOn w:val="Normlny"/>
    <w:link w:val="HlavikaChar"/>
    <w:uiPriority w:val="99"/>
    <w:unhideWhenUsed w:val="1"/>
    <w:rsid w:val="001F1B4C"/>
    <w:pPr>
      <w:tabs>
        <w:tab w:val="center" w:pos="4536"/>
        <w:tab w:val="right" w:pos="9072"/>
      </w:tabs>
      <w:spacing w:after="0" w:line="240" w:lineRule="auto"/>
    </w:pPr>
  </w:style>
  <w:style w:type="character" w:styleId="HlavikaChar" w:customStyle="1">
    <w:name w:val="Hlavička Char"/>
    <w:basedOn w:val="Predvolenpsmoodseku"/>
    <w:link w:val="Hlavika"/>
    <w:uiPriority w:val="99"/>
    <w:rsid w:val="001F1B4C"/>
  </w:style>
  <w:style w:type="paragraph" w:styleId="Pta">
    <w:name w:val="footer"/>
    <w:basedOn w:val="Normlny"/>
    <w:link w:val="PtaChar"/>
    <w:uiPriority w:val="99"/>
    <w:unhideWhenUsed w:val="1"/>
    <w:rsid w:val="001F1B4C"/>
    <w:pPr>
      <w:tabs>
        <w:tab w:val="center" w:pos="4536"/>
        <w:tab w:val="right" w:pos="9072"/>
      </w:tabs>
      <w:spacing w:after="0" w:line="240" w:lineRule="auto"/>
    </w:pPr>
  </w:style>
  <w:style w:type="character" w:styleId="PtaChar" w:customStyle="1">
    <w:name w:val="Päta Char"/>
    <w:basedOn w:val="Predvolenpsmoodseku"/>
    <w:link w:val="Pta"/>
    <w:uiPriority w:val="99"/>
    <w:rsid w:val="001F1B4C"/>
  </w:style>
  <w:style w:type="character" w:styleId="ra" w:customStyle="1">
    <w:name w:val="ra"/>
    <w:basedOn w:val="Predvolenpsmoodseku"/>
    <w:rsid w:val="009E7830"/>
  </w:style>
  <w:style w:type="paragraph" w:styleId="Zkladntext" w:customStyle="1">
    <w:name w:val="Základní text"/>
    <w:aliases w:val="Základný text Char Char"/>
    <w:rsid w:val="006548AE"/>
    <w:pPr>
      <w:widowControl w:val="0"/>
      <w:snapToGrid w:val="0"/>
      <w:spacing w:after="0" w:line="240" w:lineRule="auto"/>
    </w:pPr>
    <w:rPr>
      <w:rFonts w:ascii="Times New Roman" w:cs="Times New Roman" w:eastAsia="Times New Roman" w:hAnsi="Times New Roman"/>
      <w:color w:val="000000"/>
      <w:sz w:val="24"/>
      <w:szCs w:val="20"/>
      <w:lang w:eastAsia="sk-SK"/>
    </w:rPr>
  </w:style>
  <w:style w:type="character" w:styleId="awspan1" w:customStyle="1">
    <w:name w:val="awspan1"/>
    <w:basedOn w:val="Predvolenpsmoodseku"/>
    <w:rsid w:val="006548AE"/>
    <w:rPr>
      <w:color w:val="000000"/>
      <w:sz w:val="24"/>
      <w:szCs w:val="24"/>
    </w:rPr>
  </w:style>
  <w:style w:type="paragraph" w:styleId="Revzia">
    <w:name w:val="Revision"/>
    <w:hidden w:val="1"/>
    <w:uiPriority w:val="99"/>
    <w:semiHidden w:val="1"/>
    <w:rsid w:val="00924C31"/>
    <w:pPr>
      <w:spacing w:after="0" w:line="240" w:lineRule="auto"/>
    </w:pPr>
  </w:style>
  <w:style w:type="paragraph" w:styleId="Bezriadkovania">
    <w:name w:val="No Spacing"/>
    <w:uiPriority w:val="1"/>
    <w:qFormat w:val="1"/>
    <w:rsid w:val="008C38A9"/>
    <w:pPr>
      <w:spacing w:after="0" w:line="240" w:lineRule="auto"/>
    </w:pPr>
    <w:rPr>
      <w:rFonts w:ascii="Times New Roman" w:cs="Times New Roman" w:eastAsia="Times New Roman" w:hAnsi="Times New Roman"/>
      <w:sz w:val="24"/>
      <w:szCs w:val="24"/>
      <w:lang w:eastAsia="sk-SK"/>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slov-lex.sk/pravne-predpisy/SK/ZZ/2009/563/"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Xmo0MeR0oM3wg83GTE8v0I68gA==">AMUW2mVhwaFF4cH1UVNsKzTspuF0YnDg38FS7Byesrr+j4+0OcROHfuxc4voZU5KghvbtJfbafEXiXlbAPnF2bUJOc6FR214SJKV/asZBHP4ZJB4QAvLuCI=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2022-08-24T23:20:00Z</dcterms:created>
  <dc:creator>Broncekova Eva</dc:creator>
</cp:coreProperties>
</file>