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Tomáš Valášek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 ktorým sa mení a dopĺňa zákon č. 301/2005 Z. z. Trestný poriadok v znení neskorších predpisov.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301/2005 Z. z. Trestný poriadok v znení neskorších predpisov.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0.0" w:type="dxa"/>
        <w:tblLayout w:type="fixed"/>
        <w:tblLook w:val="0400"/>
      </w:tblPr>
      <w:tblGrid>
        <w:gridCol w:w="5370"/>
        <w:gridCol w:w="1305"/>
        <w:gridCol w:w="1005"/>
        <w:gridCol w:w="1365"/>
        <w:tblGridChange w:id="0">
          <w:tblGrid>
            <w:gridCol w:w="5370"/>
            <w:gridCol w:w="1305"/>
            <w:gridCol w:w="100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Táto zmena právnej úpravy bude mať pozitívny vplyv na ochranu nezávislosti vyšetrovania trestnej činnosti, ochranu pred zneužitím právomocí generálneho prokurátora a v konečnom dôsledku aj na zvýšenie dôveryhodnosti justičných orgánov SR.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1E205E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14165A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rsid w:val="0014165A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335383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BOT0ybNAl+vw+vTouR7pgd/AYQ==">AMUW2mXajj/AA1+IN9h/GAGXipMrliEqIF53wpaYlYTxhlNJOUC7eXPmtn5QOb0DKem8swG37j/SPzAcTFK7I9X9zSq8qKi58GGfA42vYHsPiY3v0d00ojM=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2022-04-07T11:15:00Z</dcterms:created>
</cp:coreProperties>
</file>